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C8B34" w14:textId="77777777" w:rsidR="001D4C43" w:rsidRPr="00A86D31" w:rsidRDefault="001D4C43" w:rsidP="001D4C43">
      <w:pPr>
        <w:spacing w:line="480" w:lineRule="auto"/>
        <w:jc w:val="center"/>
        <w:rPr>
          <w:rFonts w:cstheme="minorHAnsi"/>
          <w:lang w:val="en-US"/>
        </w:rPr>
      </w:pPr>
      <w:bookmarkStart w:id="0" w:name="_Hlk152259151"/>
      <w:r w:rsidRPr="00A86D31">
        <w:rPr>
          <w:rFonts w:cstheme="minorHAnsi"/>
          <w:lang w:val="en-US"/>
        </w:rPr>
        <w:t>Effect of spatial and temporal urban isolation on the genetic diversity, acoustic variation, and morphological characteristics of an urban survivor bird species</w:t>
      </w:r>
    </w:p>
    <w:p w14:paraId="6B450C0D" w14:textId="77777777" w:rsidR="001D4C43" w:rsidRPr="00A86D31" w:rsidRDefault="001D4C43" w:rsidP="001D4C43">
      <w:pPr>
        <w:spacing w:line="480" w:lineRule="auto"/>
        <w:rPr>
          <w:rFonts w:cstheme="minorHAnsi"/>
          <w:lang w:val="en-US"/>
        </w:rPr>
      </w:pPr>
    </w:p>
    <w:p w14:paraId="52EC3779" w14:textId="77777777" w:rsidR="001D4C43" w:rsidRPr="00A86D31" w:rsidRDefault="001D4C43" w:rsidP="001D4C43">
      <w:pPr>
        <w:spacing w:line="480" w:lineRule="auto"/>
        <w:rPr>
          <w:rFonts w:cstheme="minorHAnsi"/>
        </w:rPr>
      </w:pPr>
      <w:r w:rsidRPr="00A86D31">
        <w:rPr>
          <w:rFonts w:cstheme="minorHAnsi"/>
        </w:rPr>
        <w:t>Luis Cueva</w:t>
      </w:r>
      <w:r w:rsidRPr="00A86D31">
        <w:rPr>
          <w:rFonts w:cstheme="minorHAnsi"/>
          <w:vertAlign w:val="superscript"/>
        </w:rPr>
        <w:t>1,2*</w:t>
      </w:r>
      <w:r w:rsidRPr="00A86D31">
        <w:rPr>
          <w:rFonts w:cstheme="minorHAnsi"/>
        </w:rPr>
        <w:t>, Eric J. Fuchs</w:t>
      </w:r>
      <w:r>
        <w:rPr>
          <w:rFonts w:cstheme="minorHAnsi"/>
          <w:vertAlign w:val="superscript"/>
        </w:rPr>
        <w:t>1</w:t>
      </w:r>
      <w:r w:rsidRPr="00A86D31">
        <w:rPr>
          <w:rFonts w:cstheme="minorHAnsi"/>
        </w:rPr>
        <w:t>, Gilbert Barrantes</w:t>
      </w:r>
      <w:r>
        <w:rPr>
          <w:rFonts w:cstheme="minorHAnsi"/>
          <w:vertAlign w:val="superscript"/>
        </w:rPr>
        <w:t>1</w:t>
      </w:r>
      <w:r w:rsidRPr="00A86D31">
        <w:rPr>
          <w:rFonts w:cstheme="minorHAnsi"/>
        </w:rPr>
        <w:t>, Ruth Madrigal-Brenes</w:t>
      </w:r>
      <w:r>
        <w:rPr>
          <w:rFonts w:cstheme="minorHAnsi"/>
          <w:vertAlign w:val="superscript"/>
        </w:rPr>
        <w:t>1</w:t>
      </w:r>
      <w:r w:rsidRPr="00A86D31">
        <w:rPr>
          <w:rFonts w:cstheme="minorHAnsi"/>
        </w:rPr>
        <w:t xml:space="preserve"> &amp; Luis Sandoval</w:t>
      </w:r>
      <w:r>
        <w:rPr>
          <w:rFonts w:cstheme="minorHAnsi"/>
          <w:vertAlign w:val="superscript"/>
        </w:rPr>
        <w:t>1</w:t>
      </w:r>
      <w:r w:rsidRPr="00A86D31">
        <w:rPr>
          <w:rFonts w:cstheme="minorHAnsi"/>
        </w:rPr>
        <w:t xml:space="preserve"> </w:t>
      </w:r>
    </w:p>
    <w:p w14:paraId="4B18F466" w14:textId="77777777" w:rsidR="001D4C43" w:rsidRPr="00A86D31" w:rsidRDefault="001D4C43" w:rsidP="001D4C43">
      <w:pPr>
        <w:spacing w:line="480" w:lineRule="auto"/>
        <w:rPr>
          <w:rFonts w:cstheme="minorHAnsi"/>
        </w:rPr>
      </w:pPr>
    </w:p>
    <w:p w14:paraId="1764C5EC" w14:textId="4553247C" w:rsidR="001D4C43" w:rsidRPr="00A86D31" w:rsidRDefault="001D4C43" w:rsidP="001D4C43">
      <w:pPr>
        <w:spacing w:line="480" w:lineRule="auto"/>
        <w:rPr>
          <w:rFonts w:cstheme="minorHAnsi"/>
        </w:rPr>
      </w:pPr>
      <w:r w:rsidRPr="00A86D31">
        <w:rPr>
          <w:rFonts w:cstheme="minorHAnsi"/>
          <w:vertAlign w:val="superscript"/>
        </w:rPr>
        <w:t>1</w:t>
      </w:r>
      <w:r>
        <w:rPr>
          <w:rFonts w:cstheme="minorHAnsi"/>
        </w:rPr>
        <w:t xml:space="preserve">Universidad de Costa Rica, Escuela de Biología, Ciudad Universitaria, Rodrigo Facio, San Pedro de Montes de Oca, San </w:t>
      </w:r>
      <w:r w:rsidR="00BD53EC">
        <w:rPr>
          <w:rFonts w:cstheme="minorHAnsi"/>
        </w:rPr>
        <w:t>José</w:t>
      </w:r>
      <w:r>
        <w:rPr>
          <w:rFonts w:cstheme="minorHAnsi"/>
        </w:rPr>
        <w:t>, 11501-2060</w:t>
      </w:r>
    </w:p>
    <w:p w14:paraId="1009B28C" w14:textId="63CB60B1" w:rsidR="001D4C43" w:rsidRPr="00A86D31" w:rsidRDefault="001D4C43" w:rsidP="001D4C43">
      <w:pPr>
        <w:spacing w:line="480" w:lineRule="auto"/>
        <w:rPr>
          <w:rFonts w:cstheme="minorHAnsi"/>
        </w:rPr>
      </w:pPr>
      <w:r w:rsidRPr="00A86D31">
        <w:rPr>
          <w:rFonts w:cstheme="minorHAnsi"/>
          <w:vertAlign w:val="superscript"/>
        </w:rPr>
        <w:t>2</w:t>
      </w:r>
      <w:r>
        <w:rPr>
          <w:rFonts w:cstheme="minorHAnsi"/>
        </w:rPr>
        <w:t xml:space="preserve">Programa de Posgrado en Biología, Sistema de Estudios de Posgrado, </w:t>
      </w:r>
      <w:r w:rsidR="00E550E7">
        <w:rPr>
          <w:rFonts w:cstheme="minorHAnsi"/>
        </w:rPr>
        <w:t xml:space="preserve">Universidad de Costa Rica. </w:t>
      </w:r>
      <w:r>
        <w:rPr>
          <w:rFonts w:cstheme="minorHAnsi"/>
        </w:rPr>
        <w:t xml:space="preserve">Ciudad Universitaria, Rodrigo Facio, San Pedro de Montes de Oca, San </w:t>
      </w:r>
      <w:r w:rsidR="00BD53EC">
        <w:rPr>
          <w:rFonts w:cstheme="minorHAnsi"/>
        </w:rPr>
        <w:t>José</w:t>
      </w:r>
      <w:r>
        <w:rPr>
          <w:rFonts w:cstheme="minorHAnsi"/>
        </w:rPr>
        <w:t>, 11501-2060</w:t>
      </w:r>
    </w:p>
    <w:p w14:paraId="5F136718" w14:textId="77777777" w:rsidR="001D4C43" w:rsidRPr="00A86D31" w:rsidRDefault="001D4C43" w:rsidP="001D4C43">
      <w:pPr>
        <w:spacing w:line="480" w:lineRule="auto"/>
        <w:rPr>
          <w:rFonts w:cstheme="minorHAnsi"/>
        </w:rPr>
      </w:pPr>
    </w:p>
    <w:p w14:paraId="0666F371" w14:textId="77777777" w:rsidR="001D4C43" w:rsidRPr="00A86D31" w:rsidRDefault="001D4C43" w:rsidP="001D4C43">
      <w:pPr>
        <w:spacing w:line="480" w:lineRule="auto"/>
        <w:rPr>
          <w:rFonts w:cstheme="minorHAnsi"/>
        </w:rPr>
      </w:pPr>
      <w:r w:rsidRPr="00A86D31">
        <w:rPr>
          <w:rFonts w:cstheme="minorHAnsi"/>
        </w:rPr>
        <w:t xml:space="preserve">*Contact information: Luis Cueva, San Pedro, San José 11501-2060, +506 62784357, </w:t>
      </w:r>
      <w:hyperlink r:id="rId8" w:history="1">
        <w:r w:rsidRPr="00A86D31">
          <w:rPr>
            <w:rStyle w:val="Hyperlink"/>
            <w:rFonts w:cstheme="minorHAnsi"/>
          </w:rPr>
          <w:t>luisfer_cueva@hotmail.com</w:t>
        </w:r>
      </w:hyperlink>
      <w:r w:rsidRPr="00A86D31">
        <w:rPr>
          <w:rFonts w:cstheme="minorHAnsi"/>
        </w:rPr>
        <w:t xml:space="preserve"> </w:t>
      </w:r>
    </w:p>
    <w:p w14:paraId="3AB7FAE4" w14:textId="77777777" w:rsidR="001D4C43" w:rsidRDefault="001D4C43" w:rsidP="001D4C43">
      <w:pPr>
        <w:spacing w:line="480" w:lineRule="auto"/>
        <w:rPr>
          <w:rFonts w:cstheme="minorHAnsi"/>
          <w:lang w:val="en-US"/>
        </w:rPr>
      </w:pPr>
      <w:r>
        <w:rPr>
          <w:rFonts w:cstheme="minorHAnsi"/>
          <w:lang w:val="en-US"/>
        </w:rPr>
        <w:t>Abstract</w:t>
      </w:r>
    </w:p>
    <w:p w14:paraId="3F20D9AA" w14:textId="0C4951AD" w:rsidR="001D4C43" w:rsidRDefault="001D4C43" w:rsidP="001D4C43">
      <w:pPr>
        <w:spacing w:line="480" w:lineRule="auto"/>
        <w:rPr>
          <w:rStyle w:val="jlqj4b"/>
          <w:lang w:val="en"/>
        </w:rPr>
      </w:pPr>
      <w:bookmarkStart w:id="1" w:name="_Hlk152264291"/>
      <w:bookmarkStart w:id="2" w:name="_Hlk152264355"/>
      <w:r>
        <w:rPr>
          <w:rStyle w:val="jlqj4b"/>
          <w:lang w:val="en"/>
        </w:rPr>
        <w:t>U</w:t>
      </w:r>
      <w:r w:rsidRPr="0045423B">
        <w:rPr>
          <w:rStyle w:val="jlqj4b"/>
          <w:lang w:val="en"/>
        </w:rPr>
        <w:t xml:space="preserve">rbanization </w:t>
      </w:r>
      <w:r w:rsidR="0088717B">
        <w:rPr>
          <w:rStyle w:val="jlqj4b"/>
          <w:lang w:val="en"/>
        </w:rPr>
        <w:t>modifies</w:t>
      </w:r>
      <w:r w:rsidR="0088717B" w:rsidRPr="0045423B">
        <w:rPr>
          <w:rStyle w:val="jlqj4b"/>
          <w:lang w:val="en"/>
        </w:rPr>
        <w:t xml:space="preserve"> </w:t>
      </w:r>
      <w:r w:rsidRPr="0045423B">
        <w:rPr>
          <w:rStyle w:val="jlqj4b"/>
          <w:lang w:val="en"/>
        </w:rPr>
        <w:t>ecosystem</w:t>
      </w:r>
      <w:r>
        <w:rPr>
          <w:rStyle w:val="jlqj4b"/>
          <w:lang w:val="en"/>
        </w:rPr>
        <w:t>s</w:t>
      </w:r>
      <w:r w:rsidR="0088717B">
        <w:rPr>
          <w:rStyle w:val="jlqj4b"/>
          <w:lang w:val="en"/>
        </w:rPr>
        <w:t xml:space="preserve"> by</w:t>
      </w:r>
      <w:r w:rsidR="0088717B" w:rsidRPr="0045423B">
        <w:rPr>
          <w:rStyle w:val="jlqj4b"/>
          <w:lang w:val="en"/>
        </w:rPr>
        <w:t xml:space="preserve"> </w:t>
      </w:r>
      <w:r>
        <w:rPr>
          <w:rStyle w:val="jlqj4b"/>
          <w:lang w:val="en"/>
        </w:rPr>
        <w:t xml:space="preserve">fragmenting natural </w:t>
      </w:r>
      <w:r w:rsidRPr="0045423B">
        <w:rPr>
          <w:rStyle w:val="jlqj4b"/>
          <w:lang w:val="en"/>
        </w:rPr>
        <w:t xml:space="preserve">habitats </w:t>
      </w:r>
      <w:r w:rsidR="00077DB3">
        <w:rPr>
          <w:rStyle w:val="jlqj4b"/>
          <w:lang w:val="en"/>
        </w:rPr>
        <w:t xml:space="preserve">and </w:t>
      </w:r>
      <w:r>
        <w:rPr>
          <w:rStyle w:val="jlqj4b"/>
          <w:lang w:val="en"/>
        </w:rPr>
        <w:t xml:space="preserve">increasing </w:t>
      </w:r>
      <w:r w:rsidRPr="0045423B">
        <w:rPr>
          <w:rStyle w:val="jlqj4b"/>
          <w:lang w:val="en"/>
        </w:rPr>
        <w:t xml:space="preserve">isolation </w:t>
      </w:r>
      <w:r>
        <w:rPr>
          <w:rStyle w:val="jlqj4b"/>
          <w:lang w:val="en"/>
        </w:rPr>
        <w:t>between populations</w:t>
      </w:r>
      <w:r w:rsidRPr="0045423B">
        <w:rPr>
          <w:rStyle w:val="jlqj4b"/>
          <w:lang w:val="en"/>
        </w:rPr>
        <w:t>.</w:t>
      </w:r>
      <w:r>
        <w:rPr>
          <w:rStyle w:val="jlqj4b"/>
          <w:lang w:val="en"/>
        </w:rPr>
        <w:t xml:space="preserve"> </w:t>
      </w:r>
      <w:r w:rsidRPr="0045423B">
        <w:rPr>
          <w:rStyle w:val="jlqj4b"/>
          <w:lang w:val="en"/>
        </w:rPr>
        <w:t xml:space="preserve">Therefore, </w:t>
      </w:r>
      <w:r>
        <w:rPr>
          <w:rStyle w:val="jlqj4b"/>
          <w:lang w:val="en"/>
        </w:rPr>
        <w:t xml:space="preserve">a reduction in </w:t>
      </w:r>
      <w:r w:rsidRPr="0045423B">
        <w:rPr>
          <w:rStyle w:val="jlqj4b"/>
          <w:lang w:val="en"/>
        </w:rPr>
        <w:t xml:space="preserve">gene flow </w:t>
      </w:r>
      <w:r>
        <w:rPr>
          <w:rStyle w:val="jlqj4b"/>
          <w:lang w:val="en"/>
        </w:rPr>
        <w:t>among</w:t>
      </w:r>
      <w:r w:rsidRPr="0045423B">
        <w:rPr>
          <w:rStyle w:val="jlqj4b"/>
          <w:lang w:val="en"/>
        </w:rPr>
        <w:t xml:space="preserve"> </w:t>
      </w:r>
      <w:r>
        <w:rPr>
          <w:rStyle w:val="jlqj4b"/>
          <w:lang w:val="en"/>
        </w:rPr>
        <w:t>isolated populations</w:t>
      </w:r>
      <w:r w:rsidRPr="0045423B">
        <w:rPr>
          <w:rStyle w:val="jlqj4b"/>
          <w:lang w:val="en"/>
        </w:rPr>
        <w:t xml:space="preserve"> </w:t>
      </w:r>
      <w:r>
        <w:rPr>
          <w:rStyle w:val="jlqj4b"/>
          <w:lang w:val="en"/>
        </w:rPr>
        <w:t xml:space="preserve">is expected with greater distance and time since fragmentation. </w:t>
      </w:r>
      <w:r w:rsidRPr="003527D1">
        <w:rPr>
          <w:rStyle w:val="jlqj4b"/>
          <w:lang w:val="en"/>
        </w:rPr>
        <w:t xml:space="preserve">Changes in the structure, density, or community composition </w:t>
      </w:r>
      <w:r w:rsidR="0088717B">
        <w:rPr>
          <w:rStyle w:val="jlqj4b"/>
          <w:lang w:val="en"/>
        </w:rPr>
        <w:t>of</w:t>
      </w:r>
      <w:r w:rsidR="0088717B" w:rsidRPr="003527D1">
        <w:rPr>
          <w:rStyle w:val="jlqj4b"/>
          <w:lang w:val="en"/>
        </w:rPr>
        <w:t xml:space="preserve"> </w:t>
      </w:r>
      <w:r w:rsidRPr="003527D1">
        <w:rPr>
          <w:rStyle w:val="jlqj4b"/>
          <w:lang w:val="en"/>
        </w:rPr>
        <w:t xml:space="preserve">the remaining habitats </w:t>
      </w:r>
      <w:r>
        <w:rPr>
          <w:rStyle w:val="jlqj4b"/>
          <w:lang w:val="en"/>
        </w:rPr>
        <w:t>often</w:t>
      </w:r>
      <w:r w:rsidRPr="003527D1">
        <w:rPr>
          <w:rStyle w:val="jlqj4b"/>
          <w:lang w:val="en"/>
        </w:rPr>
        <w:t xml:space="preserve"> result in </w:t>
      </w:r>
      <w:r>
        <w:rPr>
          <w:rStyle w:val="jlqj4b"/>
          <w:lang w:val="en"/>
        </w:rPr>
        <w:t xml:space="preserve">species` </w:t>
      </w:r>
      <w:r w:rsidR="00F35596">
        <w:rPr>
          <w:rStyle w:val="jlqj4b"/>
          <w:lang w:val="en"/>
        </w:rPr>
        <w:t>differences</w:t>
      </w:r>
      <w:r w:rsidR="00F35596" w:rsidRPr="003527D1">
        <w:rPr>
          <w:rStyle w:val="jlqj4b"/>
          <w:lang w:val="en"/>
        </w:rPr>
        <w:t xml:space="preserve"> </w:t>
      </w:r>
      <w:r>
        <w:rPr>
          <w:rStyle w:val="jlqj4b"/>
          <w:lang w:val="en"/>
        </w:rPr>
        <w:t xml:space="preserve">of </w:t>
      </w:r>
      <w:r w:rsidR="00456186">
        <w:rPr>
          <w:rStyle w:val="jlqj4b"/>
          <w:lang w:val="en"/>
        </w:rPr>
        <w:t>acoustic</w:t>
      </w:r>
      <w:r w:rsidRPr="003527D1">
        <w:rPr>
          <w:rStyle w:val="jlqj4b"/>
          <w:lang w:val="en"/>
        </w:rPr>
        <w:t xml:space="preserve"> and morphological traits. </w:t>
      </w:r>
      <w:r>
        <w:rPr>
          <w:rStyle w:val="jlqj4b"/>
          <w:lang w:val="en"/>
        </w:rPr>
        <w:t>However, the relationship between genetic</w:t>
      </w:r>
      <w:r w:rsidR="00456186">
        <w:rPr>
          <w:rStyle w:val="jlqj4b"/>
          <w:lang w:val="en"/>
        </w:rPr>
        <w:t>s</w:t>
      </w:r>
      <w:r>
        <w:rPr>
          <w:rStyle w:val="jlqj4b"/>
          <w:lang w:val="en"/>
        </w:rPr>
        <w:t>, vocalizations</w:t>
      </w:r>
      <w:r w:rsidR="00456186">
        <w:rPr>
          <w:rStyle w:val="jlqj4b"/>
          <w:lang w:val="en"/>
        </w:rPr>
        <w:t>,</w:t>
      </w:r>
      <w:r>
        <w:rPr>
          <w:rStyle w:val="jlqj4b"/>
          <w:lang w:val="en"/>
        </w:rPr>
        <w:t xml:space="preserve"> and morphological divergence in urban areas over time remains poorly understood. We analyzed ten years of genetic, acoustic, and morphological data from isolated populations of the white-eared ground-sparrow. We </w:t>
      </w:r>
      <w:r w:rsidR="00FB7E31">
        <w:rPr>
          <w:rStyle w:val="jlqj4b"/>
          <w:lang w:val="en"/>
        </w:rPr>
        <w:t>recorded and measured five acoustic traits, six morphological traits</w:t>
      </w:r>
      <w:r w:rsidR="00A53B39">
        <w:rPr>
          <w:rStyle w:val="jlqj4b"/>
          <w:lang w:val="en"/>
        </w:rPr>
        <w:t xml:space="preserve">, and used </w:t>
      </w:r>
      <w:r>
        <w:rPr>
          <w:rStyle w:val="jlqj4b"/>
          <w:lang w:val="en"/>
        </w:rPr>
        <w:t>seven microsatellites (SSRs)</w:t>
      </w:r>
      <w:r w:rsidR="00FB7E31">
        <w:rPr>
          <w:rStyle w:val="jlqj4b"/>
          <w:lang w:val="en"/>
        </w:rPr>
        <w:t xml:space="preserve"> to compare the effect of urban expansion on </w:t>
      </w:r>
      <w:r w:rsidR="00A53B39">
        <w:rPr>
          <w:rStyle w:val="jlqj4b"/>
          <w:lang w:val="en"/>
        </w:rPr>
        <w:t xml:space="preserve">the acoustics, morphology, and </w:t>
      </w:r>
      <w:r w:rsidR="00FB7E31">
        <w:rPr>
          <w:rStyle w:val="jlqj4b"/>
          <w:lang w:val="en"/>
        </w:rPr>
        <w:t xml:space="preserve">gene flow </w:t>
      </w:r>
      <w:r w:rsidR="0088717B">
        <w:rPr>
          <w:rStyle w:val="jlqj4b"/>
          <w:lang w:val="en"/>
        </w:rPr>
        <w:t xml:space="preserve">patterns </w:t>
      </w:r>
      <w:r w:rsidR="00FB7E31">
        <w:rPr>
          <w:rStyle w:val="jlqj4b"/>
          <w:lang w:val="en"/>
        </w:rPr>
        <w:t xml:space="preserve">across populations </w:t>
      </w:r>
      <w:r w:rsidR="00FB7E31">
        <w:rPr>
          <w:rStyle w:val="jlqj4b"/>
          <w:lang w:val="en"/>
        </w:rPr>
        <w:lastRenderedPageBreak/>
        <w:t xml:space="preserve">over a </w:t>
      </w:r>
      <w:r w:rsidR="00473168">
        <w:rPr>
          <w:rStyle w:val="jlqj4b"/>
          <w:lang w:val="en"/>
        </w:rPr>
        <w:t>10-year</w:t>
      </w:r>
      <w:r w:rsidR="0088717B">
        <w:rPr>
          <w:rStyle w:val="jlqj4b"/>
          <w:lang w:val="en"/>
        </w:rPr>
        <w:t xml:space="preserve"> </w:t>
      </w:r>
      <w:r w:rsidR="00FB7E31">
        <w:rPr>
          <w:rStyle w:val="jlqj4b"/>
          <w:lang w:val="en"/>
        </w:rPr>
        <w:t xml:space="preserve">period. </w:t>
      </w:r>
      <w:bookmarkStart w:id="3" w:name="_Hlk169617042"/>
      <w:r w:rsidRPr="00E76B58">
        <w:rPr>
          <w:rStyle w:val="jlqj4b"/>
          <w:lang w:val="en"/>
        </w:rPr>
        <w:t xml:space="preserve">We found </w:t>
      </w:r>
      <w:r>
        <w:rPr>
          <w:rStyle w:val="jlqj4b"/>
          <w:lang w:val="en"/>
        </w:rPr>
        <w:t xml:space="preserve">an </w:t>
      </w:r>
      <w:r w:rsidRPr="00E76B58">
        <w:rPr>
          <w:rStyle w:val="jlqj4b"/>
          <w:lang w:val="en"/>
        </w:rPr>
        <w:t>increas</w:t>
      </w:r>
      <w:r w:rsidRPr="005838C6">
        <w:rPr>
          <w:rStyle w:val="jlqj4b"/>
          <w:lang w:val="en"/>
        </w:rPr>
        <w:t xml:space="preserve">e in inbreeding, </w:t>
      </w:r>
      <w:r>
        <w:rPr>
          <w:rStyle w:val="jlqj4b"/>
          <w:lang w:val="en"/>
        </w:rPr>
        <w:t xml:space="preserve">song duration, number of elements, </w:t>
      </w:r>
      <w:r w:rsidRPr="005838C6">
        <w:rPr>
          <w:rStyle w:val="jlqj4b"/>
          <w:lang w:val="en"/>
        </w:rPr>
        <w:t>an</w:t>
      </w:r>
      <w:r>
        <w:rPr>
          <w:rStyle w:val="jlqj4b"/>
          <w:lang w:val="en"/>
        </w:rPr>
        <w:t xml:space="preserve">d frequency of maximum amplitude, but a </w:t>
      </w:r>
      <w:r w:rsidR="0088717B">
        <w:rPr>
          <w:rStyle w:val="jlqj4b"/>
          <w:lang w:val="en"/>
        </w:rPr>
        <w:t xml:space="preserve">decrease </w:t>
      </w:r>
      <w:r>
        <w:rPr>
          <w:rStyle w:val="jlqj4b"/>
          <w:lang w:val="en"/>
        </w:rPr>
        <w:t>in female body size</w:t>
      </w:r>
      <w:r w:rsidRPr="008E37DC">
        <w:rPr>
          <w:rStyle w:val="jlqj4b"/>
          <w:lang w:val="en"/>
        </w:rPr>
        <w:t xml:space="preserve"> </w:t>
      </w:r>
      <w:r>
        <w:rPr>
          <w:rStyle w:val="jlqj4b"/>
          <w:lang w:val="en"/>
        </w:rPr>
        <w:t>and changes in male beak</w:t>
      </w:r>
      <w:r w:rsidR="00A53B39">
        <w:rPr>
          <w:rStyle w:val="jlqj4b"/>
          <w:lang w:val="en"/>
        </w:rPr>
        <w:t>,</w:t>
      </w:r>
      <w:r w:rsidR="009E17D6">
        <w:rPr>
          <w:rStyle w:val="jlqj4b"/>
          <w:lang w:val="en"/>
        </w:rPr>
        <w:t xml:space="preserve"> decreasing size in one population and increasing in another</w:t>
      </w:r>
      <w:r>
        <w:rPr>
          <w:rStyle w:val="jlqj4b"/>
          <w:lang w:val="en"/>
        </w:rPr>
        <w:t xml:space="preserve">. </w:t>
      </w:r>
      <w:r w:rsidR="00AA2581">
        <w:rPr>
          <w:rStyle w:val="jlqj4b"/>
          <w:lang w:val="en"/>
        </w:rPr>
        <w:t xml:space="preserve">In general, </w:t>
      </w:r>
      <w:r w:rsidR="009E17D6">
        <w:rPr>
          <w:rStyle w:val="jlqj4b"/>
          <w:lang w:val="en"/>
        </w:rPr>
        <w:t xml:space="preserve">we found changes in all characteristics studied </w:t>
      </w:r>
      <w:r w:rsidR="00AA2581">
        <w:rPr>
          <w:rStyle w:val="jlqj4b"/>
          <w:lang w:val="en"/>
        </w:rPr>
        <w:t xml:space="preserve">but </w:t>
      </w:r>
      <w:r>
        <w:rPr>
          <w:rStyle w:val="jlqj4b"/>
          <w:lang w:val="en"/>
        </w:rPr>
        <w:t>only</w:t>
      </w:r>
      <w:r w:rsidRPr="00205AAA">
        <w:rPr>
          <w:rStyle w:val="jlqj4b"/>
          <w:lang w:val="en"/>
        </w:rPr>
        <w:t xml:space="preserve"> </w:t>
      </w:r>
      <w:r w:rsidR="00AA2581">
        <w:rPr>
          <w:rStyle w:val="jlqj4b"/>
          <w:lang w:val="en"/>
        </w:rPr>
        <w:t>found</w:t>
      </w:r>
      <w:r w:rsidR="00AA2581" w:rsidRPr="00205AAA">
        <w:rPr>
          <w:rStyle w:val="jlqj4b"/>
          <w:lang w:val="en"/>
        </w:rPr>
        <w:t xml:space="preserve"> </w:t>
      </w:r>
      <w:r w:rsidRPr="00205AAA">
        <w:rPr>
          <w:rStyle w:val="jlqj4b"/>
          <w:lang w:val="en"/>
        </w:rPr>
        <w:t xml:space="preserve">a </w:t>
      </w:r>
      <w:r>
        <w:rPr>
          <w:rStyle w:val="jlqj4b"/>
          <w:lang w:val="en"/>
        </w:rPr>
        <w:t xml:space="preserve">significant </w:t>
      </w:r>
      <w:r w:rsidRPr="00205AAA">
        <w:rPr>
          <w:rStyle w:val="jlqj4b"/>
          <w:lang w:val="en"/>
        </w:rPr>
        <w:t>correlation between genetic diversity and the acoustic characteristics of song</w:t>
      </w:r>
      <w:r w:rsidR="009E17D6">
        <w:rPr>
          <w:rStyle w:val="jlqj4b"/>
          <w:lang w:val="en"/>
        </w:rPr>
        <w:t>s</w:t>
      </w:r>
      <w:r w:rsidRPr="00205AAA">
        <w:rPr>
          <w:rStyle w:val="jlqj4b"/>
          <w:lang w:val="en"/>
        </w:rPr>
        <w:t>.</w:t>
      </w:r>
      <w:r w:rsidR="009E17D6">
        <w:rPr>
          <w:rStyle w:val="jlqj4b"/>
          <w:lang w:val="en"/>
        </w:rPr>
        <w:t xml:space="preserve"> Our results corroborate that urbanization acts as an important barrier for </w:t>
      </w:r>
      <w:r w:rsidR="00F57C98">
        <w:rPr>
          <w:rStyle w:val="jlqj4b"/>
          <w:lang w:val="en"/>
        </w:rPr>
        <w:t>w</w:t>
      </w:r>
      <w:r w:rsidR="009E17D6">
        <w:rPr>
          <w:rStyle w:val="jlqj4b"/>
          <w:lang w:val="en"/>
        </w:rPr>
        <w:t>hite-eared ground-sparrow</w:t>
      </w:r>
      <w:r w:rsidR="009276F9">
        <w:rPr>
          <w:rStyle w:val="jlqj4b"/>
          <w:lang w:val="en"/>
        </w:rPr>
        <w:t xml:space="preserve"> which leads to </w:t>
      </w:r>
      <w:r w:rsidR="00F35596">
        <w:rPr>
          <w:rStyle w:val="jlqj4b"/>
          <w:lang w:val="en"/>
        </w:rPr>
        <w:t xml:space="preserve">significant </w:t>
      </w:r>
      <w:r w:rsidR="009276F9">
        <w:rPr>
          <w:rStyle w:val="jlqj4b"/>
          <w:lang w:val="en"/>
        </w:rPr>
        <w:t>divergence in genetic and behavioral traits</w:t>
      </w:r>
      <w:r w:rsidR="009E17D6">
        <w:rPr>
          <w:rStyle w:val="jlqj4b"/>
          <w:lang w:val="en"/>
        </w:rPr>
        <w:t xml:space="preserve">. </w:t>
      </w:r>
      <w:r>
        <w:rPr>
          <w:rStyle w:val="jlqj4b"/>
          <w:lang w:val="en"/>
        </w:rPr>
        <w:t xml:space="preserve">  </w:t>
      </w:r>
      <w:bookmarkEnd w:id="1"/>
      <w:r>
        <w:rPr>
          <w:rStyle w:val="jlqj4b"/>
          <w:lang w:val="en"/>
        </w:rPr>
        <w:t xml:space="preserve">    </w:t>
      </w:r>
      <w:bookmarkEnd w:id="3"/>
    </w:p>
    <w:p w14:paraId="6A4B2A9E" w14:textId="0C8FA026" w:rsidR="001D4C43" w:rsidRPr="00112D5F" w:rsidRDefault="001D4C43" w:rsidP="001D4C43">
      <w:pPr>
        <w:spacing w:line="480" w:lineRule="auto"/>
        <w:rPr>
          <w:rFonts w:cstheme="minorHAnsi"/>
          <w:lang w:val="en-US"/>
        </w:rPr>
      </w:pPr>
      <w:r>
        <w:rPr>
          <w:rStyle w:val="jlqj4b"/>
          <w:lang w:val="en"/>
        </w:rPr>
        <w:t xml:space="preserve">Keywords: </w:t>
      </w:r>
      <w:proofErr w:type="spellStart"/>
      <w:r w:rsidRPr="00EE5C47">
        <w:rPr>
          <w:rStyle w:val="jlqj4b"/>
          <w:i/>
          <w:iCs/>
          <w:lang w:val="en"/>
        </w:rPr>
        <w:t>Melozone</w:t>
      </w:r>
      <w:proofErr w:type="spellEnd"/>
      <w:r w:rsidRPr="00EE5C47">
        <w:rPr>
          <w:rStyle w:val="jlqj4b"/>
          <w:i/>
          <w:iCs/>
          <w:lang w:val="en"/>
        </w:rPr>
        <w:t xml:space="preserve"> </w:t>
      </w:r>
      <w:proofErr w:type="spellStart"/>
      <w:r w:rsidRPr="00EE5C47">
        <w:rPr>
          <w:rStyle w:val="jlqj4b"/>
          <w:i/>
          <w:iCs/>
          <w:lang w:val="en"/>
        </w:rPr>
        <w:t>leucotis</w:t>
      </w:r>
      <w:proofErr w:type="spellEnd"/>
      <w:r>
        <w:rPr>
          <w:rStyle w:val="jlqj4b"/>
          <w:i/>
          <w:iCs/>
          <w:lang w:val="en"/>
        </w:rPr>
        <w:t xml:space="preserve">, </w:t>
      </w:r>
      <w:r>
        <w:rPr>
          <w:rStyle w:val="jlqj4b"/>
          <w:lang w:val="en"/>
        </w:rPr>
        <w:t xml:space="preserve">Costa Rica, genetic structure, </w:t>
      </w:r>
      <w:proofErr w:type="spellStart"/>
      <w:r>
        <w:rPr>
          <w:rStyle w:val="jlqj4b"/>
          <w:lang w:val="en"/>
        </w:rPr>
        <w:t>Bioacoustic</w:t>
      </w:r>
      <w:proofErr w:type="spellEnd"/>
      <w:r w:rsidR="00473168">
        <w:rPr>
          <w:rStyle w:val="jlqj4b"/>
          <w:lang w:val="en"/>
        </w:rPr>
        <w:t>, SSR</w:t>
      </w:r>
    </w:p>
    <w:bookmarkEnd w:id="2"/>
    <w:p w14:paraId="3695E2DC" w14:textId="77777777" w:rsidR="001D4C43" w:rsidRPr="001D4C43" w:rsidRDefault="001D4C43" w:rsidP="001D4C43">
      <w:pPr>
        <w:rPr>
          <w:rFonts w:ascii="Times New Roman" w:hAnsi="Times New Roman" w:cs="Times New Roman"/>
          <w:sz w:val="24"/>
          <w:szCs w:val="24"/>
          <w:lang w:val="en-US"/>
        </w:rPr>
      </w:pPr>
    </w:p>
    <w:p w14:paraId="663F2D94" w14:textId="77777777" w:rsidR="001D4C43" w:rsidRPr="001D4C43" w:rsidRDefault="001D4C43">
      <w:pPr>
        <w:rPr>
          <w:rFonts w:cstheme="minorHAnsi"/>
          <w:lang w:val="en-US"/>
        </w:rPr>
      </w:pPr>
      <w:r w:rsidRPr="001D4C43">
        <w:rPr>
          <w:rFonts w:cstheme="minorHAnsi"/>
          <w:lang w:val="en-US"/>
        </w:rPr>
        <w:br w:type="page"/>
      </w:r>
    </w:p>
    <w:bookmarkEnd w:id="0"/>
    <w:p w14:paraId="51EF31AF" w14:textId="5FD0A388" w:rsidR="00026D2C" w:rsidRPr="001830F3" w:rsidRDefault="001A4B5C" w:rsidP="00362F06">
      <w:pPr>
        <w:spacing w:line="480" w:lineRule="auto"/>
        <w:rPr>
          <w:rFonts w:cstheme="minorHAnsi"/>
          <w:lang w:val="en-US"/>
        </w:rPr>
      </w:pPr>
      <w:r w:rsidRPr="001830F3">
        <w:rPr>
          <w:rFonts w:cstheme="minorHAnsi"/>
          <w:lang w:val="en-US"/>
        </w:rPr>
        <w:lastRenderedPageBreak/>
        <w:t xml:space="preserve">Introduction </w:t>
      </w:r>
    </w:p>
    <w:p w14:paraId="6051FA69" w14:textId="72FEC3EF" w:rsidR="00A52B10" w:rsidRPr="009D70F1" w:rsidRDefault="00746B93" w:rsidP="002A15DD">
      <w:pPr>
        <w:spacing w:line="480" w:lineRule="auto"/>
        <w:ind w:firstLine="709"/>
        <w:rPr>
          <w:rFonts w:cstheme="minorHAnsi"/>
          <w:lang w:val="en-US"/>
        </w:rPr>
      </w:pPr>
      <w:r>
        <w:rPr>
          <w:rFonts w:cstheme="minorHAnsi"/>
          <w:lang w:val="en-US"/>
        </w:rPr>
        <w:t>U</w:t>
      </w:r>
      <w:r w:rsidR="001150F5" w:rsidRPr="001830F3">
        <w:rPr>
          <w:rFonts w:cstheme="minorHAnsi"/>
          <w:lang w:val="en-US"/>
        </w:rPr>
        <w:t xml:space="preserve">rban </w:t>
      </w:r>
      <w:r w:rsidR="00326508" w:rsidRPr="001830F3">
        <w:rPr>
          <w:rFonts w:cstheme="minorHAnsi"/>
          <w:lang w:val="en-US"/>
        </w:rPr>
        <w:t xml:space="preserve">development </w:t>
      </w:r>
      <w:r w:rsidR="00F87102">
        <w:rPr>
          <w:rFonts w:cstheme="minorHAnsi"/>
          <w:lang w:val="en-US"/>
        </w:rPr>
        <w:t xml:space="preserve">results in </w:t>
      </w:r>
      <w:r>
        <w:rPr>
          <w:rFonts w:cstheme="minorHAnsi"/>
          <w:lang w:val="en-US"/>
        </w:rPr>
        <w:t xml:space="preserve">rapid </w:t>
      </w:r>
      <w:r w:rsidR="001150F5" w:rsidRPr="001830F3">
        <w:rPr>
          <w:rFonts w:cstheme="minorHAnsi"/>
          <w:lang w:val="en-US"/>
        </w:rPr>
        <w:t>environmental change</w:t>
      </w:r>
      <w:r w:rsidR="00807485" w:rsidRPr="001830F3">
        <w:rPr>
          <w:rFonts w:cstheme="minorHAnsi"/>
          <w:lang w:val="en-US"/>
        </w:rPr>
        <w:t>s</w:t>
      </w:r>
      <w:r w:rsidR="00CC1B62" w:rsidRPr="001830F3">
        <w:rPr>
          <w:rFonts w:cstheme="minorHAnsi"/>
          <w:lang w:val="en-US"/>
        </w:rPr>
        <w:t xml:space="preserve"> </w:t>
      </w:r>
      <w:r w:rsidR="00D22709" w:rsidRPr="001830F3">
        <w:rPr>
          <w:rFonts w:cstheme="minorHAnsi"/>
          <w:lang w:val="en-US"/>
        </w:rPr>
        <w:fldChar w:fldCharType="begin" w:fldLock="1"/>
      </w:r>
      <w:r w:rsidR="00950E3D" w:rsidRPr="001830F3">
        <w:rPr>
          <w:rFonts w:cstheme="minorHAnsi"/>
          <w:lang w:val="en-US"/>
        </w:rPr>
        <w:instrText>ADDIN CSL_CITATION {"citationItems":[{"id":"ITEM-1","itemData":{"DOI":"10.1126/science.aam8327","ISSN":"10959203","PMID":"29097520","abstract":"Our planet is an increasingly urbanized landscape, with over half of the human population residing in cities. Despite advances in urban ecology, we do not adequately understand how urbanization affects the evolution of organisms, nor how this evolution may affect ecosystems and human health. Here, we review evidence for the effects of urbanization on the evolution of microbes, plants, and animals that inhabit cities. Urbanization affects adaptive and nonadaptive evolutionary processes that shape the genetic diversity within and between populations. Rapid adaptation has facilitated the success of some native species in urban areas, but it has also allowed human pests and disease to spread more rapidly. The nascent field of urban evolution brings together efforts to understand evolution in response to environmental change while developing new hypotheses concerning adaptation to urban infrastructure and human socioeconomic activity. The next generation of research on urban evolution will provide critical insight into the importance of evolution for sustainable interactions between humans and our city environments.","author":[{"dropping-particle":"","family":"Johnson","given":"Marc T.J.","non-dropping-particle":"","parse-names":false,"suffix":""},{"dropping-particle":"","family":"Munshi-South","given":"Jason","non-dropping-particle":"","parse-names":false,"suffix":""}],"container-title":"Science","id":"ITEM-1","issue":"6363","issued":{"date-parts":[["2017"]]},"title":"Evolution of life in urban environments","type":"article-journal","volume":"358"},"uris":["http://www.mendeley.com/documents/?uuid=23efc65b-4cac-46f4-b450-6cf7baf8f99a"]},{"id":"ITEM-2","itemData":{"DOI":"DOI: 10.1126 / science.1150195","author":[{"dropping-particle":"","family":"Grimm","given":"Nancy","non-dropping-particle":"","parse-names":false,"suffix":""},{"dropping-particle":"","family":"Faeth","given":"Stanley","non-dropping-particle":"","parse-names":false,"suffix":""},{"dropping-particle":"","family":"Golubiewsky","given":"Nancy","non-dropping-particle":"","parse-names":false,"suffix":""},{"dropping-particle":"","family":"Redman","given":"Charles","non-dropping-particle":"","parse-names":false,"suffix":""},{"dropping-particle":"","family":"Wu","given":"Jianguo","non-dropping-particle":"","parse-names":false,"suffix":""},{"dropping-particle":"","family":"Bai","given":"Xuemuei","non-dropping-particle":"","parse-names":false,"suffix":""},{"dropping-particle":"","family":"Briggs","given":"John","non-dropping-particle":"","parse-names":false,"suffix":""}],"container-title":"Science","id":"ITEM-2","issue":"5864","issued":{"date-parts":[["2008"]]},"page":"756-760","title":"Global change and the Ecology of cities","type":"article-journal","volume":"319"},"uris":["http://www.mendeley.com/documents/?uuid=91c752dd-4eb0-4338-b845-72195c2182c1"]}],"mendeley":{"formattedCitation":"(Grimm et al., 2008; Johnson &amp; Munshi-South, 2017)","plainTextFormattedCitation":"(Grimm et al., 2008; Johnson &amp; Munshi-South, 2017)","previouslyFormattedCitation":"(Grimm et al., 2008; Johnson &amp; Munshi-South, 2017)"},"properties":{"noteIndex":0},"schema":"https://github.com/citation-style-language/schema/raw/master/csl-citation.json"}</w:instrText>
      </w:r>
      <w:r w:rsidR="00D22709" w:rsidRPr="001830F3">
        <w:rPr>
          <w:rFonts w:cstheme="minorHAnsi"/>
          <w:lang w:val="en-US"/>
        </w:rPr>
        <w:fldChar w:fldCharType="separate"/>
      </w:r>
      <w:r w:rsidR="004A2C86" w:rsidRPr="001830F3">
        <w:rPr>
          <w:rFonts w:cstheme="minorHAnsi"/>
          <w:noProof/>
          <w:lang w:val="en-US"/>
        </w:rPr>
        <w:t>(Grimm et al., 2008; Johnson &amp; Munshi-South, 2017)</w:t>
      </w:r>
      <w:r w:rsidR="00D22709" w:rsidRPr="001830F3">
        <w:rPr>
          <w:rFonts w:cstheme="minorHAnsi"/>
          <w:lang w:val="en-US"/>
        </w:rPr>
        <w:fldChar w:fldCharType="end"/>
      </w:r>
      <w:r>
        <w:rPr>
          <w:rFonts w:cstheme="minorHAnsi"/>
          <w:lang w:val="en-US"/>
        </w:rPr>
        <w:t xml:space="preserve"> </w:t>
      </w:r>
      <w:r w:rsidR="00335338">
        <w:rPr>
          <w:rFonts w:cstheme="minorHAnsi"/>
          <w:lang w:val="en-US"/>
        </w:rPr>
        <w:t>that</w:t>
      </w:r>
      <w:r w:rsidR="00335338" w:rsidRPr="001830F3">
        <w:rPr>
          <w:rFonts w:cstheme="minorHAnsi"/>
          <w:lang w:val="en-US"/>
        </w:rPr>
        <w:t xml:space="preserve"> </w:t>
      </w:r>
      <w:r w:rsidR="001150F5" w:rsidRPr="001830F3">
        <w:rPr>
          <w:rFonts w:cstheme="minorHAnsi"/>
          <w:lang w:val="en-US"/>
        </w:rPr>
        <w:t>transform natural habitats in</w:t>
      </w:r>
      <w:r w:rsidR="00E93905">
        <w:rPr>
          <w:rFonts w:cstheme="minorHAnsi"/>
          <w:lang w:val="en-US"/>
        </w:rPr>
        <w:t>to</w:t>
      </w:r>
      <w:r w:rsidR="001150F5" w:rsidRPr="001830F3">
        <w:rPr>
          <w:rFonts w:cstheme="minorHAnsi"/>
          <w:lang w:val="en-US"/>
        </w:rPr>
        <w:t xml:space="preserve"> </w:t>
      </w:r>
      <w:r w:rsidR="00CC1B62" w:rsidRPr="001830F3">
        <w:rPr>
          <w:rFonts w:cstheme="minorHAnsi"/>
          <w:lang w:val="en-US"/>
        </w:rPr>
        <w:t xml:space="preserve">small patches of vegetation surrounded by </w:t>
      </w:r>
      <w:r>
        <w:rPr>
          <w:rFonts w:cstheme="minorHAnsi"/>
          <w:lang w:val="en-US"/>
        </w:rPr>
        <w:t xml:space="preserve">a matrix </w:t>
      </w:r>
      <w:r w:rsidR="00873FB6">
        <w:rPr>
          <w:rFonts w:cstheme="minorHAnsi"/>
          <w:lang w:val="en-US"/>
        </w:rPr>
        <w:t>of man</w:t>
      </w:r>
      <w:r w:rsidR="00335338">
        <w:rPr>
          <w:rFonts w:cstheme="minorHAnsi"/>
          <w:lang w:val="en-US"/>
        </w:rPr>
        <w:t>-made</w:t>
      </w:r>
      <w:r w:rsidR="00873FB6">
        <w:rPr>
          <w:rFonts w:cstheme="minorHAnsi"/>
          <w:lang w:val="en-US"/>
        </w:rPr>
        <w:t xml:space="preserve"> constructions such as </w:t>
      </w:r>
      <w:r w:rsidR="00CC1B62" w:rsidRPr="001830F3">
        <w:rPr>
          <w:rFonts w:cstheme="minorHAnsi"/>
          <w:lang w:val="en-US"/>
        </w:rPr>
        <w:t>buildings</w:t>
      </w:r>
      <w:r w:rsidR="00873FB6">
        <w:rPr>
          <w:rFonts w:cstheme="minorHAnsi"/>
          <w:lang w:val="en-US"/>
        </w:rPr>
        <w:t xml:space="preserve"> and</w:t>
      </w:r>
      <w:r w:rsidR="00873FB6" w:rsidRPr="001830F3">
        <w:rPr>
          <w:rFonts w:cstheme="minorHAnsi"/>
          <w:lang w:val="en-US"/>
        </w:rPr>
        <w:t xml:space="preserve"> </w:t>
      </w:r>
      <w:r w:rsidR="006979FA" w:rsidRPr="001830F3">
        <w:rPr>
          <w:rFonts w:cstheme="minorHAnsi"/>
          <w:lang w:val="en-US"/>
        </w:rPr>
        <w:t>road</w:t>
      </w:r>
      <w:r>
        <w:rPr>
          <w:rFonts w:cstheme="minorHAnsi"/>
          <w:lang w:val="en-US"/>
        </w:rPr>
        <w:t>s</w:t>
      </w:r>
      <w:r w:rsidR="00096AE8">
        <w:rPr>
          <w:rFonts w:cstheme="minorHAnsi"/>
          <w:lang w:val="en-US"/>
        </w:rPr>
        <w:t xml:space="preserve">. These fragments with depauperate resources </w:t>
      </w:r>
      <w:r w:rsidR="00951F3B">
        <w:rPr>
          <w:rFonts w:cstheme="minorHAnsi"/>
          <w:lang w:val="en-US"/>
        </w:rPr>
        <w:t xml:space="preserve">are </w:t>
      </w:r>
      <w:r w:rsidR="00096AE8">
        <w:rPr>
          <w:rFonts w:cstheme="minorHAnsi"/>
          <w:lang w:val="en-US"/>
        </w:rPr>
        <w:t xml:space="preserve">also </w:t>
      </w:r>
      <w:r>
        <w:rPr>
          <w:rFonts w:cstheme="minorHAnsi"/>
          <w:lang w:val="en-US"/>
        </w:rPr>
        <w:t>frequently highly</w:t>
      </w:r>
      <w:r w:rsidRPr="001830F3">
        <w:rPr>
          <w:rFonts w:cstheme="minorHAnsi"/>
          <w:lang w:val="en-US"/>
        </w:rPr>
        <w:t xml:space="preserve"> </w:t>
      </w:r>
      <w:r w:rsidR="00951F3B">
        <w:rPr>
          <w:rFonts w:cstheme="minorHAnsi"/>
          <w:lang w:val="en-US"/>
        </w:rPr>
        <w:t xml:space="preserve">contaminated by </w:t>
      </w:r>
      <w:r w:rsidR="009F2411" w:rsidRPr="001830F3">
        <w:rPr>
          <w:rFonts w:cstheme="minorHAnsi"/>
          <w:lang w:val="en-US"/>
        </w:rPr>
        <w:t>noise</w:t>
      </w:r>
      <w:r w:rsidR="003F7D11" w:rsidRPr="001830F3">
        <w:rPr>
          <w:rFonts w:cstheme="minorHAnsi"/>
          <w:lang w:val="en-US"/>
        </w:rPr>
        <w:t>, light</w:t>
      </w:r>
      <w:r w:rsidR="00951F3B">
        <w:rPr>
          <w:rFonts w:cstheme="minorHAnsi"/>
          <w:lang w:val="en-US"/>
        </w:rPr>
        <w:t>s</w:t>
      </w:r>
      <w:r w:rsidR="007C54BB">
        <w:rPr>
          <w:rFonts w:cstheme="minorHAnsi"/>
          <w:lang w:val="en-US"/>
        </w:rPr>
        <w:t>,</w:t>
      </w:r>
      <w:r w:rsidR="003F7D11" w:rsidRPr="001830F3">
        <w:rPr>
          <w:rFonts w:cstheme="minorHAnsi"/>
          <w:lang w:val="en-US"/>
        </w:rPr>
        <w:t xml:space="preserve"> or solid</w:t>
      </w:r>
      <w:r w:rsidR="00951F3B">
        <w:rPr>
          <w:rFonts w:cstheme="minorHAnsi"/>
          <w:lang w:val="en-US"/>
        </w:rPr>
        <w:t xml:space="preserve"> </w:t>
      </w:r>
      <w:r w:rsidR="00AA2581">
        <w:rPr>
          <w:rFonts w:cstheme="minorHAnsi"/>
          <w:lang w:val="en-US"/>
        </w:rPr>
        <w:t>waste</w:t>
      </w:r>
      <w:r w:rsidR="00AA2581" w:rsidRPr="001830F3">
        <w:rPr>
          <w:rFonts w:cstheme="minorHAnsi"/>
          <w:lang w:val="en-US"/>
        </w:rPr>
        <w:t xml:space="preserve"> </w:t>
      </w:r>
      <w:r w:rsidR="00D22709" w:rsidRPr="001830F3">
        <w:rPr>
          <w:rFonts w:cstheme="minorHAnsi"/>
          <w:lang w:val="en-US"/>
        </w:rPr>
        <w:fldChar w:fldCharType="begin" w:fldLock="1"/>
      </w:r>
      <w:r w:rsidR="00681AEE" w:rsidRPr="001830F3">
        <w:rPr>
          <w:rFonts w:cstheme="minorHAnsi"/>
          <w:lang w:val="en-US"/>
        </w:rPr>
        <w:instrText>ADDIN CSL_CITATION {"citationItems":[{"id":"ITEM-1","itemData":{"DOI":"10.1007/s10980-010-9564-0","ISBN":"1098001095","ISSN":"15729761","abstract":"The rapid and unplanned expansion of urban areas is a common pattern in neotropical developing countries. Urbanization has eliminated or drastically altered large areas of natural habitats used by the rich neotropical avifauna. In our study area, in Costa Rica's Central Valley, urbanization increased 72% in 33 years with the consequent destruction, fragmentation, and isolation of forest tracts, shade plantations, and other semi-natural habitats used by a rich avifauna. We show that over the last 16 years 32 resident species of birds have disappeared from this area. Species with specialized habitat requirements or particular life history traits (e. g., altitudinal migrants) are disproportionately represented among those birds that have disappeared from the region. Another 34 latitudinal migrants have gone undetected as nearly all habitats these species used as a stopover site during the autumn migration have disappeared; many of these migrants were very abundant 16 years earlier. Relative abundance has also decreased for most resident and migratory species that remained or visited the area. If uncontrolled urban expansion continues, we predict that the rate of extinction of the avifauna that originally inhabited this region would continue possibly increasing. © 2010 Springer Science+Business Media B.V.","author":[{"dropping-particle":"","family":"Biamonte","given":"Estaban","non-dropping-particle":"","parse-names":false,"suffix":""},{"dropping-particle":"","family":"Sandoval","given":"Luis","non-dropping-particle":"","parse-names":false,"suffix":""},{"dropping-particle":"","family":"Chacón","given":"Eduardo","non-dropping-particle":"","parse-names":false,"suffix":""},{"dropping-particle":"","family":"Barrantes","given":"Gilbert","non-dropping-particle":"","parse-names":false,"suffix":""}],"container-title":"Landscape Ecology","id":"ITEM-1","issue":"2","issued":{"date-parts":[["2011"]]},"page":"183-194","title":"Effect of urbanization on the avifauna in a tropical metropolitan area","type":"article-journal","volume":"26"},"uris":["http://www.mendeley.com/documents/?uuid=64715cc3-ad99-4667-b144-73850e259c87"]},{"id":"ITEM-2","itemData":{"DOI":"10.5751/ES-02815-140121","ISSN":"17083087","abstract":"We attempted a complete review of the empirical literature on effects of roads and traffic on animal abundance and distribution. We found 79 studies, with results for 131 species and 30 species groups. Overall, the number of documented negative effects of roads on animal abundance outnumbered the number of positive effects by a factor of 5; 114 responses were negative, 22 were positive, and 56 showed no effect. Amphibians and reptiles tended to show negative effects. Birds showed mainly negative or no effects, with a few positive effects for some small birds and for vultures. Small mammals generally showed either positive effects or no effect, mid-sized mammals showed either negative effects or no effect, and large mammals showed predominantly negative effects. We synthesized this information, along with information on species attributes, to develop a set of predictions of the conditions that lead to negative or positive effects or no effect of roads on animal abundance. Four species types are predicted to respond negatively to roads: (i) species that are attracted to roads and are unable to avoid individual cars; (ii) species with large movement ranges, low reproductive rates, and low natural densities; and (iii and iv) small animals whose populations are not limited by road-affected predators and either (a) avoid habitat near roads due to traffic disturbance or (b) show no avoidance of roads or traffic disturbance and are unable to avoid oncoming cars. Two species types are predicted to respond positively to roads: (i) species that are attracted to roads for an important resource (e.g., food) and are able to avoid oncoming cars, and (ii) species that do not avoid traffic disturbance but do avoid roads, and whose main predators show negative population-level responses to roads. Other conditions lead to weak or non-existent effects of roads and traffic on animal abundance. We identify areas where further research is needed, but we also argue that the evidence for population-level effects of roads and traffic is already strong enough to merit routine consideration of mitigation of these effects in all road construction and maintenance projects. © 2009 by the author(s).","author":[{"dropping-particle":"","family":"Fahrig","given":"Lenore","non-dropping-particle":"","parse-names":false,"suffix":""},{"dropping-particle":"","family":"Rytwinski","given":"Trina","non-dropping-particle":"","parse-names":false,"suffix":""}],"container-title":"Ecology and Society","id":"ITEM-2","issue":"1","issued":{"date-parts":[["2009"]]},"title":"Effects of roads on animal abundance: An empirical review and synthesis","type":"article-journal","volume":"14"},"uris":["http://www.mendeley.com/documents/?uuid=26ce6b55-6737-4ab3-b945-47704e5c4417"]}],"mendeley":{"formattedCitation":"(Biamonte et al., 2011; Fahrig &amp; Rytwinski, 2009)","manualFormatting":"(Fahrig &amp; Rytwinski, 2009; Biamonte et al., 2011)","plainTextFormattedCitation":"(Biamonte et al., 2011; Fahrig &amp; Rytwinski, 2009)","previouslyFormattedCitation":"(Biamonte et al., 2011; Fahrig &amp; Rytwinski, 2009)"},"properties":{"noteIndex":0},"schema":"https://github.com/citation-style-language/schema/raw/master/csl-citation.json"}</w:instrText>
      </w:r>
      <w:r w:rsidR="00D22709" w:rsidRPr="001830F3">
        <w:rPr>
          <w:rFonts w:cstheme="minorHAnsi"/>
          <w:lang w:val="en-US"/>
        </w:rPr>
        <w:fldChar w:fldCharType="separate"/>
      </w:r>
      <w:r w:rsidR="00681AEE" w:rsidRPr="001830F3">
        <w:rPr>
          <w:rFonts w:cstheme="minorHAnsi"/>
          <w:noProof/>
          <w:lang w:val="en-US"/>
        </w:rPr>
        <w:t>(Fahrig &amp; Rytwinski, 2009; Biamonte et al., 2011)</w:t>
      </w:r>
      <w:r w:rsidR="00D22709" w:rsidRPr="001830F3">
        <w:rPr>
          <w:rFonts w:cstheme="minorHAnsi"/>
          <w:lang w:val="en-US"/>
        </w:rPr>
        <w:fldChar w:fldCharType="end"/>
      </w:r>
      <w:r w:rsidR="00CC1B62" w:rsidRPr="001830F3">
        <w:rPr>
          <w:rFonts w:cstheme="minorHAnsi"/>
          <w:lang w:val="en-US"/>
        </w:rPr>
        <w:t xml:space="preserve">. </w:t>
      </w:r>
      <w:r w:rsidR="005F7E21">
        <w:rPr>
          <w:rFonts w:cstheme="minorHAnsi"/>
          <w:lang w:val="en-US"/>
        </w:rPr>
        <w:t>T</w:t>
      </w:r>
      <w:bookmarkStart w:id="4" w:name="_Hlk169258276"/>
      <w:r w:rsidR="005F7E21">
        <w:rPr>
          <w:rFonts w:cstheme="minorHAnsi"/>
          <w:lang w:val="en-US"/>
        </w:rPr>
        <w:t>h</w:t>
      </w:r>
      <w:r w:rsidR="00456186">
        <w:rPr>
          <w:rFonts w:cstheme="minorHAnsi"/>
          <w:lang w:val="en-US"/>
        </w:rPr>
        <w:t>e</w:t>
      </w:r>
      <w:r w:rsidR="005F7E21">
        <w:rPr>
          <w:rFonts w:cstheme="minorHAnsi"/>
          <w:lang w:val="en-US"/>
        </w:rPr>
        <w:t xml:space="preserve"> </w:t>
      </w:r>
      <w:r w:rsidR="009C0D2D">
        <w:rPr>
          <w:rFonts w:cstheme="minorHAnsi"/>
          <w:lang w:val="en-US"/>
        </w:rPr>
        <w:t xml:space="preserve">reduction </w:t>
      </w:r>
      <w:r w:rsidR="005F7E21">
        <w:rPr>
          <w:rFonts w:cstheme="minorHAnsi"/>
          <w:lang w:val="en-US"/>
        </w:rPr>
        <w:t xml:space="preserve">in natural habitats isolates </w:t>
      </w:r>
      <w:r w:rsidR="00FA0F2E">
        <w:rPr>
          <w:rFonts w:cstheme="minorHAnsi"/>
          <w:lang w:val="en-US"/>
        </w:rPr>
        <w:t xml:space="preserve">bird </w:t>
      </w:r>
      <w:r w:rsidR="005F7E21">
        <w:rPr>
          <w:rFonts w:cstheme="minorHAnsi"/>
          <w:lang w:val="en-US"/>
        </w:rPr>
        <w:t xml:space="preserve">populations, as urban development restricts or </w:t>
      </w:r>
      <w:r w:rsidR="00456186">
        <w:rPr>
          <w:rFonts w:cstheme="minorHAnsi"/>
          <w:lang w:val="en-US"/>
        </w:rPr>
        <w:t>prevents</w:t>
      </w:r>
      <w:r w:rsidR="005F7E21">
        <w:rPr>
          <w:rFonts w:cstheme="minorHAnsi"/>
          <w:lang w:val="en-US"/>
        </w:rPr>
        <w:t xml:space="preserve"> the movement of individuals across populations </w:t>
      </w:r>
      <w:r w:rsidR="00356DFE" w:rsidRPr="001830F3">
        <w:rPr>
          <w:rFonts w:cstheme="minorHAnsi"/>
          <w:lang w:val="en-US"/>
        </w:rPr>
        <w:fldChar w:fldCharType="begin" w:fldLock="1"/>
      </w:r>
      <w:r w:rsidR="00356DFE" w:rsidRPr="001830F3">
        <w:rPr>
          <w:rFonts w:cstheme="minorHAnsi"/>
          <w:lang w:val="en-US"/>
        </w:rPr>
        <w:instrText>ADDIN CSL_CITATION {"citationItems":[{"id":"ITEM-1","itemData":{"DOI":"10.1111/j.1558-5646.1994.tb01316.x","ISSN":"00143820","author":[{"dropping-particle":"","family":"Lynch","given":"A.","non-dropping-particle":"","parse-names":false,"suffix":""},{"dropping-particle":"","family":"Baker","given":"A. J.","non-dropping-particle":"","parse-names":false,"suffix":""}],"container-title":"Evolution","id":"ITEM-1","issue":"2","issued":{"date-parts":[["1994"]]},"page":"351-359","title":"A population memetics approach to cultural evolution in chaffinch song: Differentiation among populations","type":"article-journal","volume":"48"},"uris":["http://www.mendeley.com/documents/?uuid=fc60d0b4-0543-47e4-9cb7-00163dd6e882"]},{"id":"ITEM-2","itemData":{"DOI":"10.1016/S0006-3207(03)00162-9","ISSN":"00063207","abstract":"Our goal was to evaluate how avian assemblages varied along a gradient of urbanization in the highly fragmented landscape of coastal southern California. We measured species richness and abundance of birds within continuous blocks of habitat, within urban habitat fragments that varied in landscape and local habitat variables, and within the urban matrix at different distances from the wildland interface. These comparisons allowed us to characterize patterns of avifaunal response to a gradient of urban fragmentation. At the fragment scale, we found that fragment area was a strong, positive predictor of the total number of breeding species detected per fragment; total bird abundance per point count also increased with fragment size. Tree cover was higher in small fragments, as was the abundance of birds that typically occupy wooded habitats. Comparisons between core, fragment, and urban transects revealed differing patterns of response of individual bird species to urbanization. In unfragmented habitat, we recorded a relatively high diversity of urbanization-sensitive birds. In urban transects, these species were rare, and a relatively few species of non-native and anthropophilic birds were common. These urbanization-enhanced birds were also recorded in previous urban gradient studies in northern California and Ohio. Bird communities along the urban gradient reached their highest richness and abundance in fragments. The marked difference in vegetation structure between urban and natural landscapes in this arid shrubland system likely contributed to this pattern; the presence of native shrubs and exotic trees in fragments enabled both shrub and arboreal nesters to co-occur. As is characteristic of biotic homogenization, urban fragmentation in coastal southern California may increase local diversity but decrease overall regional avifaunal diversity. © 2003 Elsevier Ltd. All rights reserved.","author":[{"dropping-particle":"","family":"Crooks","given":"Kevin R.","non-dropping-particle":"","parse-names":false,"suffix":""},{"dropping-particle":"V.","family":"Suarez","given":"Andrew","non-dropping-particle":"","parse-names":false,"suffix":""},{"dropping-particle":"","family":"Bolger","given":"Douglas T.","non-dropping-particle":"","parse-names":false,"suffix":""}],"container-title":"Biological Conservation","id":"ITEM-2","issue":"3","issued":{"date-parts":[["2004"]]},"page":"451-462","title":"Avian assemblages along a gradient of urbanization in a highly fragmented landscape","type":"article-journal","volume":"115"},"uris":["http://www.mendeley.com/documents/?uuid=43dc8ba7-d3a9-4180-b77e-2cd70b7d4814"]}],"mendeley":{"formattedCitation":"(Crooks et al., 2004; Lynch &amp; Baker, 1994)","manualFormatting":"(Lynch &amp; Baker, 1994; Crooks et al., 2004)","plainTextFormattedCitation":"(Crooks et al., 2004; Lynch &amp; Baker, 1994)","previouslyFormattedCitation":"(Crooks et al., 2004; Lynch &amp; Baker, 1994)"},"properties":{"noteIndex":0},"schema":"https://github.com/citation-style-language/schema/raw/master/csl-citation.json"}</w:instrText>
      </w:r>
      <w:r w:rsidR="00356DFE" w:rsidRPr="001830F3">
        <w:rPr>
          <w:rFonts w:cstheme="minorHAnsi"/>
          <w:lang w:val="en-US"/>
        </w:rPr>
        <w:fldChar w:fldCharType="separate"/>
      </w:r>
      <w:r w:rsidR="00356DFE" w:rsidRPr="001830F3">
        <w:rPr>
          <w:rFonts w:cstheme="minorHAnsi"/>
          <w:noProof/>
          <w:lang w:val="en-US"/>
        </w:rPr>
        <w:t>(Lynch &amp; Baker, 1994; Crooks et al., 2004)</w:t>
      </w:r>
      <w:r w:rsidR="00356DFE" w:rsidRPr="001830F3">
        <w:rPr>
          <w:rFonts w:cstheme="minorHAnsi"/>
          <w:lang w:val="en-US"/>
        </w:rPr>
        <w:fldChar w:fldCharType="end"/>
      </w:r>
      <w:r w:rsidR="00A07E96">
        <w:rPr>
          <w:rFonts w:cstheme="minorHAnsi"/>
          <w:lang w:val="en-US"/>
        </w:rPr>
        <w:t>.</w:t>
      </w:r>
      <w:r w:rsidR="00AA2581">
        <w:rPr>
          <w:rFonts w:cstheme="minorHAnsi"/>
          <w:lang w:val="en-US"/>
        </w:rPr>
        <w:t xml:space="preserve"> </w:t>
      </w:r>
      <w:bookmarkEnd w:id="4"/>
      <w:r w:rsidR="00A07E96">
        <w:rPr>
          <w:rFonts w:cstheme="minorHAnsi"/>
          <w:lang w:val="en-US"/>
        </w:rPr>
        <w:t xml:space="preserve">It also </w:t>
      </w:r>
      <w:r w:rsidR="00157B1B">
        <w:rPr>
          <w:rFonts w:cstheme="minorHAnsi"/>
          <w:lang w:val="en-US"/>
        </w:rPr>
        <w:t>hinders</w:t>
      </w:r>
      <w:r w:rsidR="005F7E21">
        <w:rPr>
          <w:rFonts w:cstheme="minorHAnsi"/>
          <w:lang w:val="en-US"/>
        </w:rPr>
        <w:t xml:space="preserve"> gene flow</w:t>
      </w:r>
      <w:r w:rsidR="00335338">
        <w:rPr>
          <w:rFonts w:cstheme="minorHAnsi"/>
          <w:lang w:val="en-US"/>
        </w:rPr>
        <w:t>,</w:t>
      </w:r>
      <w:r w:rsidR="005F7E21">
        <w:rPr>
          <w:rFonts w:cstheme="minorHAnsi"/>
          <w:lang w:val="en-US"/>
        </w:rPr>
        <w:t xml:space="preserve"> </w:t>
      </w:r>
      <w:r w:rsidR="009203FB">
        <w:rPr>
          <w:rFonts w:cstheme="minorHAnsi"/>
          <w:lang w:val="en-US"/>
        </w:rPr>
        <w:t>which</w:t>
      </w:r>
      <w:r w:rsidR="005F7E21">
        <w:rPr>
          <w:rFonts w:cstheme="minorHAnsi"/>
          <w:lang w:val="en-US"/>
        </w:rPr>
        <w:t xml:space="preserve">, consequently, </w:t>
      </w:r>
      <w:r w:rsidR="00157B1B">
        <w:rPr>
          <w:rFonts w:cstheme="minorHAnsi"/>
          <w:lang w:val="en-US"/>
        </w:rPr>
        <w:t xml:space="preserve">may </w:t>
      </w:r>
      <w:r w:rsidR="009203FB">
        <w:rPr>
          <w:rFonts w:cstheme="minorHAnsi"/>
          <w:lang w:val="en-US"/>
        </w:rPr>
        <w:t xml:space="preserve">reduce </w:t>
      </w:r>
      <w:r w:rsidR="00157B1B">
        <w:rPr>
          <w:rFonts w:cstheme="minorHAnsi"/>
          <w:lang w:val="en-US"/>
        </w:rPr>
        <w:t xml:space="preserve">the </w:t>
      </w:r>
      <w:r w:rsidR="005F7E21">
        <w:rPr>
          <w:rFonts w:cstheme="minorHAnsi"/>
          <w:lang w:val="en-US"/>
        </w:rPr>
        <w:t xml:space="preserve">genetic diversity of populations </w:t>
      </w:r>
      <w:r w:rsidR="00356DFE" w:rsidRPr="001830F3">
        <w:rPr>
          <w:rFonts w:cstheme="minorHAnsi"/>
          <w:lang w:val="en-US"/>
        </w:rPr>
        <w:fldChar w:fldCharType="begin" w:fldLock="1"/>
      </w:r>
      <w:r w:rsidR="00356DFE" w:rsidRPr="001830F3">
        <w:rPr>
          <w:rFonts w:cstheme="minorHAnsi"/>
          <w:lang w:val="en-US"/>
        </w:rPr>
        <w:instrText>ADDIN CSL_CITATION {"citationItems":[{"id":"ITEM-1","itemData":{"DOI":"10.1111/j.1558-5646.1994.tb01316.x","ISSN":"00143820","author":[{"dropping-particle":"","family":"Lynch","given":"A.","non-dropping-particle":"","parse-names":false,"suffix":""},{"dropping-particle":"","family":"Baker","given":"A. J.","non-dropping-particle":"","parse-names":false,"suffix":""}],"container-title":"Evolution","id":"ITEM-1","issue":"2","issued":{"date-parts":[["1994"]]},"page":"351-359","title":"A population memetics approach to cultural evolution in chaffinch song: Differentiation among populations","type":"article-journal","volume":"48"},"uris":["http://www.mendeley.com/documents/?uuid=fc60d0b4-0543-47e4-9cb7-00163dd6e882"]},{"id":"ITEM-2","itemData":{"DOI":"10.1126/science.aam8327","ISSN":"10959203","PMID":"29097520","abstract":"Our planet is an increasingly urbanized landscape, with over half of the human population residing in cities. Despite advances in urban ecology, we do not adequately understand how urbanization affects the evolution of organisms, nor how this evolution may affect ecosystems and human health. Here, we review evidence for the effects of urbanization on the evolution of microbes, plants, and animals that inhabit cities. Urbanization affects adaptive and nonadaptive evolutionary processes that shape the genetic diversity within and between populations. Rapid adaptation has facilitated the success of some native species in urban areas, but it has also allowed human pests and disease to spread more rapidly. The nascent field of urban evolution brings together efforts to understand evolution in response to environmental change while developing new hypotheses concerning adaptation to urban infrastructure and human socioeconomic activity. The next generation of research on urban evolution will provide critical insight into the importance of evolution for sustainable interactions between humans and our city environments.","author":[{"dropping-particle":"","family":"Johnson","given":"Marc T.J.","non-dropping-particle":"","parse-names":false,"suffix":""},{"dropping-particle":"","family":"Munshi-South","given":"Jason","non-dropping-particle":"","parse-names":false,"suffix":""}],"container-title":"Science","id":"ITEM-2","issue":"6363","issued":{"date-parts":[["2017"]]},"title":"Evolution of life in urban environments","type":"article-journal","volume":"358"},"uris":["http://www.mendeley.com/documents/?uuid=23efc65b-4cac-46f4-b450-6cf7baf8f99a"]}],"mendeley":{"formattedCitation":"(Johnson &amp; Munshi-South, 2017; Lynch &amp; Baker, 1994)","manualFormatting":"(Lynch &amp; Baker, 1994; Johnson &amp; Munshi-South, 2017)","plainTextFormattedCitation":"(Johnson &amp; Munshi-South, 2017; Lynch &amp; Baker, 1994)","previouslyFormattedCitation":"(Johnson &amp; Munshi-South, 2017; Lynch &amp; Baker, 1994)"},"properties":{"noteIndex":0},"schema":"https://github.com/citation-style-language/schema/raw/master/csl-citation.json"}</w:instrText>
      </w:r>
      <w:r w:rsidR="00356DFE" w:rsidRPr="001830F3">
        <w:rPr>
          <w:rFonts w:cstheme="minorHAnsi"/>
          <w:lang w:val="en-US"/>
        </w:rPr>
        <w:fldChar w:fldCharType="separate"/>
      </w:r>
      <w:r w:rsidR="00356DFE" w:rsidRPr="001830F3">
        <w:rPr>
          <w:rFonts w:cstheme="minorHAnsi"/>
          <w:noProof/>
          <w:lang w:val="en-US"/>
        </w:rPr>
        <w:t>(Lynch &amp; Baker, 1994; Johnson &amp; Munshi-South, 2017)</w:t>
      </w:r>
      <w:r w:rsidR="00356DFE" w:rsidRPr="001830F3">
        <w:rPr>
          <w:rFonts w:cstheme="minorHAnsi"/>
          <w:lang w:val="en-US"/>
        </w:rPr>
        <w:fldChar w:fldCharType="end"/>
      </w:r>
      <w:r w:rsidR="005F7E21">
        <w:rPr>
          <w:rFonts w:cstheme="minorHAnsi"/>
          <w:lang w:val="en-US"/>
        </w:rPr>
        <w:t>.</w:t>
      </w:r>
      <w:r w:rsidR="0032073C" w:rsidRPr="001830F3">
        <w:rPr>
          <w:rFonts w:cstheme="minorHAnsi"/>
          <w:lang w:val="en-US"/>
        </w:rPr>
        <w:t xml:space="preserve"> </w:t>
      </w:r>
      <w:r w:rsidR="005C519A">
        <w:rPr>
          <w:rFonts w:cstheme="minorHAnsi"/>
          <w:lang w:val="en-US"/>
        </w:rPr>
        <w:t>In birds, c</w:t>
      </w:r>
      <w:r w:rsidR="0032073C" w:rsidRPr="001830F3">
        <w:rPr>
          <w:rFonts w:cstheme="minorHAnsi"/>
          <w:lang w:val="en-US"/>
        </w:rPr>
        <w:t>hanges</w:t>
      </w:r>
      <w:r w:rsidR="003F7D11" w:rsidRPr="001830F3">
        <w:rPr>
          <w:rFonts w:cstheme="minorHAnsi"/>
          <w:lang w:val="en-US"/>
        </w:rPr>
        <w:t xml:space="preserve"> </w:t>
      </w:r>
      <w:r w:rsidR="00F87102">
        <w:rPr>
          <w:rFonts w:cstheme="minorHAnsi"/>
          <w:lang w:val="en-US"/>
        </w:rPr>
        <w:t xml:space="preserve">in </w:t>
      </w:r>
      <w:r w:rsidR="00195A9E">
        <w:rPr>
          <w:rFonts w:cstheme="minorHAnsi"/>
          <w:lang w:val="en-US"/>
        </w:rPr>
        <w:t>behavior</w:t>
      </w:r>
      <w:r w:rsidR="00F87102">
        <w:rPr>
          <w:rFonts w:cstheme="minorHAnsi"/>
          <w:lang w:val="en-US"/>
        </w:rPr>
        <w:t xml:space="preserve"> </w:t>
      </w:r>
      <w:r w:rsidR="002972BC" w:rsidRPr="001830F3">
        <w:rPr>
          <w:rFonts w:cstheme="minorHAnsi"/>
          <w:lang w:val="en-US"/>
        </w:rPr>
        <w:t>(e.g., vocalizations, nest</w:t>
      </w:r>
      <w:r w:rsidR="005C519A">
        <w:rPr>
          <w:rFonts w:cstheme="minorHAnsi"/>
          <w:lang w:val="en-US"/>
        </w:rPr>
        <w:t xml:space="preserve"> construction</w:t>
      </w:r>
      <w:r w:rsidR="002972BC" w:rsidRPr="001830F3">
        <w:rPr>
          <w:rFonts w:cstheme="minorHAnsi"/>
          <w:lang w:val="en-US"/>
        </w:rPr>
        <w:t xml:space="preserve">, predator responses) </w:t>
      </w:r>
      <w:r w:rsidR="002972BC">
        <w:rPr>
          <w:rFonts w:cstheme="minorHAnsi"/>
          <w:lang w:val="en-US"/>
        </w:rPr>
        <w:t xml:space="preserve">and morphology </w:t>
      </w:r>
      <w:r w:rsidR="002972BC" w:rsidRPr="001830F3">
        <w:rPr>
          <w:rFonts w:cstheme="minorHAnsi"/>
          <w:lang w:val="en-US"/>
        </w:rPr>
        <w:t xml:space="preserve">(e.g., bill </w:t>
      </w:r>
      <w:r w:rsidR="003B318A">
        <w:rPr>
          <w:rFonts w:cstheme="minorHAnsi"/>
          <w:lang w:val="en-US"/>
        </w:rPr>
        <w:t xml:space="preserve">and body </w:t>
      </w:r>
      <w:r w:rsidR="002972BC" w:rsidRPr="001830F3">
        <w:rPr>
          <w:rFonts w:cstheme="minorHAnsi"/>
          <w:lang w:val="en-US"/>
        </w:rPr>
        <w:t xml:space="preserve">size) </w:t>
      </w:r>
      <w:r w:rsidR="00F87102">
        <w:rPr>
          <w:rFonts w:cstheme="minorHAnsi"/>
          <w:lang w:val="en-US"/>
        </w:rPr>
        <w:t xml:space="preserve">have also </w:t>
      </w:r>
      <w:r w:rsidR="009C0D2D">
        <w:rPr>
          <w:rFonts w:cstheme="minorHAnsi"/>
          <w:lang w:val="en-US"/>
        </w:rPr>
        <w:t xml:space="preserve">frequently </w:t>
      </w:r>
      <w:r w:rsidR="00F87102">
        <w:rPr>
          <w:rFonts w:cstheme="minorHAnsi"/>
          <w:lang w:val="en-US"/>
        </w:rPr>
        <w:t xml:space="preserve">been reported as a </w:t>
      </w:r>
      <w:r w:rsidR="002972BC">
        <w:rPr>
          <w:rFonts w:cstheme="minorHAnsi"/>
          <w:lang w:val="en-US"/>
        </w:rPr>
        <w:t>consequence</w:t>
      </w:r>
      <w:r w:rsidR="002972BC" w:rsidRPr="001830F3">
        <w:rPr>
          <w:rFonts w:cstheme="minorHAnsi"/>
          <w:lang w:val="en-US"/>
        </w:rPr>
        <w:t xml:space="preserve"> </w:t>
      </w:r>
      <w:r w:rsidR="003F7D11" w:rsidRPr="001830F3">
        <w:rPr>
          <w:rFonts w:cstheme="minorHAnsi"/>
          <w:lang w:val="en-US"/>
        </w:rPr>
        <w:t xml:space="preserve">of </w:t>
      </w:r>
      <w:r w:rsidR="002972BC">
        <w:rPr>
          <w:rFonts w:cstheme="minorHAnsi"/>
          <w:lang w:val="en-US"/>
        </w:rPr>
        <w:t xml:space="preserve">different selective </w:t>
      </w:r>
      <w:r w:rsidR="00C66C85">
        <w:rPr>
          <w:rFonts w:cstheme="minorHAnsi"/>
          <w:lang w:val="en-US"/>
        </w:rPr>
        <w:t xml:space="preserve">pressures </w:t>
      </w:r>
      <w:r w:rsidR="00385E8E">
        <w:rPr>
          <w:rFonts w:cstheme="minorHAnsi"/>
          <w:lang w:val="en-US"/>
        </w:rPr>
        <w:t xml:space="preserve">acting on isolated </w:t>
      </w:r>
      <w:r w:rsidR="00385E8E" w:rsidRPr="001830F3">
        <w:rPr>
          <w:rFonts w:cstheme="minorHAnsi"/>
          <w:lang w:val="en-US"/>
        </w:rPr>
        <w:t>population</w:t>
      </w:r>
      <w:r w:rsidR="00385E8E">
        <w:rPr>
          <w:rFonts w:cstheme="minorHAnsi"/>
          <w:lang w:val="en-US"/>
        </w:rPr>
        <w:t>s</w:t>
      </w:r>
      <w:r w:rsidR="00385E8E" w:rsidRPr="001830F3">
        <w:rPr>
          <w:rFonts w:cstheme="minorHAnsi"/>
          <w:lang w:val="en-US"/>
        </w:rPr>
        <w:t xml:space="preserve"> </w:t>
      </w:r>
      <w:r w:rsidR="002972BC">
        <w:rPr>
          <w:color w:val="222222"/>
          <w:lang w:val="en-US"/>
        </w:rPr>
        <w:t xml:space="preserve">(e.g., sexual selection, predation, environment) </w:t>
      </w:r>
      <w:r w:rsidR="00D22709" w:rsidRPr="001830F3">
        <w:rPr>
          <w:rFonts w:cstheme="minorHAnsi"/>
          <w:lang w:val="en-US"/>
        </w:rPr>
        <w:fldChar w:fldCharType="begin" w:fldLock="1"/>
      </w:r>
      <w:r w:rsidR="00B566B4">
        <w:rPr>
          <w:rFonts w:cstheme="minorHAnsi"/>
          <w:lang w:val="en-US"/>
        </w:rPr>
        <w:instrText>ADDIN CSL_CITATION {"citationItems":[{"id":"ITEM-1","itemData":{"author":[{"dropping-particle":"","family":"Laiolo","given":"P","non-dropping-particle":"","parse-names":false,"suffix":""},{"dropping-particle":"","family":"Arroyo","given":"A","non-dropping-particle":"","parse-names":false,"suffix":""}],"container-title":"Ecosistemas","id":"ITEM-1","issue":"2","issued":{"date-parts":[["2011"]]},"page":"46-53","title":"La fragmentación del hábitat como determinante de la diferenciación de los sistemas de comunicación animal","type":"article-journal","volume":"20"},"uris":["http://www.mendeley.com/documents/?uuid=a425a9ef-2132-4a22-a7a5-e4a75aaf7521"]},{"id":"ITEM-2","itemData":{"DOI":"10.1016/j.anbehav.2012.01.034","ISSN":"00033472","abstract":"Animals in urban environments often must adjust their vocalizations to be heard over the din of anthropogenic ambient noise. Most studies of this process use current comparisons of environments that vary in ambient noise; here, we evaluate over time the effects of the urban environment on signal structure and salience. We show that white-crowned sparrow, . Zonotrichia leucophrys, song increased in minimum frequency between 1969 and 2005 in San Francisco, California, U.S.A., coincident with rising levels of traffic noise. A higher minimum frequency is less likely to be masked by low-frequency ambient noise and thus is more likely to be effective as a communication signal. To test whether this change in song affects receiver response, we presented territorial males current (2005) and historical (1969) local songs. Males responded more strongly to current than to historical songs, suggesting that current songs communicate more effectively in the current local environment. The results suggest that behavioural adjustment to anthropogenic ambient noise over time can affect cultural evolution and communication. © 2012 The Association for the Study of Animal Behaviour.","author":[{"dropping-particle":"","family":"Luther","given":"David A.","non-dropping-particle":"","parse-names":false,"suffix":""},{"dropping-particle":"","family":"Derryberry","given":"Elizabeth P.","non-dropping-particle":"","parse-names":false,"suffix":""}],"container-title":"Animal Behaviour","id":"ITEM-2","issue":"4","issued":{"date-parts":[["2012"]]},"page":"1059-1066","publisher":"Elsevier Ltd","title":"Birdsongs keep pace with city life: Changes in song over time in an urban songbird affects communication","type":"article-journal","volume":"83"},"uris":["http://www.mendeley.com/documents/?uuid=1cd28c73-98d4-4d88-86ae-feb599673528"]},{"id":"ITEM-3","itemData":{"DOI":"10.1111/j.0014-3820.2002.tb00199.x","ISSN":"00143820","PMID":"12389730","abstract":"Bird song is a sexual trait important in mate choice and known to be shaped by environmental selection. Here we investigate the ecological factors shaping song variation across a rainforest gradient in central Africa. We show that the little greenbul (Andropadus virens), previously shown to vary morphologically across the gradient in fitness-related characters, also varies with respect to song characteristics. Acoustic features, including minimum and maximum frequency, and delivery rate of song notes showed significant differences between habitats. In contrast, we found dialectal variation independent of habitat in population-typical songtype sequences. This pattern is consistent with ongoing gene flow across habitats and in line with the view that song variation in the order in which songtypes are produced is not dependent on habitat characteristics in the same way physical song characteristics are. Sound transmission characteristics of the two habitats did not vary significantly, but analyses of ambient noise spectra revealed dramatic and consistent habitat-dependent differences. Matching between low ambient noise levels for low frequencies in the rainforest and lower minimal frequencies in greenbul songs in this habitat suggests that part of the song divergence may be driven by habitat-dependent ambient noise patterns. These results suggest that habitat-dependent selection may act simultaneously on traits of ecological importance and those important in prezygotic isolation, leading to an association between morphological and acoustic divergence. Such an association may promote assortative mating and may be a mechanism driving reproductive divergence across ecological gradients.","author":[{"dropping-particle":"","family":"Slabbekoorn","given":"Hans","non-dropping-particle":"","parse-names":false,"suffix":""},{"dropping-particle":"","family":"Smith","given":"Thomas B.","non-dropping-particle":"","parse-names":false,"suffix":""}],"container-title":"Evolution","id":"ITEM-3","issue":"9","issued":{"date-parts":[["2002"]]},"page":"1849-1858","title":"Habitat-dependent song divergence in the little greenbul: An analysis of environmental selection pressures on acoustic signals","type":"article-journal","volume":"56"},"uris":["http://www.mendeley.com/documents/?uuid=c41455a7-f2ba-4e94-8f6d-4ffb38f9ffa9"]},{"id":"ITEM-4","itemData":{"DOI":"10.1111/j.0021-8790.2004.00814.x","ISSN":"00218790","abstract":"1. The impact of environmental background noise on the performance of territorial songs was examined in free-ranging nightingales (Luscinia megarhynchos Brehm). An analysis of sound pressure levels revealed that males at noisier locations sang with higher sound levels than birds in territories less affected by background sounds. 2. This is the first evidence of a noise-dependent vocal amplitude regulation in the natural environment of an animal. 3. The results yielded demonstrate that the birds tried to mitigate the impairments on their communication caused by masking noise. This behaviour may help to maintain a given transmission distance of songs, which are used in territory defence and mate attraction. At the same time, birds forced to sing with higher amplitudes have to bear the increased costs of singing. 4. This suggests that in songbirds the level of environmental noise in a territory will contribute to its quality and thus considerably affect the behavioural ecology of singing males.","author":[{"dropping-particle":"","family":"Brumm","given":"Henrik","non-dropping-particle":"","parse-names":false,"suffix":""}],"container-title":"Journal of Animal Ecology","id":"ITEM-4","issue":"3","issued":{"date-parts":[["2004"]]},"page":"434-440","title":"The impact of environmental noise on song amplitude in a territorial bird","type":"article-journal","volume":"73"},"uris":["http://www.mendeley.com/documents/?uuid=392ce92a-a114-4964-882f-dc4cc4c0ef80"]},{"id":"ITEM-5","itemData":{"DOI":"10.1016/j.anbehav.2005.07.014","ISSN":"00033472","abstract":"The acoustic environment has a major influence in shaping animal communication systems. Humans, particularly in cities, profoundly alter the acoustic structure of their environment. Recent articles have identified effects of noise on animal communication and behaviour. These studies, however, serve to highlight the surprising dearth of research on the behavioural responses of animals to altered acoustic environments. We argue that noise is not the only aspect of urban bioacoustics that researchers should explore. In addition to elevated noise levels, urban areas are characterized by a spatial heterogeneity in noise levels, predictable diurnal variation in noise levels and the existence of many vertical reflective surfaces. All of these characteristics have parallels in natural environments. We suggest that cities are a fruitful area for future research on the evolution of animal communication systems, with more general implications for conservation in human-altered environments. © 2006 The Association for the Study of Animal Behaviour. Published by Elsevier Ltd. All rights reserved.","author":[{"dropping-particle":"","family":"Warren","given":"Paige S.","non-dropping-particle":"","parse-names":false,"suffix":""},{"dropping-particle":"","family":"Katti","given":"Madhusudan","non-dropping-particle":"","parse-names":false,"suffix":""},{"dropping-particle":"","family":"Ermann","given":"Michael","non-dropping-particle":"","parse-names":false,"suffix":""},{"dropping-particle":"","family":"Brazel","given":"Anthony","non-dropping-particle":"","parse-names":false,"suffix":""}],"container-title":"Animal Behaviour","id":"ITEM-5","issue":"3","issued":{"date-parts":[["2006"]]},"page":"491-502","title":"Urban bioacoustics: It's not just noise","type":"article-journal","volume":"71"},"uris":["http://www.mendeley.com/documents/?uuid=9cbae2b7-438e-4d6e-b788-ea14f92e88d6"]},{"id":"ITEM-6","itemData":{"DOI":"10.1111/j.1420-9101.2007.01449.x","ISSN":"1010061X","PMID":"18021202","abstract":"Beak size and shape in Darwin's finches have traditionally been quantified using a few univariate measurements (length, depth, width). Here we show the improved inferential resolution of geometric morphometric methods, as applied to three hierarchical levels: (i) among seven species on Santa Cruz Island, (ii) among different sites on Santa Cruz for a single species (Geospiza fortis), and (iii) between large and small beak size morphs of G. fortis at one site (El Garrapatero). Our results support previous studies in finding an axis of shape variation (long/shallow/pointy vs. short/deep/blunt) that separates many of the species. We also detect additional differences among species in the relative sizes and positions of the upper and lower mandibles and in curvature of the mandibles. Small-scale, but potentially relevant, shape variation was also detected among G. fortis from different sites and between sympatric beak size morphs. These results suggest that adaptation to different resources might contribute to diversification on a single island. © 2007 The Authors.","author":[{"dropping-particle":"","family":"Foster","given":"D. J.","non-dropping-particle":"","parse-names":false,"suffix":""},{"dropping-particle":"","family":"Podos","given":"J.","non-dropping-particle":"","parse-names":false,"suffix":""},{"dropping-particle":"","family":"Hendry","given":"A. P.","non-dropping-particle":"","parse-names":false,"suffix":""}],"container-title":"Journal of Evolutionary Biology","id":"ITEM-6","issue":"1","issued":{"date-parts":[["2008"]]},"page":"263-275","title":"A geometric morphometric appraisal of beak shape in Darwin's finches","type":"article-journal","volume":"21"},"uris":["http://www.mendeley.com/documents/?uuid=6397922c-b5bb-4f3c-b20b-d5d503fcae4b"]},{"id":"ITEM-7","itemData":{"DOI":"10.1111/eth.12206","ISSN":"01791613","abstract":"Communication between social animals is often more effective when signals facilitate individual recognition. Two critical requirements for individual recognition are the occurrence of characteristics that are unique to each individual, and the consistency of these characteristics through time. In some animals, characteristics of acoustic signals are known to vary over time due to changes in a variety of factors, including physiological and environmental features. Such temporal variation requires careful evaluation when exploring the individual distinctiveness of animal signals. In this study, we evaluate individual distinctiveness in the songs of male white-eared ground-sparrows Melozone leucotis and the persistence of distinctive characteristics over time. We collected focal recordings from populations of banded ground-sparrows during two consecutive breeding seasons, including multiple recording sessions within each breeding season. We evaluated individual distinctiveness in fine structural acoustic features of songs. We also extended our analysis to repertoire characteristics, focusing on whether the relative frequency of song type use may provide cues to individual identity. We found that each male white-eared ground-sparrow sang individually distinctive songs, although their fine structural features varied between recording sessions. We found the frequency with which males sang different song types was also individually distinctive, and this feature varied little between recording sessions. Receivers may be able to use these distinctive characteristics to differentiate individuals over extended time periods; this may be especially important for species that engage in long-term social interactions, such as tropical birds that defend territories against rival conspecific animals throughout the year. © 2014 Blackwell Verlag GmbH.","author":[{"dropping-particle":"","family":"Sandoval","given":"Luis","non-dropping-particle":"","parse-names":false,"suffix":""},{"dropping-particle":"","family":"Méndez","given":"Carolina","non-dropping-particle":"","parse-names":false,"suffix":""},{"dropping-particle":"","family":"Mennill","given":"Daniel J.","non-dropping-particle":"","parse-names":false,"suffix":""}],"container-title":"Ethology","id":"ITEM-7","issue":"3","issued":{"date-parts":[["2014"]]},"page":"275-286","title":"Individual distinctiveness in the fine structural features and repertoire characteristics of the songs of white-eared ground-sparrows","type":"article-journal","volume":"120"},"uris":["http://www.mendeley.com/documents/?uuid=e4dcdc3d-deae-41b1-8bc9-3884e2fb93c1"]},{"id":"ITEM-8","itemData":{"DOI":"10.1016/j.beproc.2020.104282","ISSN":"18728308","PMID":"33217514","abstract":"Noise affects the recognition of acoustic signals by masking information. To compensate for increased noise, individuals often increase the minimum frequency of their vocalization to reduce noise interference. Our goal was to analyze the effect of noise on the characteristics of different bird vocalizations, through a comparative study of vocalizations on the same bird species. We analyzed the effects of noise variation on the fine spectrotemporal characteristics of calls, songs, and duets of White-eared Ground-sparrows (Melozone leucotis) across three populations over a three-year period. We recorded vocalizations and noise levels simultaneously from 41 territories between 2012 and 2014. We measured the duration, minimum, maximum, and maximum amplitude frequency, and counted the number of songs elements for each vocalization recorded. As we predicted, noise influences the minimum frequency of song, but did not have an effect on the fine spectrotemporal characteristics for calls and duets. We did, however, find that low and high frequency of calls and duets increased with noise-population-year interaction. Our results suggest that differences in noise values at each population were inadequate to observe changes in vocalization characteristics. In conclusion, evaluating responses to different noise levels on different vocalization types for the same species expands our understanding of the flexibility of birds to adjust vocalizations in response to anthropogenic noise.","author":[{"dropping-particle":"","family":"Méndez","given":"Carolina","non-dropping-particle":"","parse-names":false,"suffix":""},{"dropping-particle":"","family":"Barrantes","given":"Gilbert","non-dropping-particle":"","parse-names":false,"suffix":""},{"dropping-particle":"","family":"Sandoval","given":"Luis","non-dropping-particle":"","parse-names":false,"suffix":""}],"container-title":"Behavioural Processes","id":"ITEM-8","issued":{"date-parts":[["2020"]]},"title":"The effect of noise variation over time and between populations on the fine spectrotemporal characteristics of different vocalization types","type":"article-journal","volume":"182"},"uris":["http://www.mendeley.com/documents/?uuid=fb056c7e-475e-4dea-b46a-a47325ec95dd"]}],"mendeley":{"formattedCitation":"(Brumm, 2004; Foster et al., 2008; Laiolo &amp; Arroyo, 2011; Luther &amp; Derryberry, 2012; Méndez et al., 2020; Sandoval et al., 2014; Slabbekoorn &amp; Smith, 2002b; Warren et al., 2006)","manualFormatting":"( Foster et al., 2008; Luther &amp; Derryberry, 2012; Sandoval et al., 2014; Geffroy et al., 2020; Corrales-Moya et al., 2021; Méndez et al., 2021)","plainTextFormattedCitation":"(Brumm, 2004; Foster et al., 2008; Laiolo &amp; Arroyo, 2011; Luther &amp; Derryberry, 2012; Méndez et al., 2020; Sandoval et al., 2014; Slabbekoorn &amp; Smith, 2002b; Warren et al., 2006)","previouslyFormattedCitation":"(Brumm, 2004; Foster et al., 2008; Laiolo &amp; Arroyo, 2011; Luther &amp; Derryberry, 2012; Méndez et al., 2020; Sandoval et al., 2014; Slabbekoorn &amp; Smith, 2002b; Warren et al., 2006)"},"properties":{"noteIndex":0},"schema":"https://github.com/citation-style-language/schema/raw/master/csl-citation.json"}</w:instrText>
      </w:r>
      <w:r w:rsidR="00D22709" w:rsidRPr="001830F3">
        <w:rPr>
          <w:rFonts w:cstheme="minorHAnsi"/>
          <w:lang w:val="en-US"/>
        </w:rPr>
        <w:fldChar w:fldCharType="separate"/>
      </w:r>
      <w:r w:rsidR="001152D9" w:rsidRPr="009D70F1">
        <w:rPr>
          <w:rFonts w:cstheme="minorHAnsi"/>
          <w:noProof/>
          <w:lang w:val="en-US"/>
        </w:rPr>
        <w:t>(</w:t>
      </w:r>
      <w:r w:rsidR="00681AEE" w:rsidRPr="009D70F1">
        <w:rPr>
          <w:rFonts w:cstheme="minorHAnsi"/>
          <w:noProof/>
          <w:lang w:val="en-US"/>
        </w:rPr>
        <w:t xml:space="preserve"> </w:t>
      </w:r>
      <w:r w:rsidR="001152D9" w:rsidRPr="009D70F1">
        <w:rPr>
          <w:rFonts w:cstheme="minorHAnsi"/>
          <w:noProof/>
          <w:lang w:val="en-US"/>
        </w:rPr>
        <w:t xml:space="preserve">Foster et al., 2008; Luther &amp; Derryberry, 2012; </w:t>
      </w:r>
      <w:r w:rsidR="00681AEE" w:rsidRPr="009D70F1">
        <w:rPr>
          <w:rFonts w:cstheme="minorHAnsi"/>
          <w:noProof/>
          <w:lang w:val="en-US"/>
        </w:rPr>
        <w:t>Sandoval et al., 2014</w:t>
      </w:r>
      <w:r w:rsidR="007A0940" w:rsidRPr="009D70F1">
        <w:rPr>
          <w:rFonts w:cstheme="minorHAnsi"/>
          <w:noProof/>
          <w:lang w:val="en-US"/>
        </w:rPr>
        <w:t>; Geffroy et al., 2020; Corrales-Moya et al., 2021</w:t>
      </w:r>
      <w:r w:rsidR="00B9511C" w:rsidRPr="009D70F1">
        <w:rPr>
          <w:rFonts w:cstheme="minorHAnsi"/>
          <w:noProof/>
          <w:lang w:val="en-US"/>
        </w:rPr>
        <w:t>; Méndez et al., 2021</w:t>
      </w:r>
      <w:r w:rsidR="001152D9" w:rsidRPr="009D70F1">
        <w:rPr>
          <w:rFonts w:cstheme="minorHAnsi"/>
          <w:noProof/>
          <w:lang w:val="en-US"/>
        </w:rPr>
        <w:t>)</w:t>
      </w:r>
      <w:r w:rsidR="00D22709" w:rsidRPr="001830F3">
        <w:rPr>
          <w:rFonts w:cstheme="minorHAnsi"/>
          <w:lang w:val="en-US"/>
        </w:rPr>
        <w:fldChar w:fldCharType="end"/>
      </w:r>
      <w:r w:rsidR="0032073C" w:rsidRPr="009D70F1">
        <w:rPr>
          <w:rFonts w:cstheme="minorHAnsi"/>
          <w:lang w:val="en-US"/>
        </w:rPr>
        <w:t xml:space="preserve"> </w:t>
      </w:r>
    </w:p>
    <w:p w14:paraId="4400874E" w14:textId="7485B3EF" w:rsidR="00620445" w:rsidRPr="001830F3" w:rsidRDefault="00A07E96" w:rsidP="0019147A">
      <w:pPr>
        <w:spacing w:line="480" w:lineRule="auto"/>
        <w:ind w:firstLine="709"/>
        <w:rPr>
          <w:rFonts w:cstheme="minorHAnsi"/>
          <w:lang w:val="en-US"/>
        </w:rPr>
      </w:pPr>
      <w:r w:rsidRPr="007F5EF1">
        <w:rPr>
          <w:rFonts w:cstheme="minorHAnsi"/>
          <w:lang w:val="en-US"/>
        </w:rPr>
        <w:t>Increased isolation</w:t>
      </w:r>
      <w:r w:rsidR="00A15EA5">
        <w:rPr>
          <w:rFonts w:cstheme="minorHAnsi"/>
          <w:lang w:val="en-US"/>
        </w:rPr>
        <w:t xml:space="preserve"> between populations and the effect of </w:t>
      </w:r>
      <w:r w:rsidR="00157B1B">
        <w:rPr>
          <w:rFonts w:cstheme="minorHAnsi"/>
          <w:lang w:val="en-US"/>
        </w:rPr>
        <w:t xml:space="preserve">genetic </w:t>
      </w:r>
      <w:r w:rsidR="00A15EA5">
        <w:rPr>
          <w:rFonts w:cstheme="minorHAnsi"/>
          <w:lang w:val="en-US"/>
        </w:rPr>
        <w:t xml:space="preserve">drift and inbreeding </w:t>
      </w:r>
      <w:r w:rsidR="00157B1B">
        <w:rPr>
          <w:rFonts w:cstheme="minorHAnsi"/>
          <w:lang w:val="en-US"/>
        </w:rPr>
        <w:t xml:space="preserve">on </w:t>
      </w:r>
      <w:r w:rsidR="00A15EA5">
        <w:rPr>
          <w:rFonts w:cstheme="minorHAnsi"/>
          <w:lang w:val="en-US"/>
        </w:rPr>
        <w:t xml:space="preserve">small </w:t>
      </w:r>
      <w:r w:rsidR="008F3E07">
        <w:rPr>
          <w:rFonts w:cstheme="minorHAnsi"/>
          <w:lang w:val="en-US"/>
        </w:rPr>
        <w:t xml:space="preserve">populations </w:t>
      </w:r>
      <w:r w:rsidR="00A15EA5">
        <w:rPr>
          <w:rFonts w:cstheme="minorHAnsi"/>
          <w:lang w:val="en-US"/>
        </w:rPr>
        <w:t xml:space="preserve">are the </w:t>
      </w:r>
      <w:r w:rsidR="001C68E7">
        <w:rPr>
          <w:rFonts w:cstheme="minorHAnsi"/>
          <w:lang w:val="en-US"/>
        </w:rPr>
        <w:t xml:space="preserve">key drivers </w:t>
      </w:r>
      <w:r w:rsidR="00A15EA5">
        <w:rPr>
          <w:rFonts w:cstheme="minorHAnsi"/>
          <w:lang w:val="en-US"/>
        </w:rPr>
        <w:t xml:space="preserve">of genetic diversity </w:t>
      </w:r>
      <w:r w:rsidR="008F3E07">
        <w:rPr>
          <w:rFonts w:cstheme="minorHAnsi"/>
          <w:lang w:val="en-US"/>
        </w:rPr>
        <w:t xml:space="preserve">loss </w:t>
      </w:r>
      <w:r w:rsidR="00A15EA5">
        <w:rPr>
          <w:rFonts w:cstheme="minorHAnsi"/>
          <w:lang w:val="en-US"/>
        </w:rPr>
        <w:t xml:space="preserve">within populations and </w:t>
      </w:r>
      <w:r w:rsidR="001C68E7">
        <w:rPr>
          <w:rFonts w:cstheme="minorHAnsi"/>
          <w:lang w:val="en-US"/>
        </w:rPr>
        <w:t xml:space="preserve">an </w:t>
      </w:r>
      <w:r w:rsidR="00A15EA5">
        <w:rPr>
          <w:rFonts w:cstheme="minorHAnsi"/>
          <w:lang w:val="en-US"/>
        </w:rPr>
        <w:t xml:space="preserve">increase in spatial genetic structure in urban isolated bird populations </w:t>
      </w:r>
      <w:r w:rsidR="00356DFE" w:rsidRPr="001830F3">
        <w:rPr>
          <w:rFonts w:cstheme="minorHAnsi"/>
          <w:lang w:val="en-US"/>
        </w:rPr>
        <w:fldChar w:fldCharType="begin" w:fldLock="1"/>
      </w:r>
      <w:r w:rsidR="00356DFE">
        <w:rPr>
          <w:rFonts w:cstheme="minorHAnsi"/>
          <w:lang w:val="en-US"/>
        </w:rPr>
        <w:instrText>ADDIN CSL_CITATION {"citationItems":[{"id":"ITEM-1","itemData":{"DOI":"10.1016/S0169-5347(02)02489-8","ISSN":"01695347","abstract":"Whether inbreeding affects the demography and persistence of natural populations has been questioned. However, new pedigree data from field populations and molecular and analytical tools for tracing patterns of relationship and inbreeding have now enhanced our ability to detect inbreeding depression within and among wild populations. This work reveals that levels of inbreeding depression vary across taxa, populations and environments, but are usually substantial enough to affect both individual and population performance. Data from bird and mammal populations suggest that inbreeding depression often significantly affects birth weight, survival, reproduction and resistance to disease, predation and environmental stress. Plant studies, based mostly on comparing populations that differ in size or levels of genetic variation, also reveal significant inbreeding effects on seed set, germination, survival and resistance to stress. Data from butterflies, birds and plants demonstrate that populations with reduced genetic diversity often experience reduced growth and increased extinction rates. Crosses between such populations often result in heterosis. Such a genetic rescue effect might reflect the masking of fixed deleterious mutations. Thus, it might be necessary to retain gene flow among increasingly fragmented habitat patches to sustain populations that are sensitive to inbreeding.","author":[{"dropping-particle":"","family":"Keller","given":"Lukas F.","non-dropping-particle":"","parse-names":false,"suffix":""},{"dropping-particle":"","family":"Waller","given":"Donald M.","non-dropping-particle":"","parse-names":false,"suffix":""}],"container-title":"Trends in Ecology and Evolution","id":"ITEM-1","issue":"5","issued":{"date-parts":[["2002"]]},"page":"230-241","title":"Inbreeding effects in wild populations","type":"article-journal","volume":"17"},"uris":["http://www.mendeley.com/documents/?uuid=55e9366e-0fa0-4834-b673-e6cc78f5c8c5"]},{"id":"ITEM-2","itemData":{"DOI":"10.1126/science.aam8327","ISSN":"10959203","PMID":"29097520","abstract":"Our planet is an increasingly urbanized landscape, with over half of the human population residing in cities. Despite advances in urban ecology, we do not adequately understand how urbanization affects the evolution of organisms, nor how this evolution may affect ecosystems and human health. Here, we review evidence for the effects of urbanization on the evolution of microbes, plants, and animals that inhabit cities. Urbanization affects adaptive and nonadaptive evolutionary processes that shape the genetic diversity within and between populations. Rapid adaptation has facilitated the success of some native species in urban areas, but it has also allowed human pests and disease to spread more rapidly. The nascent field of urban evolution brings together efforts to understand evolution in response to environmental change while developing new hypotheses concerning adaptation to urban infrastructure and human socioeconomic activity. The next generation of research on urban evolution will provide critical insight into the importance of evolution for sustainable interactions between humans and our city environments.","author":[{"dropping-particle":"","family":"Johnson","given":"Marc T.J.","non-dropping-particle":"","parse-names":false,"suffix":""},{"dropping-particle":"","family":"Munshi-South","given":"Jason","non-dropping-particle":"","parse-names":false,"suffix":""}],"container-title":"Science","id":"ITEM-2","issue":"6363","issued":{"date-parts":[["2017"]]},"title":"Evolution of life in urban environments","type":"article-journal","volume":"358"},"uris":["http://www.mendeley.com/documents/?uuid=23efc65b-4cac-46f4-b450-6cf7baf8f99a"]}],"mendeley":{"formattedCitation":"(Johnson &amp; Munshi-South, 2017; Keller &amp; Waller, 2002)","manualFormatting":"(Keller &amp; Waller, 2002; Whitlock, 2004; Johnson &amp; Munshi-South, 2017; Miles et al., 2019)","plainTextFormattedCitation":"(Johnson &amp; Munshi-South, 2017; Keller &amp; Waller, 2002)","previouslyFormattedCitation":"(Johnson &amp; Munshi-South, 2017; Keller &amp; Waller, 2002)"},"properties":{"noteIndex":0},"schema":"https://github.com/citation-style-language/schema/raw/master/csl-citation.json"}</w:instrText>
      </w:r>
      <w:r w:rsidR="00356DFE" w:rsidRPr="001830F3">
        <w:rPr>
          <w:rFonts w:cstheme="minorHAnsi"/>
          <w:lang w:val="en-US"/>
        </w:rPr>
        <w:fldChar w:fldCharType="separate"/>
      </w:r>
      <w:r w:rsidR="00356DFE" w:rsidRPr="001830F3">
        <w:rPr>
          <w:rFonts w:cstheme="minorHAnsi"/>
          <w:noProof/>
          <w:lang w:val="en-US"/>
        </w:rPr>
        <w:t>(Keller &amp; Waller, 2002; Whitlock, 2004;</w:t>
      </w:r>
      <w:r w:rsidR="00356DFE">
        <w:rPr>
          <w:rFonts w:cstheme="minorHAnsi"/>
          <w:noProof/>
          <w:lang w:val="en-US"/>
        </w:rPr>
        <w:t xml:space="preserve"> </w:t>
      </w:r>
      <w:r w:rsidR="00356DFE" w:rsidRPr="001830F3">
        <w:rPr>
          <w:rFonts w:cstheme="minorHAnsi"/>
          <w:noProof/>
          <w:lang w:val="en-US"/>
        </w:rPr>
        <w:t>Johnson &amp; Munshi-South, 2017</w:t>
      </w:r>
      <w:r w:rsidR="00356DFE">
        <w:rPr>
          <w:rFonts w:cstheme="minorHAnsi"/>
          <w:noProof/>
          <w:lang w:val="en-US"/>
        </w:rPr>
        <w:t xml:space="preserve">; </w:t>
      </w:r>
      <w:r w:rsidR="00356DFE" w:rsidRPr="001830F3">
        <w:rPr>
          <w:rFonts w:cstheme="minorHAnsi"/>
          <w:noProof/>
          <w:lang w:val="en-US"/>
        </w:rPr>
        <w:t>Miles et al., 2019)</w:t>
      </w:r>
      <w:r w:rsidR="00356DFE" w:rsidRPr="001830F3">
        <w:rPr>
          <w:rFonts w:cstheme="minorHAnsi"/>
          <w:lang w:val="en-US"/>
        </w:rPr>
        <w:fldChar w:fldCharType="end"/>
      </w:r>
      <w:r w:rsidR="00233E51" w:rsidRPr="001830F3">
        <w:rPr>
          <w:rFonts w:cstheme="minorHAnsi"/>
          <w:lang w:val="en-US"/>
        </w:rPr>
        <w:t>.</w:t>
      </w:r>
      <w:r w:rsidR="00682C8F" w:rsidRPr="001830F3">
        <w:rPr>
          <w:rFonts w:cstheme="minorHAnsi"/>
          <w:lang w:val="en-US"/>
        </w:rPr>
        <w:t xml:space="preserve"> In </w:t>
      </w:r>
      <w:r w:rsidR="00BC3827" w:rsidRPr="001830F3">
        <w:rPr>
          <w:rFonts w:cstheme="minorHAnsi"/>
          <w:lang w:val="en-US"/>
        </w:rPr>
        <w:t>wren-tits</w:t>
      </w:r>
      <w:r w:rsidR="00335338">
        <w:rPr>
          <w:rFonts w:cstheme="minorHAnsi"/>
          <w:lang w:val="en-US"/>
        </w:rPr>
        <w:t>,</w:t>
      </w:r>
      <w:r w:rsidR="00682C8F" w:rsidRPr="001830F3">
        <w:rPr>
          <w:rFonts w:cstheme="minorHAnsi"/>
          <w:lang w:val="en-US"/>
        </w:rPr>
        <w:t xml:space="preserve"> </w:t>
      </w:r>
      <w:proofErr w:type="spellStart"/>
      <w:r w:rsidR="00682C8F" w:rsidRPr="001830F3">
        <w:rPr>
          <w:rFonts w:cstheme="minorHAnsi"/>
          <w:i/>
          <w:iCs/>
          <w:lang w:val="en-US"/>
        </w:rPr>
        <w:t>Chamaea</w:t>
      </w:r>
      <w:proofErr w:type="spellEnd"/>
      <w:r w:rsidR="00682C8F" w:rsidRPr="001830F3">
        <w:rPr>
          <w:rFonts w:cstheme="minorHAnsi"/>
          <w:i/>
          <w:iCs/>
          <w:lang w:val="en-US"/>
        </w:rPr>
        <w:t xml:space="preserve"> </w:t>
      </w:r>
      <w:proofErr w:type="spellStart"/>
      <w:r w:rsidR="00682C8F" w:rsidRPr="001830F3">
        <w:rPr>
          <w:rFonts w:cstheme="minorHAnsi"/>
          <w:i/>
          <w:iCs/>
          <w:lang w:val="en-US"/>
        </w:rPr>
        <w:t>fasciata</w:t>
      </w:r>
      <w:proofErr w:type="spellEnd"/>
      <w:r w:rsidR="00682C8F" w:rsidRPr="001830F3">
        <w:rPr>
          <w:rFonts w:cstheme="minorHAnsi"/>
          <w:lang w:val="en-US"/>
        </w:rPr>
        <w:t xml:space="preserve">, </w:t>
      </w:r>
      <w:r w:rsidR="00F87102">
        <w:rPr>
          <w:rFonts w:cstheme="minorHAnsi"/>
          <w:lang w:val="en-US"/>
        </w:rPr>
        <w:t>significant</w:t>
      </w:r>
      <w:r w:rsidR="00F87102" w:rsidRPr="001830F3">
        <w:rPr>
          <w:rFonts w:cstheme="minorHAnsi"/>
          <w:lang w:val="en-US"/>
        </w:rPr>
        <w:t xml:space="preserve"> </w:t>
      </w:r>
      <w:r w:rsidR="00682C8F" w:rsidRPr="001830F3">
        <w:rPr>
          <w:rFonts w:cstheme="minorHAnsi"/>
          <w:lang w:val="en-US"/>
        </w:rPr>
        <w:t xml:space="preserve">genetic </w:t>
      </w:r>
      <w:r w:rsidR="00826C6B" w:rsidRPr="001830F3">
        <w:rPr>
          <w:rFonts w:cstheme="minorHAnsi"/>
          <w:lang w:val="en-US"/>
        </w:rPr>
        <w:t>structure</w:t>
      </w:r>
      <w:r w:rsidR="00682C8F" w:rsidRPr="001830F3">
        <w:rPr>
          <w:rFonts w:cstheme="minorHAnsi"/>
          <w:lang w:val="en-US"/>
        </w:rPr>
        <w:t xml:space="preserve"> </w:t>
      </w:r>
      <w:r w:rsidR="00F87102">
        <w:rPr>
          <w:rFonts w:cstheme="minorHAnsi"/>
          <w:lang w:val="en-US"/>
        </w:rPr>
        <w:t xml:space="preserve">was found </w:t>
      </w:r>
      <w:r w:rsidR="009203FB">
        <w:rPr>
          <w:rFonts w:cstheme="minorHAnsi"/>
          <w:lang w:val="en-US"/>
        </w:rPr>
        <w:t xml:space="preserve">in </w:t>
      </w:r>
      <w:r w:rsidR="00682C8F" w:rsidRPr="001830F3">
        <w:rPr>
          <w:rFonts w:cstheme="minorHAnsi"/>
          <w:lang w:val="en-US"/>
        </w:rPr>
        <w:t>populations</w:t>
      </w:r>
      <w:r w:rsidR="00A15EA5">
        <w:rPr>
          <w:rFonts w:cstheme="minorHAnsi"/>
          <w:lang w:val="en-US"/>
        </w:rPr>
        <w:t xml:space="preserve"> </w:t>
      </w:r>
      <w:r w:rsidR="00682C8F" w:rsidRPr="001830F3">
        <w:rPr>
          <w:rFonts w:cstheme="minorHAnsi"/>
          <w:lang w:val="en-US"/>
        </w:rPr>
        <w:t>separated by a highway and a strip of residential development in southern California</w:t>
      </w:r>
      <w:r w:rsidR="00561918">
        <w:rPr>
          <w:rFonts w:cstheme="minorHAnsi"/>
          <w:lang w:val="en-US"/>
        </w:rPr>
        <w:t xml:space="preserve"> </w:t>
      </w:r>
      <w:r w:rsidR="00D22709" w:rsidRPr="001830F3">
        <w:rPr>
          <w:rFonts w:cstheme="minorHAnsi"/>
          <w:lang w:val="en-US"/>
        </w:rPr>
        <w:fldChar w:fldCharType="begin" w:fldLock="1"/>
      </w:r>
      <w:r w:rsidR="005E02BF">
        <w:rPr>
          <w:rFonts w:cstheme="minorHAnsi"/>
          <w:lang w:val="en-US"/>
        </w:rPr>
        <w:instrText>ADDIN CSL_CITATION {"citationItems":[{"id":"ITEM-1","itemData":{"DOI":"10.1371/journal.pone.0012767","author":[{"dropping-particle":"","family":"Delaney","given":"Kathleen Semple","non-dropping-particle":"","parse-names":false,"suffix":""},{"dropping-particle":"","family":"Riley","given":"Seth P D","non-dropping-particle":"","parse-names":false,"suffix":""},{"dropping-particle":"","family":"Fisher","given":"Robert N","non-dropping-particle":"","parse-names":false,"suffix":""}],"container-title":"PLoS ONE","id":"ITEM-1","issue":"9","issued":{"date-parts":[["2010"]]},"title":"A Rapid , Strong , and Convergent Genetic Response to Urban Habitat Fragmentation in Four Divergent and Widespread Vertebrates","type":"article-journal","volume":"5"},"uris":["http://www.mendeley.com/documents/?uuid=4996e313-8fb2-443f-881b-f7fb2d33f756"]}],"mendeley":{"formattedCitation":"(Delaney et al., 2010)","plainTextFormattedCitation":"(Delaney et al., 2010)","previouslyFormattedCitation":"(Delaney et al., 2010)"},"properties":{"noteIndex":0},"schema":"https://github.com/citation-style-language/schema/raw/master/csl-citation.json"}</w:instrText>
      </w:r>
      <w:r w:rsidR="00D22709" w:rsidRPr="001830F3">
        <w:rPr>
          <w:rFonts w:cstheme="minorHAnsi"/>
          <w:lang w:val="en-US"/>
        </w:rPr>
        <w:fldChar w:fldCharType="separate"/>
      </w:r>
      <w:r w:rsidR="00493C4B" w:rsidRPr="00493C4B">
        <w:rPr>
          <w:rFonts w:cstheme="minorHAnsi"/>
          <w:noProof/>
          <w:lang w:val="en-US"/>
        </w:rPr>
        <w:t>(Delaney et al., 2010)</w:t>
      </w:r>
      <w:r w:rsidR="00D22709" w:rsidRPr="001830F3">
        <w:rPr>
          <w:rFonts w:cstheme="minorHAnsi"/>
          <w:lang w:val="en-US"/>
        </w:rPr>
        <w:fldChar w:fldCharType="end"/>
      </w:r>
      <w:r w:rsidR="00682C8F" w:rsidRPr="001830F3">
        <w:rPr>
          <w:rFonts w:cstheme="minorHAnsi"/>
          <w:lang w:val="en-US"/>
        </w:rPr>
        <w:t xml:space="preserve">. In </w:t>
      </w:r>
      <w:r w:rsidR="00F87102">
        <w:rPr>
          <w:rFonts w:cstheme="minorHAnsi"/>
          <w:lang w:val="en-US"/>
        </w:rPr>
        <w:t xml:space="preserve">the </w:t>
      </w:r>
      <w:r w:rsidR="00682C8F" w:rsidRPr="001830F3">
        <w:rPr>
          <w:rFonts w:cstheme="minorHAnsi"/>
          <w:lang w:val="en-US"/>
        </w:rPr>
        <w:t xml:space="preserve">song sparrow </w:t>
      </w:r>
      <w:proofErr w:type="spellStart"/>
      <w:r w:rsidR="00682C8F" w:rsidRPr="001830F3">
        <w:rPr>
          <w:rFonts w:cstheme="minorHAnsi"/>
          <w:i/>
          <w:iCs/>
          <w:lang w:val="en-US"/>
        </w:rPr>
        <w:t>Melospiza</w:t>
      </w:r>
      <w:proofErr w:type="spellEnd"/>
      <w:r w:rsidR="00682C8F" w:rsidRPr="001830F3">
        <w:rPr>
          <w:rFonts w:cstheme="minorHAnsi"/>
          <w:i/>
          <w:iCs/>
          <w:lang w:val="en-US"/>
        </w:rPr>
        <w:t xml:space="preserve"> </w:t>
      </w:r>
      <w:proofErr w:type="spellStart"/>
      <w:r w:rsidR="00682C8F" w:rsidRPr="001830F3">
        <w:rPr>
          <w:rFonts w:cstheme="minorHAnsi"/>
          <w:i/>
          <w:iCs/>
          <w:lang w:val="en-US"/>
        </w:rPr>
        <w:t>melodia</w:t>
      </w:r>
      <w:proofErr w:type="spellEnd"/>
      <w:r w:rsidR="00682C8F" w:rsidRPr="001830F3">
        <w:rPr>
          <w:rFonts w:cstheme="minorHAnsi"/>
          <w:i/>
          <w:iCs/>
          <w:lang w:val="en-US"/>
        </w:rPr>
        <w:t xml:space="preserve">, </w:t>
      </w:r>
      <w:r w:rsidR="00F87102">
        <w:rPr>
          <w:rFonts w:cstheme="minorHAnsi"/>
          <w:lang w:val="en-US"/>
        </w:rPr>
        <w:t xml:space="preserve">researchers </w:t>
      </w:r>
      <w:r w:rsidR="00CA3548" w:rsidRPr="001830F3">
        <w:rPr>
          <w:rFonts w:cstheme="minorHAnsi"/>
          <w:lang w:val="en-US"/>
        </w:rPr>
        <w:t xml:space="preserve">found </w:t>
      </w:r>
      <w:r w:rsidR="00A41660">
        <w:rPr>
          <w:rFonts w:cstheme="minorHAnsi"/>
          <w:lang w:val="en-US"/>
        </w:rPr>
        <w:t xml:space="preserve">lower </w:t>
      </w:r>
      <w:r w:rsidR="00B613BD">
        <w:rPr>
          <w:rFonts w:cstheme="minorHAnsi"/>
          <w:lang w:val="en-US"/>
        </w:rPr>
        <w:t xml:space="preserve">genetic diversity </w:t>
      </w:r>
      <w:r w:rsidR="00805140">
        <w:rPr>
          <w:rFonts w:cstheme="minorHAnsi"/>
          <w:lang w:val="en-US"/>
        </w:rPr>
        <w:t xml:space="preserve">in populations where </w:t>
      </w:r>
      <w:r w:rsidR="00B613BD">
        <w:rPr>
          <w:rFonts w:cstheme="minorHAnsi"/>
          <w:lang w:val="en-US"/>
        </w:rPr>
        <w:t xml:space="preserve">urban development </w:t>
      </w:r>
      <w:r w:rsidR="00805140">
        <w:rPr>
          <w:rFonts w:cstheme="minorHAnsi"/>
          <w:lang w:val="en-US"/>
        </w:rPr>
        <w:t xml:space="preserve">had been </w:t>
      </w:r>
      <w:r w:rsidR="00B613BD">
        <w:rPr>
          <w:rFonts w:cstheme="minorHAnsi"/>
          <w:lang w:val="en-US"/>
        </w:rPr>
        <w:t>extensive</w:t>
      </w:r>
      <w:r w:rsidR="00805140">
        <w:rPr>
          <w:rFonts w:cstheme="minorHAnsi"/>
          <w:lang w:val="en-US"/>
        </w:rPr>
        <w:t xml:space="preserve"> and had occurred over long periods of time</w:t>
      </w:r>
      <w:r w:rsidR="003B318A">
        <w:rPr>
          <w:rFonts w:cstheme="minorHAnsi"/>
          <w:lang w:val="en-US"/>
        </w:rPr>
        <w:t xml:space="preserve"> </w:t>
      </w:r>
      <w:r w:rsidR="00D22709" w:rsidRPr="001830F3">
        <w:rPr>
          <w:rFonts w:cstheme="minorHAnsi"/>
          <w:lang w:val="en-US"/>
        </w:rPr>
        <w:fldChar w:fldCharType="begin" w:fldLock="1"/>
      </w:r>
      <w:r w:rsidR="00A96C2F" w:rsidRPr="001830F3">
        <w:rPr>
          <w:rFonts w:cstheme="minorHAnsi"/>
          <w:lang w:val="en-US"/>
        </w:rPr>
        <w:instrText>ADDIN CSL_CITATION {"citationItems":[{"id":"ITEM-1","itemData":{"DOI":"10.1007/s10592-012-0422-2","ISSN":"15729737","abstract":"Urbanization may affect genetic differentiation among animal populations because it converts native vegetation to novel land cover types that can affect population connectivity. The effect of land cover change on genetic differentiation may vary among taxa; mobile birds may be least affected. Regardless, genetic differentiation between populations should be best predicted by measures of distance that incorporate the effect of land cover on movement. We studied the relationship between land cover and genetic differentiation in Song Sparrows (Melospiza melodia) at eighteen sites in the Seattle metropolitan region. We generated a series of hypothetical \"resistance surfaces\" based on land cover and development age, calculated \"resistance distances\" between pairs of sampling sites, and related them to pairwise genetic differentiation. Genetic differentiation was best described by a multiple regression model where resistance to gene flow (1) linearly increased with age of development and (2) was greater in high- and medium-density urbanization than in native forest land cover types (R2 = 0. 15; p = 0. 003). The single variable with the highest correlation with genetic differentiation was derived from a linear relationship between development age and resistance (R2 = 0. 08; p = 0. 007). Our results thus suggested that urban development reduced population connectivity for Song Sparrows. However, the relation of development age to genetic differentiation suggested that equilibrium was not yet reached. Hence, the effects of lost connectivity will increase. Our understanding of the landscape genetics of this recently anthropogenically modified landscape benefited from considering population history. © 2012 Springer Science+Business Media Dordrecht.","author":[{"dropping-particle":"","family":"Unfried","given":"Thomas M.","non-dropping-particle":"","parse-names":false,"suffix":""},{"dropping-particle":"","family":"Hauser","given":"Lorenz","non-dropping-particle":"","parse-names":false,"suffix":""},{"dropping-particle":"","family":"Marzluff","given":"John M.","non-dropping-particle":"","parse-names":false,"suffix":""}],"container-title":"Conservation Genetics","id":"ITEM-1","issue":"1","issued":{"date-parts":[["2013"]]},"page":"41-53","title":"Effects of urbanization on Song Sparrow (Melospiza melodia) population connectivity","type":"article-journal","volume":"14"},"uris":["http://www.mendeley.com/documents/?uuid=db14ea3b-8c07-49f8-996c-fa22f68e52e1"]}],"mendeley":{"formattedCitation":"(Unfried et al., 2013)","plainTextFormattedCitation":"(Unfried et al., 2013)","previouslyFormattedCitation":"(Unfried et al., 2013)"},"properties":{"noteIndex":0},"schema":"https://github.com/citation-style-language/schema/raw/master/csl-citation.json"}</w:instrText>
      </w:r>
      <w:r w:rsidR="00D22709" w:rsidRPr="001830F3">
        <w:rPr>
          <w:rFonts w:cstheme="minorHAnsi"/>
          <w:lang w:val="en-US"/>
        </w:rPr>
        <w:fldChar w:fldCharType="separate"/>
      </w:r>
      <w:r w:rsidR="00D07D97" w:rsidRPr="001830F3">
        <w:rPr>
          <w:rFonts w:cstheme="minorHAnsi"/>
          <w:noProof/>
          <w:lang w:val="en-US"/>
        </w:rPr>
        <w:t>(Unfried et al., 2013)</w:t>
      </w:r>
      <w:r w:rsidR="00D22709" w:rsidRPr="001830F3">
        <w:rPr>
          <w:rFonts w:cstheme="minorHAnsi"/>
          <w:lang w:val="en-US"/>
        </w:rPr>
        <w:fldChar w:fldCharType="end"/>
      </w:r>
      <w:r w:rsidR="00BA101C" w:rsidRPr="001830F3">
        <w:rPr>
          <w:rFonts w:cstheme="minorHAnsi"/>
          <w:lang w:val="en-US"/>
        </w:rPr>
        <w:t>.</w:t>
      </w:r>
      <w:r w:rsidR="00236BE6" w:rsidRPr="001830F3">
        <w:rPr>
          <w:rFonts w:cstheme="minorHAnsi"/>
          <w:lang w:val="en-US"/>
        </w:rPr>
        <w:t xml:space="preserve"> </w:t>
      </w:r>
      <w:r w:rsidR="007965C3">
        <w:rPr>
          <w:rFonts w:cstheme="minorHAnsi"/>
          <w:lang w:val="en-US"/>
        </w:rPr>
        <w:t xml:space="preserve">These results indicate that urbanization has the potential to </w:t>
      </w:r>
      <w:r w:rsidR="008F3E07">
        <w:rPr>
          <w:rFonts w:cstheme="minorHAnsi"/>
          <w:lang w:val="en-US"/>
        </w:rPr>
        <w:t>decrease</w:t>
      </w:r>
      <w:r w:rsidR="007965C3">
        <w:rPr>
          <w:rFonts w:cstheme="minorHAnsi"/>
          <w:lang w:val="en-US"/>
        </w:rPr>
        <w:t xml:space="preserve"> genetic </w:t>
      </w:r>
      <w:r w:rsidR="007965C3">
        <w:rPr>
          <w:rFonts w:cstheme="minorHAnsi"/>
          <w:lang w:val="en-US"/>
        </w:rPr>
        <w:lastRenderedPageBreak/>
        <w:t>diversity within fragmented populations inside urbanized matrices and increase the genetic structure of bird populations.</w:t>
      </w:r>
    </w:p>
    <w:p w14:paraId="63538A29" w14:textId="69E187DB" w:rsidR="008D72E6" w:rsidRPr="001830F3" w:rsidRDefault="000E0D6B" w:rsidP="00F80AB6">
      <w:pPr>
        <w:spacing w:line="480" w:lineRule="auto"/>
        <w:ind w:firstLine="709"/>
        <w:rPr>
          <w:rFonts w:cstheme="minorHAnsi"/>
          <w:lang w:val="en-US"/>
        </w:rPr>
      </w:pPr>
      <w:bookmarkStart w:id="5" w:name="_Hlk131603024"/>
      <w:bookmarkStart w:id="6" w:name="_Hlk167380868"/>
      <w:r>
        <w:rPr>
          <w:rFonts w:cstheme="minorHAnsi"/>
          <w:lang w:val="en-US"/>
        </w:rPr>
        <w:t xml:space="preserve">The </w:t>
      </w:r>
      <w:r w:rsidR="00076181">
        <w:rPr>
          <w:rFonts w:cstheme="minorHAnsi"/>
          <w:lang w:val="en-US"/>
        </w:rPr>
        <w:t xml:space="preserve">genetic structure </w:t>
      </w:r>
      <w:r>
        <w:rPr>
          <w:rFonts w:cstheme="minorHAnsi"/>
          <w:lang w:val="en-US"/>
        </w:rPr>
        <w:t xml:space="preserve">detected in urban populations of several bird species correlated </w:t>
      </w:r>
      <w:r w:rsidR="00076181">
        <w:rPr>
          <w:rFonts w:cstheme="minorHAnsi"/>
          <w:lang w:val="en-US"/>
        </w:rPr>
        <w:t xml:space="preserve">with </w:t>
      </w:r>
      <w:r>
        <w:rPr>
          <w:rFonts w:cstheme="minorHAnsi"/>
          <w:lang w:val="en-US"/>
        </w:rPr>
        <w:t xml:space="preserve">song </w:t>
      </w:r>
      <w:r w:rsidR="00076181">
        <w:rPr>
          <w:rFonts w:cstheme="minorHAnsi"/>
          <w:lang w:val="en-US"/>
        </w:rPr>
        <w:t xml:space="preserve">differences </w:t>
      </w:r>
      <w:r w:rsidR="00D22709" w:rsidRPr="001830F3">
        <w:rPr>
          <w:rFonts w:cstheme="minorHAnsi"/>
          <w:lang w:val="en-US"/>
        </w:rPr>
        <w:fldChar w:fldCharType="begin" w:fldLock="1"/>
      </w:r>
      <w:r w:rsidR="00B566B4">
        <w:rPr>
          <w:rFonts w:cstheme="minorHAnsi"/>
          <w:lang w:val="en-US"/>
        </w:rPr>
        <w:instrText>ADDIN CSL_CITATION {"citationItems":[{"id":"ITEM-1","itemData":{"DOI":"10.1002/ece3.3456","ISSN":"20457758","abstract":"Animals exhibit diverse dispersal strategies, including sex-biased dispersal, a phenomenon common in vertebrates. Dispersal influences the genetic structure of populations as well as geographic variation in phenotypic traits. Patterns of spatial genetic structure and geographic variation may vary between the sexes whenever males and females exhibit different dispersal behaviors. Here, we examine dispersal, spatial genetic structure, and spatial acoustic structure in Rufous-and-white Wrens, a year-round resident tropical bird. Both sexes sing in this species, allowing us to compare acoustic variation between males and females and examine the relationship between dispersal and song sharing for both sexes. Using a long-term dataset collected over an 11-year period, we used banding data and molecular genetic analyses to quantify natal and breeding dispersal distance in Rufous-and-white Wrens. We quantified song sharing and examined whether sharing varied with dispersal distance, for both males and females. Observational data and molecular genetic analyses indicate that dispersal is female-biased. Females dispersed farther from natal territories than males, and more often between breeding territories than males. Furthermore, females showed no significant spatial genetic structure, consistent with expectations, whereas males showed significant spatial genetic structure. Overall, natal dispersal appears to have more influence than breeding dispersal on spatial genetic structure and spatial acoustic structure, given that the majority of breeding dispersal events resulted in individuals moving only short distances. Song sharing between pairs of same-sex animals decreases with the distance between their territories for both males and females, although males exhibited significantly greater song sharing than females. Lastly, we measured the relationship between natal dispersal distance and song sharing. We found that sons shared fewer songs with their fathers the farther they dispersed from their natal territories, but that song sharing between daughters and mothers was not significantly correlated with natal dispersal distance. Our results reveal cultural differences between the sexes, suggesting a relationship between culture and sex-biased dispersal.","author":[{"dropping-particle":"","family":"Graham","given":"Brendan A.","non-dropping-particle":"","parse-names":false,"suffix":""},{"dropping-particle":"","family":"Heath","given":"Daniel D.","non-dropping-particle":"","parse-names":false,"suffix":""},{"dropping-particle":"","family":"Mennill","given":"Daniel J.","non-dropping-particle":"","parse-names":false,"suffix":""}],"container-title":"Ecology and Evolution","id":"ITEM-1","issue":"23","issued":{"date-parts":[["2017"]]},"page":"10089-10102","title":"Dispersal influences genetic and acoustic spatial structure for both males and females in a tropical songbird","type":"article-journal","volume":"7"},"uris":["http://www.mendeley.com/documents/?uuid=a55a1c51-4824-4cf0-a9c9-70c145dbb889"]},{"id":"ITEM-2","itemData":{"DOI":"10.1073/pnas.0900229106","ISSN":"00278424","PMID":"19487670","abstract":"The genetic coupling hypothesis of signal-preference evolution, whereby the same genes control male signal and female preference for that signal, was first inspired by the evolution of cricket acoustic communication nearly 50 years ago. To examine this hypothesis, we compared the genomic location of quantitative trait loci (QTL) underlying male song and female acoustic preference variation in the Hawaiian cricket genus Laupala. We document a QTL underlying female acoustic preference variation between 2 closely related species (Laupala kohalensis and Laupala paranigra). This preference QTL colocalizes with a song QTL identified previously, providing compelling evidence for a genomic linkage of the genes underlying these traits. We show that both song and preference QTL make small to moderate contributions to the behavioral difference between species, suggesting that divergence in mating behavior among Laupala species is due to the fixation of many genes of minor effect. The diversity of acoustic signaling systems in crickets exemplifies the evolution of elaborate male displays by sexual selection through female choice. Our data reveal genetic conditions that would enable functional coordination between song and acoustic preference divergence during speciation, resulting in a behaviorally coupled mode of signal-preference evolution. Interestingly, Laupala exhibits one of the fastest rates of speciation in animals, concomitant with equally rapid evolution in sexual signaling behaviors. Genomic linkage may facilitate rapid speciation by contributing to genetic correlations between sexual signaling behaviors that eventually cause sexual isolation between diverging populations.","author":[{"dropping-particle":"","family":"Shaw","given":"Kerry L.","non-dropping-particle":"","parse-names":false,"suffix":""},{"dropping-particle":"","family":"Lesnick","given":"Sky C.","non-dropping-particle":"","parse-names":false,"suffix":""}],"container-title":"Proceedings of the National Academy of Sciences of the United States of America","id":"ITEM-2","issue":"24","issued":{"date-parts":[["2009"]]},"page":"9737-9742","title":"Genomic linkage of male song and female acoustic preference QTL underlying a rapid species radiation","type":"article-journal","volume":"106"},"uris":["http://www.mendeley.com/documents/?uuid=0ef817f1-a3c4-4c1d-bc75-14278beb15fe"]},{"id":"ITEM-3","itemData":{"DOI":"10.1002/ece3.2475","ISSN":"20457758","abstract":"Various mechanisms of isolation can structure populations and result in cultural and genetic differentiation. Similar to genetic markers, for songbirds, culturally transmitted sexual signals such as breeding song can be used as a measure of differentiation as songs can also be impacted by geographic isolation resulting in population-level differences in song structure. Several studies have found differences in song structure either across ancient geographic barriers or across contemporary habitat barriers owing to deforestation. However, very few studies have examined the effect of both ancient barriers and recent deforestation in the same system. In this study, we examined the geographic variation in song structure across six populations of the White-bellied Shortwing, a threatened and endemic songbird species complex found on isolated mountaintops or “sky islands” of the Western Ghats. While some sky islands in the system are isolated by ancient valleys, others are separated by deforestation. We examined 14 frequency and temporal spectral traits and two syntax traits from 835 songs of 38 individuals across the six populations. We identified three major song clusters based on a discriminant model of spectral traits, degree of similarity of syntax features, as well as responses of birds to opportunistic playback. However, some traits like complex vocal mechanisms (CVM), relating to the use of syrinxes, clearly differentiated both ancient and recently fragmented populations. We suggest that CVMs may have a cultural basis and can be used to identify culturally isolated populations that cannot be differentiated using genetic markers or commonly used frequency-based song traits. Our results demonstrate the use of bird songs to reconstruct phylogenetic groups and impacts of habitat fragmentation even in complex scenarios of historic and contemporary isolation.","author":[{"dropping-particle":"","family":"Purushotham","given":"Chetana B.","non-dropping-particle":"","parse-names":false,"suffix":""},{"dropping-particle":"V.","family":"Robin","given":"V.","non-dropping-particle":"","parse-names":false,"suffix":""}],"container-title":"Ecology and Evolution","id":"ITEM-3","issue":"20","issued":{"date-parts":[["2016"]]},"page":"7334-7343","title":"Sky island bird populations isolated by ancient genetic barriers are characterized by different song traits than those isolated by recent deforestation","type":"article-journal","volume":"6"},"uris":["http://www.mendeley.com/documents/?uuid=e8e5d020-40fe-4204-806a-57f088c7efc6"]}],"mendeley":{"formattedCitation":"(Graham et al., 2017; Purushotham &amp; Robin, 2016; Shaw &amp; Lesnick, 2009)","manualFormatting":"( Gonzalez et al., 2011; Purushotham &amp; Robin, 2016)","plainTextFormattedCitation":"(Graham et al., 2017; Purushotham &amp; Robin, 2016; Shaw &amp; Lesnick, 2009)","previouslyFormattedCitation":"(Graham et al., 2017; Purushotham &amp; Robin, 2016; Shaw &amp; Lesnick, 2009)"},"properties":{"noteIndex":0},"schema":"https://github.com/citation-style-language/schema/raw/master/csl-citation.json"}</w:instrText>
      </w:r>
      <w:r w:rsidR="00D22709" w:rsidRPr="001830F3">
        <w:rPr>
          <w:rFonts w:cstheme="minorHAnsi"/>
          <w:lang w:val="en-US"/>
        </w:rPr>
        <w:fldChar w:fldCharType="separate"/>
      </w:r>
      <w:r w:rsidR="00D207C2" w:rsidRPr="001830F3">
        <w:rPr>
          <w:rFonts w:cstheme="minorHAnsi"/>
          <w:noProof/>
          <w:lang w:val="en-US"/>
        </w:rPr>
        <w:t>(</w:t>
      </w:r>
      <w:r w:rsidR="00681AEE" w:rsidRPr="001830F3">
        <w:rPr>
          <w:rFonts w:cstheme="minorHAnsi"/>
          <w:noProof/>
          <w:lang w:val="en-US"/>
        </w:rPr>
        <w:t xml:space="preserve"> </w:t>
      </w:r>
      <w:r w:rsidR="000E5A25" w:rsidRPr="001830F3">
        <w:rPr>
          <w:rFonts w:cstheme="minorHAnsi"/>
          <w:noProof/>
          <w:lang w:val="en-US"/>
        </w:rPr>
        <w:t xml:space="preserve">Gonzalez et al., 2011; </w:t>
      </w:r>
      <w:r w:rsidR="00681AEE" w:rsidRPr="001830F3">
        <w:rPr>
          <w:rFonts w:cstheme="minorHAnsi"/>
          <w:noProof/>
          <w:lang w:val="en-US"/>
        </w:rPr>
        <w:t>Purushotham &amp; Robin, 2016</w:t>
      </w:r>
      <w:r w:rsidR="00D207C2" w:rsidRPr="001830F3">
        <w:rPr>
          <w:rFonts w:cstheme="minorHAnsi"/>
          <w:noProof/>
          <w:lang w:val="en-US"/>
        </w:rPr>
        <w:t>)</w:t>
      </w:r>
      <w:r w:rsidR="00D22709" w:rsidRPr="001830F3">
        <w:rPr>
          <w:rFonts w:cstheme="minorHAnsi"/>
          <w:lang w:val="en-US"/>
        </w:rPr>
        <w:fldChar w:fldCharType="end"/>
      </w:r>
      <w:r w:rsidR="00D207C2" w:rsidRPr="001830F3">
        <w:rPr>
          <w:rFonts w:cstheme="minorHAnsi"/>
          <w:lang w:val="en-US"/>
        </w:rPr>
        <w:t xml:space="preserve">. </w:t>
      </w:r>
      <w:bookmarkStart w:id="7" w:name="_Hlk181876320"/>
      <w:bookmarkEnd w:id="5"/>
      <w:r w:rsidR="001B2761">
        <w:rPr>
          <w:rFonts w:cstheme="minorHAnsi"/>
          <w:lang w:val="en-US"/>
        </w:rPr>
        <w:t>V</w:t>
      </w:r>
      <w:r w:rsidR="00250561" w:rsidRPr="001830F3">
        <w:rPr>
          <w:rFonts w:cstheme="minorHAnsi"/>
          <w:lang w:val="en-US"/>
        </w:rPr>
        <w:t>ariation</w:t>
      </w:r>
      <w:r w:rsidR="00FD79AD">
        <w:rPr>
          <w:rFonts w:cstheme="minorHAnsi"/>
          <w:lang w:val="en-US"/>
        </w:rPr>
        <w:t xml:space="preserve"> </w:t>
      </w:r>
      <w:r w:rsidR="001B2761">
        <w:rPr>
          <w:rFonts w:cstheme="minorHAnsi"/>
          <w:lang w:val="en-US"/>
        </w:rPr>
        <w:t>in the acoustic traits of song</w:t>
      </w:r>
      <w:r w:rsidR="00B53581">
        <w:rPr>
          <w:rFonts w:cstheme="minorHAnsi"/>
          <w:lang w:val="en-US"/>
        </w:rPr>
        <w:t>s</w:t>
      </w:r>
      <w:r w:rsidR="001B2761">
        <w:rPr>
          <w:rFonts w:cstheme="minorHAnsi"/>
          <w:lang w:val="en-US"/>
        </w:rPr>
        <w:t xml:space="preserve"> </w:t>
      </w:r>
      <w:r w:rsidR="00526539">
        <w:rPr>
          <w:rFonts w:cstheme="minorHAnsi"/>
          <w:lang w:val="en-US"/>
        </w:rPr>
        <w:t>among</w:t>
      </w:r>
      <w:r w:rsidR="00526539" w:rsidRPr="001830F3">
        <w:rPr>
          <w:rFonts w:cstheme="minorHAnsi"/>
          <w:lang w:val="en-US"/>
        </w:rPr>
        <w:t xml:space="preserve"> </w:t>
      </w:r>
      <w:r w:rsidR="001023A5" w:rsidRPr="001830F3">
        <w:rPr>
          <w:rFonts w:cstheme="minorHAnsi"/>
          <w:lang w:val="en-US"/>
        </w:rPr>
        <w:t xml:space="preserve">populations </w:t>
      </w:r>
      <w:r>
        <w:rPr>
          <w:rFonts w:cstheme="minorHAnsi"/>
          <w:lang w:val="en-US"/>
        </w:rPr>
        <w:t>emerges</w:t>
      </w:r>
      <w:r w:rsidRPr="001830F3">
        <w:rPr>
          <w:rFonts w:cstheme="minorHAnsi"/>
          <w:lang w:val="en-US"/>
        </w:rPr>
        <w:t xml:space="preserve"> </w:t>
      </w:r>
      <w:r w:rsidR="00125345" w:rsidRPr="001830F3">
        <w:rPr>
          <w:rFonts w:cstheme="minorHAnsi"/>
          <w:lang w:val="en-US"/>
        </w:rPr>
        <w:t xml:space="preserve">in response to different habitat </w:t>
      </w:r>
      <w:r w:rsidR="0028051B" w:rsidRPr="001830F3">
        <w:rPr>
          <w:rFonts w:cstheme="minorHAnsi"/>
          <w:lang w:val="en-US"/>
        </w:rPr>
        <w:t>characteristics (e.g., vegetation density or noise levels)</w:t>
      </w:r>
      <w:r>
        <w:rPr>
          <w:rFonts w:cstheme="minorHAnsi"/>
          <w:lang w:val="en-US"/>
        </w:rPr>
        <w:t>.</w:t>
      </w:r>
      <w:bookmarkEnd w:id="7"/>
      <w:r>
        <w:rPr>
          <w:rFonts w:cstheme="minorHAnsi"/>
          <w:lang w:val="en-US"/>
        </w:rPr>
        <w:t xml:space="preserve"> </w:t>
      </w:r>
      <w:r w:rsidR="00157B1B">
        <w:rPr>
          <w:rFonts w:cstheme="minorHAnsi"/>
          <w:lang w:val="en-US"/>
        </w:rPr>
        <w:t>These changes</w:t>
      </w:r>
      <w:r>
        <w:rPr>
          <w:rFonts w:cstheme="minorHAnsi"/>
          <w:lang w:val="en-US"/>
        </w:rPr>
        <w:t xml:space="preserve"> presumably </w:t>
      </w:r>
      <w:r w:rsidR="00B53581">
        <w:rPr>
          <w:rFonts w:cstheme="minorHAnsi"/>
          <w:lang w:val="en-US"/>
        </w:rPr>
        <w:t>improv</w:t>
      </w:r>
      <w:r>
        <w:rPr>
          <w:rFonts w:cstheme="minorHAnsi"/>
          <w:lang w:val="en-US"/>
        </w:rPr>
        <w:t>e</w:t>
      </w:r>
      <w:r w:rsidR="00B53581">
        <w:rPr>
          <w:rFonts w:cstheme="minorHAnsi"/>
          <w:lang w:val="en-US"/>
        </w:rPr>
        <w:t xml:space="preserve"> </w:t>
      </w:r>
      <w:r w:rsidR="0028051B" w:rsidRPr="001830F3">
        <w:rPr>
          <w:rFonts w:cstheme="minorHAnsi"/>
          <w:lang w:val="en-US"/>
        </w:rPr>
        <w:t xml:space="preserve">sound </w:t>
      </w:r>
      <w:r w:rsidR="00125345" w:rsidRPr="001830F3">
        <w:rPr>
          <w:rFonts w:cstheme="minorHAnsi"/>
          <w:lang w:val="en-US"/>
        </w:rPr>
        <w:t>transmi</w:t>
      </w:r>
      <w:r w:rsidR="0028051B" w:rsidRPr="001830F3">
        <w:rPr>
          <w:rFonts w:cstheme="minorHAnsi"/>
          <w:lang w:val="en-US"/>
        </w:rPr>
        <w:t>ssion</w:t>
      </w:r>
      <w:r w:rsidR="00125345" w:rsidRPr="001830F3">
        <w:rPr>
          <w:rFonts w:cstheme="minorHAnsi"/>
          <w:lang w:val="en-US"/>
        </w:rPr>
        <w:t xml:space="preserve"> </w:t>
      </w:r>
      <w:r w:rsidR="00D6461B">
        <w:rPr>
          <w:rFonts w:cstheme="minorHAnsi"/>
          <w:lang w:val="en-US"/>
        </w:rPr>
        <w:t xml:space="preserve">and communication </w:t>
      </w:r>
      <w:r w:rsidR="0038755F">
        <w:rPr>
          <w:rFonts w:cstheme="minorHAnsi"/>
          <w:lang w:val="en-US"/>
        </w:rPr>
        <w:t>across</w:t>
      </w:r>
      <w:r w:rsidR="0038755F" w:rsidRPr="001830F3">
        <w:rPr>
          <w:rFonts w:cstheme="minorHAnsi"/>
          <w:lang w:val="en-US"/>
        </w:rPr>
        <w:t xml:space="preserve"> </w:t>
      </w:r>
      <w:r>
        <w:rPr>
          <w:rFonts w:cstheme="minorHAnsi"/>
          <w:lang w:val="en-US"/>
        </w:rPr>
        <w:t>noise</w:t>
      </w:r>
      <w:r w:rsidR="00A92803">
        <w:rPr>
          <w:rFonts w:cstheme="minorHAnsi"/>
          <w:lang w:val="en-US"/>
        </w:rPr>
        <w:t>-</w:t>
      </w:r>
      <w:r>
        <w:rPr>
          <w:rFonts w:cstheme="minorHAnsi"/>
          <w:lang w:val="en-US"/>
        </w:rPr>
        <w:t xml:space="preserve">polluted </w:t>
      </w:r>
      <w:r w:rsidR="00125345" w:rsidRPr="001830F3">
        <w:rPr>
          <w:rFonts w:cstheme="minorHAnsi"/>
          <w:lang w:val="en-US"/>
        </w:rPr>
        <w:t>environment</w:t>
      </w:r>
      <w:r w:rsidR="00FD79AD">
        <w:rPr>
          <w:rFonts w:cstheme="minorHAnsi"/>
          <w:lang w:val="en-US"/>
        </w:rPr>
        <w:t>s</w:t>
      </w:r>
      <w:r w:rsidR="00125345" w:rsidRPr="001830F3">
        <w:rPr>
          <w:rFonts w:cstheme="minorHAnsi"/>
          <w:lang w:val="en-US"/>
        </w:rPr>
        <w:t xml:space="preserve"> </w:t>
      </w:r>
      <w:r w:rsidR="00D22709" w:rsidRPr="001830F3">
        <w:rPr>
          <w:rFonts w:cstheme="minorHAnsi"/>
          <w:lang w:val="en-US"/>
        </w:rPr>
        <w:fldChar w:fldCharType="begin" w:fldLock="1"/>
      </w:r>
      <w:r w:rsidR="00681AEE" w:rsidRPr="001830F3">
        <w:rPr>
          <w:rFonts w:cstheme="minorHAnsi"/>
          <w:lang w:val="en-US"/>
        </w:rPr>
        <w:instrText>ADDIN CSL_CITATION {"citationItems":[{"id":"ITEM-1","itemData":{"DOI":"10.1086/282971","ISSN":"0003-0147","abstract":"This study describes selection derived from habitat acoustics on the physical structure of avian sounds. Sound propagation tests were made in forest, edge, and grassland habitats in Panama to quantify pure tone and random noise band sound transmission levels. The sounds of bird species in each habitat were analyzed to determine the emphasized frequency, frequency range, and sound type (whether pure tofielike or highly modulated). Forest habitats differ from grass and edge in that a narrow range of fre- quencies (1,585-2,500 Hz) has lower sound attenuation than lower or higher frequencies. Attenuation increases rapidly above 2,500 Hz. Bird sounds from species occurring at the lower forest levels were found to be predominantly pure tonelike with a frequency emphasized averaging 2,200 Hz, conforming to the predictions based on sound propagation tests. The edge habitat is characterized by a wide range of frequencies having a generally similar attenuation rate. Pure tone and random noise band sounds did not differ in attenuation rates. The sounds of edge birds have high variance in the frequency-emphasized component, and more are composed of both modulated and pure tone elements to a greater extent than forest or grassland species. It is suggested that this variance is a reflection of a relative lack of selection pressure from habitat acoustics. Grassland propagation tests showed a positive correlation between increasing frequency and increasing attenuation. It is hypothesized that information transfer may be based on temporal aspects of the signal since these are less distorted in temperature- and wind-speed-stratified open environment.","author":[{"dropping-particle":"","family":"Morton","given":"Eugene S.","non-dropping-particle":"","parse-names":false,"suffix":""}],"container-title":"The American Naturalist","id":"ITEM-1","issue":"965","issued":{"date-parts":[["1975"]]},"page":"17-34","title":"Ecological Sources of Selection on Avian Sounds","type":"article-journal","volume":"109"},"uris":["http://www.mendeley.com/documents/?uuid=6816bc77-35f6-4ed1-828e-238d3c539e7d"]},{"id":"ITEM-2","itemData":{"DOI":"10.1111/j.1365-2435.2006.01207.x","ISSN":"02698463","abstract":"1. Habitat structure has been considered as a main factor shaping the evolution of bird song acoustics. 2. Based on expected differential patterns of sound degradation in different habitats, the acoustic adaptation hypothesis (AAH) proposes that songs with lower frequencies, narrower frequency ranges and longer inter-element intervals should occur more frequently in densely vegetated compared with herbaceous habitats. 3. Empirical tests of the AAH have provided mixed results. Here, we review for the first time the literature on this topic using a meta-analytical, quantitative approach. 4. Maximum, minimum, peak frequency and frequency range were found to be significantly lower in closed compared with open habitats, but the mean size of the effect of habitat was small. Inter-element intervals were not affected by habitat structure. 5. The AAH implicitly assumes that birds are selected to maximize song broadcast range and minimize degradation, while it neglects the potential role of energetic costs of singing and selection by eavesdroppers (e.g. predators and parasites). 6. Our meta-analysis supports the AAH, but habitat structure only weakly predicts the acoustical properties of bird songs. Thus, other potentially relevant factors should be included in realistic models of the evolution of bird song acoustics. © 2006 The Authors.","author":[{"dropping-particle":"","family":"Boncoraglio","given":"Giuseppe","non-dropping-particle":"","parse-names":false,"suffix":""},{"dropping-particle":"","family":"Saino","given":"Nicola","non-dropping-particle":"","parse-names":false,"suffix":""}],"container-title":"Functional Ecology","id":"ITEM-2","issue":"1","issued":{"date-parts":[["2007"]]},"page":"134-142","title":"Habitat structure and the evolution of bird song: A meta-analysis of the evidence for the acoustic adaptation hypothesis","type":"article-journal","volume":"21"},"uris":["http://www.mendeley.com/documents/?uuid=a17b769f-524c-4cec-8ff1-5818ff239588"]},{"id":"ITEM-3","itemData":{"DOI":"10.1080/09524622.2020.1858448","ISSN":"21650586","abstract":"The Acoustic Adaptation Hypothesis (AAH) posits that animal acoustic signals used in long-range communication should be adapted to transmit well within the habitats in which they evolved. However, comparative studies of signal form indicate mixed support for predictions of the AAH. Several studies have employed experimental playback approaches to testing signal transmission which can complement comparative studies. Here, we summarise these experimental playback tests of the AAH in birds, mammals, insects, and anurans, we describe the methodologies used in these tests, and we assess the evidence for habitat-specific signal degradation and species-specific acoustic fidelity (i.e. whether signals propagate best in native versus foreign habitats). Experimental evidence, like comparative evidence, varies across habitats and taxa. Although transmission properties consistently differed by habitat, with closed habitats degrading signals more than open habitats, animal signals were not always adapted to propagate best within their native habitats. Researchers felt they had convincing evidence for species-specific acoustic fidelity in less than half of the 67 reviewed studies, with the most support found for birds and the least for anurans. We discuss potential explanations for differences within and between habitats and taxa and conclude with suggestions for standardised methodology and areas of future research.","author":[{"dropping-particle":"","family":"Hardt","given":"Braelei","non-dropping-particle":"","parse-names":false,"suffix":""},{"dropping-particle":"","family":"Benedict","given":"Lauryn","non-dropping-particle":"","parse-names":false,"suffix":""}],"container-title":"Bioacoustics","id":"ITEM-3","issue":"6","issued":{"date-parts":[["2021"]]},"page":"716-742","publisher":"Taylor &amp; Francis","title":"Can you hear me now? A review of signal transmission and experimental evidence for the acoustic adaptation hypothesis","type":"article-journal","volume":"30"},"uris":["http://www.mendeley.com/documents/?uuid=5b76a6a1-2191-4c20-b4f3-3b30d4641930"]},{"id":"ITEM-4","itemData":{"ISSN":"0952-4622","abstract":"ABSTRACT The acoustic properties of the environment influence sound propagation. Many previous studies examined whether various species of anurans, birds and mammals adjust usage and/or structure of their vocal signals to limit degradation during propagation in this environment (“acoustic adaptation hypothesis”). The present review examines how widespread such adaptations actually are across taxa. First, evidence for environment-related adjustments in usage of vocal signals is collected from studies in birds and other vertebrates (i.e., anurans and mammals). Second, a meta-analysis conducted by Boncoraglio &amp; Saino (2007) on the influences of the environment on the acoustic structure of avian vocalisations is taken as a reference, and results from additional studies in birds are reviewed and compared to its conclusions. Finally, evidence from similar studies conducted in anurans and mammals is collected and discussed. Concerning the usage of vocal signals, evidence of environment-related adaptations in the...","author":[{"dropping-particle":"","family":"Ey","given":"E","non-dropping-particle":"","parse-names":false,"suffix":""},{"dropping-particle":"","family":"Fischer","given":"J","non-dropping-particle":"","parse-names":false,"suffix":""}],"container-title":"Journal of Bioacoustics","id":"ITEM-4","issue":"February 2013","issued":{"date-parts":[["2009"]]},"page":"21-48","title":"Bioacoustics : The International Journal of Animal Sound and its Recording THE “ ACOUSTIC ADAPTATION HYPOTHESIS ”— A REVIEW OF THE EVIDENCE FROM BIRDS , ANURANS AND MAMMALS","type":"article-journal"},"uris":["http://www.mendeley.com/documents/?uuid=767b1699-4621-4428-8ea1-d13949362519"]}],"mendeley":{"formattedCitation":"(Boncoraglio &amp; Saino, 2007; Ey &amp; Fischer, 2009; Hardt &amp; Benedict, 2021; Morton, 1975)","manualFormatting":"(Morton, 1975; Boncoraglio &amp; Saino, 2007; Ey &amp; Fischer, 2009; Hardt &amp; Benedict, 2021)","plainTextFormattedCitation":"(Boncoraglio &amp; Saino, 2007; Ey &amp; Fischer, 2009; Hardt &amp; Benedict, 2021; Morton, 1975)","previouslyFormattedCitation":"(Boncoraglio &amp; Saino, 2007; Ey &amp; Fischer, 2009; Hardt &amp; Benedict, 2021; Morton, 1975)"},"properties":{"noteIndex":0},"schema":"https://github.com/citation-style-language/schema/raw/master/csl-citation.json"}</w:instrText>
      </w:r>
      <w:r w:rsidR="00D22709" w:rsidRPr="001830F3">
        <w:rPr>
          <w:rFonts w:cstheme="minorHAnsi"/>
          <w:lang w:val="en-US"/>
        </w:rPr>
        <w:fldChar w:fldCharType="separate"/>
      </w:r>
      <w:r w:rsidR="00A96C2F" w:rsidRPr="001830F3">
        <w:rPr>
          <w:rFonts w:cstheme="minorHAnsi"/>
          <w:noProof/>
          <w:lang w:val="en-US"/>
        </w:rPr>
        <w:t>(</w:t>
      </w:r>
      <w:r w:rsidR="00681AEE" w:rsidRPr="001830F3">
        <w:rPr>
          <w:rFonts w:cstheme="minorHAnsi"/>
          <w:noProof/>
          <w:lang w:val="en-US"/>
        </w:rPr>
        <w:t xml:space="preserve">Morton, 1975; </w:t>
      </w:r>
      <w:r w:rsidR="00A96C2F" w:rsidRPr="001830F3">
        <w:rPr>
          <w:rFonts w:cstheme="minorHAnsi"/>
          <w:noProof/>
          <w:lang w:val="en-US"/>
        </w:rPr>
        <w:t>Boncoraglio &amp; Saino, 2007; Ey &amp; Fischer, 2009; Hardt &amp; Benedict, 2021)</w:t>
      </w:r>
      <w:r w:rsidR="00D22709" w:rsidRPr="001830F3">
        <w:rPr>
          <w:rFonts w:cstheme="minorHAnsi"/>
          <w:lang w:val="en-US"/>
        </w:rPr>
        <w:fldChar w:fldCharType="end"/>
      </w:r>
      <w:r w:rsidR="00FC6E2D" w:rsidRPr="001830F3">
        <w:rPr>
          <w:rFonts w:cstheme="minorHAnsi"/>
          <w:lang w:val="en-US"/>
        </w:rPr>
        <w:t xml:space="preserve">. </w:t>
      </w:r>
      <w:bookmarkStart w:id="8" w:name="_Hlk168665735"/>
      <w:bookmarkEnd w:id="6"/>
      <w:r w:rsidR="006F2BB9" w:rsidRPr="00675F8D">
        <w:rPr>
          <w:rFonts w:cstheme="minorHAnsi"/>
          <w:lang w:val="en-US"/>
        </w:rPr>
        <w:t>Acoustic variations may also result from acoustic drift</w:t>
      </w:r>
      <w:r w:rsidR="009203FB" w:rsidRPr="00675F8D">
        <w:rPr>
          <w:rFonts w:cstheme="minorHAnsi"/>
          <w:lang w:val="en-US"/>
        </w:rPr>
        <w:t xml:space="preserve">. This occurs when birds </w:t>
      </w:r>
      <w:r w:rsidR="006F2BB9" w:rsidRPr="00675F8D">
        <w:rPr>
          <w:rFonts w:cstheme="minorHAnsi"/>
          <w:lang w:val="en-US"/>
        </w:rPr>
        <w:t>randomly develop distinct repertoires or exhibit random differences in songs that are learned and subsequently reproduced (Baker &amp; Cunningham, 1985; Wilkins et al., 2013)</w:t>
      </w:r>
      <w:r w:rsidR="009203FB" w:rsidRPr="00675F8D">
        <w:rPr>
          <w:rFonts w:cstheme="minorHAnsi"/>
          <w:lang w:val="en-US"/>
        </w:rPr>
        <w:t xml:space="preserve">, as it has been </w:t>
      </w:r>
      <w:r w:rsidR="006F2BB9" w:rsidRPr="00675F8D">
        <w:rPr>
          <w:rFonts w:cstheme="minorHAnsi"/>
          <w:lang w:val="en-US"/>
        </w:rPr>
        <w:t xml:space="preserve">observed in populations of Darwin’s finches (Grant &amp; Grant, 1996). In this process, young birds introduce </w:t>
      </w:r>
      <w:r w:rsidR="009203FB" w:rsidRPr="00675F8D">
        <w:rPr>
          <w:rFonts w:cstheme="minorHAnsi"/>
          <w:lang w:val="en-US"/>
        </w:rPr>
        <w:t>“</w:t>
      </w:r>
      <w:r w:rsidR="006F2BB9" w:rsidRPr="00675F8D">
        <w:rPr>
          <w:rFonts w:cstheme="minorHAnsi"/>
          <w:lang w:val="en-US"/>
        </w:rPr>
        <w:t>learned errors</w:t>
      </w:r>
      <w:r w:rsidR="009203FB" w:rsidRPr="00675F8D">
        <w:rPr>
          <w:rFonts w:cstheme="minorHAnsi"/>
          <w:lang w:val="en-US"/>
        </w:rPr>
        <w:t>”</w:t>
      </w:r>
      <w:r w:rsidR="006F2BB9" w:rsidRPr="00675F8D">
        <w:rPr>
          <w:rFonts w:cstheme="minorHAnsi"/>
          <w:lang w:val="en-US"/>
        </w:rPr>
        <w:t xml:space="preserve"> into the adult acoustic repertoire, and repertoires are </w:t>
      </w:r>
      <w:r w:rsidR="006928CE" w:rsidRPr="00675F8D">
        <w:rPr>
          <w:rFonts w:cstheme="minorHAnsi"/>
          <w:lang w:val="en-US"/>
        </w:rPr>
        <w:t xml:space="preserve">further </w:t>
      </w:r>
      <w:r w:rsidR="006F2BB9" w:rsidRPr="00675F8D">
        <w:rPr>
          <w:rFonts w:cstheme="minorHAnsi"/>
          <w:lang w:val="en-US"/>
        </w:rPr>
        <w:t>shaped by the random extinction of song types (Grant &amp; Grant, 1996). These changes in songs within populations can persist or even amplify over time, as songs are learned and transmitted across generations (Boyd &amp; Richerson, 1985; Warren et al., 2006).</w:t>
      </w:r>
      <w:r w:rsidR="006F2BB9">
        <w:rPr>
          <w:rFonts w:cstheme="minorHAnsi"/>
          <w:lang w:val="en-US"/>
        </w:rPr>
        <w:t xml:space="preserve"> </w:t>
      </w:r>
      <w:bookmarkStart w:id="9" w:name="_Hlk181978730"/>
      <w:bookmarkStart w:id="10" w:name="_Hlk186980027"/>
      <w:bookmarkStart w:id="11" w:name="_Hlk169599748"/>
      <w:bookmarkEnd w:id="8"/>
      <w:r w:rsidR="00311C15" w:rsidRPr="00311C15">
        <w:rPr>
          <w:rFonts w:cstheme="minorHAnsi"/>
          <w:lang w:val="en-US"/>
        </w:rPr>
        <w:t xml:space="preserve">Hence, the </w:t>
      </w:r>
      <w:r w:rsidR="00311C15">
        <w:rPr>
          <w:rFonts w:cstheme="minorHAnsi"/>
          <w:lang w:val="en-US"/>
        </w:rPr>
        <w:t>correlation</w:t>
      </w:r>
      <w:r w:rsidR="00311C15" w:rsidRPr="00311C15">
        <w:rPr>
          <w:rFonts w:cstheme="minorHAnsi"/>
          <w:lang w:val="en-US"/>
        </w:rPr>
        <w:t xml:space="preserve"> between genetic </w:t>
      </w:r>
      <w:r w:rsidR="00E23BFB">
        <w:rPr>
          <w:rFonts w:cstheme="minorHAnsi"/>
          <w:lang w:val="en-US"/>
        </w:rPr>
        <w:t xml:space="preserve">diversity and </w:t>
      </w:r>
      <w:r w:rsidR="00335338">
        <w:rPr>
          <w:rFonts w:cstheme="minorHAnsi"/>
          <w:lang w:val="en-US"/>
        </w:rPr>
        <w:t xml:space="preserve"> the diversity of </w:t>
      </w:r>
      <w:r w:rsidR="00E23BFB">
        <w:rPr>
          <w:rFonts w:cstheme="minorHAnsi"/>
          <w:lang w:val="en-US"/>
        </w:rPr>
        <w:t xml:space="preserve">song </w:t>
      </w:r>
      <w:r w:rsidR="00DA7030">
        <w:rPr>
          <w:rFonts w:cstheme="minorHAnsi"/>
          <w:lang w:val="en-US"/>
        </w:rPr>
        <w:t>dialects</w:t>
      </w:r>
      <w:r w:rsidR="002F2319">
        <w:rPr>
          <w:rFonts w:cstheme="minorHAnsi"/>
          <w:lang w:val="en-US"/>
        </w:rPr>
        <w:t xml:space="preserve"> </w:t>
      </w:r>
      <w:r w:rsidR="00311C15" w:rsidRPr="00311C15">
        <w:rPr>
          <w:rFonts w:cstheme="minorHAnsi"/>
          <w:lang w:val="en-US"/>
        </w:rPr>
        <w:t xml:space="preserve">may arise </w:t>
      </w:r>
      <w:r w:rsidR="00DB304F">
        <w:rPr>
          <w:rFonts w:cstheme="minorHAnsi"/>
          <w:lang w:val="en-US"/>
        </w:rPr>
        <w:t xml:space="preserve">when </w:t>
      </w:r>
      <w:r w:rsidR="00184224">
        <w:rPr>
          <w:rFonts w:cstheme="minorHAnsi"/>
          <w:lang w:val="en-US"/>
        </w:rPr>
        <w:t>the </w:t>
      </w:r>
      <w:r w:rsidR="00DB304F" w:rsidRPr="00311C15">
        <w:rPr>
          <w:rFonts w:cstheme="minorHAnsi"/>
          <w:lang w:val="en-US"/>
        </w:rPr>
        <w:t xml:space="preserve">survival and reproductive success of individuals </w:t>
      </w:r>
      <w:bookmarkEnd w:id="9"/>
      <w:r w:rsidR="00DB304F">
        <w:rPr>
          <w:rFonts w:cstheme="minorHAnsi"/>
          <w:lang w:val="en-US"/>
        </w:rPr>
        <w:t xml:space="preserve">with some particular genotypes </w:t>
      </w:r>
      <w:r w:rsidR="00C82AA3">
        <w:rPr>
          <w:rFonts w:cstheme="minorHAnsi"/>
          <w:lang w:val="en-US"/>
        </w:rPr>
        <w:t xml:space="preserve">learn and produce </w:t>
      </w:r>
      <w:r w:rsidR="002F2319">
        <w:rPr>
          <w:rFonts w:cstheme="minorHAnsi"/>
          <w:lang w:val="en-US"/>
        </w:rPr>
        <w:t>the same vocal repertoire</w:t>
      </w:r>
      <w:r w:rsidR="00C82AA3">
        <w:rPr>
          <w:rFonts w:cstheme="minorHAnsi"/>
          <w:lang w:val="en-US"/>
        </w:rPr>
        <w:t xml:space="preserve"> </w:t>
      </w:r>
      <w:r w:rsidR="00D22709">
        <w:rPr>
          <w:rFonts w:cstheme="minorHAnsi"/>
          <w:lang w:val="en-US"/>
        </w:rPr>
        <w:fldChar w:fldCharType="begin" w:fldLock="1"/>
      </w:r>
      <w:r w:rsidR="001C63CA">
        <w:rPr>
          <w:rFonts w:cstheme="minorHAnsi"/>
          <w:lang w:val="en-US"/>
        </w:rPr>
        <w:instrText>ADDIN CSL_CITATION {"citationItems":[{"id":"ITEM-1","itemData":{"DOI":"10.1111/j.1420-9101.2005.01006.x","ISSN":"1010061X","PMID":"16599929","abstract":"The lek paradox arises when choosy females deplete the genetic variance for male display traits from a population, yet substantial additive genetic variation (VA) in male traits persists. Thus, the lek paradox can be more generally stated as one of the most fundamental evolutionary questions: What maintains genetic variation in natural populations? One solution to this problem may be found in the condition-dependent nature of many sexually selected traits. Genotype x environment (G x E) interactions can maintain VA under conditions of environmental heterogeneity provided certain restrictions are met, although antagonistic pleiotropy has also been proposed as a mechanism. Here, we provide evidence for G x E interactions and against the role of antagonistic pleiotropy in the maintenance of VA for sexually selected traits. Using inbred lines of the lesser waxmoth Achroia grisella, we measured VA for song attractiveness, condition and development rate under different competitive environments and found that genotypes differed in their plasticity. We argue that variation persists in natural populations because G x E interactions prevent any one variant from producing the optimal phenotype across all environments. © 2005 European Society for Evolutionary Biology.","author":[{"dropping-particle":"","family":"Danielson-François","given":"A. M.","non-dropping-particle":"","parse-names":false,"suffix":""},{"dropping-particle":"","family":"Kelly","given":"J. K.","non-dropping-particle":"","parse-names":false,"suffix":""},{"dropping-particle":"","family":"Greenfield","given":"M. D.","non-dropping-particle":"","parse-names":false,"suffix":""}],"container-title":"Journal of Evolutionary Biology","id":"ITEM-1","issue":"2","issued":{"date-parts":[["2006"]]},"page":"532-542","title":"Genotype x environment interaction for male attractiveness in an acoustic moth: Evidence for plasticity and canalization","type":"article-journal","volume":"19"},"uris":["http://www.mendeley.com/documents/?uuid=6509af3b-7b86-4fbc-b9c6-40eb6872fdb4"]},{"id":"ITEM-2","itemData":{"DOI":"10.1111/j.1420-9101.2007.01499.x","ISSN":"1010061X","PMID":"18205774","abstract":"Divergence in signalling systems might play a central role in speciation. To assess the importance of possible causes of signal divergence, we examine two types of vocalizations within a geographically variable species complex, the greenish warblers (Phylloscopus trochiloides Sundevall). Calls, which are used by both sexes throughout the year, and songs, which are sung primarily by breeding males, differ distinctly between two distinct Siberian forms. Through a ring of southern populations that connect the northern forms, signal divergence is correlated with both geographic distance and genetic divergence. Calls and songs differ in their particular patterns of geographic variation, probably because of the larger influence of sexual selection on songs than on calls. These patterns are supportive of neither acoustic adaptation nor morphology being major drivers of divergence in vocalizations. Rather, these results support the importance of stochastic evolution of communication systems in the evolution of new species. © 2008 The Authors.","author":[{"dropping-particle":"","family":"Irwin","given":"D. E.","non-dropping-particle":"","parse-names":false,"suffix":""},{"dropping-particle":"","family":"Thimgan","given":"M. P.","non-dropping-particle":"","parse-names":false,"suffix":""},{"dropping-particle":"","family":"Irwin","given":"J. H.","non-dropping-particle":"","parse-names":false,"suffix":""}],"container-title":"Journal of Evolutionary Biology","id":"ITEM-2","issue":"2","issued":{"date-parts":[["2008"]]},"page":"435-448","title":"Call divergence is correlated with geographic and genetic distance in greenish warblers (Phylloscopus trochiloides): A strong role for stochasticity in signal evolution?","type":"article-journal","volume":"21"},"uris":["http://www.mendeley.com/documents/?uuid=a03eb94c-be64-4746-8fa9-62b4e9fce976"]}],"mendeley":{"formattedCitation":"(Danielson-François et al., 2006; Irwin et al., 2008)","plainTextFormattedCitation":"(Danielson-François et al., 2006; Irwin et al., 2008)","previouslyFormattedCitation":"(Danielson-François et al., 2006; Irwin et al., 2008)"},"properties":{"noteIndex":0},"schema":"https://github.com/citation-style-language/schema/raw/master/csl-citation.json"}</w:instrText>
      </w:r>
      <w:r w:rsidR="00D22709">
        <w:rPr>
          <w:rFonts w:cstheme="minorHAnsi"/>
          <w:lang w:val="en-US"/>
        </w:rPr>
        <w:fldChar w:fldCharType="separate"/>
      </w:r>
      <w:r w:rsidR="00A77197" w:rsidRPr="00A77197">
        <w:rPr>
          <w:rFonts w:cstheme="minorHAnsi"/>
          <w:noProof/>
          <w:lang w:val="en-US"/>
        </w:rPr>
        <w:t>(Danielson-François et al., 2006; Irwin et al., 2008)</w:t>
      </w:r>
      <w:r w:rsidR="00D22709">
        <w:rPr>
          <w:rFonts w:cstheme="minorHAnsi"/>
          <w:lang w:val="en-US"/>
        </w:rPr>
        <w:fldChar w:fldCharType="end"/>
      </w:r>
      <w:bookmarkEnd w:id="10"/>
      <w:r w:rsidR="000A7F9D">
        <w:rPr>
          <w:rFonts w:cstheme="minorHAnsi"/>
          <w:lang w:val="en-US"/>
        </w:rPr>
        <w:t>.</w:t>
      </w:r>
      <w:bookmarkEnd w:id="11"/>
    </w:p>
    <w:p w14:paraId="16E82409" w14:textId="275EB459" w:rsidR="001023A5" w:rsidRPr="007F7542" w:rsidRDefault="008F29F4" w:rsidP="00623AD9">
      <w:pPr>
        <w:spacing w:line="480" w:lineRule="auto"/>
        <w:ind w:firstLine="709"/>
        <w:rPr>
          <w:rFonts w:cstheme="minorHAnsi"/>
          <w:lang w:val="en-US"/>
        </w:rPr>
      </w:pPr>
      <w:bookmarkStart w:id="12" w:name="_Hlk168672103"/>
      <w:r w:rsidRPr="001830F3">
        <w:rPr>
          <w:rFonts w:cstheme="minorHAnsi"/>
          <w:lang w:val="en-US"/>
        </w:rPr>
        <w:t>V</w:t>
      </w:r>
      <w:r w:rsidR="0008231A" w:rsidRPr="001830F3">
        <w:rPr>
          <w:rFonts w:cstheme="minorHAnsi"/>
          <w:lang w:val="en-US"/>
        </w:rPr>
        <w:t>ariation</w:t>
      </w:r>
      <w:r w:rsidR="005C6AB8">
        <w:rPr>
          <w:rFonts w:cstheme="minorHAnsi"/>
          <w:lang w:val="en-US"/>
        </w:rPr>
        <w:t>s</w:t>
      </w:r>
      <w:r w:rsidR="0008231A" w:rsidRPr="001830F3">
        <w:rPr>
          <w:rFonts w:cstheme="minorHAnsi"/>
          <w:lang w:val="en-US"/>
        </w:rPr>
        <w:t xml:space="preserve"> </w:t>
      </w:r>
      <w:r w:rsidR="000A3324">
        <w:rPr>
          <w:rFonts w:cstheme="minorHAnsi"/>
          <w:lang w:val="en-US"/>
        </w:rPr>
        <w:t>in</w:t>
      </w:r>
      <w:r w:rsidR="0008231A" w:rsidRPr="001830F3">
        <w:rPr>
          <w:rFonts w:cstheme="minorHAnsi"/>
          <w:lang w:val="en-US"/>
        </w:rPr>
        <w:t xml:space="preserve"> </w:t>
      </w:r>
      <w:r w:rsidRPr="001830F3">
        <w:rPr>
          <w:rFonts w:cstheme="minorHAnsi"/>
          <w:lang w:val="en-US"/>
        </w:rPr>
        <w:t xml:space="preserve">song </w:t>
      </w:r>
      <w:r w:rsidR="0008231A" w:rsidRPr="001830F3">
        <w:rPr>
          <w:rFonts w:cstheme="minorHAnsi"/>
          <w:lang w:val="en-US"/>
        </w:rPr>
        <w:t xml:space="preserve">acoustic characteristics </w:t>
      </w:r>
      <w:r w:rsidRPr="001830F3">
        <w:rPr>
          <w:rFonts w:cstheme="minorHAnsi"/>
          <w:lang w:val="en-US"/>
        </w:rPr>
        <w:t>(e</w:t>
      </w:r>
      <w:r w:rsidR="0056380E">
        <w:rPr>
          <w:rFonts w:cstheme="minorHAnsi"/>
          <w:lang w:val="en-US"/>
        </w:rPr>
        <w:t>.g</w:t>
      </w:r>
      <w:r w:rsidRPr="001830F3">
        <w:rPr>
          <w:rFonts w:cstheme="minorHAnsi"/>
          <w:lang w:val="en-US"/>
        </w:rPr>
        <w:t xml:space="preserve">., frequency and duration), </w:t>
      </w:r>
      <w:r w:rsidR="000A3324" w:rsidRPr="001830F3">
        <w:rPr>
          <w:rFonts w:cstheme="minorHAnsi"/>
          <w:lang w:val="en-US"/>
        </w:rPr>
        <w:t>ha</w:t>
      </w:r>
      <w:r w:rsidR="000A3324">
        <w:rPr>
          <w:rFonts w:cstheme="minorHAnsi"/>
          <w:lang w:val="en-US"/>
        </w:rPr>
        <w:t>ve</w:t>
      </w:r>
      <w:r w:rsidR="000A3324" w:rsidRPr="001830F3">
        <w:rPr>
          <w:rFonts w:cstheme="minorHAnsi"/>
          <w:lang w:val="en-US"/>
        </w:rPr>
        <w:t xml:space="preserve"> </w:t>
      </w:r>
      <w:r w:rsidR="00AA7CBA" w:rsidRPr="001830F3">
        <w:rPr>
          <w:rFonts w:cstheme="minorHAnsi"/>
          <w:lang w:val="en-US"/>
        </w:rPr>
        <w:t xml:space="preserve">also </w:t>
      </w:r>
      <w:r w:rsidRPr="001830F3">
        <w:rPr>
          <w:rFonts w:cstheme="minorHAnsi"/>
          <w:lang w:val="en-US"/>
        </w:rPr>
        <w:t xml:space="preserve">been related </w:t>
      </w:r>
      <w:r w:rsidR="00157B1B">
        <w:rPr>
          <w:rFonts w:cstheme="minorHAnsi"/>
          <w:lang w:val="en-US"/>
        </w:rPr>
        <w:t xml:space="preserve">to individuals’ </w:t>
      </w:r>
      <w:r w:rsidRPr="001830F3">
        <w:rPr>
          <w:rFonts w:cstheme="minorHAnsi"/>
          <w:lang w:val="en-US"/>
        </w:rPr>
        <w:t>body and beak size</w:t>
      </w:r>
      <w:r w:rsidR="00157B1B">
        <w:rPr>
          <w:rFonts w:cstheme="minorHAnsi"/>
          <w:lang w:val="en-US"/>
        </w:rPr>
        <w:t>s</w:t>
      </w:r>
      <w:r w:rsidR="00FD53F6">
        <w:rPr>
          <w:rFonts w:cstheme="minorHAnsi"/>
          <w:lang w:val="en-US"/>
        </w:rPr>
        <w:t xml:space="preserve"> </w:t>
      </w:r>
      <w:r w:rsidR="00D22709" w:rsidRPr="001830F3">
        <w:rPr>
          <w:rFonts w:cstheme="minorHAnsi"/>
          <w:lang w:val="en-US"/>
        </w:rPr>
        <w:fldChar w:fldCharType="begin" w:fldLock="1"/>
      </w:r>
      <w:r w:rsidR="00AF6632" w:rsidRPr="001830F3">
        <w:rPr>
          <w:rFonts w:cstheme="minorHAnsi"/>
          <w:lang w:val="en-US"/>
        </w:rPr>
        <w:instrText>ADDIN CSL_CITATION {"citationItems":[{"id":"ITEM-1","itemData":{"DOI":"10.1038/35051570","ISSN":"00280836","PMID":"11196640","abstract":"Speciation in many animal taxa is catalysed by the evolutionary diversification of mating signals1. According to classical theories of speciation, mating signals diversify, in part, as an incidental byproduct of adaptation by natural selection to divergent ecologies2,3, although empirical evidence in support of this hypothesis has been limited4,6. Here I show, in Darwin's finches of the Galápagos Islands, that diversification of beak morphology and body size has shaped patterns of vocal signal evolution, such that birds with large beaks and body sizes have evolved songs with comparatively low rates of syllable repetition and narrow frequency bandwidths. The converse is true for small birds. Patterns of correlated evolution among morphology and song are consistent with the hypothesis that beak morphology constrains vocal evolution, with different beak morphologies differentially limiting a bird's ability to modulate vocal tract configurations during song production. These data illustrate how morphological adaptation may drive signal evolution and reproductive isolation, and furthermore identify a possible cause for rapid speciation in Darwin's finches.","author":[{"dropping-particle":"","family":"Podos","given":"Jeffrey","non-dropping-particle":"","parse-names":false,"suffix":""}],"container-title":"Nature","id":"ITEM-1","issue":"6817","issued":{"date-parts":[["2001"]]},"page":"185-188","title":"Correlated evolution of morphology and vocal signal structure in Darwin's finches","type":"article-journal","volume":"409"},"uris":["http://www.mendeley.com/documents/?uuid=819e1564-9aa4-424f-aa53-5e6d5ea2d594"]},{"id":"ITEM-2","itemData":{"DOI":"10.1098/rstb.2009.0289","ISSN":"14712970","abstract":"Populations with multiple morphological or behavioural types provide unique opportunities for studying the causes and consequences of evolutionary diversification. A population of the medium ground finch (Geospiza fortis) at El Garrapatero on Santa Cruz Island, Galápagos, features two beak size morphs. These morphs produce acoustically distinctive songs, are subject to disruptive selection and mate assortatively by morph. The main goal of the present study was to assess whether finches from this population are able to use song as a cue for morph discrimination. A secondary goal of this study was to evaluate whether birds from this population discriminate songs of their own locality versus another St Cruz locality, Borrero Bay, approximately 24 km to the NW. I presented territorial males with playback of songs of their own morph, of the other morph, and of males from Borrero Bay. Males responded more strongly to same-morph than to other-morph playbacks, showing significantly shorter latencies to flight, higher flight rates and closer approaches to the playback speaker. By contrast, I found only minor effects of locality on responsiveness. Evidence for morph discrimination via acoustic cues supports the hypothesis that song can serve as a behavioural mechanism for assortative mating and sympatric evolutionary divergence. ©2010 The Royal Society.","author":[{"dropping-particle":"","family":"Podos","given":"Jeffrey","non-dropping-particle":"","parse-names":false,"suffix":""}],"container-title":"Philosophical Transactions of the Royal Society B: Biological Sciences","id":"ITEM-2","issue":"1543","issued":{"date-parts":[["2010"]]},"page":"1031-1039","title":"Acoustic discrimination of sympatric morphs in Darwin's finches: A behavioural mechanism for assortative mating?","type":"article-journal","volume":"365"},"uris":["http://www.mendeley.com/documents/?uuid=0affca5c-5bf1-4491-9c9f-167d40cb67ce"]}],"mendeley":{"formattedCitation":"(Podos, 2001, 2010)","plainTextFormattedCitation":"(Podos, 2001, 2010)","previouslyFormattedCitation":"(Podos, 2001, 2010)"},"properties":{"noteIndex":0},"schema":"https://github.com/citation-style-language/schema/raw/master/csl-citation.json"}</w:instrText>
      </w:r>
      <w:r w:rsidR="00D22709" w:rsidRPr="001830F3">
        <w:rPr>
          <w:rFonts w:cstheme="minorHAnsi"/>
          <w:lang w:val="en-US"/>
        </w:rPr>
        <w:fldChar w:fldCharType="separate"/>
      </w:r>
      <w:r w:rsidR="00AF6632" w:rsidRPr="001830F3">
        <w:rPr>
          <w:rFonts w:cstheme="minorHAnsi"/>
          <w:noProof/>
          <w:lang w:val="en-US"/>
        </w:rPr>
        <w:t>(Podos, 2001, 2010)</w:t>
      </w:r>
      <w:r w:rsidR="00D22709" w:rsidRPr="001830F3">
        <w:rPr>
          <w:rFonts w:cstheme="minorHAnsi"/>
          <w:lang w:val="en-US"/>
        </w:rPr>
        <w:fldChar w:fldCharType="end"/>
      </w:r>
      <w:r w:rsidR="005C6AB8">
        <w:rPr>
          <w:rFonts w:cstheme="minorHAnsi"/>
          <w:lang w:val="en-US"/>
        </w:rPr>
        <w:t>. L</w:t>
      </w:r>
      <w:r w:rsidR="003005B5">
        <w:rPr>
          <w:rFonts w:cstheme="minorHAnsi"/>
          <w:lang w:val="en-US"/>
        </w:rPr>
        <w:t>arger</w:t>
      </w:r>
      <w:r w:rsidR="003005B5" w:rsidRPr="001830F3">
        <w:rPr>
          <w:rFonts w:cstheme="minorHAnsi"/>
          <w:lang w:val="en-US"/>
        </w:rPr>
        <w:t xml:space="preserve"> </w:t>
      </w:r>
      <w:r w:rsidR="00CD5D7D" w:rsidRPr="001830F3">
        <w:rPr>
          <w:rFonts w:cstheme="minorHAnsi"/>
          <w:lang w:val="en-US"/>
        </w:rPr>
        <w:t xml:space="preserve">birds </w:t>
      </w:r>
      <w:r w:rsidR="00EB786C">
        <w:rPr>
          <w:rFonts w:cstheme="minorHAnsi"/>
          <w:lang w:val="en-US"/>
        </w:rPr>
        <w:t>with</w:t>
      </w:r>
      <w:r w:rsidR="00EB786C" w:rsidRPr="001830F3">
        <w:rPr>
          <w:rFonts w:cstheme="minorHAnsi"/>
          <w:lang w:val="en-US"/>
        </w:rPr>
        <w:t xml:space="preserve"> </w:t>
      </w:r>
      <w:r w:rsidR="003005B5">
        <w:rPr>
          <w:rFonts w:cstheme="minorHAnsi"/>
          <w:lang w:val="en-US"/>
        </w:rPr>
        <w:t>larger</w:t>
      </w:r>
      <w:r w:rsidR="003005B5" w:rsidRPr="001830F3">
        <w:rPr>
          <w:rFonts w:cstheme="minorHAnsi"/>
          <w:lang w:val="en-US"/>
        </w:rPr>
        <w:t xml:space="preserve"> </w:t>
      </w:r>
      <w:r w:rsidR="00CD5D7D" w:rsidRPr="001830F3">
        <w:rPr>
          <w:rFonts w:cstheme="minorHAnsi"/>
          <w:lang w:val="en-US"/>
        </w:rPr>
        <w:t xml:space="preserve">beaks </w:t>
      </w:r>
      <w:r w:rsidR="00613FAE" w:rsidRPr="001830F3">
        <w:rPr>
          <w:rFonts w:cstheme="minorHAnsi"/>
          <w:lang w:val="en-US"/>
        </w:rPr>
        <w:t>tend to produce</w:t>
      </w:r>
      <w:r w:rsidR="00CD5D7D" w:rsidRPr="001830F3">
        <w:rPr>
          <w:rFonts w:cstheme="minorHAnsi"/>
          <w:lang w:val="en-US"/>
        </w:rPr>
        <w:t xml:space="preserve"> lower frequenc</w:t>
      </w:r>
      <w:r w:rsidR="00FD53F6">
        <w:rPr>
          <w:rFonts w:cstheme="minorHAnsi"/>
          <w:lang w:val="en-US"/>
        </w:rPr>
        <w:t>y songs</w:t>
      </w:r>
      <w:r w:rsidR="00BF34DF" w:rsidRPr="001830F3">
        <w:rPr>
          <w:rFonts w:cstheme="minorHAnsi"/>
          <w:lang w:val="en-US"/>
        </w:rPr>
        <w:t xml:space="preserve"> </w:t>
      </w:r>
      <w:r w:rsidR="00D22709" w:rsidRPr="001830F3">
        <w:rPr>
          <w:rFonts w:cstheme="minorHAnsi"/>
          <w:lang w:val="en-US"/>
        </w:rPr>
        <w:fldChar w:fldCharType="begin" w:fldLock="1"/>
      </w:r>
      <w:r w:rsidR="0088205E" w:rsidRPr="001830F3">
        <w:rPr>
          <w:rFonts w:cstheme="minorHAnsi"/>
          <w:lang w:val="en-US"/>
        </w:rPr>
        <w:instrText>ADDIN CSL_CITATION {"citationItems":[{"id":"ITEM-1","itemData":{"DOI":"10.1007/s00265-009-0743-4","ISBN":"0026500907434","ISSN":"03405443","abstract":"Bird song is a sexually selected multidimensional signal. A fundamental question regarding the evolution of sexually selected signals is what information they convey and how their honesty is maintained. Song amplitude is a performance-related signal trait that varies considerably between individuals, but this signal dimension has been neglected in past studies. I found that median song amplitude in male nightingales (Luscinia megarhynchos) and zebra finches (Taeniopygia guttata) did not vary significantly with body size or residual body mass. In contrast, I found a significant negative correlation between body size (and also residual mass) and the maximum song amplitude during interactive singing in nightingales. However, the function of these more subtle differences in song amplitude remains to be investigated. By and large, the results of this study suggest that mean song amplitude is unlikely to indicate a bird's body size or current condition (measured as residual mass). © 2009 Springer-Verlag.","author":[{"dropping-particle":"","family":"Brumm","given":"Henrik","non-dropping-particle":"","parse-names":false,"suffix":""}],"container-title":"Behavioral Ecology and Sociobiology","id":"ITEM-1","issue":"8","issued":{"date-parts":[["2009"]]},"page":"1157-1165","title":"Song amplitude and body size in birds","type":"article-journal","volume":"63"},"uris":["http://www.mendeley.com/documents/?uuid=7915485f-a4a9-4247-abb3-1911da841df2"]},{"id":"ITEM-2","itemData":{"DOI":"10.1007/BF01975119","ISSN":"00144754","abstract":"Frequency analysis of the songs of 90 European passerine species shown a correlation with body weight. In a number of species a dependence on habitat was found. © 1980 Birkhäuser Verlag.","author":[{"dropping-particle":"","family":"Wallschläger","given":"D.","non-dropping-particle":"","parse-names":false,"suffix":""}],"container-title":"Experientia","id":"ITEM-2","issue":"4","issued":{"date-parts":[["1980"]]},"page":"412","title":"Correlation of song frequency and body weight in passerine birds","type":"article-journal","volume":"36"},"uris":["http://www.mendeley.com/documents/?uuid=2a684eeb-405c-4a4c-b744-afaa67574257"]},{"id":"ITEM-3","itemData":{"DOI":"10.1121/1.424620","ISSN":"0001-4966","abstract":"CCLARK-LIB e acoustics ","author":[{"dropping-particle":"","family":"Fletcher","given":"N. H.","non-dropping-particle":"","parse-names":false,"suffix":""},{"dropping-particle":"","family":"Tarnopolsky","given":"A.","non-dropping-particle":"","parse-names":false,"suffix":""}],"container-title":"The Journal of the Acoustical Society of America","id":"ITEM-3","issue":"1","issued":{"date-parts":[["1999"]]},"page":"35-49","title":"Acoustics of the avian vocal tract","type":"article-journal","volume":"105"},"uris":["http://www.mendeley.com/documents/?uuid=5fe7ebd1-956f-4b9e-9cce-1590910021d3"]},{"id":"ITEM-4","itemData":{"DOI":"10.1098/rstb.2001.1056","ISSN":"09628436","PMID":"12028787","abstract":"The study of bird song dialects was once considered the most promising approach for investigating the role of behaviour in reproductive divergence and speciation. However, after a series of studies yielding conflicting results, research in the field slowed significantly. Recent findings, on how ecological factors may lead to divergence in both song and morphology, necessitate a re-examination. We focus primarily on species with learned song, examine conflicting results in the literature and propose some potential new directions for future studies. We believe an integrative approach, including an examination of the role of ecology in divergent selection, is essential for gaining insight into the role of song in the evolution of assortative mating. Habitat-dependent selection on both song and fitness-related characteristics can lead to parallel divergence in these traits. Song may, therefore, provide females with acoustic cues to find males that are most fit for a particular habitat. In analysing the role of song learning in reproductive divergence, we focus on post-dispersal plasticity in a conceptual framework. We argue that song learning may initially constrain reproductive divergence, while in the later stages of population divergence it may promote speciation.","author":[{"dropping-particle":"","family":"Slabbekoorn","given":"Hans","non-dropping-particle":"","parse-names":false,"suffix":""},{"dropping-particle":"","family":"Smith","given":"Thomas B.","non-dropping-particle":"","parse-names":false,"suffix":""}],"container-title":"Philosophical Transactions of the Royal Society B: Biological Sciences","id":"ITEM-4","issue":"1420","issued":{"date-parts":[["2002"]]},"page":"493-503","title":"Bird song, ecology and speciation","type":"article-journal","volume":"357"},"uris":["http://www.mendeley.com/documents/?uuid=d4b7dc38-5be7-446c-96d9-96d066e497dd"]}],"mendeley":{"formattedCitation":"(Brumm, 2009; Fletcher &amp; Tarnopolsky, 1999; Slabbekoorn &amp; Smith, 2002a; Wallschläger, 1980)","manualFormatting":"(Wallschläger, 1980; Bradbury &amp; Vehrencamp, 1998; Fletcher &amp; Tarnopolsky, 1999; Slabbekoorn &amp; Smith, 2002a; Brumm, 2009 )","plainTextFormattedCitation":"(Brumm, 2009; Fletcher &amp; Tarnopolsky, 1999; Slabbekoorn &amp; Smith, 2002a; Wallschläger, 1980)","previouslyFormattedCitation":"(Brumm, 2009; Fletcher &amp; Tarnopolsky, 1999; Slabbekoorn &amp; Smith, 2002a; Wallschläger, 1980)"},"properties":{"noteIndex":0},"schema":"https://github.com/citation-style-language/schema/raw/master/csl-citation.json"}</w:instrText>
      </w:r>
      <w:r w:rsidR="00D22709" w:rsidRPr="001830F3">
        <w:rPr>
          <w:rFonts w:cstheme="minorHAnsi"/>
          <w:lang w:val="en-US"/>
        </w:rPr>
        <w:fldChar w:fldCharType="separate"/>
      </w:r>
      <w:r w:rsidR="00613FAE" w:rsidRPr="001830F3">
        <w:rPr>
          <w:rFonts w:cstheme="minorHAnsi"/>
          <w:noProof/>
          <w:lang w:val="en-US"/>
        </w:rPr>
        <w:t>(</w:t>
      </w:r>
      <w:r w:rsidR="00BF34DF" w:rsidRPr="001830F3">
        <w:rPr>
          <w:rFonts w:cstheme="minorHAnsi"/>
          <w:noProof/>
          <w:lang w:val="en-US"/>
        </w:rPr>
        <w:t xml:space="preserve">Wallschläger, 1980; </w:t>
      </w:r>
      <w:r w:rsidR="00AF1A58" w:rsidRPr="001830F3">
        <w:rPr>
          <w:rFonts w:cstheme="minorHAnsi"/>
          <w:noProof/>
          <w:lang w:val="en-US"/>
        </w:rPr>
        <w:t xml:space="preserve">Bradbury &amp; Vehrencamp, 1998; </w:t>
      </w:r>
      <w:r w:rsidR="00BF34DF" w:rsidRPr="001830F3">
        <w:rPr>
          <w:rFonts w:cstheme="minorHAnsi"/>
          <w:noProof/>
          <w:lang w:val="en-US"/>
        </w:rPr>
        <w:t xml:space="preserve">Fletcher &amp; Tarnopolsky, 1999; Slabbekoorn &amp; Smith, 2002a; </w:t>
      </w:r>
      <w:r w:rsidR="00613FAE" w:rsidRPr="001830F3">
        <w:rPr>
          <w:rFonts w:cstheme="minorHAnsi"/>
          <w:noProof/>
          <w:lang w:val="en-US"/>
        </w:rPr>
        <w:t>Brumm, 2009 )</w:t>
      </w:r>
      <w:r w:rsidR="00D22709" w:rsidRPr="001830F3">
        <w:rPr>
          <w:rFonts w:cstheme="minorHAnsi"/>
          <w:lang w:val="en-US"/>
        </w:rPr>
        <w:fldChar w:fldCharType="end"/>
      </w:r>
      <w:r w:rsidRPr="001830F3">
        <w:rPr>
          <w:rFonts w:cstheme="minorHAnsi"/>
          <w:lang w:val="en-US"/>
        </w:rPr>
        <w:t xml:space="preserve">. </w:t>
      </w:r>
      <w:r w:rsidR="00EB786C">
        <w:rPr>
          <w:rFonts w:cstheme="minorHAnsi"/>
          <w:lang w:val="en-US"/>
        </w:rPr>
        <w:t xml:space="preserve">To produce </w:t>
      </w:r>
      <w:r w:rsidR="005C6AB8" w:rsidRPr="005C6AB8">
        <w:rPr>
          <w:rFonts w:cstheme="minorHAnsi"/>
          <w:lang w:val="en-US"/>
        </w:rPr>
        <w:t xml:space="preserve">low-frequency songs </w:t>
      </w:r>
      <w:r w:rsidR="00EB786C">
        <w:rPr>
          <w:rFonts w:cstheme="minorHAnsi"/>
          <w:lang w:val="en-US"/>
        </w:rPr>
        <w:t xml:space="preserve">birds require a </w:t>
      </w:r>
      <w:r w:rsidR="00EB786C" w:rsidRPr="005C6AB8">
        <w:rPr>
          <w:rFonts w:cstheme="minorHAnsi"/>
          <w:lang w:val="en-US"/>
        </w:rPr>
        <w:t xml:space="preserve">larger medial syringeal labia </w:t>
      </w:r>
      <w:r w:rsidR="00EB786C">
        <w:rPr>
          <w:rFonts w:cstheme="minorHAnsi"/>
          <w:lang w:val="en-US"/>
        </w:rPr>
        <w:t xml:space="preserve">and an </w:t>
      </w:r>
      <w:r w:rsidR="00D825D6">
        <w:rPr>
          <w:rFonts w:cstheme="minorHAnsi"/>
          <w:lang w:val="en-US"/>
        </w:rPr>
        <w:t xml:space="preserve">enlarged </w:t>
      </w:r>
      <w:r w:rsidR="00D825D6" w:rsidRPr="005C6AB8">
        <w:rPr>
          <w:rFonts w:cstheme="minorHAnsi"/>
          <w:lang w:val="en-US"/>
        </w:rPr>
        <w:t>upper portion of the esophagus</w:t>
      </w:r>
      <w:r w:rsidR="00D825D6">
        <w:rPr>
          <w:rFonts w:cstheme="minorHAnsi"/>
          <w:lang w:val="en-US"/>
        </w:rPr>
        <w:t xml:space="preserve">, and both are </w:t>
      </w:r>
      <w:r w:rsidR="001B7B64">
        <w:rPr>
          <w:rFonts w:cstheme="minorHAnsi"/>
          <w:lang w:val="en-US"/>
        </w:rPr>
        <w:t xml:space="preserve">constrained </w:t>
      </w:r>
      <w:r w:rsidR="00D825D6">
        <w:rPr>
          <w:rFonts w:cstheme="minorHAnsi"/>
          <w:lang w:val="en-US"/>
        </w:rPr>
        <w:t xml:space="preserve">by body size </w:t>
      </w:r>
      <w:r w:rsidR="005C6AB8">
        <w:rPr>
          <w:rFonts w:cstheme="minorHAnsi"/>
          <w:lang w:val="en-US"/>
        </w:rPr>
        <w:fldChar w:fldCharType="begin" w:fldLock="1"/>
      </w:r>
      <w:r w:rsidR="00B566B4">
        <w:rPr>
          <w:rFonts w:cstheme="minorHAnsi"/>
          <w:lang w:val="en-US"/>
        </w:rPr>
        <w:instrText>ADDIN CSL_CITATION {"citationItems":[{"id":"ITEM-1","itemData":{"DOI":"10.1111/j.1469-7580.2009.01161.x","ISSN":"00218782","PMID":"19900184","abstract":"In songbirds, two sound sources inside the syrinx are used to produce the primary sound. Laterally positioned labia are passively set into vibration, thus interrupting a passing air stream. Together with subsyringeal pressure, the size and tension of the labia determine the spectral characteristics of the primary sound. Very little is known about how the histological composition and morphology of the labia affect their function as sound generators. Here we related the size and microstructure of the labia to their acoustic function in two songbird species with different acoustic characteristics, the white-crowned sparrow and zebra finch. Histological serial sections of the syrinx and different staining techniques were used to identify collagen, elastin and hyaluronan as extracellular matrix components. The distribution and orientation of elastic fibers indicated that the labia in white-crowned sparrows are multi-layered structures, whereas they are more uniformly structured in the zebra finch. Collagen and hyaluronan were evenly distributed in both species. A multi-layered composition could give rise to complex viscoelastic properties of each sound source. We also measured labia size. Variability was found along the dorso-ventral axis in both species. Lateral asymmetry was identified in some individuals but not consistently at the species level. Different size between the left and right sound sources could provide a morphological basis for the acoustic specialization of each sound generator, but only in some individuals. The inconsistency of its presence requires the investigation of alternative explanations, e.g. differences in viscoelastic properties of the labia of the left and right syrinx. Furthermore, we identified attachments of syringeal muscles to the labia as well as to bronchial half rings and suggest a mechanism for their biomechanical function. © 2009 The Authors. Journal compilation © 2009 Anatomical Society of Great Britain and Ireland.","author":[{"dropping-particle":"","family":"Riede","given":"Tobias","non-dropping-particle":"","parse-names":false,"suffix":""},{"dropping-particle":"","family":"Goller","given":"Franz","non-dropping-particle":"","parse-names":false,"suffix":""}],"container-title":"Journal of Anatomy","id":"ITEM-1","issue":"1","issued":{"date-parts":[["2010"]]},"page":"23-36","title":"Functional morphology of the sound-generating labia in the syrinx of two songbird species","type":"article-journal","volume":"216"},"uris":["http://www.mendeley.com/documents/?uuid=7ce6df41-6580-4336-84e7-c9948dfb2f53"]},{"id":"ITEM-2","itemData":{"DOI":"10.1073/pnas.0601262103","ISSN":"00278424","PMID":"16567614","abstract":"In human speech, the sound generated by the larynx is modified by articulatory movements of the upper vocal tract, which acts as a variable resonant filter concentrating energy near particular frequencies, or formants, essential in speech recognition. Despite its potential importance in vocal communication, little is known about the presence of tunable vocal tract filters in other vertebrates. The tonal quality of much birdsong, in which upper harmonics have relatively little energy, depends on filtering of the vocal source, but the nature of this filter is controversial. Current hypotheses treat the songbird vocal tract as a rigid tube with a resonance that is modulated by the end-correction of a variable beak opening. Through x-ray cinematography of singing birds, we show that birdsong is accompanied by cyclical movements of the hyoid skeleton and changes in the diameter of the cranial end of the esophagus that maintain an inverse relationship between the volume of the oropharyngeal cavity and esophagus and the song's fundamental frequency. A computational acoustic model indicates that this song-related motor pattern tunes the major resonance of the oropharyngeal-esophageal cavity to actively track the song's fundamental frequency. © 2006 by The National Academy of Sciences of the USA.","author":[{"dropping-particle":"","family":"Riede","given":"Tobias","non-dropping-particle":"","parse-names":false,"suffix":""},{"dropping-particle":"","family":"Suthers","given":"Roderick A.","non-dropping-particle":"","parse-names":false,"suffix":""},{"dropping-particle":"","family":"Fletcher","given":"Neville H.","non-dropping-particle":"","parse-names":false,"suffix":""},{"dropping-particle":"","family":"Blevins","given":"William E.","non-dropping-particle":"","parse-names":false,"suffix":""}],"container-title":"Proceedings of the National Academy of Sciences of the United States of America","id":"ITEM-2","issue":"14","issued":{"date-parts":[["2006"]]},"page":"5543-5548","title":"Songbirds tune their vocal tract to the fundamental frequency of their song","type":"article-journal","volume":"103"},"uris":["http://www.mendeley.com/documents/?uuid=d0cd23f2-b4ed-4315-b1ad-c904519e1708"]}],"mendeley":{"formattedCitation":"(Riede et al., 2006; Riede &amp; Goller, 2010)","plainTextFormattedCitation":"(Riede et al., 2006; Riede &amp; Goller, 2010)","previouslyFormattedCitation":"(Riede et al., 2006; Riede &amp; Goller, 2010)"},"properties":{"noteIndex":0},"schema":"https://github.com/citation-style-language/schema/raw/master/csl-citation.json"}</w:instrText>
      </w:r>
      <w:r w:rsidR="005C6AB8">
        <w:rPr>
          <w:rFonts w:cstheme="minorHAnsi"/>
          <w:lang w:val="en-US"/>
        </w:rPr>
        <w:fldChar w:fldCharType="separate"/>
      </w:r>
      <w:r w:rsidR="005C6AB8" w:rsidRPr="005C6AB8">
        <w:rPr>
          <w:rFonts w:cstheme="minorHAnsi"/>
          <w:noProof/>
          <w:lang w:val="en-US"/>
        </w:rPr>
        <w:t xml:space="preserve">(Riede et al., 2006; Riede &amp; </w:t>
      </w:r>
      <w:r w:rsidR="005C6AB8" w:rsidRPr="005C6AB8">
        <w:rPr>
          <w:rFonts w:cstheme="minorHAnsi"/>
          <w:noProof/>
          <w:lang w:val="en-US"/>
        </w:rPr>
        <w:lastRenderedPageBreak/>
        <w:t>Goller, 2010)</w:t>
      </w:r>
      <w:r w:rsidR="005C6AB8">
        <w:rPr>
          <w:rFonts w:cstheme="minorHAnsi"/>
          <w:lang w:val="en-US"/>
        </w:rPr>
        <w:fldChar w:fldCharType="end"/>
      </w:r>
      <w:r w:rsidR="005C6AB8">
        <w:rPr>
          <w:rFonts w:cstheme="minorHAnsi"/>
          <w:lang w:val="en-US"/>
        </w:rPr>
        <w:t xml:space="preserve">. </w:t>
      </w:r>
      <w:r w:rsidRPr="001830F3">
        <w:rPr>
          <w:rFonts w:cstheme="minorHAnsi"/>
          <w:lang w:val="en-US"/>
        </w:rPr>
        <w:t xml:space="preserve">For example, in </w:t>
      </w:r>
      <w:r w:rsidR="008F3424" w:rsidRPr="001830F3">
        <w:rPr>
          <w:rFonts w:cstheme="minorHAnsi"/>
          <w:color w:val="202020"/>
          <w:shd w:val="clear" w:color="auto" w:fill="FFFFFF"/>
          <w:lang w:val="en-US"/>
        </w:rPr>
        <w:t>p</w:t>
      </w:r>
      <w:r w:rsidR="00BD310B" w:rsidRPr="001830F3">
        <w:rPr>
          <w:rFonts w:cstheme="minorHAnsi"/>
          <w:color w:val="202020"/>
          <w:shd w:val="clear" w:color="auto" w:fill="FFFFFF"/>
          <w:lang w:val="en-US"/>
        </w:rPr>
        <w:t xml:space="preserve">urple-crowned </w:t>
      </w:r>
      <w:r w:rsidR="008F3424" w:rsidRPr="001830F3">
        <w:rPr>
          <w:rFonts w:cstheme="minorHAnsi"/>
          <w:color w:val="202020"/>
          <w:shd w:val="clear" w:color="auto" w:fill="FFFFFF"/>
          <w:lang w:val="en-US"/>
        </w:rPr>
        <w:t>f</w:t>
      </w:r>
      <w:r w:rsidR="00BD310B" w:rsidRPr="001830F3">
        <w:rPr>
          <w:rFonts w:cstheme="minorHAnsi"/>
          <w:color w:val="202020"/>
          <w:shd w:val="clear" w:color="auto" w:fill="FFFFFF"/>
          <w:lang w:val="en-US"/>
        </w:rPr>
        <w:t>airy-wrens</w:t>
      </w:r>
      <w:r w:rsidR="005D2DEF" w:rsidRPr="001830F3">
        <w:rPr>
          <w:rFonts w:cstheme="minorHAnsi"/>
          <w:color w:val="202020"/>
          <w:shd w:val="clear" w:color="auto" w:fill="FFFFFF"/>
          <w:lang w:val="en-US"/>
        </w:rPr>
        <w:t xml:space="preserve"> </w:t>
      </w:r>
      <w:proofErr w:type="spellStart"/>
      <w:r w:rsidR="005D2DEF" w:rsidRPr="001830F3">
        <w:rPr>
          <w:rFonts w:cstheme="minorHAnsi"/>
          <w:i/>
          <w:iCs/>
          <w:color w:val="202020"/>
          <w:shd w:val="clear" w:color="auto" w:fill="FFFFFF"/>
          <w:lang w:val="en-US"/>
        </w:rPr>
        <w:t>Malurus</w:t>
      </w:r>
      <w:proofErr w:type="spellEnd"/>
      <w:r w:rsidR="005D2DEF" w:rsidRPr="001830F3">
        <w:rPr>
          <w:rFonts w:cstheme="minorHAnsi"/>
          <w:i/>
          <w:iCs/>
          <w:color w:val="202020"/>
          <w:shd w:val="clear" w:color="auto" w:fill="FFFFFF"/>
          <w:lang w:val="en-US"/>
        </w:rPr>
        <w:t xml:space="preserve"> </w:t>
      </w:r>
      <w:proofErr w:type="spellStart"/>
      <w:r w:rsidR="005D2DEF" w:rsidRPr="001830F3">
        <w:rPr>
          <w:rFonts w:cstheme="minorHAnsi"/>
          <w:i/>
          <w:iCs/>
          <w:color w:val="202020"/>
          <w:shd w:val="clear" w:color="auto" w:fill="FFFFFF"/>
          <w:lang w:val="en-US"/>
        </w:rPr>
        <w:t>coronatus</w:t>
      </w:r>
      <w:proofErr w:type="spellEnd"/>
      <w:r w:rsidRPr="001830F3">
        <w:rPr>
          <w:rFonts w:cstheme="minorHAnsi"/>
          <w:lang w:val="en-US"/>
        </w:rPr>
        <w:t xml:space="preserve">, </w:t>
      </w:r>
      <w:r w:rsidR="008F3424" w:rsidRPr="001830F3">
        <w:rPr>
          <w:rFonts w:cstheme="minorHAnsi"/>
          <w:lang w:val="en-US"/>
        </w:rPr>
        <w:t>b</w:t>
      </w:r>
      <w:r w:rsidR="00AF1A58" w:rsidRPr="001830F3">
        <w:rPr>
          <w:rFonts w:cstheme="minorHAnsi"/>
          <w:lang w:val="en-US"/>
        </w:rPr>
        <w:t>arn swallows</w:t>
      </w:r>
      <w:r w:rsidR="005D2DEF" w:rsidRPr="001830F3">
        <w:rPr>
          <w:rFonts w:cstheme="minorHAnsi"/>
          <w:lang w:val="en-US"/>
        </w:rPr>
        <w:t xml:space="preserve"> </w:t>
      </w:r>
      <w:r w:rsidR="005D2DEF" w:rsidRPr="001830F3">
        <w:rPr>
          <w:rFonts w:cstheme="minorHAnsi"/>
          <w:i/>
          <w:iCs/>
          <w:lang w:val="en-US"/>
        </w:rPr>
        <w:t>Hirundo rustica</w:t>
      </w:r>
      <w:r w:rsidRPr="001830F3">
        <w:rPr>
          <w:rFonts w:cstheme="minorHAnsi"/>
          <w:lang w:val="en-US"/>
        </w:rPr>
        <w:t xml:space="preserve">, and </w:t>
      </w:r>
      <w:r w:rsidR="008F3424" w:rsidRPr="001830F3">
        <w:rPr>
          <w:rFonts w:cstheme="minorHAnsi"/>
          <w:lang w:val="en-US"/>
        </w:rPr>
        <w:t>b</w:t>
      </w:r>
      <w:r w:rsidR="009639AD" w:rsidRPr="001830F3">
        <w:rPr>
          <w:rFonts w:cstheme="minorHAnsi"/>
          <w:lang w:val="en-US"/>
        </w:rPr>
        <w:t>lack swans</w:t>
      </w:r>
      <w:r w:rsidRPr="001830F3">
        <w:rPr>
          <w:rFonts w:cstheme="minorHAnsi"/>
          <w:lang w:val="en-US"/>
        </w:rPr>
        <w:t xml:space="preserve"> </w:t>
      </w:r>
      <w:r w:rsidR="005D2DEF" w:rsidRPr="001830F3">
        <w:rPr>
          <w:rFonts w:cstheme="minorHAnsi"/>
          <w:i/>
          <w:iCs/>
          <w:lang w:val="en-US"/>
        </w:rPr>
        <w:t>Cygnus atratus</w:t>
      </w:r>
      <w:r w:rsidR="00FD53F6">
        <w:rPr>
          <w:rFonts w:cstheme="minorHAnsi"/>
          <w:i/>
          <w:iCs/>
          <w:lang w:val="en-US"/>
        </w:rPr>
        <w:t>;</w:t>
      </w:r>
      <w:r w:rsidR="00FD53F6" w:rsidRPr="001830F3">
        <w:rPr>
          <w:rFonts w:cstheme="minorHAnsi"/>
          <w:lang w:val="en-US"/>
        </w:rPr>
        <w:t xml:space="preserve"> </w:t>
      </w:r>
      <w:r w:rsidR="00273814" w:rsidRPr="001830F3">
        <w:rPr>
          <w:rFonts w:cstheme="minorHAnsi"/>
          <w:lang w:val="en-US"/>
        </w:rPr>
        <w:t>individuals with large</w:t>
      </w:r>
      <w:r w:rsidR="00157B1B">
        <w:rPr>
          <w:rFonts w:cstheme="minorHAnsi"/>
          <w:lang w:val="en-US"/>
        </w:rPr>
        <w:t>r</w:t>
      </w:r>
      <w:r w:rsidR="00273814" w:rsidRPr="001830F3">
        <w:rPr>
          <w:rFonts w:cstheme="minorHAnsi"/>
          <w:lang w:val="en-US"/>
        </w:rPr>
        <w:t xml:space="preserve"> body size</w:t>
      </w:r>
      <w:r w:rsidR="00FD79AD">
        <w:rPr>
          <w:rFonts w:cstheme="minorHAnsi"/>
          <w:lang w:val="en-US"/>
        </w:rPr>
        <w:t>s</w:t>
      </w:r>
      <w:r w:rsidR="00273814" w:rsidRPr="001830F3">
        <w:rPr>
          <w:rFonts w:cstheme="minorHAnsi"/>
          <w:lang w:val="en-US"/>
        </w:rPr>
        <w:t xml:space="preserve"> </w:t>
      </w:r>
      <w:r w:rsidR="00D825D6">
        <w:rPr>
          <w:rFonts w:cstheme="minorHAnsi"/>
          <w:lang w:val="en-US"/>
        </w:rPr>
        <w:t>produced</w:t>
      </w:r>
      <w:r w:rsidR="00D825D6" w:rsidRPr="001830F3">
        <w:rPr>
          <w:rFonts w:cstheme="minorHAnsi"/>
          <w:lang w:val="en-US"/>
        </w:rPr>
        <w:t xml:space="preserve"> </w:t>
      </w:r>
      <w:r w:rsidR="008709EF" w:rsidRPr="001830F3">
        <w:rPr>
          <w:rFonts w:cstheme="minorHAnsi"/>
          <w:lang w:val="en-US"/>
        </w:rPr>
        <w:t xml:space="preserve">lower </w:t>
      </w:r>
      <w:r w:rsidR="002F3A39" w:rsidRPr="001830F3">
        <w:rPr>
          <w:rFonts w:cstheme="minorHAnsi"/>
          <w:lang w:val="en-US"/>
        </w:rPr>
        <w:t xml:space="preserve">song </w:t>
      </w:r>
      <w:r w:rsidR="008709EF" w:rsidRPr="001830F3">
        <w:rPr>
          <w:rFonts w:cstheme="minorHAnsi"/>
          <w:lang w:val="en-US"/>
        </w:rPr>
        <w:t>frequencies</w:t>
      </w:r>
      <w:r w:rsidR="007A2B27" w:rsidRPr="001830F3">
        <w:rPr>
          <w:rFonts w:cstheme="minorHAnsi"/>
          <w:lang w:val="en-US"/>
        </w:rPr>
        <w:t xml:space="preserve"> </w:t>
      </w:r>
      <w:r w:rsidR="00D22709" w:rsidRPr="001830F3">
        <w:rPr>
          <w:rFonts w:cstheme="minorHAnsi"/>
          <w:lang w:val="en-US"/>
        </w:rPr>
        <w:fldChar w:fldCharType="begin" w:fldLock="1"/>
      </w:r>
      <w:r w:rsidR="00A6132E" w:rsidRPr="001830F3">
        <w:rPr>
          <w:rFonts w:cstheme="minorHAnsi"/>
          <w:lang w:val="en-US"/>
        </w:rPr>
        <w:instrText>ADDIN CSL_CITATION {"citationItems":[{"id":"ITEM-1","itemData":{"DOI":"10.1111/j.1439-0310.2010.01769.x","ISSN":"01791613","abstract":"In many animal species, the frequency (pitch) of vocalisations correlates negatively with body size and may thus signal competitive ability. However, this relationship is absent in other species. Understanding why this difference exists across species may help to explain some of the diversity of vocal communication systems. We assessed whether vocalisation frequency signals body size in black swans (Cygnus atratus), and how this is affected by (i) variation in frequency within individuals and (ii) size variation across individuals. Frequency was correlated with body size and mass, with slopes close to the allometry expected if the birds were maximising sound radiation, but the explained variation in frequency was low. Within-individual variation in vocalisation frequency was greater in male than female swans, and the reliability of frequency as a signal of size in males was correspondingly lower. A review of the literature on the relationship between the frequency of avian vocalisations and body size also showed smaller effect sizes for more variable vocalisations (birdsongs), than for simpler vocalisations. Vocalisation frequency was more reliably correlated with body size when the sexes were pooled (creating a larger range of variation in size) than when the relationship was examined for either sex separately, although male and female data followed the same allometric line. These results show that variation in frequency within individuals and low variation in size across individuals reduce the reliability of vocalisation frequency as a signal of body size, which helps to understand differences among species in the signal value of vocalisation frequency. © 2010 Blackwell Verlag GmbH.","author":[{"dropping-particle":"","family":"Patel","given":"Rakhee","non-dropping-particle":"","parse-names":false,"suffix":""},{"dropping-particle":"","family":"Mulder","given":"Raoul A.","non-dropping-particle":"","parse-names":false,"suffix":""},{"dropping-particle":"","family":"Cardoso","given":"Gonçalo C.","non-dropping-particle":"","parse-names":false,"suffix":""}],"container-title":"Ethology","id":"ITEM-1","issue":"6","issued":{"date-parts":[["2010"]]},"page":"554-563","title":"What makes vocalisation frequency an unreliable signal of body size in birds? A study on black swans","type":"article-journal","volume":"116"},"uris":["http://www.mendeley.com/documents/?uuid=8f9e0b2a-0aae-4725-a781-f2b808ec9fcf"]},{"id":"ITEM-2","itemData":{"DOI":"10.1371/journal.pone.0056717","ISSN":"19326203","PMID":"23437221","abstract":"Body size is a key sexually selected trait in many animal species. If size imposes a physical limit on the production of loud low-frequency sounds, then low-pitched vocalisations could act as reliable signals of body size. However, the central prediction of this hypothesis - that the pitch of vocalisations decreases with size among competing individuals - has limited support in songbirds. One reason could be that only the lowest-frequency components of vocalisations are constrained, and this may go unnoticed when vocal ranges are large. Additionally, the constraint may only be apparent in contexts when individuals are indeed advertising their size. Here we explicitly consider signal diversity and performance limits to demonstrate that body size limits song frequency in an advertising context in a songbird. We show that in purple-crowned fairy-wrens, Malurus coronatus coronatus, larger males sing lower-pitched low-frequency advertising songs. The lower frequency bound of all advertising song types also has a significant negative relationship with body size. However, the average frequency of all their advertising songs is unrelated to body size. This comparison of different approaches to the analysis demonstrates how a negative relationship between body size and song frequency can be obscured by failing to consider signal design and the concept of performance limits. Since these considerations will be important in any complex communication system, our results imply that body size constraints on low-frequency vocalisations could be more widespread than is currently recognised. © 2013 Hall et al.","author":[{"dropping-particle":"","family":"Hall","given":"Michelle L.","non-dropping-particle":"","parse-names":false,"suffix":""},{"dropping-particle":"","family":"Kingma","given":"Sjouke A.","non-dropping-particle":"","parse-names":false,"suffix":""},{"dropping-particle":"","family":"Peters","given":"Anne","non-dropping-particle":"","parse-names":false,"suffix":""}],"container-title":"PLoS ONE","id":"ITEM-2","issue":"2","issued":{"date-parts":[["2013"]]},"page":"1-5","title":"Male Songbird Indicates Body Size with Low-Pitched Advertising Songs","type":"article-journal","volume":"8"},"uris":["http://www.mendeley.com/documents/?uuid=e6d92ed0-8ffc-4b41-8dd4-7c5e2ba17bc2"]},{"id":"ITEM-3","itemData":{"DOI":"10.1006/anbe.1996.0304","ISSN":"00033472","abstract":"Bird song, like many other male secondary sexual characters, may have evolved as intra- or inter-sexual signals of male phenotypic quality. The hypotheses that song rate and song features reflect androgen levels and body condition, qualities useful in male-male competition, and that they are also influenced by social context, was tested for the first time in the present correlational study. The relationships between song rate and 14 variables describing song structure, respectively, and absolute plasma testosterone levels, body mass, body condition, number of neighbouring males and distances between nest sites in male barn swallows, Hirundo rustica, were analysed. Song rate was not correlated with any of the song features nor with male or social context characteristics. By contrast, a harsh song syllable, the 'rattle', was positively related to plasma testosterone levels, and its peak amplitude frequency varied inversely with male body mass and condition. In addition, eight features of song varied according to the social environment of each male. In particular, males sang longer and more varied songs when they had few or no neighbours, whereas males in highly competitive contexts uttered short songs, interrupted them more frequently, and emphasized the rattle. Neighbouring males also sang more similar songs than distant males, and this resulted in matched countersinging. The quality of song output therefore reflects aspects of male competitive potential, and relationships between song structure and social context suggest that some features, such as the rattle, might have originally evolved to serve in male male interactions; a female preference may have further promoted song evolution leading to complex syllable repertoires.","author":[{"dropping-particle":"","family":"Galeotti","given":"Paolo","non-dropping-particle":"","parse-names":false,"suffix":""},{"dropping-particle":"","family":"Saino","given":"Nicola","non-dropping-particle":"","parse-names":false,"suffix":""},{"dropping-particle":"","family":"Sacchi","given":"Roberto","non-dropping-particle":"","parse-names":false,"suffix":""},{"dropping-particle":"","family":"MØller","given":"Anders Pape","non-dropping-particle":"","parse-names":false,"suffix":""}],"container-title":"Animal Behaviour","id":"ITEM-3","issue":"4","issued":{"date-parts":[["1997"]]},"page":"687-700","title":"Song correlates with social context, testosterone and body condition in male barn swallows","type":"article-journal","volume":"53"},"uris":["http://www.mendeley.com/documents/?uuid=70eb2a80-0c4f-4b64-82cf-2247bf18b82e"]}],"mendeley":{"formattedCitation":"(Galeotti et al., 1997; Hall et al., 2013; Patel et al., 2010)","manualFormatting":"(Galeotti et al., 1997; Patel et al., 2010; Hall et al., 2013)","plainTextFormattedCitation":"(Galeotti et al., 1997; Hall et al., 2013; Patel et al., 2010)","previouslyFormattedCitation":"(Galeotti et al., 1997; Hall et al., 2013; Patel et al., 2010)"},"properties":{"noteIndex":0},"schema":"https://github.com/citation-style-language/schema/raw/master/csl-citation.json"}</w:instrText>
      </w:r>
      <w:r w:rsidR="00D22709" w:rsidRPr="001830F3">
        <w:rPr>
          <w:rFonts w:cstheme="minorHAnsi"/>
          <w:lang w:val="en-US"/>
        </w:rPr>
        <w:fldChar w:fldCharType="separate"/>
      </w:r>
      <w:r w:rsidR="0088205E" w:rsidRPr="001830F3">
        <w:rPr>
          <w:rFonts w:cstheme="minorHAnsi"/>
          <w:noProof/>
          <w:lang w:val="en-US"/>
        </w:rPr>
        <w:t>(Galeotti et al., 1997; Patel et al., 2010; Hall et al., 2013)</w:t>
      </w:r>
      <w:r w:rsidR="00D22709" w:rsidRPr="001830F3">
        <w:rPr>
          <w:rFonts w:cstheme="minorHAnsi"/>
          <w:lang w:val="en-US"/>
        </w:rPr>
        <w:fldChar w:fldCharType="end"/>
      </w:r>
      <w:r w:rsidR="00B97213">
        <w:rPr>
          <w:rFonts w:cstheme="minorHAnsi"/>
          <w:lang w:val="en-US"/>
        </w:rPr>
        <w:t xml:space="preserve">. </w:t>
      </w:r>
      <w:r w:rsidR="00BF67AB">
        <w:rPr>
          <w:rFonts w:cstheme="minorHAnsi"/>
          <w:lang w:val="en-US"/>
        </w:rPr>
        <w:t xml:space="preserve">In </w:t>
      </w:r>
      <w:r w:rsidR="00596284">
        <w:rPr>
          <w:rFonts w:cstheme="minorHAnsi"/>
          <w:lang w:val="en-US"/>
        </w:rPr>
        <w:t>House finches</w:t>
      </w:r>
      <w:r w:rsidR="00157B1B">
        <w:rPr>
          <w:rFonts w:cstheme="minorHAnsi"/>
          <w:lang w:val="en-US"/>
        </w:rPr>
        <w:t>,</w:t>
      </w:r>
      <w:r w:rsidR="00594BDB">
        <w:rPr>
          <w:rFonts w:cstheme="minorHAnsi"/>
          <w:lang w:val="en-US"/>
        </w:rPr>
        <w:t xml:space="preserve"> </w:t>
      </w:r>
      <w:proofErr w:type="spellStart"/>
      <w:r w:rsidR="00594BDB" w:rsidRPr="00733178">
        <w:rPr>
          <w:rFonts w:cstheme="minorHAnsi"/>
          <w:i/>
          <w:iCs/>
          <w:lang w:val="en-US"/>
        </w:rPr>
        <w:t>Haemorhous</w:t>
      </w:r>
      <w:proofErr w:type="spellEnd"/>
      <w:r w:rsidR="00594BDB" w:rsidRPr="00733178">
        <w:rPr>
          <w:rFonts w:cstheme="minorHAnsi"/>
          <w:i/>
          <w:iCs/>
          <w:lang w:val="en-US"/>
        </w:rPr>
        <w:t xml:space="preserve"> mexicanus</w:t>
      </w:r>
      <w:r w:rsidR="00594BDB">
        <w:rPr>
          <w:rFonts w:cstheme="minorHAnsi"/>
          <w:lang w:val="en-US"/>
        </w:rPr>
        <w:t xml:space="preserve"> from </w:t>
      </w:r>
      <w:r w:rsidR="00596284">
        <w:rPr>
          <w:rFonts w:cstheme="minorHAnsi"/>
          <w:lang w:val="en-US"/>
        </w:rPr>
        <w:t>Arizona</w:t>
      </w:r>
      <w:r w:rsidR="00BF67AB">
        <w:rPr>
          <w:rFonts w:cstheme="minorHAnsi"/>
          <w:lang w:val="en-US"/>
        </w:rPr>
        <w:t xml:space="preserve">, urban individuals </w:t>
      </w:r>
      <w:r w:rsidR="00594BDB">
        <w:rPr>
          <w:rFonts w:cstheme="minorHAnsi"/>
          <w:lang w:val="en-US"/>
        </w:rPr>
        <w:t xml:space="preserve">have longer and deeper beaks than rural birds and emit songs with slower trills and </w:t>
      </w:r>
      <w:r w:rsidR="00B87828">
        <w:rPr>
          <w:rFonts w:cstheme="minorHAnsi"/>
          <w:lang w:val="en-US"/>
        </w:rPr>
        <w:t xml:space="preserve">a </w:t>
      </w:r>
      <w:r w:rsidR="00594BDB">
        <w:rPr>
          <w:rFonts w:cstheme="minorHAnsi"/>
          <w:lang w:val="en-US"/>
        </w:rPr>
        <w:t xml:space="preserve">wider frequency range </w:t>
      </w:r>
      <w:r w:rsidR="009D70F1">
        <w:rPr>
          <w:rFonts w:cstheme="minorHAnsi"/>
          <w:lang w:val="en-US"/>
        </w:rPr>
        <w:fldChar w:fldCharType="begin" w:fldLock="1"/>
      </w:r>
      <w:r w:rsidR="007D0385">
        <w:rPr>
          <w:rFonts w:cstheme="minorHAnsi"/>
          <w:lang w:val="en-US"/>
        </w:rPr>
        <w:instrText>ADDIN CSL_CITATION {"citationItems":[{"id":"ITEM-1","itemData":{"DOI":"10.1111/j.1558-5646.2008.00428.x","ISSN":"00143820","PMID":"18507745","abstract":"Divergent selection on traits involved in both local adaptation and the production of mating signals can strongly facilitate population differentiation. Because of its links to foraging morphologies and cultural inheritance song of birds can contribute particularly strongly to maintenance of local adaptations. In two adjacent habitats - native Sonoran desert and urban areas - house finches (Carpodacus mexicanus) forage on seeds that are highly distinct in size and shell hardness and require different bite forces and bill morphologies. Here, we first document strong and habitat-specific natural selection on bill traits linked to bite force and find adaptive modifications of bite force and bill morphology and associated divergence in courtship song between the two habitats. Second, we investigate the developmental basis of this divergence and find that early ontogenetic tissue transformation in bill, but not skeletal traits, is accelerated in the urban population and that the mandibular primordia of the large-beaked urban finches express bone morphogenetic proteins (BMP) earlier and at higher level than those of the desert finches. Further, we show that despite being geographically adjacent, urban and desert populations are nevertheless genetically distinct corroborating findings of early developmental divergence between them. Taken together, these results suggest that divergent selection on function and development of traits involved in production of mating signals, in combination with localized learning of such signals, can be very effective at maintaining local adaptations, even at small spatial scales and in highly mobile animals. © 2008 The Author(s).","author":[{"dropping-particle":"V.","family":"Badyaev","given":"Alexander","non-dropping-particle":"","parse-names":false,"suffix":""},{"dropping-particle":"","family":"Young","given":"Rebecca L.","non-dropping-particle":"","parse-names":false,"suffix":""},{"dropping-particle":"","family":"Oh","given":"Kevin P.","non-dropping-particle":"","parse-names":false,"suffix":""},{"dropping-particle":"","family":"Addison","given":"Clayton","non-dropping-particle":"","parse-names":false,"suffix":""}],"container-title":"Evolution","id":"ITEM-1","issue":"8","issued":{"date-parts":[["2008"]]},"page":"1951-1964","title":"Evolution on a local scale: Developmental, functional, and genetic bases of divergence in bill form and associated changes in song structure between adjacent habitats","type":"article-journal","volume":"62"},"uris":["http://www.mendeley.com/documents/?uuid=380942af-c4ca-45e7-8136-1ed174b1ce7c"]}],"mendeley":{"formattedCitation":"(Badyaev et al., 2008)","plainTextFormattedCitation":"(Badyaev et al., 2008)","previouslyFormattedCitation":"(Badyaev et al., 2008)"},"properties":{"noteIndex":0},"schema":"https://github.com/citation-style-language/schema/raw/master/csl-citation.json"}</w:instrText>
      </w:r>
      <w:r w:rsidR="009D70F1">
        <w:rPr>
          <w:rFonts w:cstheme="minorHAnsi"/>
          <w:lang w:val="en-US"/>
        </w:rPr>
        <w:fldChar w:fldCharType="separate"/>
      </w:r>
      <w:r w:rsidR="009D70F1" w:rsidRPr="009D70F1">
        <w:rPr>
          <w:rFonts w:cstheme="minorHAnsi"/>
          <w:noProof/>
          <w:lang w:val="en-US"/>
        </w:rPr>
        <w:t>(Badyaev et al., 2008)</w:t>
      </w:r>
      <w:r w:rsidR="009D70F1">
        <w:rPr>
          <w:rFonts w:cstheme="minorHAnsi"/>
          <w:lang w:val="en-US"/>
        </w:rPr>
        <w:fldChar w:fldCharType="end"/>
      </w:r>
      <w:r w:rsidR="006F3759">
        <w:rPr>
          <w:rFonts w:cstheme="minorHAnsi"/>
          <w:lang w:val="en-US"/>
        </w:rPr>
        <w:t>.</w:t>
      </w:r>
      <w:r w:rsidR="00594BDB">
        <w:rPr>
          <w:rFonts w:cstheme="minorHAnsi"/>
          <w:lang w:val="en-US"/>
        </w:rPr>
        <w:t xml:space="preserve"> </w:t>
      </w:r>
      <w:r w:rsidR="00FD79AD">
        <w:rPr>
          <w:rFonts w:cstheme="minorHAnsi"/>
          <w:lang w:val="en-US"/>
        </w:rPr>
        <w:t xml:space="preserve"> </w:t>
      </w:r>
    </w:p>
    <w:p w14:paraId="051F9179" w14:textId="0B83887F" w:rsidR="001B7B64" w:rsidRDefault="00F05479" w:rsidP="007D5A94">
      <w:pPr>
        <w:spacing w:line="480" w:lineRule="auto"/>
        <w:ind w:firstLine="709"/>
        <w:rPr>
          <w:rFonts w:cstheme="minorHAnsi"/>
          <w:lang w:val="en-US"/>
        </w:rPr>
      </w:pPr>
      <w:bookmarkStart w:id="13" w:name="_Hlk168136030"/>
      <w:bookmarkEnd w:id="12"/>
      <w:r>
        <w:rPr>
          <w:rFonts w:cstheme="minorHAnsi"/>
          <w:lang w:val="en-US"/>
        </w:rPr>
        <w:t>W</w:t>
      </w:r>
      <w:r w:rsidR="00975F43" w:rsidRPr="001830F3">
        <w:rPr>
          <w:rFonts w:cstheme="minorHAnsi"/>
          <w:lang w:val="en-US"/>
        </w:rPr>
        <w:t xml:space="preserve">hite-eared </w:t>
      </w:r>
      <w:r w:rsidR="008F3424" w:rsidRPr="001830F3">
        <w:rPr>
          <w:rFonts w:cstheme="minorHAnsi"/>
          <w:lang w:val="en-US"/>
        </w:rPr>
        <w:t>g</w:t>
      </w:r>
      <w:r w:rsidR="00975F43" w:rsidRPr="001830F3">
        <w:rPr>
          <w:rFonts w:cstheme="minorHAnsi"/>
          <w:lang w:val="en-US"/>
        </w:rPr>
        <w:t>round-sparrow</w:t>
      </w:r>
      <w:r w:rsidR="0088708E">
        <w:rPr>
          <w:rFonts w:cstheme="minorHAnsi"/>
          <w:lang w:val="en-US"/>
        </w:rPr>
        <w:t>s,</w:t>
      </w:r>
      <w:r w:rsidR="00975F43" w:rsidRPr="001830F3">
        <w:rPr>
          <w:rFonts w:cstheme="minorHAnsi"/>
          <w:lang w:val="en-US"/>
        </w:rPr>
        <w:t xml:space="preserve"> </w:t>
      </w:r>
      <w:proofErr w:type="spellStart"/>
      <w:r w:rsidR="00975F43" w:rsidRPr="001830F3">
        <w:rPr>
          <w:rFonts w:cstheme="minorHAnsi"/>
          <w:i/>
          <w:iCs/>
          <w:lang w:val="en-US"/>
        </w:rPr>
        <w:t>Melozone</w:t>
      </w:r>
      <w:proofErr w:type="spellEnd"/>
      <w:r w:rsidR="00975F43" w:rsidRPr="001830F3">
        <w:rPr>
          <w:rFonts w:cstheme="minorHAnsi"/>
          <w:i/>
          <w:iCs/>
          <w:lang w:val="en-US"/>
        </w:rPr>
        <w:t xml:space="preserve"> </w:t>
      </w:r>
      <w:proofErr w:type="spellStart"/>
      <w:r w:rsidR="00975F43" w:rsidRPr="001830F3">
        <w:rPr>
          <w:rFonts w:cstheme="minorHAnsi"/>
          <w:i/>
          <w:iCs/>
          <w:lang w:val="en-US"/>
        </w:rPr>
        <w:t>leucotis</w:t>
      </w:r>
      <w:proofErr w:type="spellEnd"/>
      <w:r w:rsidR="00263A57">
        <w:rPr>
          <w:rFonts w:cstheme="minorHAnsi"/>
          <w:i/>
          <w:iCs/>
          <w:lang w:val="en-US"/>
        </w:rPr>
        <w:t xml:space="preserve"> </w:t>
      </w:r>
      <w:r w:rsidR="00335338">
        <w:rPr>
          <w:rFonts w:cstheme="minorHAnsi"/>
          <w:lang w:val="en-US"/>
        </w:rPr>
        <w:t>are urban-</w:t>
      </w:r>
      <w:r w:rsidR="00263A57">
        <w:rPr>
          <w:rFonts w:cstheme="minorHAnsi"/>
          <w:lang w:val="en-US"/>
        </w:rPr>
        <w:t>avoid</w:t>
      </w:r>
      <w:r w:rsidR="00335338">
        <w:rPr>
          <w:rFonts w:cstheme="minorHAnsi"/>
          <w:lang w:val="en-US"/>
        </w:rPr>
        <w:t>ing</w:t>
      </w:r>
      <w:r w:rsidR="00263A57">
        <w:rPr>
          <w:rFonts w:cstheme="minorHAnsi"/>
          <w:lang w:val="en-US"/>
        </w:rPr>
        <w:t xml:space="preserve"> bird</w:t>
      </w:r>
      <w:r w:rsidR="00335338">
        <w:rPr>
          <w:rFonts w:cstheme="minorHAnsi"/>
          <w:lang w:val="en-US"/>
        </w:rPr>
        <w:t>s</w:t>
      </w:r>
      <w:r w:rsidR="00263A57">
        <w:rPr>
          <w:rFonts w:cstheme="minorHAnsi"/>
          <w:lang w:val="en-US"/>
        </w:rPr>
        <w:t xml:space="preserve"> (Rodríguez-</w:t>
      </w:r>
      <w:proofErr w:type="spellStart"/>
      <w:r w:rsidR="00263A57">
        <w:rPr>
          <w:rFonts w:cstheme="minorHAnsi"/>
          <w:lang w:val="en-US"/>
        </w:rPr>
        <w:t>Bardía</w:t>
      </w:r>
      <w:proofErr w:type="spellEnd"/>
      <w:r w:rsidR="00263A57">
        <w:rPr>
          <w:rFonts w:cstheme="minorHAnsi"/>
          <w:lang w:val="en-US"/>
        </w:rPr>
        <w:t xml:space="preserve"> et al., 2022)</w:t>
      </w:r>
      <w:r w:rsidR="00975F43" w:rsidRPr="001830F3">
        <w:rPr>
          <w:rFonts w:cstheme="minorHAnsi"/>
          <w:i/>
          <w:iCs/>
          <w:lang w:val="en-US"/>
        </w:rPr>
        <w:t xml:space="preserve"> </w:t>
      </w:r>
      <w:r w:rsidR="00263A57" w:rsidRPr="006E0AC0">
        <w:rPr>
          <w:rFonts w:cstheme="minorHAnsi"/>
          <w:lang w:val="en-US"/>
        </w:rPr>
        <w:t>that</w:t>
      </w:r>
      <w:r w:rsidR="0027781D">
        <w:rPr>
          <w:rFonts w:cstheme="minorHAnsi"/>
          <w:i/>
          <w:iCs/>
          <w:lang w:val="en-US"/>
        </w:rPr>
        <w:t xml:space="preserve"> </w:t>
      </w:r>
      <w:r w:rsidR="006928CE">
        <w:rPr>
          <w:rFonts w:cstheme="minorHAnsi"/>
          <w:lang w:val="en-US"/>
        </w:rPr>
        <w:t>inhabit</w:t>
      </w:r>
      <w:r w:rsidR="00975F43" w:rsidRPr="001830F3">
        <w:rPr>
          <w:rFonts w:cstheme="minorHAnsi"/>
          <w:lang w:val="en-US"/>
        </w:rPr>
        <w:t xml:space="preserve"> </w:t>
      </w:r>
      <w:r w:rsidR="00F33298">
        <w:rPr>
          <w:rFonts w:cstheme="minorHAnsi"/>
          <w:lang w:val="en-US"/>
        </w:rPr>
        <w:t xml:space="preserve">the central valley of Costa Rica in </w:t>
      </w:r>
      <w:r w:rsidR="006E0AC0">
        <w:rPr>
          <w:rFonts w:cstheme="minorHAnsi"/>
          <w:lang w:val="en-US"/>
        </w:rPr>
        <w:t>isolated forested settlements</w:t>
      </w:r>
      <w:r w:rsidR="00975F43" w:rsidRPr="001830F3">
        <w:rPr>
          <w:rFonts w:cstheme="minorHAnsi"/>
          <w:lang w:val="en-US"/>
        </w:rPr>
        <w:t xml:space="preserve"> </w:t>
      </w:r>
      <w:r w:rsidR="00136AC9" w:rsidRPr="001830F3">
        <w:rPr>
          <w:rFonts w:cstheme="minorHAnsi"/>
          <w:lang w:val="en-US"/>
        </w:rPr>
        <w:t xml:space="preserve">embedded inside the great </w:t>
      </w:r>
      <w:r w:rsidR="00273814" w:rsidRPr="001830F3">
        <w:rPr>
          <w:rFonts w:cstheme="minorHAnsi"/>
          <w:lang w:val="en-US"/>
        </w:rPr>
        <w:t xml:space="preserve">urban </w:t>
      </w:r>
      <w:r w:rsidR="00136AC9" w:rsidRPr="001830F3">
        <w:rPr>
          <w:rFonts w:cstheme="minorHAnsi"/>
          <w:lang w:val="en-US"/>
        </w:rPr>
        <w:t xml:space="preserve">area </w:t>
      </w:r>
      <w:r w:rsidR="00D22709" w:rsidRPr="001830F3">
        <w:rPr>
          <w:rFonts w:cstheme="minorHAnsi"/>
          <w:lang w:val="en-US"/>
        </w:rPr>
        <w:fldChar w:fldCharType="begin" w:fldLock="1"/>
      </w:r>
      <w:r w:rsidR="00AF5A55" w:rsidRPr="001830F3">
        <w:rPr>
          <w:rFonts w:cstheme="minorHAnsi"/>
          <w:lang w:val="en-US"/>
        </w:rPr>
        <w:instrText>ADDIN CSL_CITATION {"citationItems":[{"id":"ITEM-1","itemData":{"DOI":"10.1080/09524622.2015.1076346","ISSN":"21650586","abstract":"The Acoustic Adaptation Hypothesis posits that habitat characteristics influence the structure of animal vocalizations and that animals will vocalize and display behaviours optimized for sound transmission. White-eared ground-sparrows Melozone leucotis live in habitats with dense vegetation where vocal communication is an ideal mode of communication for territory defence and mate attraction. On the basis of the Acoustic Adaptation Hypothesis, if solos and duets of these ground-sparrows are used in long-distance communication, we should expect that these vocalizations will exhibit structures that enhance sound transmission. We conducted a sound transmission experiment where we broadcast and re-recorded solo songs and duets to study their transmission properties. We used two speaker heights and two microphone heights to simulate different perch heights of signallers and receivers and four distances between the speakers and microphones to simulate variable distances of separation. We found that solo and duet songs show similar patterns of degradation and attenuation with distance and proximity to the ground. These results suggest that solo and duet songs facilitate communication with receivers at similar distances. The highest perches, for both signallers and receivers, maximized acoustic transmission. This is the first study that evaluates the transmission properties of songs and duets in birds, despite the fact that many bird species in tropical forests produce both types of vocalizations. To our surprise, we found that solo and duet songs degraded to below-detectable levels in less than a typical territory's diameter, suggesting that this species has not experienced strong selection for long-distance communication.","author":[{"dropping-particle":"","family":"Sandoval","given":"Luis","non-dropping-particle":"","parse-names":false,"suffix":""},{"dropping-particle":"","family":"Dabelsteen","given":"Torben","non-dropping-particle":"","parse-names":false,"suffix":""},{"dropping-particle":"","family":"Mennill","given":"Daniel J.","non-dropping-particle":"","parse-names":false,"suffix":""}],"container-title":"Bioacoustics","id":"ITEM-1","issue":"3","issued":{"date-parts":[["2015"]]},"page":"289-306","title":"Transmission characteristics of solo songs and duets in a neotropical thicket habitat specialist bird","type":"article-journal","volume":"24"},"uris":["http://www.mendeley.com/documents/?uuid=800f90aa-c446-4fb0-9a7e-22a9859ee010"]},{"id":"ITEM-2","itemData":{"DOI":"10.1186/s40657-020-00198-6","ISBN":"4065702000198","ISSN":"20537166","abstract":"Background: Urban expansion has been identified as one of the leading drivers of biodiversity change or loss. For birds, urbanization is specifically related to survival, breeding success, and territory size. Understanding how different birds adjust territory size in response to urbanization is essential for their conservation in urban environments and to better understand why some species are lost and others persist under this condition. We evaluated the effect of urbanization on the territory size of an urban avoider species, White-eared Ground-Sparrow (Melozone leucotis), and an urban adapter species, House Wren (Troglodytes aedon), at five Costa Rican sites. Methods: We measured the size of 30 ground-sparrow and 28 wren territories using a total of 296 h of observation. We followed each individual for at least 1 h per day for at least 2 days of two consecutive years, and geo-referenced their locations. Territory size was estimated using the minimum convex polygon method. We measured the urban surfaces (roads, buildings, any other paved area, soccer fields, lawns, and gardens with short grass) within territories. Results: Ground-sparrow territories were larger at the highly urbanized site than at the non-urbanized site. Wren territories were larger at the low urbanized site than at the highly urbanized site. We found a positive relationship between urban surface and territory size for the ground-sparrow, but not for the wren. Conclusions: Our results showed that not all birds adjust territory size in the same way in response to urbanization. We showed that urban avoiders probably need to defend larger territories in urban environments to find all the resources required to survive because urban environments may provide insufficient resources such as food or shelter. Urban adapters on the other hand defend smaller territories in urban environments because even small territories may provide sufficient resources. These results suggest specific behavioral adaptations developed by Neotropical birds inhabiting urban environments.","author":[{"dropping-particle":"","family":"Juárez","given":"Roselvy","non-dropping-particle":"","parse-names":false,"suffix":""},{"dropping-particle":"","family":"Chacón-Madrigal","given":"Eduardo","non-dropping-particle":"","parse-names":false,"suffix":""},{"dropping-particle":"","family":"Sandoval","given":"Luis","non-dropping-particle":"","parse-names":false,"suffix":""}],"container-title":"Avian Research","id":"ITEM-2","issue":"1","issued":{"date-parts":[["2020"]]},"page":"1-9","publisher":"BioMed Central","title":"Urbanization has opposite effects on the territory size of two passerine birds","type":"article-journal","volume":"11"},"uris":["http://www.mendeley.com/documents/?uuid=c857e4f4-a155-4b1b-b130-51ef9ffcd409"]},{"id":"ITEM-3","itemData":{"DOI":"10.1038/s41598-022-09961-9","ISBN":"4159802209961","ISSN":"2045-2322","abstract":"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w:instrText>
      </w:r>
      <w:r w:rsidR="00AF5A55" w:rsidRPr="001830F3">
        <w:rPr>
          <w:rFonts w:cstheme="minorHAnsi"/>
        </w:rPr>
        <w:instrText>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Reports","id":"ITEM-3","issue":"1","issued":{"date-parts":[["2022"]]},"page":"1-11","publisher":"Nature Publishing Group UK","title":"Genetic structure in neotropical birds with different tolerance to urbanization","type":"article-journal","volume":"12"},"uris":["http://www.mendeley.com/documents/?uuid=ea8693a5-5706-4033-812a-ef038f7523c8"]}],"mendeley":{"formattedCitation":"(Juárez et al., 2020; Rodríguez-Bardía et al., 2022; Sandoval et al., 2015)","manualFormatting":"(Sandoval et al., 2015; Juárez et al., 2020; Rodríguez-Bardía et al., 2022)","plainTextFormattedCitation":"(Juárez et al., 2020; Rodríguez-Bardía et al., 2022; Sandoval et al., 2015)","previouslyFormattedCitation":"(Juárez et al., 2020; Rodríguez-Bardía et al., 2022; Sandoval et al., 2015)"},"properties":{"noteIndex":0},"schema":"https://github.com/citation-style-language/schema/raw/master/csl-citation.json"}</w:instrText>
      </w:r>
      <w:r w:rsidR="00D22709" w:rsidRPr="001830F3">
        <w:rPr>
          <w:rFonts w:cstheme="minorHAnsi"/>
          <w:lang w:val="en-US"/>
        </w:rPr>
        <w:fldChar w:fldCharType="separate"/>
      </w:r>
      <w:r w:rsidR="00326730" w:rsidRPr="001830F3">
        <w:rPr>
          <w:rFonts w:cstheme="minorHAnsi"/>
          <w:noProof/>
        </w:rPr>
        <w:t>(</w:t>
      </w:r>
      <w:r w:rsidR="00AF5A55" w:rsidRPr="001830F3">
        <w:rPr>
          <w:rFonts w:cstheme="minorHAnsi"/>
          <w:noProof/>
        </w:rPr>
        <w:t xml:space="preserve">Sandoval et al., 2015; </w:t>
      </w:r>
      <w:r w:rsidR="00326730" w:rsidRPr="001830F3">
        <w:rPr>
          <w:rFonts w:cstheme="minorHAnsi"/>
          <w:noProof/>
        </w:rPr>
        <w:t>Juárez et al., 2020; Rodríguez-Bardía et al., 2022)</w:t>
      </w:r>
      <w:r w:rsidR="00D22709" w:rsidRPr="001830F3">
        <w:rPr>
          <w:rFonts w:cstheme="minorHAnsi"/>
          <w:lang w:val="en-US"/>
        </w:rPr>
        <w:fldChar w:fldCharType="end"/>
      </w:r>
      <w:r w:rsidR="00136AC9" w:rsidRPr="001830F3">
        <w:rPr>
          <w:rFonts w:cstheme="minorHAnsi"/>
        </w:rPr>
        <w:t xml:space="preserve">. </w:t>
      </w:r>
      <w:r w:rsidR="00FD79AD">
        <w:rPr>
          <w:rFonts w:cstheme="minorHAnsi"/>
          <w:lang w:val="en-US"/>
        </w:rPr>
        <w:t xml:space="preserve">Previous work on </w:t>
      </w:r>
      <w:r w:rsidR="00310DD7" w:rsidRPr="001830F3">
        <w:rPr>
          <w:rFonts w:cstheme="minorHAnsi"/>
          <w:lang w:val="en-US"/>
        </w:rPr>
        <w:t xml:space="preserve">this species reported that urbanization limits the movement of individuals and </w:t>
      </w:r>
      <w:r w:rsidR="00FD79AD">
        <w:rPr>
          <w:rFonts w:cstheme="minorHAnsi"/>
          <w:lang w:val="en-US"/>
        </w:rPr>
        <w:t xml:space="preserve">gene flow </w:t>
      </w:r>
      <w:r w:rsidR="00310DD7" w:rsidRPr="001830F3">
        <w:rPr>
          <w:rFonts w:cstheme="minorHAnsi"/>
          <w:lang w:val="en-US"/>
        </w:rPr>
        <w:t>between populations</w:t>
      </w:r>
      <w:r w:rsidR="00777049">
        <w:rPr>
          <w:rFonts w:cstheme="minorHAnsi"/>
          <w:lang w:val="en-US"/>
        </w:rPr>
        <w:t xml:space="preserve"> due to </w:t>
      </w:r>
      <w:r w:rsidR="006928CE">
        <w:rPr>
          <w:rFonts w:cstheme="minorHAnsi"/>
          <w:lang w:val="en-US"/>
        </w:rPr>
        <w:t xml:space="preserve">barriers and </w:t>
      </w:r>
      <w:r w:rsidR="00777049">
        <w:rPr>
          <w:rFonts w:cstheme="minorHAnsi"/>
          <w:lang w:val="en-US"/>
        </w:rPr>
        <w:t>isolation by distance</w:t>
      </w:r>
      <w:r w:rsidR="00310DD7" w:rsidRPr="001830F3">
        <w:rPr>
          <w:rFonts w:cstheme="minorHAnsi"/>
          <w:lang w:val="en-US"/>
        </w:rPr>
        <w:t xml:space="preserve">, </w:t>
      </w:r>
      <w:r w:rsidR="002C1F5D">
        <w:rPr>
          <w:rFonts w:cstheme="minorHAnsi"/>
          <w:lang w:val="en-US"/>
        </w:rPr>
        <w:t>resulting in</w:t>
      </w:r>
      <w:r w:rsidR="00FD79AD">
        <w:rPr>
          <w:rFonts w:cstheme="minorHAnsi"/>
          <w:lang w:val="en-US"/>
        </w:rPr>
        <w:t xml:space="preserve"> significant </w:t>
      </w:r>
      <w:r w:rsidR="00310DD7" w:rsidRPr="001830F3">
        <w:rPr>
          <w:rFonts w:cstheme="minorHAnsi"/>
          <w:lang w:val="en-US"/>
        </w:rPr>
        <w:t>genetic structuring</w:t>
      </w:r>
      <w:r w:rsidR="00FD79AD">
        <w:rPr>
          <w:rFonts w:cstheme="minorHAnsi"/>
          <w:lang w:val="en-US"/>
        </w:rPr>
        <w:t xml:space="preserve"> among Costa Rican populations</w:t>
      </w:r>
      <w:r w:rsidR="00310DD7" w:rsidRPr="001830F3">
        <w:rPr>
          <w:rFonts w:cstheme="minorHAnsi"/>
          <w:lang w:val="en-US"/>
        </w:rPr>
        <w:t xml:space="preserve"> </w:t>
      </w:r>
      <w:r w:rsidR="00D22709" w:rsidRPr="001830F3">
        <w:rPr>
          <w:rFonts w:cstheme="minorHAnsi"/>
          <w:lang w:val="en-US"/>
        </w:rPr>
        <w:fldChar w:fldCharType="begin" w:fldLock="1"/>
      </w:r>
      <w:r w:rsidR="001152D9" w:rsidRPr="001830F3">
        <w:rPr>
          <w:rFonts w:cstheme="minorHAnsi"/>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D22709" w:rsidRPr="001830F3">
        <w:rPr>
          <w:rFonts w:cstheme="minorHAnsi"/>
          <w:lang w:val="en-US"/>
        </w:rPr>
        <w:fldChar w:fldCharType="separate"/>
      </w:r>
      <w:r w:rsidR="00310DD7" w:rsidRPr="001830F3">
        <w:rPr>
          <w:rFonts w:cstheme="minorHAnsi"/>
          <w:noProof/>
          <w:lang w:val="en-US"/>
        </w:rPr>
        <w:t>(Rodríguez-Bardía et al., 2022)</w:t>
      </w:r>
      <w:r w:rsidR="00D22709" w:rsidRPr="001830F3">
        <w:rPr>
          <w:rFonts w:cstheme="minorHAnsi"/>
          <w:lang w:val="en-US"/>
        </w:rPr>
        <w:fldChar w:fldCharType="end"/>
      </w:r>
      <w:r w:rsidR="00310DD7" w:rsidRPr="001830F3">
        <w:rPr>
          <w:rFonts w:cstheme="minorHAnsi"/>
          <w:lang w:val="en-US"/>
        </w:rPr>
        <w:t xml:space="preserve">. </w:t>
      </w:r>
      <w:r w:rsidR="006928CE">
        <w:rPr>
          <w:rFonts w:cstheme="minorHAnsi"/>
          <w:lang w:val="en-US"/>
        </w:rPr>
        <w:t xml:space="preserve">Additional evidence of the effect of barriers and distance is provided by </w:t>
      </w:r>
      <w:r w:rsidR="00335338">
        <w:rPr>
          <w:rFonts w:cstheme="minorHAnsi"/>
          <w:lang w:val="en-US"/>
        </w:rPr>
        <w:t xml:space="preserve">the </w:t>
      </w:r>
      <w:r w:rsidR="00CD3E93">
        <w:rPr>
          <w:rFonts w:cstheme="minorHAnsi"/>
          <w:lang w:val="en-US"/>
        </w:rPr>
        <w:t xml:space="preserve">banding </w:t>
      </w:r>
      <w:r w:rsidR="006928CE">
        <w:rPr>
          <w:rFonts w:cstheme="minorHAnsi"/>
          <w:lang w:val="en-US"/>
        </w:rPr>
        <w:t>program</w:t>
      </w:r>
      <w:r w:rsidR="00CD3E93">
        <w:rPr>
          <w:rFonts w:cstheme="minorHAnsi"/>
          <w:lang w:val="en-US"/>
        </w:rPr>
        <w:t xml:space="preserve"> of this species since</w:t>
      </w:r>
      <w:r w:rsidR="006928CE">
        <w:rPr>
          <w:rFonts w:cstheme="minorHAnsi"/>
          <w:lang w:val="en-US"/>
        </w:rPr>
        <w:t>. Nearly all birds of different population</w:t>
      </w:r>
      <w:r w:rsidR="00335338">
        <w:rPr>
          <w:rFonts w:cstheme="minorHAnsi"/>
          <w:lang w:val="en-US"/>
        </w:rPr>
        <w:t>s</w:t>
      </w:r>
      <w:r w:rsidR="006928CE">
        <w:rPr>
          <w:rFonts w:cstheme="minorHAnsi"/>
          <w:lang w:val="en-US"/>
        </w:rPr>
        <w:t xml:space="preserve"> have been banded since</w:t>
      </w:r>
      <w:r w:rsidR="00CD3E93">
        <w:rPr>
          <w:rFonts w:cstheme="minorHAnsi"/>
          <w:lang w:val="en-US"/>
        </w:rPr>
        <w:t xml:space="preserve"> 2011</w:t>
      </w:r>
      <w:r w:rsidR="006928CE">
        <w:rPr>
          <w:rFonts w:cstheme="minorHAnsi"/>
          <w:lang w:val="en-US"/>
        </w:rPr>
        <w:t xml:space="preserve">; however, not a single individual of a population has been recorded in other population. </w:t>
      </w:r>
      <w:r w:rsidR="00D124E7">
        <w:rPr>
          <w:rFonts w:cstheme="minorHAnsi"/>
          <w:lang w:val="en-US"/>
        </w:rPr>
        <w:t>P</w:t>
      </w:r>
      <w:r w:rsidR="00B022CA" w:rsidRPr="00B022CA">
        <w:rPr>
          <w:rFonts w:cstheme="minorHAnsi"/>
          <w:lang w:val="en-US"/>
        </w:rPr>
        <w:t xml:space="preserve">revious research has </w:t>
      </w:r>
      <w:r w:rsidR="00E816D4">
        <w:rPr>
          <w:rFonts w:cstheme="minorHAnsi"/>
          <w:lang w:val="en-US"/>
        </w:rPr>
        <w:t xml:space="preserve">also </w:t>
      </w:r>
      <w:r w:rsidR="00B022CA" w:rsidRPr="00B022CA">
        <w:rPr>
          <w:rFonts w:cstheme="minorHAnsi"/>
          <w:lang w:val="en-US"/>
        </w:rPr>
        <w:t>identified changes in song dialects among different populations (Sandoval et al., 2014, 2016; Bonilla-</w:t>
      </w:r>
      <w:proofErr w:type="spellStart"/>
      <w:r w:rsidR="00B022CA" w:rsidRPr="00B022CA">
        <w:rPr>
          <w:rFonts w:cstheme="minorHAnsi"/>
          <w:lang w:val="en-US"/>
        </w:rPr>
        <w:t>Badilla</w:t>
      </w:r>
      <w:proofErr w:type="spellEnd"/>
      <w:r w:rsidR="00B022CA" w:rsidRPr="00B022CA">
        <w:rPr>
          <w:rFonts w:cstheme="minorHAnsi"/>
          <w:lang w:val="en-US"/>
        </w:rPr>
        <w:t xml:space="preserve"> 2021). </w:t>
      </w:r>
      <w:r w:rsidR="002C1F5D">
        <w:rPr>
          <w:rFonts w:cstheme="minorHAnsi"/>
          <w:lang w:val="en-US"/>
        </w:rPr>
        <w:t xml:space="preserve">Additionally, </w:t>
      </w:r>
      <w:r w:rsidR="00D124E7">
        <w:rPr>
          <w:rFonts w:cstheme="minorHAnsi"/>
          <w:lang w:val="en-US"/>
        </w:rPr>
        <w:t xml:space="preserve">differences in </w:t>
      </w:r>
      <w:r w:rsidR="002C1F5D">
        <w:rPr>
          <w:rFonts w:cstheme="minorHAnsi"/>
          <w:lang w:val="en-US"/>
        </w:rPr>
        <w:t>song frequenc</w:t>
      </w:r>
      <w:r w:rsidR="00071705">
        <w:rPr>
          <w:rFonts w:cstheme="minorHAnsi"/>
          <w:lang w:val="en-US"/>
        </w:rPr>
        <w:t>ies</w:t>
      </w:r>
      <w:r w:rsidR="002C1F5D">
        <w:rPr>
          <w:rFonts w:cstheme="minorHAnsi"/>
          <w:lang w:val="en-US"/>
        </w:rPr>
        <w:t xml:space="preserve"> and duration across populations have been </w:t>
      </w:r>
      <w:r w:rsidR="00D124E7">
        <w:rPr>
          <w:rFonts w:cstheme="minorHAnsi"/>
          <w:lang w:val="en-US"/>
        </w:rPr>
        <w:t xml:space="preserve">attributed </w:t>
      </w:r>
      <w:r w:rsidR="002C1F5D">
        <w:rPr>
          <w:rFonts w:cstheme="minorHAnsi"/>
          <w:lang w:val="en-US"/>
        </w:rPr>
        <w:t>to anthropogenic noise levels.</w:t>
      </w:r>
      <w:r w:rsidR="00B022CA" w:rsidRPr="00B022CA">
        <w:rPr>
          <w:rFonts w:cstheme="minorHAnsi"/>
          <w:lang w:val="en-US"/>
        </w:rPr>
        <w:t xml:space="preserve"> Specifically, males in populations exposed to higher levels of noise tend to exhibit an increase in both the </w:t>
      </w:r>
      <w:proofErr w:type="spellStart"/>
      <w:r w:rsidR="00B022CA" w:rsidRPr="00B022CA">
        <w:rPr>
          <w:rFonts w:cstheme="minorHAnsi"/>
          <w:lang w:val="en-US"/>
        </w:rPr>
        <w:t>minimu</w:t>
      </w:r>
      <w:proofErr w:type="spellEnd"/>
      <w:r w:rsidR="00493C4B">
        <w:rPr>
          <w:rFonts w:cstheme="minorHAnsi"/>
          <w:lang w:val="en-US"/>
        </w:rPr>
        <w:fldChar w:fldCharType="begin" w:fldLock="1"/>
      </w:r>
      <w:r w:rsidR="005E02BF">
        <w:rPr>
          <w:rFonts w:cstheme="minorHAnsi"/>
          <w:lang w:val="en-US"/>
        </w:rPr>
        <w:instrText>ADDIN CSL_CITATION {"citationItems":[{"id":"ITEM-1","itemData":{"DOI":"10.1093/jue/juac006","ISSN":"20585543","abstract":"Urban expansion has been identified as one of the main threats to biodiversity because it can negatively affect wildlife populations. However, wildlife population dynamics have not been studied in one of the most rapidly urbanizing regions in the world - the Neotropics. To examine the effect of urbanization on the population dynamics of Neotropical wildlife, we used recapture data from a marked population (2011-2017) of White-eared Ground-Sparrow (Melozone leucotis) across an urban-rural gradient in the Costa Rican Central Valley. Additionally, we tested if this effect differed between males and females. Contrary to our prediction, ground-sparrow survival rates were higher in urban and suburban sites than in the rural site, and we found that survival was positively correlated to the proportion of urban surface inside each territory (β = 0.90, 95% CI: 0.71-0.97). We did not find differences in survival rates between the sexes and the mean survival rate was high overall (0.79 ± 0.06). Surprisingly, our results sugges</w:instrText>
      </w:r>
      <w:r w:rsidR="005E02BF" w:rsidRPr="007F3E3A">
        <w:rPr>
          <w:rFonts w:cstheme="minorHAnsi"/>
        </w:rPr>
        <w:instrText>t that the survival rate of this urban avoider is positively influenced by urbanization, and therefore, suggest that the potential cost to some urban avoiders may not be driven by reduced survival in more urbanized environments, and</w:instrText>
      </w:r>
      <w:r w:rsidR="005E02BF" w:rsidRPr="005E02BF">
        <w:rPr>
          <w:rFonts w:cstheme="minorHAnsi"/>
        </w:rPr>
        <w:instrText xml:space="preserve"> could be driven by reductions in other vital rates. Therefore, we encourage research to evaluate multiple vital rates of urban avoiders and urban adapters to achieve more comprehensive knowledge on how urbanization is affecting avian populations in the Neotropics.","author":[{"dropping-particle":"","family":"Juárez","given":"Roselvy","non-dropping-particle":"","parse-names":false,"suffix":""},{"dropping-particle":"","family":"Ruiz-Gutiérrez","given":"Viviana","non-dropping-particle":"","parse-names":false,"suffix":""},{"dropping-particle":"","family":"Sandoval","given":"Luis","non-dropping-particle":"","parse-names":false,"suffix":""}],"container-title":"Journal of Urban Ecology","id":"ITEM-1","issue":"1","issued":{"date-parts":[["2022"]]},"page":"1-7","title":"Surviving in cities: The case of a year-round territorial bird in the Neotropics","type":"article-journal","volume":"8"},"uris":["http://www.mendeley.com/documents/?uuid=5ce65aee-8ab9-4876-843d-1ba4e6631979"]}],"mendeley":{"formattedCitation":"(Juárez et al., 2022)","plainTextFormattedCitation":"(Juárez et al., 2022)","previouslyFormattedCitation":"(Juárez et al., 2022)"},"properties":{"noteIndex":0},"schema":"https://github.com/citation-style-language/schema/raw/master/csl-citation.json"}</w:instrText>
      </w:r>
      <w:r w:rsidR="00493C4B">
        <w:rPr>
          <w:rFonts w:cstheme="minorHAnsi"/>
          <w:lang w:val="en-US"/>
        </w:rPr>
        <w:fldChar w:fldCharType="separate"/>
      </w:r>
      <w:r w:rsidR="00493C4B" w:rsidRPr="005E02BF">
        <w:rPr>
          <w:rFonts w:cstheme="minorHAnsi"/>
          <w:noProof/>
        </w:rPr>
        <w:t>(Juárez et al., 2022)</w:t>
      </w:r>
      <w:r w:rsidR="00493C4B">
        <w:rPr>
          <w:rFonts w:cstheme="minorHAnsi"/>
          <w:lang w:val="en-US"/>
        </w:rPr>
        <w:fldChar w:fldCharType="end"/>
      </w:r>
      <w:r w:rsidR="005E02BF">
        <w:rPr>
          <w:rFonts w:cstheme="minorHAnsi"/>
          <w:lang w:val="en-US"/>
        </w:rPr>
        <w:fldChar w:fldCharType="begin" w:fldLock="1"/>
      </w:r>
      <w:r w:rsidR="005E02BF" w:rsidRPr="005E02BF">
        <w:rPr>
          <w:rFonts w:cstheme="minorHAnsi"/>
        </w:rPr>
        <w:instrText>ADDIN CSL_CITATION {"citationItems":[{"id":"ITEM-1","itemData":{"DOI":"10.1093/jue/juac006","ISSN":"20585543","abstract":"Urban expansion has been identified as one of the main threats to biodiversity because it can negatively affect wildlife populations. However, wildlife population dynamics have not been studied in one of the most rapidly urbanizing regions in the world - the Neotropics. To examine the effect of urbanization on the population dynamics of Neotropical wildlife, we used recapture data from a marked population (2011-2017) of White-eared Ground-Sparrow (Melozone leucotis) across an urban-rural gradient in the Costa Rican Central Valley. Additionally, we tested if this effect differed between males and females. Contrary to our prediction, ground-sparrow survival rates were higher in urban and suburban sites than in the rural site, and we found that survival was positively correlated to the proportion of urban surface inside each territory (</w:instrText>
      </w:r>
      <w:r w:rsidR="005E02BF">
        <w:rPr>
          <w:rFonts w:cstheme="minorHAnsi"/>
          <w:lang w:val="en-US"/>
        </w:rPr>
        <w:instrText>β</w:instrText>
      </w:r>
      <w:r w:rsidR="005E02BF" w:rsidRPr="005E02BF">
        <w:rPr>
          <w:rFonts w:cstheme="minorHAnsi"/>
        </w:rPr>
        <w:instrText xml:space="preserve"> = 0.90, 95% CI: 0.71-0.97). We did not find differences in survival rates between the sexes and the mean survival rate was high overall (0.79 ± 0.06). Surprisingly, our results suggest that the survival rate of this urban avoider is positively influenced by urbanization, and therefore, suggest that the potential cost to some urban avoiders may not be driven by reduced survival in more urbanized environments, and could be driven by reductions in other vital rates. Therefore, we encourage research to evaluate multiple vital rates of urban avoiders and urban adapters to achieve more comprehensive knowledge on how urbanization is affecting avian populations in the Neotropics.","author":[{"dropping-particle":"","family":"Juárez","given":"Roselvy","non-dropping-particle":"","parse-names":false,"suffix":""},{"dropping-particle":"","family":"Ruiz-Gutiérrez","given":"Viviana","non-dropping-particle":"","parse-names":false,"suffix":""},{"dropping-particle":"","family":"Sandoval","given":"Luis","non-dropping-particle":"","parse-names":false,"suffix":""}],"container-title":"Journal of Urban Ecology","id":"ITEM-1","issue":"1","issued":{"date-parts":[["2022"]]},"page":"1-7","title":"Surviving in cities: The case of a year-round territorial bird in the Neotropics","type":"article-journal","volume":"8"},"uris":["http://www.mendeley.com/documents/?uuid=5ce65aee-8ab9-4876-843d-1ba4e6631979"]}],"mendeley":{"formattedCitation":"(Juárez et al., 2022)","plainTextFormattedCitation":"(Juárez et al., 2022)"},"properties":{"noteIndex":0},"schema":"https://github.com/citation-style-language/schema/raw/master/csl-citation.json"}</w:instrText>
      </w:r>
      <w:r w:rsidR="005E02BF">
        <w:rPr>
          <w:rFonts w:cstheme="minorHAnsi"/>
          <w:lang w:val="en-US"/>
        </w:rPr>
        <w:fldChar w:fldCharType="separate"/>
      </w:r>
      <w:r w:rsidR="005E02BF" w:rsidRPr="005E02BF">
        <w:rPr>
          <w:rFonts w:cstheme="minorHAnsi"/>
          <w:noProof/>
        </w:rPr>
        <w:t>(Juárez et al., 2022)</w:t>
      </w:r>
      <w:r w:rsidR="005E02BF">
        <w:rPr>
          <w:rFonts w:cstheme="minorHAnsi"/>
          <w:lang w:val="en-US"/>
        </w:rPr>
        <w:fldChar w:fldCharType="end"/>
      </w:r>
      <w:r w:rsidR="00B022CA" w:rsidRPr="005E02BF">
        <w:rPr>
          <w:rFonts w:cstheme="minorHAnsi"/>
        </w:rPr>
        <w:t xml:space="preserve">m frequency and </w:t>
      </w:r>
      <w:proofErr w:type="spellStart"/>
      <w:r w:rsidR="00B022CA" w:rsidRPr="005E02BF">
        <w:rPr>
          <w:rFonts w:cstheme="minorHAnsi"/>
        </w:rPr>
        <w:t>duration</w:t>
      </w:r>
      <w:proofErr w:type="spellEnd"/>
      <w:r w:rsidR="00B022CA" w:rsidRPr="005E02BF">
        <w:rPr>
          <w:rFonts w:cstheme="minorHAnsi"/>
        </w:rPr>
        <w:t xml:space="preserve"> </w:t>
      </w:r>
      <w:proofErr w:type="spellStart"/>
      <w:r w:rsidR="00B022CA" w:rsidRPr="005E02BF">
        <w:rPr>
          <w:rFonts w:cstheme="minorHAnsi"/>
        </w:rPr>
        <w:t>of</w:t>
      </w:r>
      <w:proofErr w:type="spellEnd"/>
      <w:r w:rsidR="00B022CA" w:rsidRPr="005E02BF">
        <w:rPr>
          <w:rFonts w:cstheme="minorHAnsi"/>
        </w:rPr>
        <w:t xml:space="preserve"> their songs </w:t>
      </w:r>
      <w:r w:rsidR="00D22709" w:rsidRPr="001830F3">
        <w:rPr>
          <w:rFonts w:cstheme="minorHAnsi"/>
          <w:lang w:val="en-US"/>
        </w:rPr>
        <w:fldChar w:fldCharType="begin" w:fldLock="1"/>
      </w:r>
      <w:r w:rsidR="009D70F1" w:rsidRPr="005E02BF">
        <w:rPr>
          <w:rFonts w:cstheme="minorHAnsi"/>
        </w:rPr>
        <w:instrText>ADDIN CSL_CITATION {"citationItems":[{"id":"ITEM-1","itemData":{"DOI":"10.1016/j.beproc.2020.104282","ISSN":"18728308","PMID":"33217514","abstract":"Noise affects the recognition of acoustic signals by masking information. To compensate for increased noise, individuals often increase the minimum frequency of their vocalization to reduce noise interference. Our goal was to analyze the effect of noise on the characteristics of different bird vocalizations, through a comparative study of vocalizations on the same bird species. We analyzed the effects of noise variation on the fine spectrotemporal characteristics of calls, songs, and duets of White-eared Ground-sparrows (Melozone leucotis) across three populations over a three-year period. We recorded vocalizations and noise levels simultaneously from 41 territories between 2012 and 2014. We measured the duration, minimum, maximum, and maximum amplitude frequency, and counted the number of songs elements for each vocalization recorded. As we predicted, noise influences the minimum frequency of song, but did not have an effect on the fine spectrotemporal characteristics for calls and duets. We did, however, find that low and high frequency of calls and duets increased with noise-population-year interaction. Our results suggest that differences in noise values at each population were inadequate to observe changes in vocalization characteristics. In conclusion, evaluatin</w:instrText>
      </w:r>
      <w:r w:rsidR="009D70F1">
        <w:rPr>
          <w:rFonts w:cstheme="minorHAnsi"/>
          <w:lang w:val="en-US"/>
        </w:rPr>
        <w:instrText>g responses to different noise levels on different vocalization types for the same species expands our understanding of the flexibility of birds to adjust vocalizations in response to anthropogenic noise.","author":[{"dropping-particle":"","family":"Méndez","given":"Carolina","non-dropping-particle":"","parse-names":false,"suffix":""},{"dropping-particle":"","family":"Barrantes","given":"Gilbert","non-dropping-particle":"","parse-names":false,"suffix":""},{"dropping-particle":"","family":"Sandoval","given":"Luis","non-dropping-particle":"","parse-names":false,"suffix":""}],"container-title":"Behavioural Processes","id":"ITEM-1","issued":{"date-parts":[["2020"]]},"title":"The effect of noise variation over time and between populations on the fine spectrotemporal characteristics of different vocalization types","type":"article-journal","volume":"182"},"uris":["http://www.mendeley.com/documents/?uuid=fb056c7e-475e-4dea-b46a-a47325ec95dd"]},{"id":"ITEM-2","itemData":{"DOI":"10.1111/eth.12206","ISSN":"01791613","abstract":"Communication between social animals is often more effective when signals facilitate individual recognition. Two critical requirements for individual recognition are the occurrence of characteristics that are unique to each individual, and the consistency of these characteristics through time. In some animals, characteristics of acoustic signals are known to vary over time due to changes in a variety of factors, including physiological and environmental features. Such temporal variation requires careful evaluation when exploring the individual distinctiveness of animal signals. In this study, we evaluate individual distinctiveness in the songs of male white-eared ground-sparrows Melozone leucotis and the persistence of distinctive characteristics over time. We collected focal recordings from populations of banded ground-sparrows during two consecutive breeding seasons, including multiple recording sessions within each breeding season. We evaluated individual distinctiveness in fine structural acoustic features of songs. We also extended our analysis to repertoire characteristics, focusing on whether the relative frequency of song type use may provide cues to individual identity. We found that each male white-eared ground-sparrow sang individually distinctive songs, although their fine structural features varied between recording sessions. We found the frequency with which males sang different song types was also individually distinctive, and this feature varied little between recording sessions. Receivers may be able to use these distinctive characteristics to differentiate individuals over extended time periods; this may be especially important for species that engage in long-term social interactions, such as tropical birds that defend territories against rival conspecific animals throughout the year. © 2014 Blackwell Verlag GmbH.","author":[{"dropping-particle":"","family":"Sandoval","given":"Luis","non-dropping-particle":"","parse-names":false,"suffix":""},{"dropping-particle":"","family":"Méndez","given":"Carolina","non-dropping-particle":"","parse-names":false,"suffix":""},{"dropping-particle":"","family":"Mennill","given":"Daniel J.","non-dropping-particle":"","parse-names":false,"suffix":""}],"container-title":"Ethology","id":"ITEM-2","issue":"3","issued":{"date-parts":[["2014"]]},"page":"275-286","title":"Individual distinctiveness in the fine structural features and repertoire characteristics of the songs of white-eared ground-sparrows","type":"article-journal","volume":"120"},"uris":["http://www.mendeley.com/documents/?uuid=e4dcdc3d-deae-41b1-8bc9-3884e2fb93c1"]},{"id":"ITEM-3","itemData":{"DOI":"10.1007/s10336-015-1237-y","ISSN":"21937206","abstract":"There are relatively few quantitative descriptive studies of the vocalisations and vocal behaviour of tropical bird species, in spite of the tropic’s rich avian biodiversity and the extensive variety of vocalisations produced by tropical birds. This lack of information inhibits our understanding of tropical animals, including our ability to perform comparative analyses on vocal behaviours from an evolutionary perspective. In this study, we present the first quantitative description of the vocal repertoire and daily vocal activity of White-eared Ground-sparrows (Melozone leuco-tis), using focal and autonomous recordings collected during two consecutive breeding seasons in Costa Rica. We classified vocalisations into categories based on their visual appearance on sound spectrograms to create a library of vocalisations for this species. We found that White-eared Ground-sparrows produce three main categories of vocalisations: solo songs, calls, and duets. Solo songs were produced only by males. Each male sang a repertoire of solo song types, which all shared the same general structure with short introductory notes, a frequency-modulated middle section, and a terminal trill. Both sexes produce calls and coordinated vocal duets. We quantified patterns of diel variation in each category of vocalisation, and found that the Ground-sparrows produced all three vocalisations at higher output at dawn (between 0500 and 0600 hours) compared to the rest of the day. This study allowed us to conduct the first comparisons of vocalisations between White-eared Ground-sparrows and North American species in the genus Melozone, and revealed both similarities and differences between the species groups. Our investigation also showed that vocalisations related to communication within pairs and to territory defence (calls and duets) exhibited lower levels of individual distinctiveness than vocalisations related mainly to female attraction (male solo songs). Our observations suggest that each of the three types of vocalisations have multiple functions in White-eared Ground-sparrows, revealing diverse communication functions with a small vocal repertoire in this tropical songbird.","author":[{"dropping-particle":"","family":"Sandoval","given":"Luis","non-dropping-particle":"","parse-names":false,"suffix":""},{"dropping-particle":"","family":"Méndez","given":"Carolina","non-dropping-particle":"","parse-names":false,"suffix":""},{"dropping-particle":"","family":"Mennill","given":"Daniel J.","non-dropping-particle":"","parse-names":false,"suffix":""}],"container-title":"Journal of Ornithology","id":"ITEM-3","issue":"1","issued":{"date-parts":[["2016"]]},"page":"1-12","title":"Vocal behaviour of white-eared ground-sparrows (Melozone leucotis) during the breeding season: Repertoires, diel variation, behavioural contexts, and individual distinctiveness","type":"article-journal","volume":"157"},"uris":["http://www.mendeley.com/documents/?uuid=a1e24b29-ddc4-4a7f-be09-cfafb82a815f"]},{"id":"ITEM-4","itemData":{"DOI":"10.1038/s41598-022-09961-9","ISBN":"4159802209961","ISSN":"2045-2322","abstract":"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Reports","id":"ITEM-4","issue":"1","issued":{"date-parts":[["2022"]]},"page":"1-11","publisher":"Nature Publishing Group UK","title":"Genetic structure in neotropical birds with different tolerance to urbanization","type":"article-journal","volume":"12"},"uris":["http://www.mendeley.com/documents/?uuid=ea8693a5-5706-4033-812a-ef038f7523c8"]},{"id":"ITEM-5","itemData":{"DOI":"10.1186/s40657-020-00198-6","ISBN":"4065702000198","ISSN":"20537166","abstract":"Background: Urban expansion has been identified as one of the leading drivers of biodiversity change or loss. For birds, urbanization is specifically related to survival, breeding success, and territory size. Understanding how different birds adjust territory size in response to urbanization is essential for their conservation in urban environments and to better understand why some species are lost and others persist under this condition. We evaluated the effect of urbanization on the territory size of an urban avoider species, White-eared Ground-Sparrow (Melozone leucotis), and an urban adapter species, House Wren (Troglodytes aedon), at five Costa Rican sites. Methods: We measured the size of 30 ground-sparrow and 28 wren territories using a total of 296 h of observation. We followed each individual for at least 1 h per day for at least 2 days of two consecutive years, and geo-referenced their locations. Territory size was estimated using the minimum convex polygon method. We measured the urban surfaces (roads, buildings, any other paved area, soccer fields, lawns, and gardens with short grass) within territories. Results: Ground-sparrow territories were larger at the highly urbanized site than at the non-urbanized site. Wren territories were larger at the low urbanized site than at the highly urbanized site. We found a positive relationship between urban surface and territory size for the ground-sparrow, but not for the wren. Conclusions: Our results showed that not all birds adjust territory size in the same way in response to urbanization. We showed that urban avoiders probably need to defend larger territories in urban environments to find all the resources required to survive because urban environments may provide insufficient resources such as food or shelter. Urban adapters on the other hand defend smaller territories in urban environments because even small territories may provide sufficient resources. These results suggest specific behavioral adaptations developed by Neotropical birds inhabiting urban environments.","author":[{"dropping-particle":"","family":"Juárez","given":"Roselvy","non-dropping-particle":"","parse-names":false,"suffix":""},{"dropping-particle":"","family":"Chacón-Madrigal","given":"Eduardo","non-dropping-particle":"","parse-names":false,"suffix":""},{"dropping-particle":"","family":"Sandoval","given":"Luis","non-dropping-particle":"","parse-names":false,"suffix":""}],"container-title":"Avian Research","id":"ITEM-5","issue":"1","issued":{"date-parts":[["2020"]]},"page":"1-9","publisher":"BioMed Central","title":"Urbanization has opposite effects on the territory size of two passerine birds","type":"article-journal","volume":"11"},"uris":["http://www.mendeley.com/documents/?uuid=c857e4f4-a155-4b1b-b130-51ef9ffcd409"]},{"id":"ITEM-6","itemData":{"DOI":"10.1080/09524622.2015.1076346","ISSN":"21650586","abstract":"The Acoustic Adaptation Hypothesis posits that habitat characteristics influence the structure of animal vocalizations and that animals will vocalize and display behaviours optimized for sound transmission. White-eared ground-sparrows Melozone leucotis live in habitats with dense vegetation where vocal communication is an ideal mode of communication for territory defence and mate attraction. On the basis of the Acoustic Adaptation Hypothesis, if solos and duets of these ground-sparrows are used in long-distance communication, we should expect that these vocalizations will exhibit structures that enhance sound transmission. We conducted a sound transmission experiment where we broadcast and re-recorded solo songs and duets to study their transmission properties. We used two speaker heights and two microphone heights to simulate different perch heights of signallers and receivers and four distances between the speakers and microphones to simulate variable distances of separation. We found that solo and duet songs show similar patterns of degradation and attenuation with distance and proximity to the ground. These results suggest that solo and duet songs facilitate communication with receivers at similar distances. The highest perches, for both signallers and receivers, maximized acoustic transmission. This is the first study that evaluates the transmission properties of songs and duets in birds, despite the fact that many bird species in tropical forests produce both types of vocalizations. To our surprise, we found that solo and duet songs degraded to below-detectable levels in less than a typical territory's diameter, sugg</w:instrText>
      </w:r>
      <w:r w:rsidR="009D70F1" w:rsidRPr="00733178">
        <w:rPr>
          <w:rFonts w:cstheme="minorHAnsi"/>
        </w:rPr>
        <w:instrText>esting that this species has not experienced strong selection for long-distance communication.","author":[{"dropping-particle":"","family":"Sandoval","given":"Luis","non-dropping-particle":"","parse-names":false,"suffix":""},{"dropping-particle":"","family":"Dabelsteen","given":"Torben","non-dropping-particle":"","parse-names":false,"suffix":""},{"dropping-particle":"","family":"Mennill","given":"Daniel J.","non-dropping-particle":"","parse-names":false,"suffix":""}],"container-title":"Bioacoustics","id":"ITEM-6","issue":"3","issued":{"date-parts":[["2015"]]},"page":"289-306","title":"Transmission characteristics of solo songs and duets in a neotropical thicket habitat specialist bird","type":"article-journal","volume":"24"},"uris":["http://www.mendeley.com/documents/?uuid=ad457795-cb23-4e35-8c1c-a445e21b996d"]}],"mendeley":{"formattedCitation":"(Juárez et al., 2020; Méndez et al., 2020; Rodríguez-Bardía et al., 2022; Sandoval et al., 2014, 2015, 2016)","manualFormatting":"(Sandoval et al., 2014, 2015, 2016; Juárez et al., 2020; Méndez et al., 2021; Rodríguez-Bardía et al., 2022)","plainTextFormattedCitation":"(Juárez et al., 2020; Méndez et al., 2020; Rodríguez-Bardía et al., 2022; Sandoval et al., 2014, 2015, 2016)","previouslyFormattedCitation":"(Juárez et al., 2020; Méndez et al., 2020; Rodríguez-Bardía et al., 2022; Sandoval et al., 2014, 2015, 2016)"},"properties":{"noteIndex":0},"schema":"https://github.com/citation-style-language/schema/raw/master/csl-citation.json"}</w:instrText>
      </w:r>
      <w:r w:rsidR="00D22709" w:rsidRPr="001830F3">
        <w:rPr>
          <w:rFonts w:cstheme="minorHAnsi"/>
          <w:lang w:val="en-US"/>
        </w:rPr>
        <w:fldChar w:fldCharType="separate"/>
      </w:r>
      <w:r w:rsidR="001152D9" w:rsidRPr="001830F3">
        <w:rPr>
          <w:rFonts w:cstheme="minorHAnsi"/>
          <w:noProof/>
        </w:rPr>
        <w:t>(</w:t>
      </w:r>
      <w:r w:rsidR="00AF5A55" w:rsidRPr="001830F3">
        <w:rPr>
          <w:rFonts w:cstheme="minorHAnsi"/>
          <w:noProof/>
        </w:rPr>
        <w:t xml:space="preserve">Sandoval et al., 2014, 2015, 2016; </w:t>
      </w:r>
      <w:r w:rsidR="001152D9" w:rsidRPr="001830F3">
        <w:rPr>
          <w:rFonts w:cstheme="minorHAnsi"/>
          <w:noProof/>
        </w:rPr>
        <w:t xml:space="preserve">Juárez et al., 2020; </w:t>
      </w:r>
      <w:r w:rsidR="00B9511C" w:rsidRPr="001830F3">
        <w:rPr>
          <w:rFonts w:cstheme="minorHAnsi"/>
          <w:noProof/>
        </w:rPr>
        <w:t>Méndez et al., 20</w:t>
      </w:r>
      <w:r w:rsidR="00B9511C">
        <w:rPr>
          <w:rFonts w:cstheme="minorHAnsi"/>
          <w:noProof/>
        </w:rPr>
        <w:t>21</w:t>
      </w:r>
      <w:r w:rsidR="00B9511C" w:rsidRPr="001830F3">
        <w:rPr>
          <w:rFonts w:cstheme="minorHAnsi"/>
          <w:noProof/>
        </w:rPr>
        <w:t>;</w:t>
      </w:r>
      <w:r w:rsidR="00B9511C">
        <w:rPr>
          <w:rFonts w:cstheme="minorHAnsi"/>
          <w:noProof/>
        </w:rPr>
        <w:t xml:space="preserve"> </w:t>
      </w:r>
      <w:r w:rsidR="001152D9" w:rsidRPr="001830F3">
        <w:rPr>
          <w:rFonts w:cstheme="minorHAnsi"/>
          <w:noProof/>
        </w:rPr>
        <w:t>Rodríguez-Bardía et al., 2022)</w:t>
      </w:r>
      <w:r w:rsidR="00D22709" w:rsidRPr="001830F3">
        <w:rPr>
          <w:rFonts w:cstheme="minorHAnsi"/>
          <w:lang w:val="en-US"/>
        </w:rPr>
        <w:fldChar w:fldCharType="end"/>
      </w:r>
      <w:r w:rsidR="006B286E" w:rsidRPr="001830F3">
        <w:rPr>
          <w:rFonts w:cstheme="minorHAnsi"/>
        </w:rPr>
        <w:t xml:space="preserve">. </w:t>
      </w:r>
      <w:bookmarkEnd w:id="13"/>
      <w:r w:rsidR="00F33298" w:rsidRPr="0004030A">
        <w:rPr>
          <w:rFonts w:cstheme="minorHAnsi"/>
          <w:lang w:val="en-US"/>
        </w:rPr>
        <w:t>Th</w:t>
      </w:r>
      <w:r w:rsidR="00F33298">
        <w:rPr>
          <w:rFonts w:cstheme="minorHAnsi"/>
          <w:lang w:val="en-US"/>
        </w:rPr>
        <w:t xml:space="preserve">ese studies suggest that genetic and cultural traits are under intense selective pressures imposed by urbanized environments. However, it is </w:t>
      </w:r>
      <w:r w:rsidR="00D124E7">
        <w:rPr>
          <w:rFonts w:cstheme="minorHAnsi"/>
          <w:lang w:val="en-US"/>
        </w:rPr>
        <w:t xml:space="preserve">yet </w:t>
      </w:r>
      <w:r w:rsidR="00F33298">
        <w:rPr>
          <w:rFonts w:cstheme="minorHAnsi"/>
          <w:lang w:val="en-US"/>
        </w:rPr>
        <w:t xml:space="preserve">unknown </w:t>
      </w:r>
      <w:r w:rsidR="00D42B5F">
        <w:rPr>
          <w:rFonts w:cstheme="minorHAnsi"/>
          <w:lang w:val="en-US"/>
        </w:rPr>
        <w:t xml:space="preserve">how </w:t>
      </w:r>
      <w:r w:rsidR="00047E83">
        <w:rPr>
          <w:rFonts w:cstheme="minorHAnsi"/>
          <w:lang w:val="en-US"/>
        </w:rPr>
        <w:t xml:space="preserve">these traits change </w:t>
      </w:r>
      <w:r w:rsidR="00D02C15">
        <w:rPr>
          <w:rFonts w:cstheme="minorHAnsi"/>
          <w:lang w:val="en-US"/>
        </w:rPr>
        <w:t xml:space="preserve">over </w:t>
      </w:r>
      <w:r w:rsidR="00047E83">
        <w:rPr>
          <w:rFonts w:cstheme="minorHAnsi"/>
          <w:lang w:val="en-US"/>
        </w:rPr>
        <w:t xml:space="preserve">time </w:t>
      </w:r>
      <w:r w:rsidR="005A0A93">
        <w:rPr>
          <w:rFonts w:cstheme="minorHAnsi"/>
          <w:lang w:val="en-US"/>
        </w:rPr>
        <w:t xml:space="preserve">and how they track </w:t>
      </w:r>
      <w:r w:rsidR="00047E83">
        <w:rPr>
          <w:rFonts w:cstheme="minorHAnsi"/>
          <w:lang w:val="en-US"/>
        </w:rPr>
        <w:t xml:space="preserve">population dynamics. </w:t>
      </w:r>
      <w:bookmarkStart w:id="14" w:name="_Hlk167468700"/>
    </w:p>
    <w:p w14:paraId="7E5A8831" w14:textId="3DB6FB15" w:rsidR="00805C39" w:rsidRDefault="007D5A94" w:rsidP="007D5A94">
      <w:pPr>
        <w:spacing w:line="480" w:lineRule="auto"/>
        <w:ind w:firstLine="709"/>
        <w:rPr>
          <w:rFonts w:cstheme="minorHAnsi"/>
          <w:lang w:val="en-US"/>
        </w:rPr>
      </w:pPr>
      <w:r>
        <w:rPr>
          <w:rFonts w:cstheme="minorHAnsi"/>
          <w:lang w:val="en-US"/>
        </w:rPr>
        <w:lastRenderedPageBreak/>
        <w:t xml:space="preserve">In Costa Rica, </w:t>
      </w:r>
      <w:r w:rsidR="00D01C6F">
        <w:rPr>
          <w:rFonts w:cstheme="minorHAnsi"/>
          <w:lang w:val="en-US"/>
        </w:rPr>
        <w:t>u</w:t>
      </w:r>
      <w:r w:rsidRPr="00287DE5">
        <w:rPr>
          <w:rFonts w:cstheme="minorHAnsi"/>
          <w:lang w:val="en-US"/>
        </w:rPr>
        <w:t>rban development</w:t>
      </w:r>
      <w:r>
        <w:rPr>
          <w:rFonts w:cstheme="minorHAnsi"/>
          <w:lang w:val="en-US"/>
        </w:rPr>
        <w:t xml:space="preserve"> began</w:t>
      </w:r>
      <w:r w:rsidRPr="00287DE5">
        <w:rPr>
          <w:rFonts w:cstheme="minorHAnsi"/>
          <w:lang w:val="en-US"/>
        </w:rPr>
        <w:t xml:space="preserve"> before </w:t>
      </w:r>
      <w:r>
        <w:rPr>
          <w:rFonts w:cstheme="minorHAnsi"/>
          <w:lang w:val="en-US"/>
        </w:rPr>
        <w:t xml:space="preserve">the </w:t>
      </w:r>
      <w:r w:rsidRPr="00287DE5">
        <w:rPr>
          <w:rFonts w:cstheme="minorHAnsi"/>
          <w:lang w:val="en-US"/>
        </w:rPr>
        <w:t>1900s</w:t>
      </w:r>
      <w:r w:rsidR="00D01C6F">
        <w:rPr>
          <w:rFonts w:cstheme="minorHAnsi"/>
          <w:lang w:val="en-US"/>
        </w:rPr>
        <w:t>,</w:t>
      </w:r>
      <w:r w:rsidRPr="00287DE5">
        <w:rPr>
          <w:rFonts w:cstheme="minorHAnsi"/>
          <w:lang w:val="en-US"/>
        </w:rPr>
        <w:t xml:space="preserve"> but </w:t>
      </w:r>
      <w:r w:rsidR="00D01C6F">
        <w:rPr>
          <w:rFonts w:cstheme="minorHAnsi"/>
          <w:lang w:val="en-US"/>
        </w:rPr>
        <w:t xml:space="preserve">expanded </w:t>
      </w:r>
      <w:r w:rsidR="00BB1B65">
        <w:rPr>
          <w:rFonts w:cstheme="minorHAnsi"/>
          <w:lang w:val="en-US"/>
        </w:rPr>
        <w:t xml:space="preserve">rapidly </w:t>
      </w:r>
      <w:r w:rsidRPr="00287DE5">
        <w:rPr>
          <w:rFonts w:cstheme="minorHAnsi"/>
          <w:lang w:val="en-US"/>
        </w:rPr>
        <w:t xml:space="preserve">after </w:t>
      </w:r>
      <w:r>
        <w:rPr>
          <w:rFonts w:cstheme="minorHAnsi"/>
          <w:lang w:val="en-US"/>
        </w:rPr>
        <w:t xml:space="preserve">the </w:t>
      </w:r>
      <w:r w:rsidRPr="00287DE5">
        <w:rPr>
          <w:rFonts w:cstheme="minorHAnsi"/>
          <w:lang w:val="en-US"/>
        </w:rPr>
        <w:t>1970</w:t>
      </w:r>
      <w:r>
        <w:rPr>
          <w:rFonts w:cstheme="minorHAnsi"/>
          <w:lang w:val="en-US"/>
        </w:rPr>
        <w:t>´s</w:t>
      </w:r>
      <w:r w:rsidR="00D01C6F">
        <w:rPr>
          <w:rFonts w:cstheme="minorHAnsi"/>
          <w:lang w:val="en-US"/>
        </w:rPr>
        <w:t xml:space="preserve">, </w:t>
      </w:r>
      <w:r w:rsidR="002C1F5D">
        <w:rPr>
          <w:rFonts w:cstheme="minorHAnsi"/>
          <w:lang w:val="en-US"/>
        </w:rPr>
        <w:t xml:space="preserve">resulting in the loss </w:t>
      </w:r>
      <w:r w:rsidR="00D01C6F">
        <w:rPr>
          <w:rFonts w:cstheme="minorHAnsi"/>
          <w:lang w:val="en-US"/>
        </w:rPr>
        <w:t xml:space="preserve">and fragmentation of </w:t>
      </w:r>
      <w:r w:rsidR="002C1F5D">
        <w:rPr>
          <w:rFonts w:cstheme="minorHAnsi"/>
          <w:lang w:val="en-US"/>
        </w:rPr>
        <w:t xml:space="preserve">significant portions of </w:t>
      </w:r>
      <w:r w:rsidR="00D01C6F">
        <w:rPr>
          <w:rFonts w:cstheme="minorHAnsi"/>
          <w:lang w:val="en-US"/>
        </w:rPr>
        <w:t>natural environments</w:t>
      </w:r>
      <w:r>
        <w:rPr>
          <w:rFonts w:cstheme="minorHAnsi"/>
          <w:lang w:val="en-US"/>
        </w:rPr>
        <w:t xml:space="preserve"> (</w:t>
      </w:r>
      <w:proofErr w:type="spellStart"/>
      <w:r>
        <w:rPr>
          <w:rFonts w:cstheme="minorHAnsi"/>
          <w:lang w:val="en-US"/>
        </w:rPr>
        <w:t>Biamonte</w:t>
      </w:r>
      <w:proofErr w:type="spellEnd"/>
      <w:r>
        <w:rPr>
          <w:rFonts w:cstheme="minorHAnsi"/>
          <w:lang w:val="en-US"/>
        </w:rPr>
        <w:t xml:space="preserve"> et al., 2011).  In the Costa Rica</w:t>
      </w:r>
      <w:r w:rsidR="002C1F5D">
        <w:rPr>
          <w:rFonts w:cstheme="minorHAnsi"/>
          <w:lang w:val="en-US"/>
        </w:rPr>
        <w:t>n</w:t>
      </w:r>
      <w:r>
        <w:rPr>
          <w:rFonts w:cstheme="minorHAnsi"/>
          <w:lang w:val="en-US"/>
        </w:rPr>
        <w:t xml:space="preserve"> Central Valley</w:t>
      </w:r>
      <w:r w:rsidR="00D01C6F">
        <w:rPr>
          <w:rFonts w:cstheme="minorHAnsi"/>
          <w:lang w:val="en-US"/>
        </w:rPr>
        <w:t>, the most urbanized area</w:t>
      </w:r>
      <w:r w:rsidR="002C1F5D">
        <w:rPr>
          <w:rFonts w:cstheme="minorHAnsi"/>
          <w:lang w:val="en-US"/>
        </w:rPr>
        <w:t xml:space="preserve"> in the country</w:t>
      </w:r>
      <w:r w:rsidR="00D01C6F">
        <w:rPr>
          <w:rFonts w:cstheme="minorHAnsi"/>
          <w:lang w:val="en-US"/>
        </w:rPr>
        <w:t>,</w:t>
      </w:r>
      <w:r>
        <w:rPr>
          <w:rFonts w:cstheme="minorHAnsi"/>
          <w:lang w:val="en-US"/>
        </w:rPr>
        <w:t xml:space="preserve"> </w:t>
      </w:r>
      <w:r w:rsidR="00D01C6F">
        <w:rPr>
          <w:rFonts w:cstheme="minorHAnsi"/>
          <w:lang w:val="en-US"/>
        </w:rPr>
        <w:t xml:space="preserve">natural environments were replaced by </w:t>
      </w:r>
      <w:r>
        <w:rPr>
          <w:rFonts w:cstheme="minorHAnsi"/>
          <w:lang w:val="en-US"/>
        </w:rPr>
        <w:t xml:space="preserve">shade coffee </w:t>
      </w:r>
      <w:r w:rsidR="00D01C6F">
        <w:rPr>
          <w:rFonts w:cstheme="minorHAnsi"/>
          <w:lang w:val="en-US"/>
        </w:rPr>
        <w:t xml:space="preserve">plantations, an agricultural system still suitable for a large number of birds and other </w:t>
      </w:r>
      <w:r w:rsidR="00BB1B65">
        <w:rPr>
          <w:rFonts w:cstheme="minorHAnsi"/>
          <w:lang w:val="en-US"/>
        </w:rPr>
        <w:t>taxa</w:t>
      </w:r>
      <w:r w:rsidR="00D01C6F">
        <w:rPr>
          <w:rFonts w:cstheme="minorHAnsi"/>
          <w:lang w:val="en-US"/>
        </w:rPr>
        <w:t xml:space="preserve">. However, coffee plantations and </w:t>
      </w:r>
      <w:r>
        <w:rPr>
          <w:rFonts w:cstheme="minorHAnsi"/>
          <w:lang w:val="en-US"/>
        </w:rPr>
        <w:t>secondary growth area</w:t>
      </w:r>
      <w:r w:rsidR="00071705">
        <w:rPr>
          <w:rFonts w:cstheme="minorHAnsi"/>
          <w:lang w:val="en-US"/>
        </w:rPr>
        <w:t>s</w:t>
      </w:r>
      <w:r>
        <w:rPr>
          <w:rFonts w:cstheme="minorHAnsi"/>
          <w:lang w:val="en-US"/>
        </w:rPr>
        <w:t xml:space="preserve"> </w:t>
      </w:r>
      <w:r w:rsidR="002C1F5D">
        <w:rPr>
          <w:rFonts w:cstheme="minorHAnsi"/>
          <w:lang w:val="en-US"/>
        </w:rPr>
        <w:t>were</w:t>
      </w:r>
      <w:r>
        <w:rPr>
          <w:rFonts w:cstheme="minorHAnsi"/>
          <w:lang w:val="en-US"/>
        </w:rPr>
        <w:t xml:space="preserve"> reduced by 41%, and urban</w:t>
      </w:r>
      <w:r w:rsidR="00B555F0">
        <w:rPr>
          <w:rFonts w:cstheme="minorHAnsi"/>
          <w:lang w:val="en-US"/>
        </w:rPr>
        <w:t>scape</w:t>
      </w:r>
      <w:r>
        <w:rPr>
          <w:rFonts w:cstheme="minorHAnsi"/>
          <w:lang w:val="en-US"/>
        </w:rPr>
        <w:t xml:space="preserve"> increased by 37% between 1973 and 2006 (</w:t>
      </w:r>
      <w:proofErr w:type="spellStart"/>
      <w:r>
        <w:rPr>
          <w:rFonts w:cstheme="minorHAnsi"/>
          <w:lang w:val="en-US"/>
        </w:rPr>
        <w:t>Biamonte</w:t>
      </w:r>
      <w:proofErr w:type="spellEnd"/>
      <w:r>
        <w:rPr>
          <w:rFonts w:cstheme="minorHAnsi"/>
          <w:lang w:val="en-US"/>
        </w:rPr>
        <w:t xml:space="preserve"> et al., 2011). </w:t>
      </w:r>
      <w:r w:rsidR="004E1F2E">
        <w:rPr>
          <w:rFonts w:cstheme="minorHAnsi"/>
          <w:lang w:val="en-US"/>
        </w:rPr>
        <w:t xml:space="preserve">The urban expansion continued and by 2024, 83.3% of Costa Rican human population concentrated in cities or surrounding metropolitan areas </w:t>
      </w:r>
      <w:r w:rsidR="004E1F2E">
        <w:rPr>
          <w:rFonts w:cstheme="minorHAnsi"/>
          <w:lang w:val="en-US"/>
        </w:rPr>
        <w:fldChar w:fldCharType="begin" w:fldLock="1"/>
      </w:r>
      <w:r w:rsidR="004E1F2E">
        <w:rPr>
          <w:rFonts w:cstheme="minorHAnsi"/>
          <w:lang w:val="en-US"/>
        </w:rPr>
        <w:instrText>ADDIN CSL_CITATION {"citationItems":[{"id":"ITEM-1","itemData":{"author":[{"dropping-particle":"","family":"Joyce","given":"AT","non-dropping-particle":"","parse-names":false,"suffix":""}],"id":"ITEM-1","issued":{"date-parts":[["2006"]]},"publisher":"Litografía e imprenta LIL, S.A..","publisher-place":"San José, Costa Rica","title":"Land use change in Costa Rica: 1996–2006, as inﬂuenced by social, economic, political, and environmental factors","type":"book"},"uris":["http://www.mendeley.com/documents/?uuid=161c91af-ad9a-4c91-a73f-2884ba8c404b"]},{"id":"ITEM-2","itemData":{"URL":"https://worldpopulationreview.com","author":[{"dropping-particle":"","family":"World Population Review","given":"","non-dropping-particle":"","parse-names":false,"suffix":""}],"id":"ITEM-2","issued":{"date-parts":[["2024"]]},"title":"Costa Rica Population 2024","type":"webpage"},"uris":["http://www.mendeley.com/documents/?uuid=93cc3b41-0666-404a-a73e-0f2145e4782e"]}],"mendeley":{"formattedCitation":"(Joyce, 2006; World Population Review, 2024)","plainTextFormattedCitation":"(Joyce, 2006; World Population Review, 2024)","previouslyFormattedCitation":"(Joyce, 2006; World Population Review, 2024)"},"properties":{"noteIndex":0},"schema":"https://github.com/citation-style-language/schema/raw/master/csl-citation.json"}</w:instrText>
      </w:r>
      <w:r w:rsidR="004E1F2E">
        <w:rPr>
          <w:rFonts w:cstheme="minorHAnsi"/>
          <w:lang w:val="en-US"/>
        </w:rPr>
        <w:fldChar w:fldCharType="separate"/>
      </w:r>
      <w:r w:rsidR="004E1F2E" w:rsidRPr="00397843">
        <w:rPr>
          <w:rFonts w:cstheme="minorHAnsi"/>
          <w:noProof/>
          <w:lang w:val="en-US"/>
        </w:rPr>
        <w:t>(Joyce, 2006; World Population Review, 2024)</w:t>
      </w:r>
      <w:r w:rsidR="004E1F2E">
        <w:rPr>
          <w:rFonts w:cstheme="minorHAnsi"/>
          <w:lang w:val="en-US"/>
        </w:rPr>
        <w:fldChar w:fldCharType="end"/>
      </w:r>
      <w:r w:rsidR="004E1F2E">
        <w:rPr>
          <w:rFonts w:cstheme="minorHAnsi"/>
          <w:lang w:val="en-US"/>
        </w:rPr>
        <w:t>.</w:t>
      </w:r>
      <w:r w:rsidR="006E0AC0">
        <w:rPr>
          <w:rFonts w:cstheme="minorHAnsi"/>
          <w:lang w:val="en-US"/>
        </w:rPr>
        <w:t xml:space="preserve"> </w:t>
      </w:r>
      <w:bookmarkStart w:id="15" w:name="_Hlk187780609"/>
      <w:r>
        <w:rPr>
          <w:rFonts w:cstheme="minorHAnsi"/>
          <w:lang w:val="en-US"/>
        </w:rPr>
        <w:t>Therefore, over the</w:t>
      </w:r>
      <w:r w:rsidR="00277ACE">
        <w:rPr>
          <w:rFonts w:cstheme="minorHAnsi"/>
          <w:lang w:val="en-US"/>
        </w:rPr>
        <w:t xml:space="preserve"> past</w:t>
      </w:r>
      <w:r>
        <w:rPr>
          <w:rFonts w:cstheme="minorHAnsi"/>
          <w:lang w:val="en-US"/>
        </w:rPr>
        <w:t xml:space="preserve"> decades, urban expansion in Costa Rica has significantly reduced natural and semi-natural habitats, leading to</w:t>
      </w:r>
      <w:r w:rsidR="004E1F2E">
        <w:rPr>
          <w:rFonts w:cstheme="minorHAnsi"/>
          <w:lang w:val="en-US"/>
        </w:rPr>
        <w:t xml:space="preserve"> </w:t>
      </w:r>
      <w:r>
        <w:rPr>
          <w:rFonts w:cstheme="minorHAnsi"/>
          <w:lang w:val="en-US"/>
        </w:rPr>
        <w:t xml:space="preserve">increased isolation of bird populations </w:t>
      </w:r>
      <w:bookmarkStart w:id="16" w:name="_Hlk188566451"/>
      <w:r w:rsidR="00397843">
        <w:rPr>
          <w:rFonts w:cstheme="minorHAnsi"/>
          <w:lang w:val="en-US"/>
        </w:rPr>
        <w:fldChar w:fldCharType="begin" w:fldLock="1"/>
      </w:r>
      <w:r w:rsidR="00493C4B">
        <w:rPr>
          <w:rFonts w:cstheme="minorHAnsi"/>
          <w:lang w:val="en-US"/>
        </w:rPr>
        <w:instrText>ADDIN CSL_CITATION {"citationItems":[{"id":"ITEM-1","itemData":{"author":[{"dropping-particle":"","family":"Joyce","given":"AT","non-dropping-particle":"","parse-names":false,"suffix":""}],"id":"ITEM-1","issued":{"date-parts":[["2006"]]},"publisher":"Litografía e imprenta LIL, S.A..","publisher-place":"San José, Costa Rica","title":"Land use change in Costa Rica: 1996–2006, as inﬂuenced by social, economic, political, and environmental factors","type":"book"},"uris":["http://www.mendeley.com/documents/?uuid=161c91af-ad9a-4c91-a73f-2884ba8c404b"]},{"id":"ITEM-2","itemData":{"DOI":"10.1007/s10980-010-9564-0","ISBN":"1098001095","ISSN":"15729761","abstract":"The rapid and unplanned expansion of urban areas is a common pattern in neotropical developing countries. Urbanization has eliminated or drastically altered large areas of natural habitats used by the rich neotropical avifauna. In our study area, in Costa Rica's Central Valley, urbanization increased 72% in 33 years with the consequent destruction, fragmentation, and isolation of forest tracts, shade plantations, and other semi-natural habitats used by a rich avifauna. We show that over the last 16 years 32 resident species of birds have disappeared from this area. Species with specialized habitat requirements or particular life history traits (e. g., altitudinal migrants) are disproportionately represented among those birds that have disappeared from the region. Another 34 latitudinal migrants have gone undetected as nearly all habitats these species used as a stopover site during the autumn migration have disappeared; many of these migrants were very abundant 16 years earlier. Relative abundance has also decreased for most resident and migratory species that remained or visited the area. If uncontrolled urban expansion continues, we predict that the rate of extinction of the avifauna that originally inhabited this region would continue possibly increasing. © 2010 Springer Science+Business Media B.V.","author":[{"dropping-particle":"","family":"Biamonte","given":"Estaban","non-dropping-particle":"","parse-names":false,"suffix":""},{"dropping-particle":"","family":"Sandoval","given":"Luis","non-dropping-particle":"","parse-names":false,"suffix":""},{"dropping-particle":"","family":"Chacón","given":"Eduardo","non-dropping-particle":"","parse-names":false,"suffix":""},{"dropping-particle":"","family":"Barrantes","given":"Gilbert","non-dropping-particle":"","parse-names":false,"suffix":""}],"container-title":"Landscape Ecology","id":"ITEM-2","issue":"2","issued":{"date-parts":[["2011"]]},"page":"183-194","title":"Effect of urbanization on the avifauna in a tropical metropolitan area","type":"article-journal","volume":"26"},"uris":["http://www.mendeley.com/documents/?uuid=64715cc3-ad99-4667-b144-73850e259c87"]}],"mendeley":{"formattedCitation":"(Biamonte et al., 2011; Joyce, 2006)","manualFormatting":"( Joyce, 2006; Biamonte et al., 2011)","plainTextFormattedCitation":"(Biamonte et al., 2011; Joyce, 2006)","previouslyFormattedCitation":"(Biamonte et al., 2011; Joyce, 2006)"},"properties":{"noteIndex":0},"schema":"https://github.com/citation-style-language/schema/raw/master/csl-citation.json"}</w:instrText>
      </w:r>
      <w:r w:rsidR="00397843">
        <w:rPr>
          <w:rFonts w:cstheme="minorHAnsi"/>
          <w:lang w:val="en-US"/>
        </w:rPr>
        <w:fldChar w:fldCharType="separate"/>
      </w:r>
      <w:r w:rsidR="00397843" w:rsidRPr="00397843">
        <w:rPr>
          <w:rFonts w:cstheme="minorHAnsi"/>
          <w:noProof/>
          <w:lang w:val="en-US"/>
        </w:rPr>
        <w:t>( Joyce, 2006</w:t>
      </w:r>
      <w:r w:rsidR="00397843">
        <w:rPr>
          <w:rFonts w:cstheme="minorHAnsi"/>
          <w:noProof/>
          <w:lang w:val="en-US"/>
        </w:rPr>
        <w:t xml:space="preserve">; </w:t>
      </w:r>
      <w:r w:rsidR="00397843" w:rsidRPr="00397843">
        <w:rPr>
          <w:rFonts w:cstheme="minorHAnsi"/>
          <w:noProof/>
          <w:lang w:val="en-US"/>
        </w:rPr>
        <w:t>Biamonte et al., 2011)</w:t>
      </w:r>
      <w:r w:rsidR="00397843">
        <w:rPr>
          <w:rFonts w:cstheme="minorHAnsi"/>
          <w:lang w:val="en-US"/>
        </w:rPr>
        <w:fldChar w:fldCharType="end"/>
      </w:r>
      <w:bookmarkEnd w:id="16"/>
      <w:r w:rsidR="00F2361B">
        <w:rPr>
          <w:rFonts w:cstheme="minorHAnsi"/>
          <w:lang w:val="en-US"/>
        </w:rPr>
        <w:t xml:space="preserve"> </w:t>
      </w:r>
      <w:r w:rsidR="00277ACE">
        <w:rPr>
          <w:rFonts w:cstheme="minorHAnsi"/>
          <w:lang w:val="en-US"/>
        </w:rPr>
        <w:t>the</w:t>
      </w:r>
      <w:r w:rsidR="00F2361B">
        <w:rPr>
          <w:rFonts w:cstheme="minorHAnsi"/>
          <w:lang w:val="en-US"/>
        </w:rPr>
        <w:t xml:space="preserve"> effect</w:t>
      </w:r>
      <w:r w:rsidR="00277ACE">
        <w:rPr>
          <w:rFonts w:cstheme="minorHAnsi"/>
          <w:lang w:val="en-US"/>
        </w:rPr>
        <w:t>s</w:t>
      </w:r>
      <w:r w:rsidR="00F2361B">
        <w:rPr>
          <w:rFonts w:cstheme="minorHAnsi"/>
          <w:lang w:val="en-US"/>
        </w:rPr>
        <w:t xml:space="preserve"> </w:t>
      </w:r>
      <w:r w:rsidR="00277ACE">
        <w:rPr>
          <w:rFonts w:cstheme="minorHAnsi"/>
          <w:lang w:val="en-US"/>
        </w:rPr>
        <w:t>of which are not yet</w:t>
      </w:r>
      <w:r w:rsidR="00F2361B">
        <w:rPr>
          <w:rFonts w:cstheme="minorHAnsi"/>
          <w:lang w:val="en-US"/>
        </w:rPr>
        <w:t xml:space="preserve"> known</w:t>
      </w:r>
      <w:r w:rsidR="00397843">
        <w:rPr>
          <w:rFonts w:cstheme="minorHAnsi"/>
          <w:lang w:val="en-US"/>
        </w:rPr>
        <w:t>.</w:t>
      </w:r>
      <w:r w:rsidR="00B555F0">
        <w:rPr>
          <w:rFonts w:cstheme="minorHAnsi"/>
          <w:lang w:val="en-US"/>
        </w:rPr>
        <w:t xml:space="preserve"> </w:t>
      </w:r>
      <w:bookmarkStart w:id="17" w:name="_Hlk186980990"/>
      <w:bookmarkEnd w:id="14"/>
      <w:bookmarkEnd w:id="15"/>
      <w:r w:rsidR="00137B73">
        <w:rPr>
          <w:rFonts w:cstheme="minorHAnsi"/>
          <w:lang w:val="en-US"/>
        </w:rPr>
        <w:t>Considering the rapid expansion of the urbanscape, we propose as t</w:t>
      </w:r>
      <w:r w:rsidR="00586840">
        <w:rPr>
          <w:rFonts w:cstheme="minorHAnsi"/>
          <w:lang w:val="en-US"/>
        </w:rPr>
        <w:t>he</w:t>
      </w:r>
      <w:r w:rsidR="00A76420" w:rsidRPr="001830F3">
        <w:rPr>
          <w:rFonts w:cstheme="minorHAnsi"/>
          <w:lang w:val="en-US"/>
        </w:rPr>
        <w:t xml:space="preserve"> main objective </w:t>
      </w:r>
      <w:r w:rsidR="00586840">
        <w:rPr>
          <w:rFonts w:cstheme="minorHAnsi"/>
          <w:lang w:val="en-US"/>
        </w:rPr>
        <w:t xml:space="preserve">of this study </w:t>
      </w:r>
      <w:r w:rsidR="00A76420" w:rsidRPr="001830F3">
        <w:rPr>
          <w:rFonts w:cstheme="minorHAnsi"/>
          <w:lang w:val="en-US"/>
        </w:rPr>
        <w:t xml:space="preserve">to </w:t>
      </w:r>
      <w:r w:rsidR="00586840">
        <w:rPr>
          <w:rFonts w:cstheme="minorHAnsi"/>
          <w:lang w:val="en-US"/>
        </w:rPr>
        <w:t xml:space="preserve">describe </w:t>
      </w:r>
      <w:r w:rsidR="00A76420" w:rsidRPr="001830F3">
        <w:rPr>
          <w:rFonts w:cstheme="minorHAnsi"/>
          <w:lang w:val="en-US"/>
        </w:rPr>
        <w:t xml:space="preserve">changes in genetic </w:t>
      </w:r>
      <w:r w:rsidR="00A2124A" w:rsidRPr="001830F3">
        <w:rPr>
          <w:rFonts w:cstheme="minorHAnsi"/>
          <w:lang w:val="en-US"/>
        </w:rPr>
        <w:t>diversity</w:t>
      </w:r>
      <w:r w:rsidR="00A76420" w:rsidRPr="001830F3">
        <w:rPr>
          <w:rFonts w:cstheme="minorHAnsi"/>
          <w:lang w:val="en-US"/>
        </w:rPr>
        <w:t xml:space="preserve">, </w:t>
      </w:r>
      <w:r w:rsidR="008235EF" w:rsidRPr="001830F3">
        <w:rPr>
          <w:rFonts w:cstheme="minorHAnsi"/>
          <w:lang w:val="en-US"/>
        </w:rPr>
        <w:t>vocalization, morphology</w:t>
      </w:r>
      <w:r w:rsidR="00B97213">
        <w:rPr>
          <w:rFonts w:cstheme="minorHAnsi"/>
          <w:lang w:val="en-US"/>
        </w:rPr>
        <w:t>,</w:t>
      </w:r>
      <w:r w:rsidR="00C80C9E">
        <w:rPr>
          <w:rFonts w:cstheme="minorHAnsi"/>
          <w:lang w:val="en-US"/>
        </w:rPr>
        <w:t xml:space="preserve"> and their relationship</w:t>
      </w:r>
      <w:r w:rsidR="00A94A81">
        <w:rPr>
          <w:rFonts w:cstheme="minorHAnsi"/>
          <w:lang w:val="en-US"/>
        </w:rPr>
        <w:t>,</w:t>
      </w:r>
      <w:r w:rsidR="00A76420" w:rsidRPr="001830F3">
        <w:rPr>
          <w:rFonts w:cstheme="minorHAnsi"/>
          <w:lang w:val="en-US"/>
        </w:rPr>
        <w:t xml:space="preserve"> </w:t>
      </w:r>
      <w:r w:rsidR="00094B03">
        <w:rPr>
          <w:rFonts w:cstheme="minorHAnsi"/>
          <w:lang w:val="en-US"/>
        </w:rPr>
        <w:t xml:space="preserve">over </w:t>
      </w:r>
      <w:r w:rsidR="00A31A60">
        <w:rPr>
          <w:rFonts w:cstheme="minorHAnsi"/>
          <w:lang w:val="en-US"/>
        </w:rPr>
        <w:t xml:space="preserve">a </w:t>
      </w:r>
      <w:r w:rsidR="00307E38">
        <w:rPr>
          <w:rFonts w:cstheme="minorHAnsi"/>
          <w:lang w:val="en-US"/>
        </w:rPr>
        <w:t>10-year</w:t>
      </w:r>
      <w:r w:rsidR="00A31A60">
        <w:rPr>
          <w:rFonts w:cstheme="minorHAnsi"/>
          <w:lang w:val="en-US"/>
        </w:rPr>
        <w:t xml:space="preserve"> period </w:t>
      </w:r>
      <w:r w:rsidR="00C80C9E">
        <w:rPr>
          <w:rFonts w:cstheme="minorHAnsi"/>
          <w:lang w:val="en-US"/>
        </w:rPr>
        <w:t xml:space="preserve">in populations </w:t>
      </w:r>
      <w:r w:rsidR="00A76420" w:rsidRPr="001830F3">
        <w:rPr>
          <w:rFonts w:cstheme="minorHAnsi"/>
          <w:lang w:val="en-US"/>
        </w:rPr>
        <w:t xml:space="preserve">of </w:t>
      </w:r>
      <w:r w:rsidR="00592D01">
        <w:rPr>
          <w:rFonts w:cstheme="minorHAnsi"/>
          <w:lang w:val="en-US"/>
        </w:rPr>
        <w:t>w</w:t>
      </w:r>
      <w:r w:rsidR="00D207C2" w:rsidRPr="001830F3">
        <w:rPr>
          <w:rFonts w:cstheme="minorHAnsi"/>
          <w:lang w:val="en-US"/>
        </w:rPr>
        <w:t xml:space="preserve">hite-eared </w:t>
      </w:r>
      <w:r w:rsidR="00592D01">
        <w:rPr>
          <w:rFonts w:cstheme="minorHAnsi"/>
          <w:lang w:val="en-US"/>
        </w:rPr>
        <w:t>g</w:t>
      </w:r>
      <w:r w:rsidR="00D207C2" w:rsidRPr="001830F3">
        <w:rPr>
          <w:rFonts w:cstheme="minorHAnsi"/>
          <w:lang w:val="en-US"/>
        </w:rPr>
        <w:t>round-sparrow</w:t>
      </w:r>
      <w:r w:rsidR="00A76420" w:rsidRPr="001830F3">
        <w:rPr>
          <w:rFonts w:cstheme="minorHAnsi"/>
          <w:lang w:val="en-US"/>
        </w:rPr>
        <w:t xml:space="preserve"> </w:t>
      </w:r>
      <w:r w:rsidR="00C80C9E">
        <w:rPr>
          <w:rFonts w:cstheme="minorHAnsi"/>
          <w:lang w:val="en-US"/>
        </w:rPr>
        <w:t>isolated by</w:t>
      </w:r>
      <w:r w:rsidR="00586840">
        <w:rPr>
          <w:rFonts w:cstheme="minorHAnsi"/>
          <w:lang w:val="en-US"/>
        </w:rPr>
        <w:t xml:space="preserve"> </w:t>
      </w:r>
      <w:r w:rsidR="001D4563" w:rsidRPr="001830F3">
        <w:rPr>
          <w:rFonts w:cstheme="minorHAnsi"/>
          <w:lang w:val="en-US"/>
        </w:rPr>
        <w:t>urban development</w:t>
      </w:r>
      <w:r w:rsidR="00A31A60">
        <w:rPr>
          <w:rFonts w:cstheme="minorHAnsi"/>
          <w:lang w:val="en-US"/>
        </w:rPr>
        <w:t xml:space="preserve"> in Costa Rica</w:t>
      </w:r>
      <w:r w:rsidR="00A76420" w:rsidRPr="001830F3">
        <w:rPr>
          <w:rFonts w:cstheme="minorHAnsi"/>
          <w:lang w:val="en-US"/>
        </w:rPr>
        <w:t>.</w:t>
      </w:r>
      <w:r w:rsidR="00A2124A" w:rsidRPr="001830F3">
        <w:rPr>
          <w:rFonts w:cstheme="minorHAnsi"/>
          <w:lang w:val="en-US"/>
        </w:rPr>
        <w:t xml:space="preserve"> </w:t>
      </w:r>
      <w:bookmarkStart w:id="18" w:name="_Hlk169189175"/>
      <w:bookmarkEnd w:id="17"/>
      <w:r w:rsidR="00FA5AB7">
        <w:rPr>
          <w:rFonts w:cstheme="minorHAnsi"/>
          <w:lang w:val="en-US"/>
        </w:rPr>
        <w:t xml:space="preserve">We hypothesize that differences in genetic diversity, </w:t>
      </w:r>
      <w:r w:rsidR="00131A2E">
        <w:rPr>
          <w:rFonts w:cstheme="minorHAnsi"/>
          <w:lang w:val="en-US"/>
        </w:rPr>
        <w:t>v</w:t>
      </w:r>
      <w:r w:rsidR="00A7185A">
        <w:rPr>
          <w:rFonts w:cstheme="minorHAnsi"/>
          <w:lang w:val="en-US"/>
        </w:rPr>
        <w:t>ocalizations</w:t>
      </w:r>
      <w:r w:rsidR="00FA5AB7">
        <w:rPr>
          <w:rFonts w:cstheme="minorHAnsi"/>
          <w:lang w:val="en-US"/>
        </w:rPr>
        <w:t xml:space="preserve">, and morphology will </w:t>
      </w:r>
      <w:r w:rsidR="0056380E">
        <w:rPr>
          <w:rFonts w:cstheme="minorHAnsi"/>
          <w:lang w:val="en-US"/>
        </w:rPr>
        <w:t>correlate</w:t>
      </w:r>
      <w:r w:rsidR="00FA5AB7">
        <w:rPr>
          <w:rFonts w:cstheme="minorHAnsi"/>
          <w:lang w:val="en-US"/>
        </w:rPr>
        <w:t xml:space="preserve"> with the time </w:t>
      </w:r>
      <w:r w:rsidR="00137B73">
        <w:rPr>
          <w:rFonts w:cstheme="minorHAnsi"/>
          <w:lang w:val="en-US"/>
        </w:rPr>
        <w:t xml:space="preserve">populations </w:t>
      </w:r>
      <w:r w:rsidR="00FA5AB7">
        <w:rPr>
          <w:rFonts w:cstheme="minorHAnsi"/>
          <w:lang w:val="en-US"/>
        </w:rPr>
        <w:t xml:space="preserve">have been separated, as population divergence increases </w:t>
      </w:r>
      <w:r w:rsidR="00137B73">
        <w:rPr>
          <w:rFonts w:cstheme="minorHAnsi"/>
          <w:lang w:val="en-US"/>
        </w:rPr>
        <w:t>with</w:t>
      </w:r>
      <w:r w:rsidR="0056380E">
        <w:rPr>
          <w:rFonts w:cstheme="minorHAnsi"/>
          <w:lang w:val="en-US"/>
        </w:rPr>
        <w:t xml:space="preserve"> isolation</w:t>
      </w:r>
      <w:r w:rsidR="00BF3476">
        <w:rPr>
          <w:rFonts w:cstheme="minorHAnsi"/>
          <w:lang w:val="en-US"/>
        </w:rPr>
        <w:t xml:space="preserve"> </w:t>
      </w:r>
      <w:r w:rsidR="00137B73">
        <w:rPr>
          <w:rFonts w:cstheme="minorHAnsi"/>
          <w:lang w:val="en-US"/>
        </w:rPr>
        <w:t>imposed by urban barriers</w:t>
      </w:r>
      <w:r w:rsidR="00FA5AB7">
        <w:rPr>
          <w:rFonts w:cstheme="minorHAnsi"/>
          <w:lang w:val="en-US"/>
        </w:rPr>
        <w:t>.</w:t>
      </w:r>
      <w:r w:rsidR="008A100B">
        <w:rPr>
          <w:rFonts w:cstheme="minorHAnsi"/>
          <w:lang w:val="en-US"/>
        </w:rPr>
        <w:t xml:space="preserve"> W</w:t>
      </w:r>
      <w:r w:rsidR="00BF3476">
        <w:rPr>
          <w:rFonts w:cstheme="minorHAnsi"/>
          <w:lang w:val="en-US"/>
        </w:rPr>
        <w:t xml:space="preserve">e predict </w:t>
      </w:r>
      <w:r w:rsidR="00BF3476" w:rsidRPr="00BF3476">
        <w:rPr>
          <w:rFonts w:cstheme="minorHAnsi"/>
          <w:lang w:val="en-US"/>
        </w:rPr>
        <w:t xml:space="preserve">lower </w:t>
      </w:r>
      <w:r w:rsidR="003A2E32">
        <w:rPr>
          <w:rFonts w:cstheme="minorHAnsi"/>
          <w:lang w:val="en-US"/>
        </w:rPr>
        <w:t>heterozygosity,</w:t>
      </w:r>
      <w:r w:rsidR="00BF3476" w:rsidRPr="00BF3476">
        <w:rPr>
          <w:rFonts w:cstheme="minorHAnsi"/>
          <w:lang w:val="en-US"/>
        </w:rPr>
        <w:t xml:space="preserve"> higher </w:t>
      </w:r>
      <w:r w:rsidR="003A2E32">
        <w:rPr>
          <w:rFonts w:cstheme="minorHAnsi"/>
          <w:lang w:val="en-US"/>
        </w:rPr>
        <w:t>inbreeding,</w:t>
      </w:r>
      <w:r w:rsidR="00BF3476" w:rsidRPr="00BF3476">
        <w:rPr>
          <w:rFonts w:cstheme="minorHAnsi"/>
          <w:lang w:val="en-US"/>
        </w:rPr>
        <w:t xml:space="preserve"> </w:t>
      </w:r>
      <w:r w:rsidR="003A2E32">
        <w:rPr>
          <w:rFonts w:cstheme="minorHAnsi"/>
          <w:lang w:val="en-US"/>
        </w:rPr>
        <w:t xml:space="preserve">and genetic structure </w:t>
      </w:r>
      <w:r w:rsidR="00163472">
        <w:rPr>
          <w:rFonts w:cstheme="minorHAnsi"/>
          <w:lang w:val="en-US"/>
        </w:rPr>
        <w:t>in the same populations after 10</w:t>
      </w:r>
      <w:r w:rsidR="00A0365E">
        <w:rPr>
          <w:rFonts w:cstheme="minorHAnsi"/>
          <w:lang w:val="en-US"/>
        </w:rPr>
        <w:t xml:space="preserve"> </w:t>
      </w:r>
      <w:r w:rsidR="00163472">
        <w:rPr>
          <w:rFonts w:cstheme="minorHAnsi"/>
          <w:lang w:val="en-US"/>
        </w:rPr>
        <w:t>year</w:t>
      </w:r>
      <w:r w:rsidR="002C1F5D">
        <w:rPr>
          <w:rFonts w:cstheme="minorHAnsi"/>
          <w:lang w:val="en-US"/>
        </w:rPr>
        <w:t>s of</w:t>
      </w:r>
      <w:r w:rsidR="00163472">
        <w:rPr>
          <w:rFonts w:cstheme="minorHAnsi"/>
          <w:lang w:val="en-US"/>
        </w:rPr>
        <w:t xml:space="preserve"> isolation</w:t>
      </w:r>
      <w:r w:rsidR="003A2E32">
        <w:rPr>
          <w:rFonts w:cstheme="minorHAnsi"/>
          <w:lang w:val="en-US"/>
        </w:rPr>
        <w:t xml:space="preserve">. </w:t>
      </w:r>
      <w:r w:rsidR="00844A30">
        <w:rPr>
          <w:rFonts w:cstheme="minorHAnsi"/>
          <w:lang w:val="en-US"/>
        </w:rPr>
        <w:t xml:space="preserve">We </w:t>
      </w:r>
      <w:r w:rsidR="008A100B">
        <w:rPr>
          <w:rFonts w:cstheme="minorHAnsi"/>
          <w:lang w:val="en-US"/>
        </w:rPr>
        <w:t xml:space="preserve">also </w:t>
      </w:r>
      <w:r w:rsidR="00844A30">
        <w:rPr>
          <w:rFonts w:cstheme="minorHAnsi"/>
          <w:lang w:val="en-US"/>
        </w:rPr>
        <w:t xml:space="preserve">predict </w:t>
      </w:r>
      <w:r w:rsidR="00163472">
        <w:rPr>
          <w:rFonts w:cstheme="minorHAnsi"/>
          <w:lang w:val="en-US"/>
        </w:rPr>
        <w:t>a</w:t>
      </w:r>
      <w:r w:rsidR="008A100B">
        <w:rPr>
          <w:rFonts w:cstheme="minorHAnsi"/>
          <w:lang w:val="en-US"/>
        </w:rPr>
        <w:t xml:space="preserve"> reduction of minimum frequency in songs due to </w:t>
      </w:r>
      <w:r w:rsidR="00071705">
        <w:rPr>
          <w:rFonts w:cstheme="minorHAnsi"/>
          <w:lang w:val="en-US"/>
        </w:rPr>
        <w:t xml:space="preserve">an </w:t>
      </w:r>
      <w:r w:rsidR="008A100B">
        <w:rPr>
          <w:rFonts w:cstheme="minorHAnsi"/>
          <w:lang w:val="en-US"/>
        </w:rPr>
        <w:t xml:space="preserve">increase of </w:t>
      </w:r>
      <w:r w:rsidR="00422B8B">
        <w:rPr>
          <w:rFonts w:cstheme="minorHAnsi"/>
          <w:lang w:val="en-US"/>
        </w:rPr>
        <w:t xml:space="preserve">urban </w:t>
      </w:r>
      <w:r w:rsidR="008A100B">
        <w:rPr>
          <w:rFonts w:cstheme="minorHAnsi"/>
          <w:lang w:val="en-US"/>
        </w:rPr>
        <w:t xml:space="preserve">noise (Mendez et al., 2021) </w:t>
      </w:r>
      <w:r w:rsidR="00163472">
        <w:rPr>
          <w:rFonts w:cstheme="minorHAnsi"/>
          <w:lang w:val="en-US"/>
        </w:rPr>
        <w:t xml:space="preserve">after 10 years of accelerated urban </w:t>
      </w:r>
      <w:r w:rsidR="007D23C7">
        <w:rPr>
          <w:rFonts w:cstheme="minorHAnsi"/>
          <w:lang w:val="en-US"/>
        </w:rPr>
        <w:t>expansion</w:t>
      </w:r>
      <w:r w:rsidR="008A100B">
        <w:rPr>
          <w:rFonts w:cstheme="minorHAnsi"/>
          <w:lang w:val="en-US"/>
        </w:rPr>
        <w:t xml:space="preserve">. Finally, we predict a reduction in </w:t>
      </w:r>
      <w:r w:rsidR="007D23C7">
        <w:rPr>
          <w:rFonts w:cstheme="minorHAnsi"/>
          <w:lang w:val="en-US"/>
        </w:rPr>
        <w:t xml:space="preserve">some morphological features (e.g., bill dimensions, wing length) </w:t>
      </w:r>
      <w:r w:rsidR="008A100B">
        <w:rPr>
          <w:rFonts w:cstheme="minorHAnsi"/>
          <w:lang w:val="en-US"/>
        </w:rPr>
        <w:t xml:space="preserve">due to </w:t>
      </w:r>
      <w:r w:rsidR="007D23C7">
        <w:rPr>
          <w:rFonts w:cstheme="minorHAnsi"/>
          <w:lang w:val="en-US"/>
        </w:rPr>
        <w:t>a reduction of</w:t>
      </w:r>
      <w:r w:rsidR="008A100B">
        <w:rPr>
          <w:rFonts w:cstheme="minorHAnsi"/>
          <w:lang w:val="en-US"/>
        </w:rPr>
        <w:t xml:space="preserve"> food sources</w:t>
      </w:r>
      <w:r w:rsidR="00131A2E">
        <w:rPr>
          <w:rFonts w:cstheme="minorHAnsi"/>
          <w:lang w:val="en-US"/>
        </w:rPr>
        <w:t>, and</w:t>
      </w:r>
      <w:r w:rsidR="008A100B">
        <w:rPr>
          <w:rFonts w:cstheme="minorHAnsi"/>
          <w:lang w:val="en-US"/>
        </w:rPr>
        <w:t xml:space="preserve"> </w:t>
      </w:r>
      <w:r w:rsidR="007D23C7">
        <w:rPr>
          <w:rFonts w:cstheme="minorHAnsi"/>
          <w:lang w:val="en-US"/>
        </w:rPr>
        <w:t>a</w:t>
      </w:r>
      <w:r w:rsidR="0031721F">
        <w:rPr>
          <w:rFonts w:cstheme="minorHAnsi"/>
          <w:lang w:val="en-US"/>
        </w:rPr>
        <w:t>n</w:t>
      </w:r>
      <w:r w:rsidR="007D23C7">
        <w:rPr>
          <w:rFonts w:cstheme="minorHAnsi"/>
          <w:lang w:val="en-US"/>
        </w:rPr>
        <w:t xml:space="preserve"> increase in </w:t>
      </w:r>
      <w:r w:rsidR="008A100B">
        <w:rPr>
          <w:rFonts w:cstheme="minorHAnsi"/>
          <w:lang w:val="en-US"/>
        </w:rPr>
        <w:t xml:space="preserve">competition with </w:t>
      </w:r>
      <w:r w:rsidR="00131A2E">
        <w:rPr>
          <w:rFonts w:cstheme="minorHAnsi"/>
          <w:lang w:val="en-US"/>
        </w:rPr>
        <w:t>urban exploiter species (</w:t>
      </w:r>
      <w:proofErr w:type="spellStart"/>
      <w:r w:rsidR="00131A2E">
        <w:rPr>
          <w:rFonts w:cstheme="minorHAnsi"/>
          <w:lang w:val="en-US"/>
        </w:rPr>
        <w:t>Huyser</w:t>
      </w:r>
      <w:proofErr w:type="spellEnd"/>
      <w:r w:rsidR="00131A2E">
        <w:rPr>
          <w:rFonts w:cstheme="minorHAnsi"/>
          <w:lang w:val="en-US"/>
        </w:rPr>
        <w:t xml:space="preserve"> et al., 2000; </w:t>
      </w:r>
      <w:proofErr w:type="spellStart"/>
      <w:r w:rsidR="00131A2E">
        <w:rPr>
          <w:rFonts w:cstheme="minorHAnsi"/>
          <w:lang w:val="en-US"/>
        </w:rPr>
        <w:t>Mennechez</w:t>
      </w:r>
      <w:proofErr w:type="spellEnd"/>
      <w:r w:rsidR="00131A2E">
        <w:rPr>
          <w:rFonts w:cstheme="minorHAnsi"/>
          <w:lang w:val="en-US"/>
        </w:rPr>
        <w:t xml:space="preserve"> &amp; </w:t>
      </w:r>
      <w:proofErr w:type="spellStart"/>
      <w:r w:rsidR="00131A2E">
        <w:rPr>
          <w:rFonts w:cstheme="minorHAnsi"/>
          <w:lang w:val="en-US"/>
        </w:rPr>
        <w:t>Clergeau</w:t>
      </w:r>
      <w:proofErr w:type="spellEnd"/>
      <w:r w:rsidR="00131A2E">
        <w:rPr>
          <w:rFonts w:cstheme="minorHAnsi"/>
          <w:lang w:val="en-US"/>
        </w:rPr>
        <w:t>, 2006) as urbanization increases over the years.</w:t>
      </w:r>
    </w:p>
    <w:bookmarkEnd w:id="18"/>
    <w:p w14:paraId="60B71285" w14:textId="77777777" w:rsidR="00981E5D" w:rsidRPr="00511ED2" w:rsidRDefault="00981E5D" w:rsidP="00CC5BE0">
      <w:pPr>
        <w:spacing w:line="480" w:lineRule="auto"/>
        <w:ind w:firstLine="709"/>
        <w:rPr>
          <w:rFonts w:cstheme="minorHAnsi"/>
          <w:lang w:val="en-US"/>
        </w:rPr>
      </w:pPr>
    </w:p>
    <w:p w14:paraId="7227B06A" w14:textId="77777777" w:rsidR="002D3E9D" w:rsidRPr="00362F06" w:rsidRDefault="002D3E9D" w:rsidP="00A2124A">
      <w:pPr>
        <w:spacing w:line="480" w:lineRule="auto"/>
        <w:rPr>
          <w:rFonts w:cstheme="minorHAnsi"/>
          <w:lang w:val="en-US"/>
        </w:rPr>
      </w:pPr>
      <w:r w:rsidRPr="00DF1F42">
        <w:rPr>
          <w:rFonts w:cstheme="minorHAnsi"/>
          <w:lang w:val="en-US"/>
        </w:rPr>
        <w:lastRenderedPageBreak/>
        <w:t>Material</w:t>
      </w:r>
      <w:r w:rsidRPr="00362F06">
        <w:rPr>
          <w:rFonts w:cstheme="minorHAnsi"/>
          <w:lang w:val="en-US"/>
        </w:rPr>
        <w:t xml:space="preserve"> and Methods</w:t>
      </w:r>
    </w:p>
    <w:p w14:paraId="77A7D302" w14:textId="2C796BC3" w:rsidR="00357ABD" w:rsidRPr="001830F3" w:rsidRDefault="00D66110" w:rsidP="002A15DD">
      <w:pPr>
        <w:spacing w:line="480" w:lineRule="auto"/>
        <w:ind w:firstLine="709"/>
        <w:rPr>
          <w:rFonts w:cstheme="minorHAnsi"/>
          <w:lang w:val="en-US"/>
        </w:rPr>
      </w:pPr>
      <w:r w:rsidRPr="001830F3">
        <w:rPr>
          <w:rFonts w:cstheme="minorHAnsi"/>
          <w:lang w:val="en-US"/>
        </w:rPr>
        <w:t xml:space="preserve">We conducted this study in four populations of </w:t>
      </w:r>
      <w:r w:rsidR="00307E38">
        <w:rPr>
          <w:rFonts w:cstheme="minorHAnsi"/>
          <w:lang w:val="en-US"/>
        </w:rPr>
        <w:t>w</w:t>
      </w:r>
      <w:r w:rsidRPr="001830F3">
        <w:rPr>
          <w:rFonts w:cstheme="minorHAnsi"/>
          <w:lang w:val="en-US"/>
        </w:rPr>
        <w:t xml:space="preserve">hite-eared </w:t>
      </w:r>
      <w:r w:rsidR="00307E38">
        <w:rPr>
          <w:rFonts w:cstheme="minorHAnsi"/>
          <w:lang w:val="en-US"/>
        </w:rPr>
        <w:t>g</w:t>
      </w:r>
      <w:r w:rsidRPr="001830F3">
        <w:rPr>
          <w:rFonts w:cstheme="minorHAnsi"/>
          <w:lang w:val="en-US"/>
        </w:rPr>
        <w:t>round-sparrows</w:t>
      </w:r>
      <w:r w:rsidR="00C81BFC">
        <w:rPr>
          <w:rFonts w:cstheme="minorHAnsi"/>
          <w:lang w:val="en-US"/>
        </w:rPr>
        <w:t xml:space="preserve"> in Costa Rica</w:t>
      </w:r>
      <w:r w:rsidR="0067092D">
        <w:rPr>
          <w:rFonts w:cstheme="minorHAnsi"/>
          <w:lang w:val="en-US"/>
        </w:rPr>
        <w:t xml:space="preserve"> (Figure 1)</w:t>
      </w:r>
      <w:r w:rsidRPr="001830F3">
        <w:rPr>
          <w:rFonts w:cstheme="minorHAnsi"/>
          <w:lang w:val="en-US"/>
        </w:rPr>
        <w:t xml:space="preserve">: (1) </w:t>
      </w:r>
      <w:proofErr w:type="spellStart"/>
      <w:r w:rsidRPr="001830F3">
        <w:rPr>
          <w:rFonts w:cstheme="minorHAnsi"/>
          <w:lang w:val="en-US"/>
        </w:rPr>
        <w:t>Estación</w:t>
      </w:r>
      <w:proofErr w:type="spellEnd"/>
      <w:r w:rsidRPr="001830F3">
        <w:rPr>
          <w:rFonts w:cstheme="minorHAnsi"/>
          <w:lang w:val="en-US"/>
        </w:rPr>
        <w:t xml:space="preserve"> </w:t>
      </w:r>
      <w:proofErr w:type="spellStart"/>
      <w:r w:rsidRPr="001830F3">
        <w:rPr>
          <w:rFonts w:cstheme="minorHAnsi"/>
          <w:lang w:val="en-US"/>
        </w:rPr>
        <w:t>Biológica</w:t>
      </w:r>
      <w:proofErr w:type="spellEnd"/>
      <w:r w:rsidRPr="001830F3">
        <w:rPr>
          <w:rFonts w:cstheme="minorHAnsi"/>
          <w:lang w:val="en-US"/>
        </w:rPr>
        <w:t xml:space="preserve"> Monteverde</w:t>
      </w:r>
      <w:r w:rsidR="00724FF6">
        <w:rPr>
          <w:rFonts w:cstheme="minorHAnsi"/>
          <w:lang w:val="en-US"/>
        </w:rPr>
        <w:t xml:space="preserve"> (MTV)</w:t>
      </w:r>
      <w:r w:rsidRPr="001830F3">
        <w:rPr>
          <w:rFonts w:cstheme="minorHAnsi"/>
          <w:lang w:val="en-US"/>
        </w:rPr>
        <w:t xml:space="preserve">, Puntarenas province (10° 18ʹ N, 84° 48ʹ W, 1600 m), characterized by coffee plantations and large forest patches that connect with more extensive mature forests </w:t>
      </w:r>
      <w:r w:rsidR="00D22709" w:rsidRPr="001830F3">
        <w:rPr>
          <w:rFonts w:cstheme="minorHAnsi"/>
          <w:lang w:val="en-US"/>
        </w:rPr>
        <w:fldChar w:fldCharType="begin" w:fldLock="1"/>
      </w:r>
      <w:r w:rsidR="00E56997" w:rsidRPr="001830F3">
        <w:rPr>
          <w:rFonts w:cstheme="minorHAnsi"/>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D22709" w:rsidRPr="001830F3">
        <w:rPr>
          <w:rFonts w:cstheme="minorHAnsi"/>
          <w:lang w:val="en-US"/>
        </w:rPr>
        <w:fldChar w:fldCharType="separate"/>
      </w:r>
      <w:r w:rsidR="00E56997" w:rsidRPr="001830F3">
        <w:rPr>
          <w:rFonts w:cstheme="minorHAnsi"/>
          <w:noProof/>
          <w:lang w:val="en-US"/>
        </w:rPr>
        <w:t>(Rodríguez-Bardía et al., 2022)</w:t>
      </w:r>
      <w:r w:rsidR="00D22709" w:rsidRPr="001830F3">
        <w:rPr>
          <w:rFonts w:cstheme="minorHAnsi"/>
          <w:lang w:val="en-US"/>
        </w:rPr>
        <w:fldChar w:fldCharType="end"/>
      </w:r>
      <w:r w:rsidR="00E56997">
        <w:rPr>
          <w:rFonts w:cstheme="minorHAnsi"/>
          <w:lang w:val="en-US"/>
        </w:rPr>
        <w:t xml:space="preserve"> </w:t>
      </w:r>
      <w:r w:rsidRPr="001830F3">
        <w:rPr>
          <w:rFonts w:cstheme="minorHAnsi"/>
          <w:lang w:val="en-US"/>
        </w:rPr>
        <w:t>.</w:t>
      </w:r>
      <w:r w:rsidRPr="001830F3">
        <w:rPr>
          <w:rFonts w:cstheme="minorHAnsi"/>
          <w:noProof/>
          <w:lang w:val="en-US"/>
        </w:rPr>
        <w:t xml:space="preserve"> (2)</w:t>
      </w:r>
      <w:r w:rsidRPr="001830F3">
        <w:rPr>
          <w:rFonts w:cstheme="minorHAnsi"/>
          <w:lang w:val="en-US"/>
        </w:rPr>
        <w:t xml:space="preserve"> Getsemani</w:t>
      </w:r>
      <w:r w:rsidR="00724FF6">
        <w:rPr>
          <w:rFonts w:cstheme="minorHAnsi"/>
          <w:lang w:val="en-US"/>
        </w:rPr>
        <w:t xml:space="preserve"> (HDA)</w:t>
      </w:r>
      <w:r w:rsidRPr="001830F3">
        <w:rPr>
          <w:rFonts w:cstheme="minorHAnsi"/>
          <w:lang w:val="en-US"/>
        </w:rPr>
        <w:t xml:space="preserve">, Heredia province (10 ° 01’N, 84 ° 05’W, 1350 m); it is a non-urbanized site, </w:t>
      </w:r>
      <w:r w:rsidR="00E56997">
        <w:rPr>
          <w:rFonts w:cstheme="minorHAnsi"/>
          <w:lang w:val="en-US"/>
        </w:rPr>
        <w:t>with</w:t>
      </w:r>
      <w:r w:rsidRPr="001830F3">
        <w:rPr>
          <w:rFonts w:cstheme="minorHAnsi"/>
          <w:lang w:val="en-US"/>
        </w:rPr>
        <w:t xml:space="preserve"> secondary forest</w:t>
      </w:r>
      <w:r w:rsidR="004A215C">
        <w:rPr>
          <w:rFonts w:cstheme="minorHAnsi"/>
          <w:lang w:val="en-US"/>
        </w:rPr>
        <w:t xml:space="preserve"> patche</w:t>
      </w:r>
      <w:r w:rsidR="00E56997">
        <w:rPr>
          <w:rFonts w:cstheme="minorHAnsi"/>
          <w:lang w:val="en-US"/>
        </w:rPr>
        <w:t>s</w:t>
      </w:r>
      <w:r w:rsidRPr="001830F3">
        <w:rPr>
          <w:rFonts w:cstheme="minorHAnsi"/>
          <w:lang w:val="en-US"/>
        </w:rPr>
        <w:t xml:space="preserve"> and abandoned coffee plantations </w:t>
      </w:r>
      <w:r w:rsidR="00B26A05">
        <w:rPr>
          <w:rFonts w:cstheme="minorHAnsi"/>
          <w:lang w:val="en-US"/>
        </w:rPr>
        <w:t xml:space="preserve">and </w:t>
      </w:r>
      <w:r w:rsidRPr="001830F3">
        <w:rPr>
          <w:rFonts w:cstheme="minorHAnsi"/>
          <w:lang w:val="en-US"/>
        </w:rPr>
        <w:t xml:space="preserve">dense thickets with little human presence </w:t>
      </w:r>
      <w:r w:rsidR="00D22709" w:rsidRPr="001830F3">
        <w:rPr>
          <w:rFonts w:cstheme="minorHAnsi"/>
        </w:rPr>
        <w:fldChar w:fldCharType="begin" w:fldLock="1"/>
      </w:r>
      <w:r w:rsidRPr="001830F3">
        <w:rPr>
          <w:rFonts w:cstheme="minorHAnsi"/>
          <w:lang w:val="en-US"/>
        </w:rPr>
        <w:instrText>ADDIN CSL_CITATION {"citationItems":[{"id":"ITEM-1","itemData":{"DOI":"10.1186/s40657-020-00198-6","ISBN":"4065702000198","ISSN":"20537166","abstract":"Background: Urban expansion has been identified as one of the leading drivers of biodiversity change or loss. For birds, urbanization is specifically related to survival, breeding success, and territory size. Understanding how different birds adjust territory size in response to urbanization is essential for their conservation in urban environments and to better understand why some species are lost and others persist under this condition. We evaluated the effect of urbanization on the territory size of an urban avoider species, White-eared Ground-Sparrow (Melozone leucotis), and an urban adapter species, House Wren (Troglodytes aedon), at five Costa Rican sites. Methods: We measured the size of 30 ground-sparrow and 28 wren territories using a total of 296 h of observation. We followed each individual for at least 1 h per day for at least 2 days of two consecutive years, and geo-referenced their locations. Territory size was estimated using the minimum convex polygon method. We measured the urban surfaces (roads, buildings, any other paved area, soccer fields, lawns, and gardens with short grass) within territories. Results: Ground-sparrow territories were larger at the highly urbanized site than at the non-urbanized site. Wren territories were larger at the low urbanized site than at the highly urbanized site. We found a positive relationship between urban surface and territory size for the ground-sparrow, but not for the wren. Conclusions: Our results showed that not all birds adjust territory size in the same way in response to urbanization. We showed that urban avoiders probably need to defend larger territories in urban environments to find all the resources required to survive because urban environments may provide insufficient resources such as food or shelter. Urban adapters on the other hand defend smaller territories in urban environments because even small territories may provide sufficient resources. These results suggest specific behavioral adaptations developed by Neotropical birds inhabiting urban environments.","author":[{"dropping-particle":"","family":"Juárez","given":"Roselvy","non-dropping-particle":"","parse-names":false,"suffix":""},{"dropping-particle":"","family":"Chacón-Madrigal","given":"Eduardo","non-dropping-particle":"","parse-names":false,"suffix":""},{"dropping-particle":"","family":"Sandoval","given":"Luis","non-dropping-particle":"","parse-names":false,"suffix":""}],"container-title":"Avian Research","id":"ITEM-1","issue":"1","issued":{"date-parts":[["2020"]]},"page":"1-9","publisher":"BioMed Central","title":"Urbanization has opposite effects on the territory size of two passerine birds","type":"article-journal","volume":"11"},"uris":["http://www.mendeley.com/documents/?uuid=c857e4f4-a155-4b1b-b130-51ef9ffcd409"]}],"mendeley":{"formattedCitation":"(Juárez et al., 2020)","manualFormatting":"(Juárez et al. 2020)","plainTextFormattedCitation":"(Juárez et al., 2020)","previouslyFormattedCitation":"(Juárez et al., 2020)"},"properties":{"noteIndex":0},"schema":"https://github.com/citation-style-language/schema/raw/master/csl-citation.json"}</w:instrText>
      </w:r>
      <w:r w:rsidR="00D22709" w:rsidRPr="001830F3">
        <w:rPr>
          <w:rFonts w:cstheme="minorHAnsi"/>
        </w:rPr>
        <w:fldChar w:fldCharType="separate"/>
      </w:r>
      <w:r w:rsidRPr="001830F3">
        <w:rPr>
          <w:rFonts w:cstheme="minorHAnsi"/>
          <w:noProof/>
          <w:lang w:val="en-US"/>
        </w:rPr>
        <w:t>(Juárez et al. 2020)</w:t>
      </w:r>
      <w:r w:rsidR="00D22709" w:rsidRPr="001830F3">
        <w:rPr>
          <w:rFonts w:cstheme="minorHAnsi"/>
        </w:rPr>
        <w:fldChar w:fldCharType="end"/>
      </w:r>
      <w:r w:rsidR="00B26A05">
        <w:rPr>
          <w:rFonts w:cstheme="minorHAnsi"/>
          <w:lang w:val="en-US"/>
        </w:rPr>
        <w:t>.</w:t>
      </w:r>
      <w:r w:rsidR="0004030A">
        <w:rPr>
          <w:rFonts w:cstheme="minorHAnsi"/>
          <w:lang w:val="en-US"/>
        </w:rPr>
        <w:t xml:space="preserve"> </w:t>
      </w:r>
      <w:r w:rsidR="00B26A05">
        <w:rPr>
          <w:rFonts w:cstheme="minorHAnsi"/>
          <w:lang w:val="en-US"/>
        </w:rPr>
        <w:t>U</w:t>
      </w:r>
      <w:r w:rsidR="00912BF4" w:rsidRPr="00287DE5">
        <w:rPr>
          <w:rFonts w:cstheme="minorHAnsi"/>
          <w:lang w:val="en-US"/>
        </w:rPr>
        <w:t xml:space="preserve">rbanization started to </w:t>
      </w:r>
      <w:r w:rsidR="004A215C">
        <w:rPr>
          <w:rFonts w:cstheme="minorHAnsi"/>
          <w:lang w:val="en-US"/>
        </w:rPr>
        <w:t>expand from</w:t>
      </w:r>
      <w:r w:rsidR="00912BF4" w:rsidRPr="00287DE5">
        <w:rPr>
          <w:rFonts w:cstheme="minorHAnsi"/>
          <w:lang w:val="en-US"/>
        </w:rPr>
        <w:t xml:space="preserve"> the edges of the study area since 2000</w:t>
      </w:r>
      <w:r w:rsidRPr="001830F3">
        <w:rPr>
          <w:rFonts w:cstheme="minorHAnsi"/>
          <w:lang w:val="en-US"/>
        </w:rPr>
        <w:t xml:space="preserve">. </w:t>
      </w:r>
      <w:r w:rsidR="00805C39" w:rsidRPr="001830F3">
        <w:rPr>
          <w:rFonts w:cstheme="minorHAnsi"/>
          <w:lang w:val="en-US"/>
        </w:rPr>
        <w:t>(</w:t>
      </w:r>
      <w:r w:rsidR="00805C39">
        <w:rPr>
          <w:rFonts w:cstheme="minorHAnsi"/>
          <w:lang w:val="en-US"/>
        </w:rPr>
        <w:t>3</w:t>
      </w:r>
      <w:r w:rsidR="00805C39" w:rsidRPr="001830F3">
        <w:rPr>
          <w:rFonts w:cstheme="minorHAnsi"/>
          <w:lang w:val="en-US"/>
        </w:rPr>
        <w:t xml:space="preserve">) </w:t>
      </w:r>
      <w:proofErr w:type="spellStart"/>
      <w:r w:rsidR="00805C39" w:rsidRPr="001830F3">
        <w:rPr>
          <w:rFonts w:cstheme="minorHAnsi"/>
          <w:lang w:val="en-US"/>
        </w:rPr>
        <w:t>Jardín</w:t>
      </w:r>
      <w:proofErr w:type="spellEnd"/>
      <w:r w:rsidR="00805C39" w:rsidRPr="001830F3">
        <w:rPr>
          <w:rFonts w:cstheme="minorHAnsi"/>
          <w:lang w:val="en-US"/>
        </w:rPr>
        <w:t xml:space="preserve"> </w:t>
      </w:r>
      <w:proofErr w:type="spellStart"/>
      <w:r w:rsidR="00805C39" w:rsidRPr="001830F3">
        <w:rPr>
          <w:rFonts w:cstheme="minorHAnsi"/>
          <w:lang w:val="en-US"/>
        </w:rPr>
        <w:t>Botánico</w:t>
      </w:r>
      <w:proofErr w:type="spellEnd"/>
      <w:r w:rsidR="00805C39" w:rsidRPr="001830F3">
        <w:rPr>
          <w:rFonts w:cstheme="minorHAnsi"/>
          <w:lang w:val="en-US"/>
        </w:rPr>
        <w:t xml:space="preserve"> Lankester</w:t>
      </w:r>
      <w:r w:rsidR="00724FF6">
        <w:rPr>
          <w:rFonts w:cstheme="minorHAnsi"/>
          <w:lang w:val="en-US"/>
        </w:rPr>
        <w:t xml:space="preserve"> (JBL)</w:t>
      </w:r>
      <w:r w:rsidR="00805C39" w:rsidRPr="001830F3">
        <w:rPr>
          <w:rFonts w:cstheme="minorHAnsi"/>
          <w:lang w:val="en-US"/>
        </w:rPr>
        <w:t>, Cartago province (9 ° 50</w:t>
      </w:r>
      <w:r w:rsidR="00724FF6">
        <w:rPr>
          <w:rFonts w:cstheme="minorHAnsi"/>
          <w:lang w:val="en-US"/>
        </w:rPr>
        <w:t>’</w:t>
      </w:r>
      <w:r w:rsidR="00805C39" w:rsidRPr="001830F3">
        <w:rPr>
          <w:rFonts w:cstheme="minorHAnsi"/>
          <w:lang w:val="en-US"/>
        </w:rPr>
        <w:t>N, 83 ° 53</w:t>
      </w:r>
      <w:r w:rsidR="00724FF6">
        <w:rPr>
          <w:rFonts w:cstheme="minorHAnsi"/>
          <w:lang w:val="en-US"/>
        </w:rPr>
        <w:t>’</w:t>
      </w:r>
      <w:r w:rsidR="00805C39" w:rsidRPr="001830F3">
        <w:rPr>
          <w:rFonts w:cstheme="minorHAnsi"/>
          <w:lang w:val="en-US"/>
        </w:rPr>
        <w:t xml:space="preserve">W, 1370 m); it </w:t>
      </w:r>
      <w:r w:rsidR="004A215C">
        <w:rPr>
          <w:rFonts w:cstheme="minorHAnsi"/>
          <w:lang w:val="en-US"/>
        </w:rPr>
        <w:t xml:space="preserve">includes </w:t>
      </w:r>
      <w:r w:rsidR="00C30AA8">
        <w:rPr>
          <w:rFonts w:cstheme="minorHAnsi"/>
          <w:lang w:val="en-US"/>
        </w:rPr>
        <w:t xml:space="preserve">a </w:t>
      </w:r>
      <w:r w:rsidR="004A215C" w:rsidRPr="001830F3">
        <w:rPr>
          <w:rFonts w:cstheme="minorHAnsi"/>
          <w:lang w:val="en-US"/>
        </w:rPr>
        <w:t xml:space="preserve">secondary forest, gardens, and buildings, with little disturbance and human </w:t>
      </w:r>
      <w:r w:rsidR="004A215C">
        <w:rPr>
          <w:rFonts w:cstheme="minorHAnsi"/>
          <w:lang w:val="en-US"/>
        </w:rPr>
        <w:t>presence, but immerse</w:t>
      </w:r>
      <w:r w:rsidR="00537C95">
        <w:rPr>
          <w:rFonts w:cstheme="minorHAnsi"/>
          <w:lang w:val="en-US"/>
        </w:rPr>
        <w:t>d</w:t>
      </w:r>
      <w:r w:rsidR="004A215C">
        <w:rPr>
          <w:rFonts w:cstheme="minorHAnsi"/>
          <w:lang w:val="en-US"/>
        </w:rPr>
        <w:t xml:space="preserve"> in a</w:t>
      </w:r>
      <w:r w:rsidR="002418DD">
        <w:rPr>
          <w:rFonts w:cstheme="minorHAnsi"/>
          <w:lang w:val="en-US"/>
        </w:rPr>
        <w:t>n</w:t>
      </w:r>
      <w:r w:rsidR="004A215C">
        <w:rPr>
          <w:rFonts w:cstheme="minorHAnsi"/>
          <w:lang w:val="en-US"/>
        </w:rPr>
        <w:t xml:space="preserve"> urban matrix that </w:t>
      </w:r>
      <w:r w:rsidR="00537C95">
        <w:rPr>
          <w:rFonts w:cstheme="minorHAnsi"/>
          <w:lang w:val="en-US"/>
        </w:rPr>
        <w:t xml:space="preserve">has </w:t>
      </w:r>
      <w:r w:rsidR="004A215C">
        <w:rPr>
          <w:rFonts w:cstheme="minorHAnsi"/>
          <w:lang w:val="en-US"/>
        </w:rPr>
        <w:t>rapidly extended since 1990</w:t>
      </w:r>
      <w:r w:rsidR="00805C39" w:rsidRPr="001830F3">
        <w:rPr>
          <w:rFonts w:cstheme="minorHAnsi"/>
          <w:lang w:val="en-US"/>
        </w:rPr>
        <w:t xml:space="preserve"> </w:t>
      </w:r>
      <w:r w:rsidR="00D22709" w:rsidRPr="001830F3">
        <w:rPr>
          <w:rFonts w:cstheme="minorHAnsi"/>
        </w:rPr>
        <w:fldChar w:fldCharType="begin" w:fldLock="1"/>
      </w:r>
      <w:r w:rsidR="00805C39" w:rsidRPr="001830F3">
        <w:rPr>
          <w:rFonts w:cstheme="minorHAnsi"/>
          <w:lang w:val="en-US"/>
        </w:rPr>
        <w:instrText>ADDIN CSL_CITATION {"citationItems":[{"id":"ITEM-1","itemData":{"DOI":"10.1186/s40657-020-00198-6","ISBN":"4065702000198","ISSN":"20537166","abstract":"Background: Urban expansion has been identified as one of the leading drivers of biodiversity change or loss. For birds, urbanization is specifically related to survival, breeding success, and territory size. Understanding how different birds adjust territory size in response to urbanization is essential for their conservation in urban environments and to better understand why some species are lost and others persist under this condition. We evaluated the effect of urbanization on the territory size of an urban avoider species, White-eared Ground-Sparrow (Melozone leucotis), and an urban adapter species, House Wren (Troglodytes aedon), at five Costa Rican sites. Methods: We measured the size of 30 ground-sparrow and 28 wren territories using a total of 296 h of observation. We followed each individual for at least 1 h per day for at least 2 days of two consecutive years, and geo-referenced their locations. Territory size was estimated using the minimum convex polygon method. We measured the urban surfaces (roads, buildings, any other paved area, soccer fields, lawns, and gardens with short grass) within territories. Results: Ground-sparrow territories were larger at the highly urbanized site than at the non-urbanized site. Wren territories were larger at the low urbanized site than at the highly urbanized site. We found a positive relationship between urban surface and territory size for the ground-sparrow, but not for the wren. Conclusions: Our results showed that not all birds adjust territory size in the same way in response to urbanization. We showed that urban avoiders probably need to defend larger territories in urban environments to find all the resources required to survive because urban environments may provide insufficient resources such as food or shelter. Urban adapters on the other hand defend smaller territories in urban environments because even small territories may provide sufficient resources. These results suggest specific behavioral adaptations developed by Neotropical birds inhabiting urban environments.","author":[{"dropping-particle":"","family":"Juárez","given":"Roselvy","non-dropping-particle":"","parse-names":false,"suffix":""},{"dropping-particle":"","family":"Chacón-Madrigal","given":"Eduardo","non-dropping-particle":"","parse-names":false,"suffix":""},{"dropping-particle":"","family":"Sandoval","given":"Luis","non-dropping-particle":"","parse-names":false,"suffix":""}],"container-title":"Avian Research","id":"ITEM-1","issue":"1","issued":{"date-parts":[["2020"]]},"page":"1-9","publisher":"BioMed Central","title":"Urbanization has opposite effects on the territory size of two passerine birds","type":"article-journal","volume":"11"},"uris":["http://www.mendeley.com/documents/?uuid=c857e4f4-a155-4b1b-b130-51ef9ffcd409"]}],"mendeley":{"formattedCitation":"(Juárez et al., 2020)","manualFormatting":"(Juárez et al. 2020)","plainTextFormattedCitation":"(Juárez et al., 2020)","previouslyFormattedCitation":"(Juárez et al., 2020)"},"properties":{"noteIndex":0},"schema":"https://github.com/citation-style-language/schema/raw/master/csl-citation.json"}</w:instrText>
      </w:r>
      <w:r w:rsidR="00D22709" w:rsidRPr="001830F3">
        <w:rPr>
          <w:rFonts w:cstheme="minorHAnsi"/>
        </w:rPr>
        <w:fldChar w:fldCharType="separate"/>
      </w:r>
      <w:r w:rsidR="00805C39" w:rsidRPr="001830F3">
        <w:rPr>
          <w:rFonts w:cstheme="minorHAnsi"/>
          <w:noProof/>
          <w:lang w:val="en-US"/>
        </w:rPr>
        <w:t>(Juárez et al. 2020)</w:t>
      </w:r>
      <w:r w:rsidR="00D22709" w:rsidRPr="001830F3">
        <w:rPr>
          <w:rFonts w:cstheme="minorHAnsi"/>
        </w:rPr>
        <w:fldChar w:fldCharType="end"/>
      </w:r>
      <w:r w:rsidR="00805C39">
        <w:rPr>
          <w:rFonts w:cstheme="minorHAnsi"/>
          <w:lang w:val="en-US"/>
        </w:rPr>
        <w:t>.</w:t>
      </w:r>
      <w:r w:rsidR="00805C39" w:rsidRPr="00287DE5">
        <w:rPr>
          <w:rFonts w:cstheme="minorHAnsi"/>
          <w:lang w:val="en-US"/>
        </w:rPr>
        <w:t xml:space="preserve"> </w:t>
      </w:r>
      <w:r w:rsidRPr="001830F3">
        <w:rPr>
          <w:rFonts w:cstheme="minorHAnsi"/>
          <w:lang w:val="en-US"/>
        </w:rPr>
        <w:t>(</w:t>
      </w:r>
      <w:r w:rsidR="00805C39">
        <w:rPr>
          <w:rFonts w:cstheme="minorHAnsi"/>
          <w:lang w:val="en-US"/>
        </w:rPr>
        <w:t>4</w:t>
      </w:r>
      <w:r w:rsidRPr="001830F3">
        <w:rPr>
          <w:rFonts w:cstheme="minorHAnsi"/>
          <w:lang w:val="en-US"/>
        </w:rPr>
        <w:t>) The Universidad de Costa Rica</w:t>
      </w:r>
      <w:r w:rsidR="00724FF6">
        <w:rPr>
          <w:rFonts w:cstheme="minorHAnsi"/>
          <w:lang w:val="en-US"/>
        </w:rPr>
        <w:t xml:space="preserve"> (UCR)</w:t>
      </w:r>
      <w:r w:rsidRPr="001830F3">
        <w:rPr>
          <w:rFonts w:cstheme="minorHAnsi"/>
          <w:lang w:val="en-US"/>
        </w:rPr>
        <w:t>, San José province (09 ° 56'N, 84 ° 05'W, 1200 m) is a highly urbanized site, w</w:t>
      </w:r>
      <w:r w:rsidR="00B26A05">
        <w:rPr>
          <w:rFonts w:cstheme="minorHAnsi"/>
          <w:lang w:val="en-US"/>
        </w:rPr>
        <w:t>ith</w:t>
      </w:r>
      <w:r w:rsidR="004A215C">
        <w:rPr>
          <w:rFonts w:cstheme="minorHAnsi"/>
          <w:lang w:val="en-US"/>
        </w:rPr>
        <w:t xml:space="preserve"> a</w:t>
      </w:r>
      <w:r w:rsidRPr="001830F3">
        <w:rPr>
          <w:rFonts w:cstheme="minorHAnsi"/>
          <w:lang w:val="en-US"/>
        </w:rPr>
        <w:t xml:space="preserve"> secondary forest reserve surrounded by buildings</w:t>
      </w:r>
      <w:r w:rsidR="00E56997">
        <w:rPr>
          <w:rFonts w:cstheme="minorHAnsi"/>
          <w:lang w:val="en-US"/>
        </w:rPr>
        <w:t>,</w:t>
      </w:r>
      <w:r w:rsidRPr="001830F3">
        <w:rPr>
          <w:rFonts w:cstheme="minorHAnsi"/>
          <w:lang w:val="en-US"/>
        </w:rPr>
        <w:t xml:space="preserve"> open areas</w:t>
      </w:r>
      <w:r w:rsidR="002418DD">
        <w:rPr>
          <w:rFonts w:cstheme="minorHAnsi"/>
          <w:lang w:val="en-US"/>
        </w:rPr>
        <w:t>,</w:t>
      </w:r>
      <w:r w:rsidRPr="001830F3">
        <w:rPr>
          <w:rFonts w:cstheme="minorHAnsi"/>
          <w:lang w:val="en-US"/>
        </w:rPr>
        <w:t xml:space="preserve"> and gardens, and </w:t>
      </w:r>
      <w:r w:rsidR="00E56997">
        <w:rPr>
          <w:rFonts w:cstheme="minorHAnsi"/>
          <w:lang w:val="en-US"/>
        </w:rPr>
        <w:t xml:space="preserve">it is </w:t>
      </w:r>
      <w:r w:rsidRPr="001830F3">
        <w:rPr>
          <w:rFonts w:cstheme="minorHAnsi"/>
          <w:lang w:val="en-US"/>
        </w:rPr>
        <w:t>expose</w:t>
      </w:r>
      <w:r w:rsidR="00E56997">
        <w:rPr>
          <w:rFonts w:cstheme="minorHAnsi"/>
          <w:lang w:val="en-US"/>
        </w:rPr>
        <w:t>d</w:t>
      </w:r>
      <w:r w:rsidRPr="001830F3">
        <w:rPr>
          <w:rFonts w:cstheme="minorHAnsi"/>
          <w:lang w:val="en-US"/>
        </w:rPr>
        <w:t xml:space="preserve"> to </w:t>
      </w:r>
      <w:r w:rsidR="004A215C">
        <w:rPr>
          <w:rFonts w:cstheme="minorHAnsi"/>
          <w:lang w:val="en-US"/>
        </w:rPr>
        <w:t xml:space="preserve">intense </w:t>
      </w:r>
      <w:r w:rsidRPr="001830F3">
        <w:rPr>
          <w:rFonts w:cstheme="minorHAnsi"/>
          <w:lang w:val="en-US"/>
        </w:rPr>
        <w:t xml:space="preserve">human disturbance </w:t>
      </w:r>
      <w:r w:rsidR="00D22709" w:rsidRPr="001830F3">
        <w:rPr>
          <w:rFonts w:cstheme="minorHAnsi"/>
        </w:rPr>
        <w:fldChar w:fldCharType="begin" w:fldLock="1"/>
      </w:r>
      <w:r w:rsidRPr="001830F3">
        <w:rPr>
          <w:rFonts w:cstheme="minorHAnsi"/>
          <w:lang w:val="en-US"/>
        </w:rPr>
        <w:instrText>ADDIN CSL_CITATION {"citationItems":[{"id":"ITEM-1","itemData":{"DOI":"10.1186/s40657-020-00198-6","ISBN":"4065702000198","ISSN":"20537166","abstract":"Background: Urban expansion has been identified as one of the leading drivers of biodiversity change or loss. For birds, urbanization is specifically related to survival, breeding success, and territory size. Understanding how different birds adjust territory size in response to urbanization is essential for their conservation in urban environments and to better understand why some species are lost and others persist under this condition. We evaluated the effect of urbanization on the territory size of an urban avoider species, White-eared Ground-Sparrow (Melozone leucotis), and an urban adapter species, House Wren (Troglodytes aedon), at five Costa Rican sites. Methods: We measured the size of 30 ground-sparrow and 28 wren territories using a total of 296 h of observation. We followed each individual for at least 1 h per day for at least 2 days of two consecutive years, and geo-referenced their locations. Territory size was estimated using the minimum convex polygon method. We measured the urban surfaces (roads, buildings, any other paved area, soccer fields, lawns, and gardens with short grass) within territories. Results: Ground-sparrow territories were larger at the highly urbanized site than at the non-urbanized site. Wren territories were larger at the low urbanized site than at the highly urbanized site. We found a positive relationship between urban surface and territory size for the ground-sparrow, but not for the wren. Conclusions: Our results showed that not all birds adjust territory size in the same way in response to urbanization. We showed that urban avoiders probably need to defend larger territories in urban environments to find all the resources required to survive because urban environments may provide insufficient resources such as food or shelter. Urban adapters on the other hand defend smaller territories in urban environments because even small territories may provide sufficient resources. These results suggest specific behavioral adaptations developed by Neotropical birds inhabiting urban environments.","author":[{"dropping-particle":"","family":"Juárez","given":"Roselvy","non-dropping-particle":"","parse-names":false,"suffix":""},{"dropping-particle":"","family":"Chacón-Madrigal","given":"Eduardo","non-dropping-particle":"","parse-names":false,"suffix":""},{"dropping-particle":"","family":"Sandoval","given":"Luis","non-dropping-particle":"","parse-names":false,"suffix":""}],"container-title":"Avian Research","id":"ITEM-1","issue":"1","issued":{"date-parts":[["2020"]]},"page":"1-9","publisher":"BioMed Central","title":"Urbanization has opposite effects on the territory size of two passerine birds","type":"article-journal","volume":"11"},"uris":["http://www.mendeley.com/documents/?uuid=c857e4f4-a155-4b1b-b130-51ef9ffcd409"]}],"mendeley":{"formattedCitation":"(Juárez et al., 2020)","plainTextFormattedCitation":"(Juárez et al., 2020)","previouslyFormattedCitation":"(Juárez et al., 2020)"},"properties":{"noteIndex":0},"schema":"https://github.com/citation-style-language/schema/raw/master/csl-citation.json"}</w:instrText>
      </w:r>
      <w:r w:rsidR="00D22709" w:rsidRPr="001830F3">
        <w:rPr>
          <w:rFonts w:cstheme="minorHAnsi"/>
        </w:rPr>
        <w:fldChar w:fldCharType="separate"/>
      </w:r>
      <w:r w:rsidRPr="001830F3">
        <w:rPr>
          <w:rFonts w:cstheme="minorHAnsi"/>
          <w:noProof/>
          <w:lang w:val="en-US"/>
        </w:rPr>
        <w:t>(Juárez et al., 2020)</w:t>
      </w:r>
      <w:r w:rsidR="00D22709" w:rsidRPr="001830F3">
        <w:rPr>
          <w:rFonts w:cstheme="minorHAnsi"/>
        </w:rPr>
        <w:fldChar w:fldCharType="end"/>
      </w:r>
      <w:r w:rsidR="00B26A05">
        <w:rPr>
          <w:rFonts w:cstheme="minorHAnsi"/>
          <w:lang w:val="en-US"/>
        </w:rPr>
        <w:t>.</w:t>
      </w:r>
      <w:r w:rsidR="00912BF4" w:rsidRPr="00287DE5">
        <w:rPr>
          <w:rFonts w:cstheme="minorHAnsi"/>
          <w:lang w:val="en-US"/>
        </w:rPr>
        <w:t xml:space="preserve"> </w:t>
      </w:r>
    </w:p>
    <w:p w14:paraId="7C56E158" w14:textId="77777777" w:rsidR="00805C39" w:rsidRDefault="00805C39" w:rsidP="00482C6C">
      <w:pPr>
        <w:spacing w:line="480" w:lineRule="auto"/>
        <w:rPr>
          <w:rFonts w:cstheme="minorHAnsi"/>
          <w:lang w:val="en-US"/>
        </w:rPr>
      </w:pPr>
    </w:p>
    <w:p w14:paraId="2C0FE348" w14:textId="53C287F4" w:rsidR="002D3E9D" w:rsidRPr="001830F3" w:rsidRDefault="001D2365" w:rsidP="00482C6C">
      <w:pPr>
        <w:spacing w:line="480" w:lineRule="auto"/>
        <w:rPr>
          <w:rFonts w:cstheme="minorHAnsi"/>
          <w:lang w:val="en-US"/>
        </w:rPr>
      </w:pPr>
      <w:r w:rsidRPr="001830F3">
        <w:rPr>
          <w:rFonts w:cstheme="minorHAnsi"/>
          <w:lang w:val="en-US"/>
        </w:rPr>
        <w:t xml:space="preserve">Historical </w:t>
      </w:r>
      <w:r w:rsidR="008563B6">
        <w:rPr>
          <w:rFonts w:cstheme="minorHAnsi"/>
          <w:lang w:val="en-US"/>
        </w:rPr>
        <w:t>and</w:t>
      </w:r>
      <w:r w:rsidR="008563B6" w:rsidRPr="001830F3">
        <w:rPr>
          <w:rFonts w:cstheme="minorHAnsi"/>
          <w:lang w:val="en-US"/>
        </w:rPr>
        <w:t xml:space="preserve"> </w:t>
      </w:r>
      <w:r w:rsidRPr="001830F3">
        <w:rPr>
          <w:rFonts w:cstheme="minorHAnsi"/>
          <w:lang w:val="en-US"/>
        </w:rPr>
        <w:t xml:space="preserve">current sampling </w:t>
      </w:r>
    </w:p>
    <w:p w14:paraId="6E47082D" w14:textId="4927E41E" w:rsidR="00BD4B74" w:rsidRDefault="00805C39" w:rsidP="002A15DD">
      <w:pPr>
        <w:spacing w:line="480" w:lineRule="auto"/>
        <w:ind w:firstLine="709"/>
        <w:rPr>
          <w:rFonts w:cstheme="minorHAnsi"/>
          <w:lang w:val="en-US"/>
        </w:rPr>
      </w:pPr>
      <w:r>
        <w:rPr>
          <w:rFonts w:cstheme="minorHAnsi"/>
          <w:lang w:val="en-US"/>
        </w:rPr>
        <w:t xml:space="preserve">Historical </w:t>
      </w:r>
      <w:r w:rsidR="005A23C8">
        <w:rPr>
          <w:rFonts w:cstheme="minorHAnsi"/>
          <w:lang w:val="en-US"/>
        </w:rPr>
        <w:t xml:space="preserve">acoustic and morphological </w:t>
      </w:r>
      <w:r>
        <w:rPr>
          <w:rFonts w:cstheme="minorHAnsi"/>
          <w:lang w:val="en-US"/>
        </w:rPr>
        <w:t xml:space="preserve">data </w:t>
      </w:r>
      <w:r w:rsidR="005A23C8">
        <w:rPr>
          <w:rFonts w:cstheme="minorHAnsi"/>
          <w:lang w:val="en-US"/>
        </w:rPr>
        <w:t xml:space="preserve">was </w:t>
      </w:r>
      <w:r w:rsidR="001D2365" w:rsidRPr="001830F3">
        <w:rPr>
          <w:rFonts w:cstheme="minorHAnsi"/>
          <w:lang w:val="en-US"/>
        </w:rPr>
        <w:t xml:space="preserve">collected in 2011 and 2012 </w:t>
      </w:r>
      <w:r>
        <w:rPr>
          <w:rFonts w:cstheme="minorHAnsi"/>
          <w:lang w:val="en-US"/>
        </w:rPr>
        <w:t xml:space="preserve">and </w:t>
      </w:r>
      <w:r w:rsidR="005A23C8">
        <w:rPr>
          <w:rFonts w:cstheme="minorHAnsi"/>
          <w:lang w:val="en-US"/>
        </w:rPr>
        <w:t xml:space="preserve">was </w:t>
      </w:r>
      <w:r w:rsidR="00357ABD" w:rsidRPr="001830F3">
        <w:rPr>
          <w:rFonts w:cstheme="minorHAnsi"/>
          <w:lang w:val="en-US"/>
        </w:rPr>
        <w:t xml:space="preserve">deposited </w:t>
      </w:r>
      <w:r w:rsidR="008563B6">
        <w:rPr>
          <w:rFonts w:cstheme="minorHAnsi"/>
          <w:lang w:val="en-US"/>
        </w:rPr>
        <w:t>in</w:t>
      </w:r>
      <w:r w:rsidR="001D2365" w:rsidRPr="001830F3">
        <w:rPr>
          <w:rFonts w:cstheme="minorHAnsi"/>
          <w:lang w:val="en-US"/>
        </w:rPr>
        <w:t xml:space="preserve"> the </w:t>
      </w:r>
      <w:proofErr w:type="spellStart"/>
      <w:r w:rsidR="001D2365" w:rsidRPr="001830F3">
        <w:rPr>
          <w:rFonts w:cstheme="minorHAnsi"/>
          <w:lang w:val="en-US"/>
        </w:rPr>
        <w:t>Laboratorio</w:t>
      </w:r>
      <w:proofErr w:type="spellEnd"/>
      <w:r w:rsidR="001D2365" w:rsidRPr="001830F3">
        <w:rPr>
          <w:rFonts w:cstheme="minorHAnsi"/>
          <w:lang w:val="en-US"/>
        </w:rPr>
        <w:t xml:space="preserve"> de </w:t>
      </w:r>
      <w:proofErr w:type="spellStart"/>
      <w:r w:rsidR="001D2365" w:rsidRPr="001830F3">
        <w:rPr>
          <w:rFonts w:cstheme="minorHAnsi"/>
          <w:lang w:val="en-US"/>
        </w:rPr>
        <w:t>Ecología</w:t>
      </w:r>
      <w:proofErr w:type="spellEnd"/>
      <w:r w:rsidR="001D2365" w:rsidRPr="001830F3">
        <w:rPr>
          <w:rFonts w:cstheme="minorHAnsi"/>
          <w:lang w:val="en-US"/>
        </w:rPr>
        <w:t xml:space="preserve"> Urbana y </w:t>
      </w:r>
      <w:proofErr w:type="spellStart"/>
      <w:r w:rsidR="001D2365" w:rsidRPr="001830F3">
        <w:rPr>
          <w:rFonts w:cstheme="minorHAnsi"/>
          <w:lang w:val="en-US"/>
        </w:rPr>
        <w:t>Comunicación</w:t>
      </w:r>
      <w:proofErr w:type="spellEnd"/>
      <w:r w:rsidR="001D2365" w:rsidRPr="001830F3">
        <w:rPr>
          <w:rFonts w:cstheme="minorHAnsi"/>
          <w:lang w:val="en-US"/>
        </w:rPr>
        <w:t xml:space="preserve"> Animal</w:t>
      </w:r>
      <w:r w:rsidR="00307E38">
        <w:rPr>
          <w:rFonts w:cstheme="minorHAnsi"/>
          <w:lang w:val="en-US"/>
        </w:rPr>
        <w:t xml:space="preserve"> (LEUCA)</w:t>
      </w:r>
      <w:r>
        <w:rPr>
          <w:rFonts w:cstheme="minorHAnsi"/>
          <w:lang w:val="en-US"/>
        </w:rPr>
        <w:t>,</w:t>
      </w:r>
      <w:r w:rsidR="001D2365" w:rsidRPr="001830F3">
        <w:rPr>
          <w:rFonts w:cstheme="minorHAnsi"/>
          <w:lang w:val="en-US"/>
        </w:rPr>
        <w:t xml:space="preserve"> Universidad de Costa Rica</w:t>
      </w:r>
      <w:r>
        <w:rPr>
          <w:rFonts w:cstheme="minorHAnsi"/>
          <w:lang w:val="en-US"/>
        </w:rPr>
        <w:t xml:space="preserve">. These data </w:t>
      </w:r>
      <w:r w:rsidR="00D74C0B">
        <w:rPr>
          <w:rFonts w:cstheme="minorHAnsi"/>
          <w:lang w:val="en-US"/>
        </w:rPr>
        <w:t>are</w:t>
      </w:r>
      <w:r w:rsidR="00357ABD" w:rsidRPr="001830F3">
        <w:rPr>
          <w:rFonts w:cstheme="minorHAnsi"/>
          <w:lang w:val="en-US"/>
        </w:rPr>
        <w:t xml:space="preserve"> part of a </w:t>
      </w:r>
      <w:r w:rsidR="0094360A" w:rsidRPr="001830F3">
        <w:rPr>
          <w:rFonts w:cstheme="minorHAnsi"/>
          <w:lang w:val="en-US"/>
        </w:rPr>
        <w:t>long-term</w:t>
      </w:r>
      <w:r w:rsidR="00357ABD" w:rsidRPr="001830F3">
        <w:rPr>
          <w:rFonts w:cstheme="minorHAnsi"/>
          <w:lang w:val="en-US"/>
        </w:rPr>
        <w:t xml:space="preserve"> </w:t>
      </w:r>
      <w:r w:rsidR="00D54621">
        <w:rPr>
          <w:rFonts w:cstheme="minorHAnsi"/>
          <w:lang w:val="en-US"/>
        </w:rPr>
        <w:t>research focus on</w:t>
      </w:r>
      <w:r w:rsidR="00D54621" w:rsidRPr="001830F3">
        <w:rPr>
          <w:rFonts w:cstheme="minorHAnsi"/>
          <w:lang w:val="en-US"/>
        </w:rPr>
        <w:t xml:space="preserve"> </w:t>
      </w:r>
      <w:r w:rsidR="008A4EE0">
        <w:rPr>
          <w:rFonts w:cstheme="minorHAnsi"/>
          <w:lang w:val="en-US"/>
        </w:rPr>
        <w:t xml:space="preserve">analyzing </w:t>
      </w:r>
      <w:r w:rsidR="00357ABD" w:rsidRPr="001830F3">
        <w:rPr>
          <w:rFonts w:cstheme="minorHAnsi"/>
          <w:lang w:val="en-US"/>
        </w:rPr>
        <w:t xml:space="preserve">the effect of </w:t>
      </w:r>
      <w:r w:rsidR="0094360A">
        <w:rPr>
          <w:rFonts w:cstheme="minorHAnsi"/>
          <w:lang w:val="en-US"/>
        </w:rPr>
        <w:t>urbanization</w:t>
      </w:r>
      <w:r>
        <w:rPr>
          <w:rFonts w:cstheme="minorHAnsi"/>
          <w:lang w:val="en-US"/>
        </w:rPr>
        <w:t xml:space="preserve"> </w:t>
      </w:r>
      <w:r w:rsidR="00357ABD" w:rsidRPr="001830F3">
        <w:rPr>
          <w:rFonts w:cstheme="minorHAnsi"/>
          <w:lang w:val="en-US"/>
        </w:rPr>
        <w:t xml:space="preserve">on </w:t>
      </w:r>
      <w:r w:rsidR="008563B6">
        <w:rPr>
          <w:rFonts w:cstheme="minorHAnsi"/>
          <w:lang w:val="en-US"/>
        </w:rPr>
        <w:t xml:space="preserve">behavior, </w:t>
      </w:r>
      <w:r w:rsidR="00307E38">
        <w:rPr>
          <w:rFonts w:cstheme="minorHAnsi"/>
          <w:lang w:val="en-US"/>
        </w:rPr>
        <w:t>morphology,</w:t>
      </w:r>
      <w:r w:rsidR="008563B6">
        <w:rPr>
          <w:rFonts w:cstheme="minorHAnsi"/>
          <w:lang w:val="en-US"/>
        </w:rPr>
        <w:t xml:space="preserve"> and genetic</w:t>
      </w:r>
      <w:r w:rsidR="005A23C8">
        <w:rPr>
          <w:rFonts w:cstheme="minorHAnsi"/>
          <w:lang w:val="en-US"/>
        </w:rPr>
        <w:t xml:space="preserve"> </w:t>
      </w:r>
      <w:r w:rsidR="00307E38">
        <w:rPr>
          <w:rFonts w:cstheme="minorHAnsi"/>
          <w:lang w:val="en-US"/>
        </w:rPr>
        <w:t>diversity</w:t>
      </w:r>
      <w:r w:rsidR="008563B6">
        <w:rPr>
          <w:rFonts w:cstheme="minorHAnsi"/>
          <w:lang w:val="en-US"/>
        </w:rPr>
        <w:t xml:space="preserve"> of </w:t>
      </w:r>
      <w:r w:rsidR="00357ABD" w:rsidRPr="001830F3">
        <w:rPr>
          <w:rFonts w:cstheme="minorHAnsi"/>
          <w:lang w:val="en-US"/>
        </w:rPr>
        <w:t xml:space="preserve">bird </w:t>
      </w:r>
      <w:r w:rsidR="008A4EE0">
        <w:rPr>
          <w:rFonts w:cstheme="minorHAnsi"/>
          <w:lang w:val="en-US"/>
        </w:rPr>
        <w:t>populations</w:t>
      </w:r>
      <w:r w:rsidR="00357ABD" w:rsidRPr="001830F3">
        <w:rPr>
          <w:rFonts w:cstheme="minorHAnsi"/>
          <w:lang w:val="en-US"/>
        </w:rPr>
        <w:t xml:space="preserve">. </w:t>
      </w:r>
      <w:r w:rsidR="005A23C8">
        <w:rPr>
          <w:rFonts w:cstheme="minorHAnsi"/>
          <w:lang w:val="en-US"/>
        </w:rPr>
        <w:t>To obtain historic</w:t>
      </w:r>
      <w:r w:rsidR="005A23C8" w:rsidRPr="001830F3">
        <w:rPr>
          <w:rFonts w:cstheme="minorHAnsi"/>
          <w:lang w:val="en-US"/>
        </w:rPr>
        <w:t xml:space="preserve"> </w:t>
      </w:r>
      <w:r w:rsidR="00755B90">
        <w:rPr>
          <w:rFonts w:cstheme="minorHAnsi"/>
          <w:lang w:val="en-US"/>
        </w:rPr>
        <w:t xml:space="preserve">genetic </w:t>
      </w:r>
      <w:r w:rsidR="005A23C8">
        <w:rPr>
          <w:rFonts w:cstheme="minorHAnsi"/>
          <w:lang w:val="en-US"/>
        </w:rPr>
        <w:t>diversity estimates</w:t>
      </w:r>
      <w:r w:rsidR="00755B90">
        <w:rPr>
          <w:rFonts w:cstheme="minorHAnsi"/>
          <w:lang w:val="en-US"/>
        </w:rPr>
        <w:t>, we used blood samples collected in 2011</w:t>
      </w:r>
      <w:r w:rsidR="00B877DC">
        <w:rPr>
          <w:rFonts w:cstheme="minorHAnsi"/>
          <w:lang w:val="en-US"/>
        </w:rPr>
        <w:t xml:space="preserve"> – 2012</w:t>
      </w:r>
      <w:r w:rsidR="003F0FB0">
        <w:rPr>
          <w:rFonts w:cstheme="minorHAnsi"/>
          <w:lang w:val="en-US"/>
        </w:rPr>
        <w:t>.</w:t>
      </w:r>
      <w:r w:rsidR="00357ABD" w:rsidRPr="001830F3">
        <w:rPr>
          <w:rFonts w:cstheme="minorHAnsi"/>
          <w:lang w:val="en-US"/>
        </w:rPr>
        <w:t xml:space="preserve"> </w:t>
      </w:r>
      <w:r w:rsidR="00BD4B74">
        <w:rPr>
          <w:rFonts w:cstheme="minorHAnsi"/>
          <w:lang w:val="en-US"/>
        </w:rPr>
        <w:t xml:space="preserve">We will refer </w:t>
      </w:r>
      <w:r w:rsidR="00A0365E">
        <w:rPr>
          <w:rFonts w:cstheme="minorHAnsi"/>
          <w:lang w:val="en-US"/>
        </w:rPr>
        <w:t xml:space="preserve">to </w:t>
      </w:r>
      <w:r w:rsidR="00BD4B74">
        <w:rPr>
          <w:rFonts w:cstheme="minorHAnsi"/>
          <w:lang w:val="en-US"/>
        </w:rPr>
        <w:t xml:space="preserve">the historical 2011 – </w:t>
      </w:r>
      <w:r w:rsidR="00651A2C">
        <w:rPr>
          <w:rFonts w:cstheme="minorHAnsi"/>
          <w:lang w:val="en-US"/>
        </w:rPr>
        <w:t>2012-year</w:t>
      </w:r>
      <w:r w:rsidR="00BD4B74">
        <w:rPr>
          <w:rFonts w:cstheme="minorHAnsi"/>
          <w:lang w:val="en-US"/>
        </w:rPr>
        <w:t xml:space="preserve"> sampling as “period 1”.</w:t>
      </w:r>
    </w:p>
    <w:p w14:paraId="43609B16" w14:textId="7A467E72" w:rsidR="00BD4B74" w:rsidRDefault="00BD4B74" w:rsidP="002A15DD">
      <w:pPr>
        <w:spacing w:line="480" w:lineRule="auto"/>
        <w:ind w:firstLine="709"/>
        <w:rPr>
          <w:rFonts w:cstheme="minorHAnsi"/>
          <w:lang w:val="en-US"/>
        </w:rPr>
      </w:pPr>
      <w:bookmarkStart w:id="19" w:name="_Hlk168755568"/>
      <w:r>
        <w:rPr>
          <w:rFonts w:cstheme="minorHAnsi"/>
          <w:lang w:val="en-US"/>
        </w:rPr>
        <w:t xml:space="preserve">Current acoustic and morphological data </w:t>
      </w:r>
      <w:r w:rsidR="00A0365E">
        <w:rPr>
          <w:rFonts w:cstheme="minorHAnsi"/>
          <w:lang w:val="en-US"/>
        </w:rPr>
        <w:t xml:space="preserve">were </w:t>
      </w:r>
      <w:r>
        <w:rPr>
          <w:rFonts w:cstheme="minorHAnsi"/>
          <w:lang w:val="en-US"/>
        </w:rPr>
        <w:t xml:space="preserve">collected </w:t>
      </w:r>
      <w:r w:rsidR="009D70F1">
        <w:rPr>
          <w:rFonts w:cstheme="minorHAnsi"/>
          <w:lang w:val="en-US"/>
        </w:rPr>
        <w:t>from</w:t>
      </w:r>
      <w:r>
        <w:rPr>
          <w:rFonts w:cstheme="minorHAnsi"/>
          <w:lang w:val="en-US"/>
        </w:rPr>
        <w:t xml:space="preserve"> 2018 to 2022. </w:t>
      </w:r>
      <w:r w:rsidRPr="001830F3">
        <w:rPr>
          <w:rFonts w:cstheme="minorHAnsi"/>
          <w:lang w:val="en-US"/>
        </w:rPr>
        <w:t xml:space="preserve">We </w:t>
      </w:r>
      <w:r>
        <w:rPr>
          <w:rFonts w:cstheme="minorHAnsi"/>
          <w:lang w:val="en-US"/>
        </w:rPr>
        <w:t>recorded</w:t>
      </w:r>
      <w:r w:rsidRPr="001830F3">
        <w:rPr>
          <w:rFonts w:cstheme="minorHAnsi"/>
          <w:lang w:val="en-US"/>
        </w:rPr>
        <w:t xml:space="preserve"> each banded </w:t>
      </w:r>
      <w:r w:rsidR="00AC1254">
        <w:rPr>
          <w:rFonts w:cstheme="minorHAnsi"/>
          <w:lang w:val="en-US"/>
        </w:rPr>
        <w:t>male</w:t>
      </w:r>
      <w:r w:rsidR="00AC1254" w:rsidRPr="001830F3">
        <w:rPr>
          <w:rFonts w:cstheme="minorHAnsi"/>
          <w:lang w:val="en-US"/>
        </w:rPr>
        <w:t xml:space="preserve"> </w:t>
      </w:r>
      <w:r w:rsidRPr="001830F3">
        <w:rPr>
          <w:rFonts w:cstheme="minorHAnsi"/>
          <w:lang w:val="en-US"/>
        </w:rPr>
        <w:t xml:space="preserve">using a Marantz PMD661 digital recorder and a Sennheiser ME66/K6 unidirectional microphone. </w:t>
      </w:r>
      <w:bookmarkEnd w:id="19"/>
      <w:r w:rsidRPr="001830F3">
        <w:rPr>
          <w:rFonts w:cstheme="minorHAnsi"/>
          <w:lang w:val="en-US"/>
        </w:rPr>
        <w:t xml:space="preserve">The recordings were </w:t>
      </w:r>
      <w:r>
        <w:rPr>
          <w:rFonts w:cstheme="minorHAnsi"/>
          <w:lang w:val="en-US"/>
        </w:rPr>
        <w:t>stored</w:t>
      </w:r>
      <w:r w:rsidRPr="001830F3">
        <w:rPr>
          <w:rFonts w:cstheme="minorHAnsi"/>
          <w:lang w:val="en-US"/>
        </w:rPr>
        <w:t xml:space="preserve"> in WAV format with a sample </w:t>
      </w:r>
      <w:r w:rsidRPr="001830F3">
        <w:rPr>
          <w:rFonts w:cstheme="minorHAnsi"/>
          <w:lang w:val="en-US"/>
        </w:rPr>
        <w:lastRenderedPageBreak/>
        <w:t>rate of 44.1 kHz and a precision of 24 bits. All recording</w:t>
      </w:r>
      <w:r w:rsidR="00A0365E">
        <w:rPr>
          <w:rFonts w:cstheme="minorHAnsi"/>
          <w:lang w:val="en-US"/>
        </w:rPr>
        <w:t>s</w:t>
      </w:r>
      <w:r w:rsidRPr="001830F3">
        <w:rPr>
          <w:rFonts w:cstheme="minorHAnsi"/>
          <w:lang w:val="en-US"/>
        </w:rPr>
        <w:t xml:space="preserve"> were conducted between 4:55 - 6:00 h when this species is most vocally active </w:t>
      </w:r>
      <w:r w:rsidRPr="001830F3">
        <w:rPr>
          <w:rFonts w:cstheme="minorHAnsi"/>
          <w:lang w:val="en-US"/>
        </w:rPr>
        <w:fldChar w:fldCharType="begin" w:fldLock="1"/>
      </w:r>
      <w:r w:rsidRPr="001830F3">
        <w:rPr>
          <w:rFonts w:cstheme="minorHAnsi"/>
          <w:lang w:val="en-US"/>
        </w:rPr>
        <w:instrText>ADDIN CSL_CITATION {"citationItems":[{"id":"ITEM-1","itemData":{"DOI":"10.1007/s10336-015-1237-y","ISSN":"21937206","abstract":"There are relatively few quantitative descriptive studies of the vocalisations and vocal behaviour of tropical bird species, in spite of the tropic’s rich avian biodiversity and the extensive variety of vocalisations produced by tropical birds. This lack of information inhibits our understanding of tropical animals, including our ability to perform comparative analyses on vocal behaviours from an evolutionary perspective. In this study, we present the first quantitative description of the vocal repertoire and daily vocal activity of White-eared Ground-sparrows (Melozone leuco-tis), using focal and autonomous recordings collected during two consecutive breeding seasons in Costa Rica. We classified vocalisations into categories based on their visual appearance on sound spectrograms to create a library of vocalisations for this species. We found that White-eared Ground-sparrows produce three main categories of vocalisations: solo songs, calls, and duets. Solo songs were produced only by males. Each male sang a repertoire of solo song types, which all shared the same general structure with short introductory notes, a frequency-modulated middle section, and a terminal trill. Both sexes produce calls and coordinated vocal duets. We quantified patterns of diel variation in each category of vocalisation, and found that the Ground-sparrows produced all three vocalisations at higher output at dawn (between 0500 and 0600 hours) compared to the rest of the day. This study allowed us to conduct the first comparisons of vocalisations between White-eared Ground-sparrows and North American species in the genus Melozone, and revealed both similarities and differences between the species groups. Our investigation also showed that vocalisations related to communication within pairs and to territory defence (calls and duets) exhibited lower levels of individual distinctiveness than vocalisations related mainly to female attraction (male solo songs). Our observations suggest that each of the three types of vocalisations have multiple functions in White-eared Ground-sparrows, revealing diverse communication functions with a small vocal repertoire in this tropical songbird.","author":[{"dropping-particle":"","family":"Sandoval","given":"Luis","non-dropping-particle":"","parse-names":false,"suffix":""},{"dropping-particle":"","family":"Méndez","given":"Carolina","non-dropping-particle":"","parse-names":false,"suffix":""},{"dropping-particle":"","family":"Mennill","given":"Daniel J.","non-dropping-particle":"","parse-names":false,"suffix":""}],"container-title":"Journal of Ornithology","id":"ITEM-1","issue":"1","issued":{"date-parts":[["2016"]]},"page":"1-12","title":"Vocal behaviour of white-eared ground-sparrows (Melozone leucotis) during the breeding season: Repertoires, diel variation, behavioural contexts, and individual distinctiveness","type":"article-journal","volume":"157"},"uris":["http://www.mendeley.com/documents/?uuid=a1e24b29-ddc4-4a7f-be09-cfafb82a815f"]}],"mendeley":{"formattedCitation":"(Sandoval et al., 2016)","plainTextFormattedCitation":"(Sandoval et al., 2016)","previouslyFormattedCitation":"(Sandoval et al., 2016)"},"properties":{"noteIndex":0},"schema":"https://github.com/citation-style-language/schema/raw/master/csl-citation.json"}</w:instrText>
      </w:r>
      <w:r w:rsidRPr="001830F3">
        <w:rPr>
          <w:rFonts w:cstheme="minorHAnsi"/>
          <w:lang w:val="en-US"/>
        </w:rPr>
        <w:fldChar w:fldCharType="separate"/>
      </w:r>
      <w:r w:rsidRPr="001830F3">
        <w:rPr>
          <w:rFonts w:cstheme="minorHAnsi"/>
          <w:noProof/>
          <w:lang w:val="en-US"/>
        </w:rPr>
        <w:t>(Sandoval et al., 2016)</w:t>
      </w:r>
      <w:r w:rsidRPr="001830F3">
        <w:rPr>
          <w:rFonts w:cstheme="minorHAnsi"/>
          <w:lang w:val="en-US"/>
        </w:rPr>
        <w:fldChar w:fldCharType="end"/>
      </w:r>
      <w:r w:rsidRPr="001830F3">
        <w:rPr>
          <w:rFonts w:cstheme="minorHAnsi"/>
          <w:lang w:val="en-US"/>
        </w:rPr>
        <w:t xml:space="preserve">. </w:t>
      </w:r>
      <w:r>
        <w:rPr>
          <w:rFonts w:cstheme="minorHAnsi"/>
          <w:lang w:val="en-US"/>
        </w:rPr>
        <w:t xml:space="preserve">We captured individuals </w:t>
      </w:r>
      <w:r w:rsidRPr="007F7542">
        <w:rPr>
          <w:rFonts w:cstheme="minorHAnsi"/>
          <w:lang w:val="en-US"/>
        </w:rPr>
        <w:t xml:space="preserve">using mist nets (12 x 2.5m, 15 mm mesh eye) inside each pair territory. </w:t>
      </w:r>
      <w:r w:rsidRPr="001830F3">
        <w:rPr>
          <w:rFonts w:cstheme="minorHAnsi"/>
          <w:lang w:val="en-US"/>
        </w:rPr>
        <w:t xml:space="preserve">We provided each captured individual with a unique numbered metal ring and a color combination of plastic rings. </w:t>
      </w:r>
      <w:r>
        <w:rPr>
          <w:rFonts w:cstheme="minorHAnsi"/>
          <w:lang w:val="en-US"/>
        </w:rPr>
        <w:t>From each bird, we</w:t>
      </w:r>
      <w:r w:rsidRPr="001830F3">
        <w:rPr>
          <w:rFonts w:cstheme="minorHAnsi"/>
          <w:lang w:val="en-US"/>
        </w:rPr>
        <w:t xml:space="preserve"> </w:t>
      </w:r>
      <w:r>
        <w:rPr>
          <w:rFonts w:cstheme="minorHAnsi"/>
          <w:lang w:val="en-US"/>
        </w:rPr>
        <w:t>obtained</w:t>
      </w:r>
      <w:r w:rsidRPr="001830F3">
        <w:rPr>
          <w:rFonts w:cstheme="minorHAnsi"/>
          <w:lang w:val="en-US"/>
        </w:rPr>
        <w:t xml:space="preserve"> 10 µL of blood </w:t>
      </w:r>
      <w:r>
        <w:rPr>
          <w:rFonts w:cstheme="minorHAnsi"/>
          <w:lang w:val="en-US"/>
        </w:rPr>
        <w:t>from the</w:t>
      </w:r>
      <w:r w:rsidRPr="001830F3">
        <w:rPr>
          <w:rFonts w:cstheme="minorHAnsi"/>
          <w:lang w:val="en-US"/>
        </w:rPr>
        <w:t xml:space="preserve"> brachial vein and stored it in 95% ethanol or Lysis buffer for molecular analyses </w:t>
      </w:r>
      <w:r w:rsidRPr="001830F3">
        <w:rPr>
          <w:rFonts w:cstheme="minorHAnsi"/>
          <w:lang w:val="en-US"/>
        </w:rPr>
        <w:fldChar w:fldCharType="begin" w:fldLock="1"/>
      </w:r>
      <w:r w:rsidRPr="001830F3">
        <w:rPr>
          <w:rFonts w:cstheme="minorHAnsi"/>
          <w:lang w:val="en-US"/>
        </w:rPr>
        <w:instrText>ADDIN CSL_CITATION {"citationItems":[{"id":"ITEM-1","itemData":{"DOI":"10.1139/z91-013","ISSN":"0008-4301","abstract":"A problem frequently faced by researchers involved in collecting tissues for DNA isolation is the preservation of samples in the field prior to and during their transportation to the laboratory. Prevention of DNA degradation is usually achieved through freezing. As this is not always practical, we have tested the efficiency of chemical solutions containing high concentrations of salts (e.g., NaCl, EDTA, and diaminocyclohexanetetraacetate) and detergent at preserving DNA in bird tissue and blood samples stored at ambient temperature for extended periods of time. For blood samples, we recommend the use of a buffer that lyses the cells and nuclei and contains 0.01 M Tris, 0.01 M NaCl, 0.01 M EDTA, and 1% n-lauroylsarcosine, Ph 7.5. Tissue samples are best preserved as small pieces in a saline solution made of 20% dimethyl sulfoxyde, 0.25 M EDTA, saturated with NaCl, pH 8.0. DNA extracted from samples preserved in these solutions for up to 24 weeks was compared with DNA recovered from tissue samples stored at −70 °C and blood samples stored at −70 and −20 °C. Yields were similar, averaging 300 μg/0.2 g of tissue and 500 μg/50 μL of blood. Quality of DNA in terms of fragment size, ability to be cut by restriction enzymes, and ability to hybridize to radioactive probes was also similar between cryopreserved and chemically preserved samples. Yields of DNA recovered from tissue samples preserved in 70% ethanol for 6 or 11 weeks was very low and significant degradation was observed. We have also examined how DNA contained in crude avian blood samples withstands freeze–thaw cycles. We found normal yields and no significant degradation of DNA in samples that experienced up to six cycles. We encourage field researchers who refrain from preserving tissue samples because of logistical problems, such as transporting liquid nitrogen containers in the field, to consider using these solutions. Both solutions can also facilitate exchanges of samples between laboratories, and they form an alternative to storage of samples at −70 °C for laboratories and museums with limited access to deep-freezing facilities.","author":[{"dropping-particle":"","family":"Seutin","given":"Gilles","non-dropping-particle":"","parse-names":false,"suffix":""},{"dropping-particle":"","family":"White","given":"Bradley N.","non-dropping-particle":"","parse-names":false,"suffix":""},{"dropping-particle":"","family":"Boag","given":"Peter T.","non-dropping-particle":"","parse-names":false,"suffix":""}],"container-title":"Canadian Journal of Zoology","id":"ITEM-1","issue":"1","issued":{"date-parts":[["1991"]]},"page":"82-90","title":"Preservation of avian blood and tissue samples for DNA analyses","type":"article-journal","volume":"69"},"uris":["http://www.mendeley.com/documents/?uuid=382aa2da-7ec4-49d5-8a9a-7e1bd28b5725"]},{"id":"ITEM-2","itemData":{"DOI":"10.1038/s41598-022-09961-9","ISBN":"4159802209961","ISSN":"2045-2322","abstract":"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Reports","id":"ITEM-2","issue":"1","issued":{"date-parts":[["2022"]]},"page":"1-11","publisher":"Nature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 Seutin et al., 1991)","manualFormatting":"(Seutin et al., 1991; Rodríguez-Bardía et al., 2022)","plainTextFormattedCitation":"(Rodríguez-Bardía et al., 2022; Seutin et al., 1991)","previouslyFormattedCitation":"(Rodríguez-Bardía et al., 2022; Seutin et al., 1991)"},"properties":{"noteIndex":0},"schema":"https://github.com/citation-style-language/schema/raw/master/csl-citation.json"}</w:instrText>
      </w:r>
      <w:r w:rsidRPr="001830F3">
        <w:rPr>
          <w:rFonts w:cstheme="minorHAnsi"/>
          <w:lang w:val="en-US"/>
        </w:rPr>
        <w:fldChar w:fldCharType="separate"/>
      </w:r>
      <w:r w:rsidRPr="001830F3">
        <w:rPr>
          <w:rFonts w:cstheme="minorHAnsi"/>
          <w:noProof/>
          <w:lang w:val="en-US"/>
        </w:rPr>
        <w:t>(Seutin et al., 1991; Rodríguez-Bardía et al., 2022)</w:t>
      </w:r>
      <w:r w:rsidRPr="001830F3">
        <w:rPr>
          <w:rFonts w:cstheme="minorHAnsi"/>
          <w:lang w:val="en-US"/>
        </w:rPr>
        <w:fldChar w:fldCharType="end"/>
      </w:r>
      <w:r w:rsidRPr="001830F3">
        <w:rPr>
          <w:rFonts w:cstheme="minorHAnsi"/>
          <w:lang w:val="en-US"/>
        </w:rPr>
        <w:t>.</w:t>
      </w:r>
      <w:r w:rsidR="00FC0E27">
        <w:rPr>
          <w:rFonts w:cstheme="minorHAnsi"/>
          <w:lang w:val="en-US"/>
        </w:rPr>
        <w:t xml:space="preserve"> </w:t>
      </w:r>
      <w:r>
        <w:rPr>
          <w:rFonts w:cstheme="minorHAnsi"/>
          <w:lang w:val="en-US"/>
        </w:rPr>
        <w:t xml:space="preserve">We will refer </w:t>
      </w:r>
      <w:r w:rsidR="00A0365E">
        <w:rPr>
          <w:rFonts w:cstheme="minorHAnsi"/>
          <w:lang w:val="en-US"/>
        </w:rPr>
        <w:t xml:space="preserve">to </w:t>
      </w:r>
      <w:r>
        <w:rPr>
          <w:rFonts w:cstheme="minorHAnsi"/>
          <w:lang w:val="en-US"/>
        </w:rPr>
        <w:t xml:space="preserve">the period 2018 – </w:t>
      </w:r>
      <w:r w:rsidR="00651A2C">
        <w:rPr>
          <w:rFonts w:cstheme="minorHAnsi"/>
          <w:lang w:val="en-US"/>
        </w:rPr>
        <w:t>2022-year</w:t>
      </w:r>
      <w:r>
        <w:rPr>
          <w:rFonts w:cstheme="minorHAnsi"/>
          <w:lang w:val="en-US"/>
        </w:rPr>
        <w:t xml:space="preserve"> sampling as “period 2”</w:t>
      </w:r>
      <w:r w:rsidR="00B22C7E">
        <w:rPr>
          <w:rFonts w:cstheme="minorHAnsi"/>
          <w:lang w:val="en-US"/>
        </w:rPr>
        <w:t>.</w:t>
      </w:r>
    </w:p>
    <w:p w14:paraId="680D47EB" w14:textId="34C17911" w:rsidR="00023DC2" w:rsidRDefault="00A0365E" w:rsidP="00BA34B6">
      <w:pPr>
        <w:spacing w:line="480" w:lineRule="auto"/>
        <w:ind w:firstLine="709"/>
        <w:rPr>
          <w:rFonts w:cstheme="minorHAnsi"/>
          <w:lang w:val="en-US"/>
        </w:rPr>
      </w:pPr>
      <w:r w:rsidRPr="001E77DC">
        <w:rPr>
          <w:rFonts w:cstheme="minorHAnsi"/>
          <w:lang w:val="en-US"/>
        </w:rPr>
        <w:t>All procedures were carried out in accordance with Costa Rican legislation. Research permits and animal care protocols were granted to LS, the principal investigator, by the Animal Care Committee (ACC) of the University of Costa Rica and the Research Committee of the Biology School.</w:t>
      </w:r>
    </w:p>
    <w:p w14:paraId="75A4A6DA" w14:textId="77777777" w:rsidR="00656B51" w:rsidRPr="001830F3" w:rsidRDefault="00656B51" w:rsidP="00154171">
      <w:pPr>
        <w:spacing w:line="480" w:lineRule="auto"/>
        <w:rPr>
          <w:rFonts w:cstheme="minorHAnsi"/>
          <w:lang w:val="en-US"/>
        </w:rPr>
      </w:pPr>
      <w:r w:rsidRPr="001830F3">
        <w:rPr>
          <w:rFonts w:cstheme="minorHAnsi"/>
          <w:lang w:val="en-US"/>
        </w:rPr>
        <w:t>DNA extraction and SSR amplification</w:t>
      </w:r>
    </w:p>
    <w:p w14:paraId="48A2023D" w14:textId="3D3C5C10" w:rsidR="00BA34B6" w:rsidRPr="001830F3" w:rsidRDefault="000E31F5" w:rsidP="002A15DD">
      <w:pPr>
        <w:spacing w:line="480" w:lineRule="auto"/>
        <w:ind w:firstLine="709"/>
        <w:rPr>
          <w:rFonts w:cstheme="minorHAnsi"/>
          <w:lang w:val="en-US"/>
        </w:rPr>
      </w:pPr>
      <w:r w:rsidRPr="001830F3">
        <w:rPr>
          <w:rFonts w:cstheme="minorHAnsi"/>
          <w:lang w:val="en-US"/>
        </w:rPr>
        <w:t xml:space="preserve">We extracted DNA from blood </w:t>
      </w:r>
      <w:r w:rsidR="00830F69">
        <w:rPr>
          <w:rFonts w:cstheme="minorHAnsi"/>
          <w:lang w:val="en-US"/>
        </w:rPr>
        <w:t xml:space="preserve">samples </w:t>
      </w:r>
      <w:r w:rsidRPr="001830F3">
        <w:rPr>
          <w:rFonts w:cstheme="minorHAnsi"/>
          <w:lang w:val="en-US"/>
        </w:rPr>
        <w:t xml:space="preserve">using the </w:t>
      </w:r>
      <w:proofErr w:type="spellStart"/>
      <w:r w:rsidRPr="001830F3">
        <w:rPr>
          <w:rFonts w:cstheme="minorHAnsi"/>
          <w:lang w:val="en-US"/>
        </w:rPr>
        <w:t>DNeasy</w:t>
      </w:r>
      <w:proofErr w:type="spellEnd"/>
      <w:r w:rsidRPr="001830F3">
        <w:rPr>
          <w:rFonts w:cstheme="minorHAnsi"/>
          <w:lang w:val="en-US"/>
        </w:rPr>
        <w:t xml:space="preserve"> blood and tissue </w:t>
      </w:r>
      <w:r w:rsidR="0067597E">
        <w:rPr>
          <w:rFonts w:cstheme="minorHAnsi"/>
          <w:lang w:val="en-US"/>
        </w:rPr>
        <w:t>k</w:t>
      </w:r>
      <w:r w:rsidR="0067597E" w:rsidRPr="001830F3">
        <w:rPr>
          <w:rFonts w:cstheme="minorHAnsi"/>
          <w:lang w:val="en-US"/>
        </w:rPr>
        <w:t xml:space="preserve">it </w:t>
      </w:r>
      <w:r w:rsidRPr="001830F3">
        <w:rPr>
          <w:rFonts w:cstheme="minorHAnsi"/>
          <w:lang w:val="en-US"/>
        </w:rPr>
        <w:t xml:space="preserve">(Qiagen Inc., Valencia, CA, USA) following the </w:t>
      </w:r>
      <w:r w:rsidR="00FB0A90" w:rsidRPr="00FB0A90">
        <w:rPr>
          <w:rFonts w:cstheme="minorHAnsi"/>
          <w:lang w:val="en-US"/>
        </w:rPr>
        <w:t>manufacturer's</w:t>
      </w:r>
      <w:r w:rsidRPr="001830F3">
        <w:rPr>
          <w:rFonts w:cstheme="minorHAnsi"/>
          <w:lang w:val="en-US"/>
        </w:rPr>
        <w:t xml:space="preserve"> protocol. </w:t>
      </w:r>
      <w:r w:rsidR="00537C95">
        <w:rPr>
          <w:rFonts w:cstheme="minorHAnsi"/>
          <w:lang w:val="en-US"/>
        </w:rPr>
        <w:t xml:space="preserve">Microsatellites (SSR) were chosen as markers for genetic diversity analysis. </w:t>
      </w:r>
      <w:r w:rsidRPr="001830F3">
        <w:rPr>
          <w:rFonts w:cstheme="minorHAnsi"/>
          <w:lang w:val="en-US"/>
        </w:rPr>
        <w:t xml:space="preserve">We used </w:t>
      </w:r>
      <w:r w:rsidR="00A94DBA" w:rsidRPr="001830F3">
        <w:rPr>
          <w:rFonts w:cstheme="minorHAnsi"/>
          <w:lang w:val="en-US"/>
        </w:rPr>
        <w:t>seven</w:t>
      </w:r>
      <w:r w:rsidRPr="001830F3">
        <w:rPr>
          <w:rFonts w:cstheme="minorHAnsi"/>
          <w:lang w:val="en-US"/>
        </w:rPr>
        <w:t xml:space="preserve"> primers: M</w:t>
      </w:r>
      <w:r w:rsidR="00995526">
        <w:rPr>
          <w:rFonts w:cstheme="minorHAnsi"/>
          <w:lang w:val="en-US"/>
        </w:rPr>
        <w:t>m</w:t>
      </w:r>
      <w:r w:rsidRPr="001830F3">
        <w:rPr>
          <w:rFonts w:cstheme="minorHAnsi"/>
          <w:lang w:val="en-US"/>
        </w:rPr>
        <w:t xml:space="preserve">e2, Mme7, Mme8, Asµ15, Escµ6, Gf01 y Gf05 </w:t>
      </w:r>
      <w:r w:rsidR="00D22709" w:rsidRPr="001830F3">
        <w:rPr>
          <w:rFonts w:cstheme="minorHAnsi"/>
          <w:lang w:val="en-US"/>
        </w:rPr>
        <w:fldChar w:fldCharType="begin" w:fldLock="1"/>
      </w:r>
      <w:r w:rsidR="00BA34B6" w:rsidRPr="001830F3">
        <w:rPr>
          <w:rFonts w:cstheme="minorHAnsi"/>
          <w:lang w:val="en-US"/>
        </w:rPr>
        <w:instrText>ADDIN CSL_CITATION {"citationItems":[{"id":"ITEM-1","itemData":{"DOI":"10.1046/j.1365-294X.2003.01774.x","ISSN":"09621083","PMID":"12753205","abstract":"Genetic analyses of bird subspecies designated as conservation units can address whether they represent units with independent evolutionary histories and provide insights into the evolutionary processes that determine the degree to which they are genetically distinct. Here we use mitochondrial DNA control region sequence and six microsatellite DNA loci to examine phylogeographical structure and genetic differentiation among five North American grasshopper sparrow (Ammodramus savannarum) populations representing three subspecies, including a population of the endangered Florida subspecies (A. s. floridanus). This federally listed taxon is of particular interest because it differs phenotypically from other subspecies in plumage and behaviour and has also undergone a drastic decline in population size over the past century. Despite this designation, we observed no phylogeographical structure among populations in either marker: mtDNA haplotypes and microsatellite genotypes from floridanus samples did not form clades that were phylogenetically distinct from variants found in other subspecies. However, there was low but significant differentiation between Florida and all other populations combined in both mtDNA (FST = 0.069) and in one measure of microsatellite differentiation (θ = 0.016), while the non-Florida populations were not different from each other. Based on analyses of mtDNA variation using a coalescent-based model, the effective sizes of these populations are large (</w:instrText>
      </w:r>
      <w:r w:rsidR="00BA34B6" w:rsidRPr="001830F3">
        <w:rPr>
          <w:rFonts w:ascii="Cambria Math" w:hAnsi="Cambria Math" w:cs="Cambria Math"/>
          <w:lang w:val="en-US"/>
        </w:rPr>
        <w:instrText>∼</w:instrText>
      </w:r>
      <w:r w:rsidR="00BA34B6" w:rsidRPr="001830F3">
        <w:rPr>
          <w:rFonts w:cstheme="minorHAnsi"/>
          <w:lang w:val="en-US"/>
        </w:rPr>
        <w:instrText>80 000 females) and they have only recently diverged from each other (&lt; 26 000 ybp). These populations are probably far from genetic equilibrium and therefore the lack of phylogenetic distinctiveness of the floridanus subspecies and minimal genetic differentiation is due most probably to retained ancestral polymorphism. Finally, levels of variation in Florida were similar to other populations supporting the idea that the drastic reduction in population size which has occurred within the last 100 years has not yet had an impact on levels of variation in floridanus. We argue that despite the lack of phylogenetic distinctiveness of floridanus genotypes the observed genetic differentiation and previously documented phenotypic differences justify continued designation of this subspecies as a protected population segment.","author":[{"dropping-particle":"","family":"Bulgin","given":"Natalie L.","non-dropping-particle":"","parse-names":false,"suffix":""},{"dropping-particle":"","family":"Gibbs","given":"H. Lisle","non-dropping-particle":"","parse-names":false,"suffix":""},{"dropping-particle":"","family":"Vickery","given":"Peter","non-dropping-particle":"","parse-names":false,"suffix":""},{"dropping-particle":"","family":"Baker","given":"Allan J.","non-dropping-particle":"","parse-names":false,"suffix":""}],"container-title":"Molecular Ecology","id":"ITEM-1","issue":"4","issued":{"date-parts":[["2003"]]},"page":"831-844","title":"Ancestral polymorphisms in genetic markers obscure detection of evolutionarily distinct populations in the endangered Florida grasshopper sparrow (Ammodramus savannarum floridanus)","type":"article-journal","volume":"12"},"uris":["http://www.mendeley.com/documents/?uuid=6cc8c245-a9bc-4378-a98b-71ee11ff611a"]},{"id":"ITEM-2","itemData":{"DOI":"10.1046/j.1471-8278.2000.00005.x","ISSN":"14718278","abstract":"We describe the isolation, development and application of six microsatellite loci in the song sparrow, Melospiza melodia, their amplification in related species and problems encountered in genotyping from high quality DNA. Heterozygosity in an island song sparrow population was high (&gt; 70%) for five out of six loci. Small scale cross-species amplification showed up to three alleles per locus for other Emberizidae. Relatively high levels of allelic dropout were observed with two loci when using standard template DNA. These problems could be partially alleviated by diluting template DNA, and could always be eliminated by repeated genotyping.","author":[{"dropping-particle":"","family":"Jeffery","given":"K. J.","non-dropping-particle":"","parse-names":false,"suffix":""},{"dropping-particle":"","family":"Keller","given":"L. F.","non-dropping-particle":"","parse-names":false,"suffix":""},{"dropping-particle":"","family":"Arcese","given":"P.","non-dropping-particle":"","parse-names":false,"suffix":""},{"dropping-particle":"","family":"Bruford","given":"M. W.","non-dropping-particle":"","parse-names":false,"suffix":""}],"container-title":"Molecular Ecology Notes","id":"ITEM-2","issue":"1-2","issued":{"date-parts":[["2001"]]},"page":"11-13","title":"The development of microsatellite loci in the song sparrow, Melospiza melodia (Aves) and genotyping errors associated with good quality DNA","type":"article-journal","volume":"1"},"uris":["http://www.mendeley.com/documents/?uuid=6047b8c6-8a17-48d7-b0b2-47ff0169f117"]},{"id":"ITEM-3","itemData":{"DOI":"10.1046/j.1365-294x.1998.00518.x","ISSN":"09621083","PMID":"9859209","author":[{"dropping-particle":"","family":"Petren","given":"K.","non-dropping-particle":"","parse-names":false,"suffix":""}],"container-title":"Molecular Ecology","id":"ITEM-3","issue":"12","issued":{"date-parts":[["1998"]]},"page":"1782-1784","title":"Microsatellite primers from Geospiza fortis and cross-species amplification in Darwin's finches","type":"article-journal","volume":"7"},"uris":["http://www.mendeley.com/documents/?uuid=bf9c05f6-0fea-4fa4-af57-691e3a495d36"]}],"mendeley":{"formattedCitation":"(Bulgin et al., 2003; Jeffery et al., 2001; Petren, 1998)","manualFormatting":"(Petren, 1998; Jeffery et al., 2001; Bulgin et al., 2003)","plainTextFormattedCitation":"(Bulgin et al., 2003; Jeffery et al., 2001; Petren, 1998)","previouslyFormattedCitation":"(Bulgin et al., 2003; Jeffery et al., 2001; Petren, 1998)"},"properties":{"noteIndex":0},"schema":"https://github.com/citation-style-language/schema/raw/master/csl-citation.json"}</w:instrText>
      </w:r>
      <w:r w:rsidR="00D22709" w:rsidRPr="001830F3">
        <w:rPr>
          <w:rFonts w:cstheme="minorHAnsi"/>
          <w:lang w:val="en-US"/>
        </w:rPr>
        <w:fldChar w:fldCharType="separate"/>
      </w:r>
      <w:r w:rsidR="0014627C" w:rsidRPr="001830F3">
        <w:rPr>
          <w:rFonts w:cstheme="minorHAnsi"/>
          <w:noProof/>
          <w:lang w:val="en-US"/>
        </w:rPr>
        <w:t>(</w:t>
      </w:r>
      <w:r w:rsidR="0064413D" w:rsidRPr="001830F3">
        <w:rPr>
          <w:rFonts w:cstheme="minorHAnsi"/>
          <w:noProof/>
          <w:lang w:val="en-US"/>
        </w:rPr>
        <w:t>Petren, 1998</w:t>
      </w:r>
      <w:r w:rsidR="00BA34B6" w:rsidRPr="001830F3">
        <w:rPr>
          <w:rFonts w:cstheme="minorHAnsi"/>
          <w:noProof/>
          <w:lang w:val="en-US"/>
        </w:rPr>
        <w:t xml:space="preserve">; </w:t>
      </w:r>
      <w:r w:rsidR="0064413D" w:rsidRPr="001830F3">
        <w:rPr>
          <w:rFonts w:cstheme="minorHAnsi"/>
          <w:noProof/>
          <w:lang w:val="en-US"/>
        </w:rPr>
        <w:t xml:space="preserve">Jeffery et al., 2001; </w:t>
      </w:r>
      <w:r w:rsidR="0014627C" w:rsidRPr="001830F3">
        <w:rPr>
          <w:rFonts w:cstheme="minorHAnsi"/>
          <w:noProof/>
          <w:lang w:val="en-US"/>
        </w:rPr>
        <w:t>Bulgin et al., 2003)</w:t>
      </w:r>
      <w:r w:rsidR="00D22709" w:rsidRPr="001830F3">
        <w:rPr>
          <w:rFonts w:cstheme="minorHAnsi"/>
          <w:lang w:val="en-US"/>
        </w:rPr>
        <w:fldChar w:fldCharType="end"/>
      </w:r>
      <w:r w:rsidRPr="001830F3">
        <w:rPr>
          <w:rFonts w:cstheme="minorHAnsi"/>
          <w:lang w:val="en-US"/>
        </w:rPr>
        <w:t xml:space="preserve"> which have been </w:t>
      </w:r>
      <w:r w:rsidR="00863B5C">
        <w:rPr>
          <w:rFonts w:cstheme="minorHAnsi"/>
          <w:lang w:val="en-US"/>
        </w:rPr>
        <w:t xml:space="preserve">previously </w:t>
      </w:r>
      <w:r w:rsidRPr="001830F3">
        <w:rPr>
          <w:rFonts w:cstheme="minorHAnsi"/>
          <w:lang w:val="en-US"/>
        </w:rPr>
        <w:t xml:space="preserve">shown to be polymorphic and </w:t>
      </w:r>
      <w:r w:rsidR="00863B5C" w:rsidRPr="001830F3">
        <w:rPr>
          <w:rFonts w:cstheme="minorHAnsi"/>
          <w:lang w:val="en-US"/>
        </w:rPr>
        <w:t>amplif</w:t>
      </w:r>
      <w:r w:rsidR="00863B5C">
        <w:rPr>
          <w:rFonts w:cstheme="minorHAnsi"/>
          <w:lang w:val="en-US"/>
        </w:rPr>
        <w:t>ied</w:t>
      </w:r>
      <w:r w:rsidR="00863B5C" w:rsidRPr="001830F3">
        <w:rPr>
          <w:rFonts w:cstheme="minorHAnsi"/>
          <w:lang w:val="en-US"/>
        </w:rPr>
        <w:t xml:space="preserve"> </w:t>
      </w:r>
      <w:r w:rsidRPr="001830F3">
        <w:rPr>
          <w:rFonts w:cstheme="minorHAnsi"/>
          <w:lang w:val="en-US"/>
        </w:rPr>
        <w:t xml:space="preserve">well for this species </w:t>
      </w:r>
      <w:r w:rsidR="00D22709" w:rsidRPr="001830F3">
        <w:rPr>
          <w:rFonts w:cstheme="minorHAnsi"/>
          <w:lang w:val="en-US"/>
        </w:rPr>
        <w:fldChar w:fldCharType="begin" w:fldLock="1"/>
      </w:r>
      <w:r w:rsidR="0014627C" w:rsidRPr="001830F3">
        <w:rPr>
          <w:rFonts w:cstheme="minorHAnsi"/>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D22709" w:rsidRPr="001830F3">
        <w:rPr>
          <w:rFonts w:cstheme="minorHAnsi"/>
          <w:lang w:val="en-US"/>
        </w:rPr>
        <w:fldChar w:fldCharType="separate"/>
      </w:r>
      <w:r w:rsidR="0014627C" w:rsidRPr="001830F3">
        <w:rPr>
          <w:rFonts w:cstheme="minorHAnsi"/>
          <w:noProof/>
          <w:lang w:val="en-US"/>
        </w:rPr>
        <w:t>(Rodríguez-Bardía et al., 2022)</w:t>
      </w:r>
      <w:r w:rsidR="00D22709" w:rsidRPr="001830F3">
        <w:rPr>
          <w:rFonts w:cstheme="minorHAnsi"/>
          <w:lang w:val="en-US"/>
        </w:rPr>
        <w:fldChar w:fldCharType="end"/>
      </w:r>
      <w:r w:rsidRPr="001830F3">
        <w:rPr>
          <w:rFonts w:cstheme="minorHAnsi"/>
          <w:lang w:val="en-US"/>
        </w:rPr>
        <w:t xml:space="preserve">. </w:t>
      </w:r>
      <w:r w:rsidR="009B283D">
        <w:rPr>
          <w:rFonts w:cstheme="minorHAnsi"/>
          <w:lang w:val="en-US"/>
        </w:rPr>
        <w:t>We followed the Qiagen Multiplex master kit (</w:t>
      </w:r>
      <w:r w:rsidR="009B283D" w:rsidRPr="001830F3">
        <w:rPr>
          <w:rFonts w:cstheme="minorHAnsi"/>
          <w:lang w:val="en-US"/>
        </w:rPr>
        <w:t>Qiagen Inc., Valencia, CA)</w:t>
      </w:r>
      <w:r w:rsidR="009B283D">
        <w:rPr>
          <w:rFonts w:cstheme="minorHAnsi"/>
          <w:lang w:val="en-US"/>
        </w:rPr>
        <w:t xml:space="preserve"> procedure to amplify the </w:t>
      </w:r>
      <w:r w:rsidR="00537C95">
        <w:rPr>
          <w:rFonts w:cstheme="minorHAnsi"/>
          <w:lang w:val="en-US"/>
        </w:rPr>
        <w:t>SSRs</w:t>
      </w:r>
      <w:r w:rsidRPr="001830F3">
        <w:rPr>
          <w:rFonts w:cstheme="minorHAnsi"/>
          <w:lang w:val="en-US"/>
        </w:rPr>
        <w:t>.</w:t>
      </w:r>
      <w:r w:rsidR="002E0465" w:rsidRPr="001830F3">
        <w:rPr>
          <w:rFonts w:cstheme="minorHAnsi"/>
          <w:lang w:val="en-US"/>
        </w:rPr>
        <w:t xml:space="preserve"> All markers were amplified through Polymerase Chain Reactions (PCR) using </w:t>
      </w:r>
      <w:r w:rsidR="0067597E">
        <w:rPr>
          <w:rFonts w:cstheme="minorHAnsi"/>
          <w:lang w:val="en-US"/>
        </w:rPr>
        <w:t xml:space="preserve">a </w:t>
      </w:r>
      <w:r w:rsidR="002E0465" w:rsidRPr="001830F3">
        <w:rPr>
          <w:rFonts w:cstheme="minorHAnsi"/>
          <w:lang w:val="en-US"/>
        </w:rPr>
        <w:t>1</w:t>
      </w:r>
      <w:r w:rsidR="00A54484" w:rsidRPr="001830F3">
        <w:rPr>
          <w:rFonts w:cstheme="minorHAnsi"/>
          <w:lang w:val="en-US"/>
        </w:rPr>
        <w:t>0</w:t>
      </w:r>
      <w:r w:rsidR="002E0465" w:rsidRPr="001830F3">
        <w:rPr>
          <w:rFonts w:cstheme="minorHAnsi"/>
          <w:lang w:val="en-US"/>
        </w:rPr>
        <w:t xml:space="preserve"> </w:t>
      </w:r>
      <w:proofErr w:type="spellStart"/>
      <w:r w:rsidR="002E0465" w:rsidRPr="001830F3">
        <w:rPr>
          <w:rFonts w:cstheme="minorHAnsi"/>
          <w:lang w:val="en-US"/>
        </w:rPr>
        <w:t>μL</w:t>
      </w:r>
      <w:proofErr w:type="spellEnd"/>
      <w:r w:rsidR="002E0465" w:rsidRPr="001830F3">
        <w:rPr>
          <w:rFonts w:cstheme="minorHAnsi"/>
          <w:lang w:val="en-US"/>
        </w:rPr>
        <w:t xml:space="preserve"> reaction, containing </w:t>
      </w:r>
      <w:r w:rsidR="007E6B2D" w:rsidRPr="001830F3">
        <w:rPr>
          <w:rFonts w:cstheme="minorHAnsi"/>
          <w:lang w:val="en-US"/>
        </w:rPr>
        <w:t xml:space="preserve">2 </w:t>
      </w:r>
      <w:proofErr w:type="spellStart"/>
      <w:r w:rsidR="007E6B2D" w:rsidRPr="001830F3">
        <w:rPr>
          <w:rFonts w:cstheme="minorHAnsi"/>
          <w:lang w:val="en-US"/>
        </w:rPr>
        <w:t>μL</w:t>
      </w:r>
      <w:proofErr w:type="spellEnd"/>
      <w:r w:rsidR="007E6B2D" w:rsidRPr="001830F3">
        <w:rPr>
          <w:rFonts w:cstheme="minorHAnsi"/>
          <w:lang w:val="en-US"/>
        </w:rPr>
        <w:t xml:space="preserve"> of </w:t>
      </w:r>
      <w:r w:rsidR="002E0465" w:rsidRPr="001830F3">
        <w:rPr>
          <w:rFonts w:cstheme="minorHAnsi"/>
          <w:lang w:val="en-US"/>
        </w:rPr>
        <w:t>0.4 µM primer mix</w:t>
      </w:r>
      <w:r w:rsidR="007E6B2D" w:rsidRPr="001830F3">
        <w:rPr>
          <w:rFonts w:cstheme="minorHAnsi"/>
          <w:lang w:val="en-US"/>
        </w:rPr>
        <w:t xml:space="preserve">, 1.5 </w:t>
      </w:r>
      <w:proofErr w:type="spellStart"/>
      <w:r w:rsidR="007E6B2D" w:rsidRPr="001830F3">
        <w:rPr>
          <w:rFonts w:cstheme="minorHAnsi"/>
          <w:lang w:val="en-US"/>
        </w:rPr>
        <w:t>μL</w:t>
      </w:r>
      <w:proofErr w:type="spellEnd"/>
      <w:r w:rsidR="007E6B2D" w:rsidRPr="001830F3">
        <w:rPr>
          <w:rFonts w:cstheme="minorHAnsi"/>
          <w:lang w:val="en-US"/>
        </w:rPr>
        <w:t xml:space="preserve"> of </w:t>
      </w:r>
      <w:r w:rsidR="002E0465" w:rsidRPr="001830F3">
        <w:rPr>
          <w:rFonts w:cstheme="minorHAnsi"/>
          <w:lang w:val="en-US"/>
        </w:rPr>
        <w:t>20 ng of template DNA</w:t>
      </w:r>
      <w:r w:rsidR="007E6B2D" w:rsidRPr="001830F3">
        <w:rPr>
          <w:rFonts w:cstheme="minorHAnsi"/>
          <w:lang w:val="en-US"/>
        </w:rPr>
        <w:t xml:space="preserve">, 5 </w:t>
      </w:r>
      <w:proofErr w:type="spellStart"/>
      <w:r w:rsidR="007E6B2D" w:rsidRPr="001830F3">
        <w:rPr>
          <w:rFonts w:cstheme="minorHAnsi"/>
          <w:lang w:val="en-US"/>
        </w:rPr>
        <w:t>μL</w:t>
      </w:r>
      <w:proofErr w:type="spellEnd"/>
      <w:r w:rsidR="007E6B2D" w:rsidRPr="001830F3">
        <w:rPr>
          <w:rFonts w:cstheme="minorHAnsi"/>
          <w:lang w:val="en-US"/>
        </w:rPr>
        <w:t xml:space="preserve"> of</w:t>
      </w:r>
      <w:r w:rsidR="002E0465" w:rsidRPr="001830F3">
        <w:rPr>
          <w:rFonts w:cstheme="minorHAnsi"/>
          <w:lang w:val="en-US"/>
        </w:rPr>
        <w:t xml:space="preserve"> Multiplex Master Kit (Qiagen) for mixed primers and Top Taq Master Kit (Qiagen) for Gf01</w:t>
      </w:r>
      <w:r w:rsidR="007A5EAF" w:rsidRPr="001830F3">
        <w:rPr>
          <w:rFonts w:cstheme="minorHAnsi"/>
          <w:lang w:val="en-US"/>
        </w:rPr>
        <w:t xml:space="preserve"> and 1.5 </w:t>
      </w:r>
      <w:proofErr w:type="spellStart"/>
      <w:r w:rsidR="007A5EAF" w:rsidRPr="001830F3">
        <w:rPr>
          <w:rFonts w:cstheme="minorHAnsi"/>
          <w:lang w:val="en-US"/>
        </w:rPr>
        <w:t>μL</w:t>
      </w:r>
      <w:proofErr w:type="spellEnd"/>
      <w:r w:rsidR="007A5EAF" w:rsidRPr="001830F3">
        <w:rPr>
          <w:rFonts w:cstheme="minorHAnsi"/>
          <w:lang w:val="en-US"/>
        </w:rPr>
        <w:t xml:space="preserve"> of water nuclease free</w:t>
      </w:r>
      <w:r w:rsidR="0014627C" w:rsidRPr="001830F3">
        <w:rPr>
          <w:rFonts w:cstheme="minorHAnsi"/>
          <w:lang w:val="en-US"/>
        </w:rPr>
        <w:t xml:space="preserve"> (Qiagen)</w:t>
      </w:r>
      <w:r w:rsidR="002E0465" w:rsidRPr="001830F3">
        <w:rPr>
          <w:rFonts w:cstheme="minorHAnsi"/>
          <w:lang w:val="en-US"/>
        </w:rPr>
        <w:t xml:space="preserve">. </w:t>
      </w:r>
      <w:r w:rsidR="00B20870" w:rsidRPr="001830F3">
        <w:rPr>
          <w:rFonts w:cstheme="minorHAnsi"/>
          <w:lang w:val="en-US"/>
        </w:rPr>
        <w:t>We follow</w:t>
      </w:r>
      <w:r w:rsidR="004833D8">
        <w:rPr>
          <w:rFonts w:cstheme="minorHAnsi"/>
          <w:lang w:val="en-US"/>
        </w:rPr>
        <w:t>ed</w:t>
      </w:r>
      <w:r w:rsidR="00B20870" w:rsidRPr="001830F3">
        <w:rPr>
          <w:rFonts w:cstheme="minorHAnsi"/>
          <w:lang w:val="en-US"/>
        </w:rPr>
        <w:t xml:space="preserve"> the </w:t>
      </w:r>
      <w:r w:rsidRPr="001830F3">
        <w:rPr>
          <w:rFonts w:cstheme="minorHAnsi"/>
          <w:lang w:val="en-US"/>
        </w:rPr>
        <w:t>PCR thermal profiles and mixes described in Rodriguez et al. (2022)</w:t>
      </w:r>
      <w:r w:rsidR="00B20870" w:rsidRPr="001830F3">
        <w:rPr>
          <w:rFonts w:cstheme="minorHAnsi"/>
          <w:lang w:val="en-US"/>
        </w:rPr>
        <w:t xml:space="preserve">. </w:t>
      </w:r>
      <w:r w:rsidR="002E0465" w:rsidRPr="001830F3">
        <w:rPr>
          <w:rFonts w:cstheme="minorHAnsi"/>
          <w:lang w:val="en-US"/>
        </w:rPr>
        <w:t xml:space="preserve">The PCR was performed in a </w:t>
      </w:r>
      <w:proofErr w:type="spellStart"/>
      <w:r w:rsidR="002E0465" w:rsidRPr="001830F3">
        <w:rPr>
          <w:rFonts w:cstheme="minorHAnsi"/>
          <w:lang w:val="en-US"/>
        </w:rPr>
        <w:t>Veriti</w:t>
      </w:r>
      <w:proofErr w:type="spellEnd"/>
      <w:r w:rsidR="002E0465" w:rsidRPr="001830F3">
        <w:rPr>
          <w:rFonts w:cstheme="minorHAnsi"/>
          <w:lang w:val="en-US"/>
        </w:rPr>
        <w:t xml:space="preserve">™ thermocycler (Applied Biosystems, Foster City, CA, USA). Capillary electrophoresis was performed on a 3500 genetic analyzer (Applied Biosystems) using Hi-Di™ formamide and </w:t>
      </w:r>
      <w:proofErr w:type="spellStart"/>
      <w:r w:rsidR="002E0465" w:rsidRPr="001830F3">
        <w:rPr>
          <w:rFonts w:cstheme="minorHAnsi"/>
          <w:lang w:val="en-US"/>
        </w:rPr>
        <w:lastRenderedPageBreak/>
        <w:t>GeneScan</w:t>
      </w:r>
      <w:proofErr w:type="spellEnd"/>
      <w:r w:rsidR="002E0465" w:rsidRPr="001830F3">
        <w:rPr>
          <w:rFonts w:cstheme="minorHAnsi"/>
          <w:lang w:val="en-US"/>
        </w:rPr>
        <w:t xml:space="preserve">™ 500 LIZ™ dye size standard (Applied Biosystems). </w:t>
      </w:r>
      <w:proofErr w:type="spellStart"/>
      <w:r w:rsidR="002E0465" w:rsidRPr="001830F3">
        <w:rPr>
          <w:rFonts w:cstheme="minorHAnsi"/>
          <w:lang w:val="en-US"/>
        </w:rPr>
        <w:t>Multilocus</w:t>
      </w:r>
      <w:proofErr w:type="spellEnd"/>
      <w:r w:rsidR="002E0465" w:rsidRPr="001830F3">
        <w:rPr>
          <w:rFonts w:cstheme="minorHAnsi"/>
          <w:lang w:val="en-US"/>
        </w:rPr>
        <w:t xml:space="preserve"> genotypes </w:t>
      </w:r>
      <w:r w:rsidR="009B283D">
        <w:rPr>
          <w:rFonts w:cstheme="minorHAnsi"/>
          <w:lang w:val="en-US"/>
        </w:rPr>
        <w:t xml:space="preserve">were </w:t>
      </w:r>
      <w:r w:rsidR="002E0465" w:rsidRPr="001830F3">
        <w:rPr>
          <w:rFonts w:cstheme="minorHAnsi"/>
          <w:lang w:val="en-US"/>
        </w:rPr>
        <w:t xml:space="preserve">scored using </w:t>
      </w:r>
      <w:proofErr w:type="spellStart"/>
      <w:r w:rsidR="002E0465" w:rsidRPr="001830F3">
        <w:rPr>
          <w:rFonts w:cstheme="minorHAnsi"/>
          <w:lang w:val="en-US"/>
        </w:rPr>
        <w:t>GeneMarker</w:t>
      </w:r>
      <w:proofErr w:type="spellEnd"/>
      <w:r w:rsidR="002E0465" w:rsidRPr="001830F3">
        <w:rPr>
          <w:rFonts w:cstheme="minorHAnsi"/>
          <w:lang w:val="en-US"/>
        </w:rPr>
        <w:t xml:space="preserve"> 1.91 (</w:t>
      </w:r>
      <w:proofErr w:type="spellStart"/>
      <w:r w:rsidR="002E0465" w:rsidRPr="001830F3">
        <w:rPr>
          <w:rFonts w:cstheme="minorHAnsi"/>
          <w:lang w:val="en-US"/>
        </w:rPr>
        <w:t>SoftGenetics</w:t>
      </w:r>
      <w:proofErr w:type="spellEnd"/>
      <w:r w:rsidR="002E0465" w:rsidRPr="001830F3">
        <w:rPr>
          <w:rFonts w:cstheme="minorHAnsi"/>
          <w:lang w:val="en-US"/>
        </w:rPr>
        <w:t>, State College, PA, USA).</w:t>
      </w:r>
    </w:p>
    <w:p w14:paraId="0A3CC08B" w14:textId="77777777" w:rsidR="001B1C10" w:rsidRDefault="001B1C10" w:rsidP="002E0465">
      <w:pPr>
        <w:spacing w:line="480" w:lineRule="auto"/>
        <w:rPr>
          <w:rFonts w:cstheme="minorHAnsi"/>
          <w:lang w:val="en-US"/>
        </w:rPr>
      </w:pPr>
    </w:p>
    <w:p w14:paraId="57B35AED" w14:textId="77777777" w:rsidR="00254314" w:rsidRPr="001830F3" w:rsidRDefault="00254314" w:rsidP="002E0465">
      <w:pPr>
        <w:spacing w:line="480" w:lineRule="auto"/>
        <w:rPr>
          <w:rFonts w:cstheme="minorHAnsi"/>
          <w:lang w:val="en-US"/>
        </w:rPr>
      </w:pPr>
      <w:r w:rsidRPr="006602FF">
        <w:rPr>
          <w:rFonts w:cstheme="minorHAnsi"/>
          <w:lang w:val="en-US"/>
        </w:rPr>
        <w:t xml:space="preserve">Acoustic </w:t>
      </w:r>
      <w:r w:rsidR="00F35099" w:rsidRPr="006602FF">
        <w:rPr>
          <w:rFonts w:cstheme="minorHAnsi"/>
          <w:lang w:val="en-US"/>
        </w:rPr>
        <w:t>analyses</w:t>
      </w:r>
    </w:p>
    <w:p w14:paraId="16B42C6A" w14:textId="696754FA" w:rsidR="003E17D3" w:rsidRPr="001830F3" w:rsidRDefault="00357ABD" w:rsidP="002A15DD">
      <w:pPr>
        <w:spacing w:line="480" w:lineRule="auto"/>
        <w:ind w:firstLine="709"/>
        <w:rPr>
          <w:rFonts w:cstheme="minorHAnsi"/>
          <w:lang w:val="en-US"/>
        </w:rPr>
      </w:pPr>
      <w:bookmarkStart w:id="20" w:name="_Hlk182318213"/>
      <w:r w:rsidRPr="001830F3">
        <w:rPr>
          <w:rFonts w:cstheme="minorHAnsi"/>
          <w:lang w:val="en-US"/>
        </w:rPr>
        <w:t>We</w:t>
      </w:r>
      <w:r w:rsidR="002103A5" w:rsidRPr="001830F3">
        <w:rPr>
          <w:rFonts w:cstheme="minorHAnsi"/>
          <w:lang w:val="en-US"/>
        </w:rPr>
        <w:t xml:space="preserve"> </w:t>
      </w:r>
      <w:r w:rsidR="00F35099">
        <w:rPr>
          <w:rFonts w:cstheme="minorHAnsi"/>
          <w:lang w:val="en-US"/>
        </w:rPr>
        <w:t>analyzed</w:t>
      </w:r>
      <w:r w:rsidR="002103A5" w:rsidRPr="001830F3">
        <w:rPr>
          <w:rFonts w:cstheme="minorHAnsi"/>
          <w:lang w:val="en-US"/>
        </w:rPr>
        <w:t xml:space="preserve"> </w:t>
      </w:r>
      <w:r w:rsidR="00EB63F7">
        <w:rPr>
          <w:rFonts w:cstheme="minorHAnsi"/>
          <w:lang w:val="en-US"/>
        </w:rPr>
        <w:t xml:space="preserve">all </w:t>
      </w:r>
      <w:r w:rsidR="002103A5" w:rsidRPr="001830F3">
        <w:rPr>
          <w:rFonts w:cstheme="minorHAnsi"/>
          <w:lang w:val="en-US"/>
        </w:rPr>
        <w:t>songs</w:t>
      </w:r>
      <w:r w:rsidRPr="001830F3">
        <w:rPr>
          <w:rFonts w:cstheme="minorHAnsi"/>
          <w:lang w:val="en-US"/>
        </w:rPr>
        <w:t xml:space="preserve"> </w:t>
      </w:r>
      <w:r w:rsidR="002103A5" w:rsidRPr="001830F3">
        <w:rPr>
          <w:rFonts w:cstheme="minorHAnsi"/>
          <w:lang w:val="en-US"/>
        </w:rPr>
        <w:t>us</w:t>
      </w:r>
      <w:r w:rsidRPr="001830F3">
        <w:rPr>
          <w:rFonts w:cstheme="minorHAnsi"/>
          <w:lang w:val="en-US"/>
        </w:rPr>
        <w:t>ing</w:t>
      </w:r>
      <w:r w:rsidR="002103A5" w:rsidRPr="001830F3">
        <w:rPr>
          <w:rFonts w:cstheme="minorHAnsi"/>
          <w:lang w:val="en-US"/>
        </w:rPr>
        <w:t xml:space="preserve"> Raven </w:t>
      </w:r>
      <w:r w:rsidR="0067597E">
        <w:rPr>
          <w:rFonts w:cstheme="minorHAnsi"/>
          <w:lang w:val="en-US"/>
        </w:rPr>
        <w:t>P</w:t>
      </w:r>
      <w:r w:rsidR="0067597E" w:rsidRPr="001830F3">
        <w:rPr>
          <w:rFonts w:cstheme="minorHAnsi"/>
          <w:lang w:val="en-US"/>
        </w:rPr>
        <w:t xml:space="preserve">ro </w:t>
      </w:r>
      <w:r w:rsidR="002103A5" w:rsidRPr="001830F3">
        <w:rPr>
          <w:rFonts w:cstheme="minorHAnsi"/>
          <w:lang w:val="en-US"/>
        </w:rPr>
        <w:t xml:space="preserve">1.6 software (Cornell Lab of Ornithology, Ithaca, NY, USA). </w:t>
      </w:r>
      <w:bookmarkStart w:id="21" w:name="_Hlk167470781"/>
      <w:r w:rsidR="00C60B72">
        <w:rPr>
          <w:rFonts w:cstheme="minorHAnsi"/>
          <w:lang w:val="en-US"/>
        </w:rPr>
        <w:t>Since t</w:t>
      </w:r>
      <w:r w:rsidR="005D05F9">
        <w:rPr>
          <w:rFonts w:cstheme="minorHAnsi"/>
          <w:lang w:val="en-US"/>
        </w:rPr>
        <w:t xml:space="preserve">his species can </w:t>
      </w:r>
      <w:r w:rsidR="00C60B72">
        <w:rPr>
          <w:rFonts w:cstheme="minorHAnsi"/>
          <w:lang w:val="en-US"/>
        </w:rPr>
        <w:t>produce up to</w:t>
      </w:r>
      <w:r w:rsidR="005D05F9">
        <w:rPr>
          <w:rFonts w:cstheme="minorHAnsi"/>
          <w:lang w:val="en-US"/>
        </w:rPr>
        <w:t xml:space="preserve"> 33 different song types in its repertoire </w:t>
      </w:r>
      <w:r w:rsidR="005D05F9" w:rsidRPr="005D05F9">
        <w:rPr>
          <w:rFonts w:cstheme="minorHAnsi"/>
          <w:lang w:val="en-US"/>
        </w:rPr>
        <w:t>(Sandoval et al., 2014, 2016)</w:t>
      </w:r>
      <w:r w:rsidR="005D05F9">
        <w:rPr>
          <w:rFonts w:cstheme="minorHAnsi"/>
          <w:lang w:val="en-US"/>
        </w:rPr>
        <w:t>, w</w:t>
      </w:r>
      <w:r w:rsidR="002103A5" w:rsidRPr="001830F3">
        <w:rPr>
          <w:rFonts w:cstheme="minorHAnsi"/>
          <w:lang w:val="en-US"/>
        </w:rPr>
        <w:t>e classified each song according to its structure in different types</w:t>
      </w:r>
      <w:r w:rsidR="002953C7">
        <w:rPr>
          <w:rFonts w:cstheme="minorHAnsi"/>
          <w:lang w:val="en-US"/>
        </w:rPr>
        <w:t xml:space="preserve">. Solo songs consist </w:t>
      </w:r>
      <w:r w:rsidR="0067597E">
        <w:rPr>
          <w:rFonts w:cstheme="minorHAnsi"/>
          <w:lang w:val="en-US"/>
        </w:rPr>
        <w:t xml:space="preserve">of </w:t>
      </w:r>
      <w:r w:rsidR="002953C7">
        <w:rPr>
          <w:rFonts w:cstheme="minorHAnsi"/>
          <w:lang w:val="en-US"/>
        </w:rPr>
        <w:t>three sections</w:t>
      </w:r>
      <w:r w:rsidR="00DF0DB9">
        <w:rPr>
          <w:rFonts w:cstheme="minorHAnsi"/>
          <w:lang w:val="en-US"/>
        </w:rPr>
        <w:t xml:space="preserve">; the first includes a series of </w:t>
      </w:r>
      <w:r w:rsidR="0067597E">
        <w:rPr>
          <w:rFonts w:cstheme="minorHAnsi"/>
          <w:lang w:val="en-US"/>
        </w:rPr>
        <w:t>high-</w:t>
      </w:r>
      <w:r w:rsidR="002953C7">
        <w:rPr>
          <w:rFonts w:cstheme="minorHAnsi"/>
          <w:lang w:val="en-US"/>
        </w:rPr>
        <w:t xml:space="preserve">frequency elements, </w:t>
      </w:r>
      <w:r w:rsidR="00DF0DB9">
        <w:rPr>
          <w:rFonts w:cstheme="minorHAnsi"/>
          <w:lang w:val="en-US"/>
        </w:rPr>
        <w:t>followed</w:t>
      </w:r>
      <w:r w:rsidR="002953C7">
        <w:rPr>
          <w:rFonts w:cstheme="minorHAnsi"/>
          <w:lang w:val="en-US"/>
        </w:rPr>
        <w:t xml:space="preserve"> by a middle section of frequency-modulated elements, and </w:t>
      </w:r>
      <w:r w:rsidR="00DF0DB9">
        <w:rPr>
          <w:rFonts w:cstheme="minorHAnsi"/>
          <w:lang w:val="en-US"/>
        </w:rPr>
        <w:t xml:space="preserve">a final </w:t>
      </w:r>
      <w:r w:rsidR="002953C7">
        <w:rPr>
          <w:rFonts w:cstheme="minorHAnsi"/>
          <w:lang w:val="en-US"/>
        </w:rPr>
        <w:t xml:space="preserve">short trill (Sandoval et al., 2016). The </w:t>
      </w:r>
      <w:r w:rsidR="00AF251F">
        <w:rPr>
          <w:rFonts w:cstheme="minorHAnsi"/>
          <w:lang w:val="en-US"/>
        </w:rPr>
        <w:t>first</w:t>
      </w:r>
      <w:r w:rsidR="002953C7">
        <w:rPr>
          <w:rFonts w:cstheme="minorHAnsi"/>
          <w:lang w:val="en-US"/>
        </w:rPr>
        <w:t xml:space="preserve"> and </w:t>
      </w:r>
      <w:r w:rsidR="00AF251F">
        <w:rPr>
          <w:rFonts w:cstheme="minorHAnsi"/>
          <w:lang w:val="en-US"/>
        </w:rPr>
        <w:t xml:space="preserve">final sections </w:t>
      </w:r>
      <w:r w:rsidR="002953C7">
        <w:rPr>
          <w:rFonts w:cstheme="minorHAnsi"/>
          <w:lang w:val="en-US"/>
        </w:rPr>
        <w:t>could present subtle variation</w:t>
      </w:r>
      <w:r w:rsidR="00AF251F">
        <w:rPr>
          <w:rFonts w:cstheme="minorHAnsi"/>
          <w:lang w:val="en-US"/>
        </w:rPr>
        <w:t>s</w:t>
      </w:r>
      <w:r w:rsidR="002953C7">
        <w:rPr>
          <w:rFonts w:cstheme="minorHAnsi"/>
          <w:lang w:val="en-US"/>
        </w:rPr>
        <w:t xml:space="preserve"> because different individuals add or omit elements</w:t>
      </w:r>
      <w:r w:rsidR="0067597E">
        <w:rPr>
          <w:rFonts w:cstheme="minorHAnsi"/>
          <w:lang w:val="en-US"/>
        </w:rPr>
        <w:t>,</w:t>
      </w:r>
      <w:r w:rsidR="002953C7">
        <w:rPr>
          <w:rFonts w:cstheme="minorHAnsi"/>
          <w:lang w:val="en-US"/>
        </w:rPr>
        <w:t xml:space="preserve"> but </w:t>
      </w:r>
      <w:r w:rsidR="00AF251F">
        <w:rPr>
          <w:rFonts w:cstheme="minorHAnsi"/>
          <w:lang w:val="en-US"/>
        </w:rPr>
        <w:t xml:space="preserve">both sections </w:t>
      </w:r>
      <w:r w:rsidR="002953C7">
        <w:rPr>
          <w:rFonts w:cstheme="minorHAnsi"/>
          <w:lang w:val="en-US"/>
        </w:rPr>
        <w:t xml:space="preserve">maintain </w:t>
      </w:r>
      <w:r w:rsidR="00AF251F">
        <w:rPr>
          <w:rFonts w:cstheme="minorHAnsi"/>
          <w:lang w:val="en-US"/>
        </w:rPr>
        <w:t xml:space="preserve">similar </w:t>
      </w:r>
      <w:r w:rsidR="0063125C">
        <w:rPr>
          <w:rFonts w:cstheme="minorHAnsi"/>
          <w:lang w:val="en-US"/>
        </w:rPr>
        <w:t>fine structural details</w:t>
      </w:r>
      <w:r w:rsidR="002953C7">
        <w:rPr>
          <w:rFonts w:cstheme="minorHAnsi"/>
          <w:lang w:val="en-US"/>
        </w:rPr>
        <w:t xml:space="preserve"> (Sandoval et al., 2014). </w:t>
      </w:r>
      <w:r w:rsidR="00AF251F">
        <w:rPr>
          <w:rFonts w:cstheme="minorHAnsi"/>
          <w:lang w:val="en-US"/>
        </w:rPr>
        <w:t>Thus</w:t>
      </w:r>
      <w:r w:rsidR="002953C7">
        <w:rPr>
          <w:rFonts w:cstheme="minorHAnsi"/>
          <w:lang w:val="en-US"/>
        </w:rPr>
        <w:t xml:space="preserve">, we </w:t>
      </w:r>
      <w:r w:rsidR="00AF251F">
        <w:rPr>
          <w:rFonts w:cstheme="minorHAnsi"/>
          <w:lang w:val="en-US"/>
        </w:rPr>
        <w:t>define</w:t>
      </w:r>
      <w:r w:rsidR="002953C7">
        <w:rPr>
          <w:rFonts w:cstheme="minorHAnsi"/>
          <w:lang w:val="en-US"/>
        </w:rPr>
        <w:t xml:space="preserve"> different song types </w:t>
      </w:r>
      <w:r w:rsidR="00C60B72">
        <w:rPr>
          <w:rFonts w:cstheme="minorHAnsi"/>
          <w:lang w:val="en-US"/>
        </w:rPr>
        <w:t>based</w:t>
      </w:r>
      <w:r w:rsidR="006F7280">
        <w:rPr>
          <w:rFonts w:cstheme="minorHAnsi"/>
          <w:lang w:val="en-US"/>
        </w:rPr>
        <w:t xml:space="preserve"> </w:t>
      </w:r>
      <w:r w:rsidR="006F7280" w:rsidRPr="006F7280">
        <w:rPr>
          <w:rFonts w:cstheme="minorHAnsi"/>
          <w:lang w:val="en-US"/>
        </w:rPr>
        <w:t xml:space="preserve">on the variety </w:t>
      </w:r>
      <w:r w:rsidR="00C60B72">
        <w:rPr>
          <w:rFonts w:cstheme="minorHAnsi"/>
          <w:lang w:val="en-US"/>
        </w:rPr>
        <w:t xml:space="preserve">and form </w:t>
      </w:r>
      <w:r w:rsidR="006F7280" w:rsidRPr="006F7280">
        <w:rPr>
          <w:rFonts w:cstheme="minorHAnsi"/>
          <w:lang w:val="en-US"/>
        </w:rPr>
        <w:t xml:space="preserve">of </w:t>
      </w:r>
      <w:r w:rsidR="00C60B72">
        <w:rPr>
          <w:rFonts w:cstheme="minorHAnsi"/>
          <w:lang w:val="en-US"/>
        </w:rPr>
        <w:t xml:space="preserve">the </w:t>
      </w:r>
      <w:r w:rsidR="0063125C">
        <w:rPr>
          <w:rFonts w:cstheme="minorHAnsi"/>
          <w:lang w:val="en-US"/>
        </w:rPr>
        <w:t xml:space="preserve">middle </w:t>
      </w:r>
      <w:r w:rsidR="006F7280" w:rsidRPr="006F7280">
        <w:rPr>
          <w:rFonts w:cstheme="minorHAnsi"/>
          <w:lang w:val="en-US"/>
        </w:rPr>
        <w:t>element</w:t>
      </w:r>
      <w:r w:rsidR="00C60B72">
        <w:rPr>
          <w:rFonts w:cstheme="minorHAnsi"/>
          <w:lang w:val="en-US"/>
        </w:rPr>
        <w:t>s</w:t>
      </w:r>
      <w:r w:rsidR="006F7280" w:rsidRPr="006F7280">
        <w:rPr>
          <w:rFonts w:cstheme="minorHAnsi"/>
          <w:lang w:val="en-US"/>
        </w:rPr>
        <w:t xml:space="preserve"> </w:t>
      </w:r>
      <w:r w:rsidR="002103A5" w:rsidRPr="001830F3">
        <w:rPr>
          <w:rFonts w:cstheme="minorHAnsi"/>
          <w:lang w:val="en-US"/>
        </w:rPr>
        <w:t xml:space="preserve">following the classification of the sound library for </w:t>
      </w:r>
      <w:r w:rsidR="001B1C10">
        <w:rPr>
          <w:rFonts w:cstheme="minorHAnsi"/>
          <w:lang w:val="en-US"/>
        </w:rPr>
        <w:t>w</w:t>
      </w:r>
      <w:r w:rsidR="008B315B" w:rsidRPr="001830F3">
        <w:rPr>
          <w:rFonts w:cstheme="minorHAnsi"/>
          <w:lang w:val="en-US"/>
        </w:rPr>
        <w:t xml:space="preserve">hite-eared </w:t>
      </w:r>
      <w:r w:rsidR="001B1C10">
        <w:rPr>
          <w:rFonts w:cstheme="minorHAnsi"/>
          <w:lang w:val="en-US"/>
        </w:rPr>
        <w:t>g</w:t>
      </w:r>
      <w:r w:rsidR="008B315B" w:rsidRPr="001830F3">
        <w:rPr>
          <w:rFonts w:cstheme="minorHAnsi"/>
          <w:lang w:val="en-US"/>
        </w:rPr>
        <w:t xml:space="preserve">round-sparrow </w:t>
      </w:r>
      <w:r w:rsidR="00F41F6F" w:rsidRPr="001830F3">
        <w:rPr>
          <w:rFonts w:cstheme="minorHAnsi"/>
          <w:lang w:val="en-US"/>
        </w:rPr>
        <w:t xml:space="preserve">available </w:t>
      </w:r>
      <w:r w:rsidR="00AD7BCE" w:rsidRPr="001830F3">
        <w:rPr>
          <w:rFonts w:cstheme="minorHAnsi"/>
          <w:lang w:val="en-US"/>
        </w:rPr>
        <w:t>in LEUCA</w:t>
      </w:r>
      <w:r w:rsidR="00F51DAE">
        <w:rPr>
          <w:rFonts w:cstheme="minorHAnsi"/>
          <w:lang w:val="en-US"/>
        </w:rPr>
        <w:t xml:space="preserve"> and used in previous studies</w:t>
      </w:r>
      <w:r w:rsidR="001C63CA">
        <w:rPr>
          <w:rFonts w:cstheme="minorHAnsi"/>
          <w:lang w:val="en-US"/>
        </w:rPr>
        <w:t xml:space="preserve"> </w:t>
      </w:r>
      <w:bookmarkStart w:id="22" w:name="_Hlk167811102"/>
      <w:r w:rsidR="00D22709">
        <w:rPr>
          <w:rFonts w:cstheme="minorHAnsi"/>
          <w:lang w:val="en-US"/>
        </w:rPr>
        <w:fldChar w:fldCharType="begin" w:fldLock="1"/>
      </w:r>
      <w:r w:rsidR="009D70F1">
        <w:rPr>
          <w:rFonts w:cstheme="minorHAnsi"/>
          <w:lang w:val="en-US"/>
        </w:rPr>
        <w:instrText>ADDIN CSL_CITATION {"citationItems":[{"id":"ITEM-1","itemData":{"DOI":"10.1007/s10336-015-1237-y","ISSN":"21937206","abstract":"There are relatively few quantitative descriptive studies of the vocalisations and vocal behaviour of tropical bird species, in spite of the tropic’s rich avian biodiversity and the extensive variety of vocalisations produced by tropical birds. This lack of information inhibits our understanding of tropical animals, including our ability to perform comparative analyses on vocal behaviours from an evolutionary perspective. In this study, we present the first quantitative description of the vocal repertoire and daily vocal activity of White-eared Ground-sparrows (Melozone leuco-tis), using focal and autonomous recordings collected during two consecutive breeding seasons in Costa Rica. We classified vocalisations into categories based on their visual appearance on sound spectrograms to create a library of vocalisations for this species. We found that White-eared Ground-sparrows produce three main categories of vocalisations: solo songs, calls, and duets. Solo songs were produced only by males. Each male sang a repertoire of solo song types, which all shared the same general structure with short introductory notes, a frequency-modulated middle section, and a terminal trill. Both sexes produce calls and coordinated vocal duets. We quantified patterns of diel variation in each category of vocalisation, and found that the Ground-sparrows produced all three vocalisations at higher output at dawn (between 0500 and 0600 hours) compared to the rest of the day. This study allowed us to conduct the first comparisons of vocalisations between White-eared Ground-sparrows and North American species in the genus Melozone, and revealed both similarities and differences between the species groups. Our investigation also showed that vocalisations related to communication within pairs and to territory defence (calls and duets) exhibited lower levels of individual distinctiveness than vocalisations related mainly to female attraction (male solo songs). Our observations suggest that each of the three types of vocalisations have multiple functions in White-eared Ground-sparrows, revealing diverse communication functions with a small vocal repertoire in this tropical songbird.","author":[{"dropping-particle":"","family":"Sandoval","given":"Luis","non-dropping-particle":"","parse-names":false,"suffix":""},{"dropping-particle":"","family":"Méndez","given":"Carolina","non-dropping-particle":"","parse-names":false,"suffix":""},{"dropping-particle":"","family":"Mennill","given":"Daniel J.","non-dropping-particle":"","parse-names":false,"suffix":""}],"container-title":"Journal of Ornithology","id":"ITEM-1","issue":"1","issued":{"date-parts":[["2016"]]},"page":"1-12","title":"Vocal behaviour of white-eared ground-sparrows (Melozone leucotis) during the breeding season: Repertoires, diel variation, behavioural contexts, and individual distinctiveness","type":"article-journal","volume":"157"},"uris":["http://www.mendeley.com/documents/?uuid=a1e24b29-ddc4-4a7f-be09-cfafb82a815f"]},{"id":"ITEM-2","itemData":{"DOI":"10.1080/09524622.2015.1076346","ISSN":"21650586","abstract":"The Acoustic Adaptation Hypothesis posits that habitat characteristics influence the structure of animal vocalizations and that animals will vocalize and display behaviours optimized for sound transmission. White-eared ground-sparrows Melozone leucotis live in habitats with dense vegetation where vocal communication is an ideal mode of communication for territory defence and mate attraction. On the basis of the Acoustic Adaptation Hypothesis, if solos and duets of these ground-sparrows are used in long-distance communication, we should expect that these vocalizations will exhibit structures that enhance sound transmission. We conducted a sound transmission experiment where we broadcast and re-recorded solo songs and duets to study their transmission properties. We used two speaker heights and two microphone heights to simulate different perch heights of signallers and receivers and four distances between the speakers and microphones to simulate variable distances of separation. We found that solo and duet songs show similar patterns of degradation and attenuation with distance and proximity to the ground. These results suggest that solo and duet songs facilitate communication with receivers at similar distances. The highest perches, for both signallers and receivers, maximized acoustic transmission. This is the first study that evaluates the transmission properties of songs and duets in birds, despite the fact that many bird species in tropical forests produce both types of vocalizations. To our surprise, we found that solo and duet songs degraded to below-detectable levels in less than a typical territory's diameter, suggesting that this species has not experienced strong selection for long-distance communication.","author":[{"dropping-particle":"","family":"Sandoval","given":"Luis","non-dropping-particle":"","parse-names":false,"suffix":""},{"dropping-particle":"","family":"Dabelsteen","given":"Torben","non-dropping-particle":"","parse-names":false,"suffix":""},{"dropping-particle":"","family":"Mennill","given":"Daniel J.","non-dropping-particle":"","parse-names":false,"suffix":""}],"container-title":"Bioacoustics","id":"ITEM-2","issue":"3","issued":{"date-parts":[["2015"]]},"page":"289-306","title":"Transmission characteristics of solo songs and duets in a neotropical thicket habitat specialist bird","type":"article-journal","volume":"24"},"uris":["http://www.mendeley.com/documents/?uuid=800f90aa-c446-4fb0-9a7e-22a9859ee010"]},{"id":"ITEM-3","itemData":{"DOI":"10.1016/j.beproc.2020.104282","ISSN":"18728308","PMID":"33217514","abstract":"Noise affects the recognition of acoustic signals by masking information. To compensate for increased noise, individuals often increase the minimum frequency of their vocalization to reduce noise interference. Our goal was to analyze the effect of noise on the characteristics of different bird vocalizations, through a comparative study of vocalizations on the same bird species. We analyzed the effects of noise variation on the fine spectrotemporal characteristics of calls, songs, and duets of White-eared Ground-sparrows (Melozone leucotis) across three populations over a three-year period. We recorded vocalizations and noise levels simultaneously from 41 territories between 2012 and 2014. We measured the duration, minimum, maximum, and maximum amplitude frequency, and counted the number of songs elements for each vocalization recorded. As we predicted, noise influences the minimum frequency of song, but did not have an effect on the fine spectrotemporal characteristics for calls and duets. We did, however, find that low and high frequency of calls and duets increased with noise-population-year interaction. Our results suggest that differences in noise values at each population were inadequate to observe changes in vocalization characteristics. In conclusion, evaluating responses to different noise levels on different vocalization types for the same species expands our understanding of the flexibility of birds to adjust vocalizations in response to anthropogenic noise.","author":[{"dropping-particle":"","family":"Méndez","given":"Carolina","non-dropping-particle":"","parse-names":false,"suffix":""},{"dropping-particle":"","family":"Barrantes","given":"Gilbert","non-dropping-particle":"","parse-names":false,"suffix":""},{"dropping-particle":"","family":"Sandoval","given":"Luis","non-dropping-particle":"","parse-names":false,"suffix":""}],"container-title":"Behavioural Processes","id":"ITEM-3","issued":{"date-parts":[["2020"]]},"title":"The effect of noise variation over time and between populations on the fine spectrotemporal characteristics of different vocalization types","type":"article-journal","volume":"182"},"uris":["http://www.mendeley.com/documents/?uuid=fb056c7e-475e-4dea-b46a-a47325ec95dd"]},{"id":"ITEM-4","itemData":{"DOI":"10.1111/eth.12206","ISSN":"01791613","abstract":"Communication between social animals is often more effective when signals facilitate individual recognition. Two critical requirements for individual recognition are the occurrence of characteristics that are unique to each individual, and the consistency of these characteristics through time. In some animals, characteristics of acoustic signals are known to vary over time due to changes in a variety of factors, including physiological and environmental features. Such temporal variation requires careful evaluation when exploring the individual distinctiveness of animal signals. In this study, we evaluate individual distinctiveness in the songs of male white-eared ground-sparrows Melozone leucotis and the persistence of distinctive characteristics over time. We collected focal recordings from populations of banded ground-sparrows during two consecutive breeding seasons, including multiple recording sessions within each breeding season. We evaluated individual distinctiveness in fine structural acoustic features of songs. We also extended our analysis to repertoire characteristics, focusing on whether the relative frequency of song type use may provide cues to individual identity. We found that each male white-eared ground-sparrow sang individually distinctive songs, although their fine structural features varied between recording sessions. We found the frequency with which males sang different song types was also individually distinctive, and this feature varied little between recording sessions. Receivers may be able to use these distinctive characteristics to differentiate individuals over extended time periods; this may be especially important for species that engage in long-term social interactions, such as tropical birds that defend territories against rival conspecific animals throughout the year. © 2014 Blackwell Verlag GmbH.","author":[{"dropping-particle":"","family":"Sandoval","given":"Luis","non-dropping-particle":"","parse-names":false,"suffix":""},{"dropping-particle":"","family":"Méndez","given":"Carolina","non-dropping-particle":"","parse-names":false,"suffix":""},{"dropping-particle":"","family":"Mennill","given":"Daniel J.","non-dropping-particle":"","parse-names":false,"suffix":""}],"container-title":"Ethology","id":"ITEM-4","issue":"3","issued":{"date-parts":[["2014"]]},"page":"275-286","title":"Individual distinctiveness in the fine structural features and repertoire characteristics of the songs of white-eared ground-sparrows","type":"article-journal","volume":"120"},"uris":["http://www.mendeley.com/documents/?uuid=e4dcdc3d-deae-41b1-8bc9-3884e2fb93c1"]}],"mendeley":{"formattedCitation":"(Méndez et al., 2020; Sandoval et al., 2014, 2015, 2016)","manualFormatting":"(Sandoval et al., 2014, 2015, 2016; Méndez et al., 2020)","plainTextFormattedCitation":"(Méndez et al., 2020; Sandoval et al., 2014, 2015, 2016)","previouslyFormattedCitation":"(Méndez et al., 2020; Sandoval et al., 2014, 2015, 2016)"},"properties":{"noteIndex":0},"schema":"https://github.com/citation-style-language/schema/raw/master/csl-citation.json"}</w:instrText>
      </w:r>
      <w:r w:rsidR="00D22709">
        <w:rPr>
          <w:rFonts w:cstheme="minorHAnsi"/>
          <w:lang w:val="en-US"/>
        </w:rPr>
        <w:fldChar w:fldCharType="separate"/>
      </w:r>
      <w:r w:rsidR="001C63CA" w:rsidRPr="001C63CA">
        <w:rPr>
          <w:rFonts w:cstheme="minorHAnsi"/>
          <w:noProof/>
          <w:lang w:val="en-US"/>
        </w:rPr>
        <w:t>(Sandoval et al., 2014, 2015, 2016</w:t>
      </w:r>
      <w:r w:rsidR="00B9511C" w:rsidRPr="001C63CA">
        <w:rPr>
          <w:rFonts w:cstheme="minorHAnsi"/>
          <w:noProof/>
          <w:lang w:val="en-US"/>
        </w:rPr>
        <w:t>;</w:t>
      </w:r>
      <w:r w:rsidR="00B9511C">
        <w:rPr>
          <w:rFonts w:cstheme="minorHAnsi"/>
          <w:noProof/>
          <w:lang w:val="en-US"/>
        </w:rPr>
        <w:t xml:space="preserve"> </w:t>
      </w:r>
      <w:r w:rsidR="00B9511C" w:rsidRPr="001C63CA">
        <w:rPr>
          <w:rFonts w:cstheme="minorHAnsi"/>
          <w:noProof/>
          <w:lang w:val="en-US"/>
        </w:rPr>
        <w:t>Méndez et al., 2020</w:t>
      </w:r>
      <w:r w:rsidR="001C63CA" w:rsidRPr="001C63CA">
        <w:rPr>
          <w:rFonts w:cstheme="minorHAnsi"/>
          <w:noProof/>
          <w:lang w:val="en-US"/>
        </w:rPr>
        <w:t>)</w:t>
      </w:r>
      <w:r w:rsidR="00D22709">
        <w:rPr>
          <w:rFonts w:cstheme="minorHAnsi"/>
          <w:lang w:val="en-US"/>
        </w:rPr>
        <w:fldChar w:fldCharType="end"/>
      </w:r>
      <w:bookmarkEnd w:id="21"/>
      <w:bookmarkEnd w:id="22"/>
      <w:r w:rsidR="002103A5" w:rsidRPr="001830F3">
        <w:rPr>
          <w:rFonts w:cstheme="minorHAnsi"/>
          <w:lang w:val="en-US"/>
        </w:rPr>
        <w:t xml:space="preserve">. </w:t>
      </w:r>
      <w:bookmarkStart w:id="23" w:name="_Hlk167471907"/>
      <w:bookmarkEnd w:id="20"/>
      <w:r w:rsidR="0067597E">
        <w:rPr>
          <w:rFonts w:cstheme="minorHAnsi"/>
          <w:lang w:val="en-US"/>
        </w:rPr>
        <w:t>From</w:t>
      </w:r>
      <w:r w:rsidR="00651C94">
        <w:rPr>
          <w:rFonts w:cstheme="minorHAnsi"/>
          <w:lang w:val="en-US"/>
        </w:rPr>
        <w:t xml:space="preserve"> the songs</w:t>
      </w:r>
      <w:r w:rsidR="002103A5" w:rsidRPr="001830F3">
        <w:rPr>
          <w:rFonts w:cstheme="minorHAnsi"/>
          <w:lang w:val="en-US"/>
        </w:rPr>
        <w:t xml:space="preserve">, we measured the following acoustic </w:t>
      </w:r>
      <w:r w:rsidRPr="001830F3">
        <w:rPr>
          <w:rFonts w:cstheme="minorHAnsi"/>
          <w:lang w:val="en-US"/>
        </w:rPr>
        <w:t>characteristics</w:t>
      </w:r>
      <w:r w:rsidR="002103A5" w:rsidRPr="001830F3">
        <w:rPr>
          <w:rFonts w:cstheme="minorHAnsi"/>
          <w:lang w:val="en-US"/>
        </w:rPr>
        <w:t xml:space="preserve">: </w:t>
      </w:r>
      <w:bookmarkStart w:id="24" w:name="_Hlk113097152"/>
      <w:r w:rsidR="002103A5" w:rsidRPr="001830F3">
        <w:rPr>
          <w:rFonts w:cstheme="minorHAnsi"/>
          <w:lang w:val="en-US"/>
        </w:rPr>
        <w:t>duration (s), minimum frequency (</w:t>
      </w:r>
      <w:r w:rsidR="00054CA2">
        <w:rPr>
          <w:rFonts w:cstheme="minorHAnsi"/>
          <w:lang w:val="en-US"/>
        </w:rPr>
        <w:t>k</w:t>
      </w:r>
      <w:r w:rsidR="002103A5" w:rsidRPr="001830F3">
        <w:rPr>
          <w:rFonts w:cstheme="minorHAnsi"/>
          <w:lang w:val="en-US"/>
        </w:rPr>
        <w:t>Hz), maximum frequency (</w:t>
      </w:r>
      <w:r w:rsidR="00054CA2">
        <w:rPr>
          <w:rFonts w:cstheme="minorHAnsi"/>
          <w:lang w:val="en-US"/>
        </w:rPr>
        <w:t>k</w:t>
      </w:r>
      <w:r w:rsidR="002103A5" w:rsidRPr="001830F3">
        <w:rPr>
          <w:rFonts w:cstheme="minorHAnsi"/>
          <w:lang w:val="en-US"/>
        </w:rPr>
        <w:t xml:space="preserve">Hz), </w:t>
      </w:r>
      <w:r w:rsidR="006F7280">
        <w:rPr>
          <w:rFonts w:cstheme="minorHAnsi"/>
          <w:lang w:val="en-US"/>
        </w:rPr>
        <w:t>peak frequency (</w:t>
      </w:r>
      <w:r w:rsidR="002103A5" w:rsidRPr="001830F3">
        <w:rPr>
          <w:rFonts w:cstheme="minorHAnsi"/>
          <w:lang w:val="en-US"/>
        </w:rPr>
        <w:t>frequency of maximum amplitude</w:t>
      </w:r>
      <w:r w:rsidR="006F7280">
        <w:rPr>
          <w:rFonts w:cstheme="minorHAnsi"/>
          <w:lang w:val="en-US"/>
        </w:rPr>
        <w:t>)</w:t>
      </w:r>
      <w:r w:rsidR="002103A5" w:rsidRPr="001830F3">
        <w:rPr>
          <w:rFonts w:cstheme="minorHAnsi"/>
          <w:lang w:val="en-US"/>
        </w:rPr>
        <w:t xml:space="preserve"> (</w:t>
      </w:r>
      <w:r w:rsidR="00054CA2">
        <w:rPr>
          <w:rFonts w:cstheme="minorHAnsi"/>
          <w:lang w:val="en-US"/>
        </w:rPr>
        <w:t>k</w:t>
      </w:r>
      <w:r w:rsidR="002103A5" w:rsidRPr="001830F3">
        <w:rPr>
          <w:rFonts w:cstheme="minorHAnsi"/>
          <w:lang w:val="en-US"/>
        </w:rPr>
        <w:t>Hz), and the number of elements</w:t>
      </w:r>
      <w:bookmarkEnd w:id="24"/>
      <w:r w:rsidR="005D05F9">
        <w:rPr>
          <w:rFonts w:cstheme="minorHAnsi"/>
          <w:lang w:val="en-US"/>
        </w:rPr>
        <w:t xml:space="preserve"> (</w:t>
      </w:r>
      <w:r w:rsidR="00C60B72">
        <w:rPr>
          <w:rFonts w:cstheme="minorHAnsi"/>
          <w:lang w:val="en-US"/>
        </w:rPr>
        <w:t>a</w:t>
      </w:r>
      <w:r w:rsidR="005D05F9">
        <w:rPr>
          <w:rFonts w:cstheme="minorHAnsi"/>
          <w:lang w:val="en-US"/>
        </w:rPr>
        <w:t>n element</w:t>
      </w:r>
      <w:r w:rsidR="00787E5E">
        <w:rPr>
          <w:rFonts w:cstheme="minorHAnsi"/>
          <w:lang w:val="en-US"/>
        </w:rPr>
        <w:t xml:space="preserve"> or note</w:t>
      </w:r>
      <w:r w:rsidR="005D05F9">
        <w:rPr>
          <w:rFonts w:cstheme="minorHAnsi"/>
          <w:lang w:val="en-US"/>
        </w:rPr>
        <w:t xml:space="preserve"> is </w:t>
      </w:r>
      <w:r w:rsidR="00787E5E">
        <w:rPr>
          <w:rFonts w:cstheme="minorHAnsi"/>
          <w:lang w:val="en-US"/>
        </w:rPr>
        <w:t>the simplest individual sound that birds produce</w:t>
      </w:r>
      <w:r w:rsidR="00C60B72">
        <w:rPr>
          <w:rFonts w:cstheme="minorHAnsi"/>
          <w:lang w:val="en-US"/>
        </w:rPr>
        <w:t xml:space="preserve">; </w:t>
      </w:r>
      <w:r w:rsidR="00512E2A">
        <w:rPr>
          <w:rFonts w:cstheme="minorHAnsi"/>
          <w:lang w:val="en-US"/>
        </w:rPr>
        <w:fldChar w:fldCharType="begin" w:fldLock="1"/>
      </w:r>
      <w:r w:rsidR="000725D2">
        <w:rPr>
          <w:rFonts w:cstheme="minorHAnsi"/>
          <w:lang w:val="en-US"/>
        </w:rPr>
        <w:instrText>ADDIN CSL_CITATION {"citationItems":[{"id":"ITEM-1","itemData":{"ISSN":"00223034","author":[{"dropping-particle":"","family":"Brenowitz","given":"E. A.","non-dropping-particle":"","parse-names":false,"suffix":""},{"dropping-particle":"","family":"Margoliash","given":"D.","non-dropping-particle":"","parse-names":false,"suffix":""},{"dropping-particle":"","family":"Nordeen","given":"K. W.","non-dropping-particle":"","parse-names":false,"suffix":""}],"container-title":"Journal of Neurobiology","id":"ITEM-1","issue":"5","issued":{"date-parts":[["1997"]]},"page":"495-500","title":"An introduction to birdsong and the avian song system","type":"article-journal","volume":"33"},"uris":["http://www.mendeley.com/documents/?uuid=d45bd890-ef2c-4fa4-a9ae-6e35cb10a779"]}],"mendeley":{"formattedCitation":"(Brenowitz et al., 1997)","manualFormatting":"Brenowitz et al., 1997)","plainTextFormattedCitation":"(Brenowitz et al., 1997)","previouslyFormattedCitation":"(Brenowitz et al., 1997)"},"properties":{"noteIndex":0},"schema":"https://github.com/citation-style-language/schema/raw/master/csl-citation.json"}</w:instrText>
      </w:r>
      <w:r w:rsidR="00512E2A">
        <w:rPr>
          <w:rFonts w:cstheme="minorHAnsi"/>
          <w:lang w:val="en-US"/>
        </w:rPr>
        <w:fldChar w:fldCharType="separate"/>
      </w:r>
      <w:r w:rsidR="00512E2A" w:rsidRPr="00512E2A">
        <w:rPr>
          <w:rFonts w:cstheme="minorHAnsi"/>
          <w:noProof/>
          <w:lang w:val="en-US"/>
        </w:rPr>
        <w:t>Brenowitz et al., 1997)</w:t>
      </w:r>
      <w:r w:rsidR="00512E2A">
        <w:rPr>
          <w:rFonts w:cstheme="minorHAnsi"/>
          <w:lang w:val="en-US"/>
        </w:rPr>
        <w:fldChar w:fldCharType="end"/>
      </w:r>
      <w:r w:rsidR="002103A5" w:rsidRPr="001830F3">
        <w:rPr>
          <w:rFonts w:cstheme="minorHAnsi"/>
          <w:lang w:val="en-US"/>
        </w:rPr>
        <w:t>.</w:t>
      </w:r>
      <w:bookmarkEnd w:id="23"/>
      <w:r w:rsidR="002103A5" w:rsidRPr="001830F3">
        <w:rPr>
          <w:rFonts w:cstheme="minorHAnsi"/>
          <w:lang w:val="en-US"/>
        </w:rPr>
        <w:t xml:space="preserve"> </w:t>
      </w:r>
      <w:r w:rsidR="000F6C0B">
        <w:rPr>
          <w:rFonts w:cstheme="minorHAnsi"/>
          <w:lang w:val="en-US"/>
        </w:rPr>
        <w:t>We</w:t>
      </w:r>
      <w:r w:rsidR="000F6C0B" w:rsidRPr="001830F3">
        <w:rPr>
          <w:rFonts w:cstheme="minorHAnsi"/>
          <w:lang w:val="en-US"/>
        </w:rPr>
        <w:t xml:space="preserve"> </w:t>
      </w:r>
      <w:r w:rsidR="001C63CA">
        <w:rPr>
          <w:rFonts w:cstheme="minorHAnsi"/>
          <w:lang w:val="en-US"/>
        </w:rPr>
        <w:t>used</w:t>
      </w:r>
      <w:r w:rsidR="002103A5" w:rsidRPr="001830F3">
        <w:rPr>
          <w:rFonts w:cstheme="minorHAnsi"/>
          <w:lang w:val="en-US"/>
        </w:rPr>
        <w:t xml:space="preserve"> </w:t>
      </w:r>
      <w:r w:rsidR="004A374B">
        <w:rPr>
          <w:rFonts w:cstheme="minorHAnsi"/>
          <w:lang w:val="en-US"/>
        </w:rPr>
        <w:t xml:space="preserve">different </w:t>
      </w:r>
      <w:r w:rsidR="002103A5" w:rsidRPr="001830F3">
        <w:rPr>
          <w:rFonts w:cstheme="minorHAnsi"/>
          <w:lang w:val="en-US"/>
        </w:rPr>
        <w:t xml:space="preserve">windows </w:t>
      </w:r>
      <w:r w:rsidR="000F6C0B">
        <w:rPr>
          <w:rFonts w:cstheme="minorHAnsi"/>
          <w:lang w:val="en-US"/>
        </w:rPr>
        <w:t>to obtain the measurements</w:t>
      </w:r>
      <w:r w:rsidR="002103A5" w:rsidRPr="001830F3">
        <w:rPr>
          <w:rFonts w:cstheme="minorHAnsi"/>
          <w:lang w:val="en-US"/>
        </w:rPr>
        <w:t>: the spectrogram</w:t>
      </w:r>
      <w:r w:rsidR="000F6C0B">
        <w:rPr>
          <w:rFonts w:cstheme="minorHAnsi"/>
          <w:lang w:val="en-US"/>
        </w:rPr>
        <w:t xml:space="preserve"> window was</w:t>
      </w:r>
      <w:r w:rsidR="002103A5" w:rsidRPr="001830F3">
        <w:rPr>
          <w:rFonts w:cstheme="minorHAnsi"/>
          <w:lang w:val="en-US"/>
        </w:rPr>
        <w:t xml:space="preserve"> used to identify and classify sounds, the power spectrum</w:t>
      </w:r>
      <w:r w:rsidR="000F6C0B">
        <w:rPr>
          <w:rFonts w:cstheme="minorHAnsi"/>
          <w:lang w:val="en-US"/>
        </w:rPr>
        <w:t xml:space="preserve"> was used to</w:t>
      </w:r>
      <w:r w:rsidR="002103A5" w:rsidRPr="001830F3">
        <w:rPr>
          <w:rFonts w:cstheme="minorHAnsi"/>
          <w:lang w:val="en-US"/>
        </w:rPr>
        <w:t xml:space="preserve"> measure frequency characteristics with a </w:t>
      </w:r>
      <w:bookmarkStart w:id="25" w:name="_Hlk167812603"/>
      <w:r w:rsidR="002103A5" w:rsidRPr="001830F3">
        <w:rPr>
          <w:rFonts w:cstheme="minorHAnsi"/>
          <w:lang w:val="en-US"/>
        </w:rPr>
        <w:t xml:space="preserve">threshold of -30dB </w:t>
      </w:r>
      <w:r w:rsidR="00A07D54">
        <w:rPr>
          <w:rFonts w:cstheme="minorHAnsi"/>
          <w:lang w:val="en-US"/>
        </w:rPr>
        <w:t xml:space="preserve">relative </w:t>
      </w:r>
      <w:r w:rsidR="002103A5" w:rsidRPr="001830F3">
        <w:rPr>
          <w:rFonts w:cstheme="minorHAnsi"/>
          <w:lang w:val="en-US"/>
        </w:rPr>
        <w:t xml:space="preserve">to </w:t>
      </w:r>
      <w:r w:rsidR="00D70BAD">
        <w:rPr>
          <w:rFonts w:cstheme="minorHAnsi"/>
          <w:lang w:val="en-US"/>
        </w:rPr>
        <w:t xml:space="preserve">the </w:t>
      </w:r>
      <w:r w:rsidR="002103A5" w:rsidRPr="001830F3">
        <w:rPr>
          <w:rFonts w:cstheme="minorHAnsi"/>
          <w:lang w:val="en-US"/>
        </w:rPr>
        <w:t>vocalization</w:t>
      </w:r>
      <w:r w:rsidR="000F6C0B">
        <w:rPr>
          <w:rFonts w:cstheme="minorHAnsi"/>
          <w:lang w:val="en-US"/>
        </w:rPr>
        <w:t xml:space="preserve"> </w:t>
      </w:r>
      <w:bookmarkEnd w:id="25"/>
      <w:r w:rsidR="000F6C0B">
        <w:rPr>
          <w:rFonts w:cstheme="minorHAnsi"/>
          <w:lang w:val="en-US"/>
        </w:rPr>
        <w:t>peak</w:t>
      </w:r>
      <w:r w:rsidR="002103A5" w:rsidRPr="001830F3">
        <w:rPr>
          <w:rFonts w:cstheme="minorHAnsi"/>
          <w:lang w:val="en-US"/>
        </w:rPr>
        <w:t xml:space="preserve">, </w:t>
      </w:r>
      <w:r w:rsidR="000F6C0B">
        <w:rPr>
          <w:rFonts w:cstheme="minorHAnsi"/>
          <w:lang w:val="en-US"/>
        </w:rPr>
        <w:t xml:space="preserve">and </w:t>
      </w:r>
      <w:r w:rsidR="002103A5" w:rsidRPr="001830F3">
        <w:rPr>
          <w:rFonts w:cstheme="minorHAnsi"/>
          <w:lang w:val="en-US"/>
        </w:rPr>
        <w:t>the oscillogram to measure the temporal characteristics of sounds.</w:t>
      </w:r>
      <w:r w:rsidR="00171C94" w:rsidRPr="001830F3">
        <w:rPr>
          <w:rFonts w:cstheme="minorHAnsi"/>
          <w:lang w:val="en-US"/>
        </w:rPr>
        <w:t xml:space="preserve"> Spectrograms were</w:t>
      </w:r>
      <w:r w:rsidR="00E51347" w:rsidRPr="001830F3">
        <w:rPr>
          <w:rFonts w:cstheme="minorHAnsi"/>
          <w:lang w:val="en-US"/>
        </w:rPr>
        <w:t xml:space="preserve"> </w:t>
      </w:r>
      <w:r w:rsidR="00171C94" w:rsidRPr="001830F3">
        <w:rPr>
          <w:rFonts w:cstheme="minorHAnsi"/>
          <w:lang w:val="en-US"/>
        </w:rPr>
        <w:t>constructed using a Hann window with</w:t>
      </w:r>
      <w:r w:rsidR="00E51347" w:rsidRPr="001830F3">
        <w:rPr>
          <w:rFonts w:cstheme="minorHAnsi"/>
          <w:lang w:val="en-US"/>
        </w:rPr>
        <w:t xml:space="preserve"> </w:t>
      </w:r>
      <w:r w:rsidR="000F6C0B">
        <w:rPr>
          <w:rFonts w:cstheme="minorHAnsi"/>
          <w:lang w:val="en-US"/>
        </w:rPr>
        <w:t>a</w:t>
      </w:r>
      <w:r w:rsidR="000F6C0B" w:rsidRPr="001830F3">
        <w:rPr>
          <w:rFonts w:cstheme="minorHAnsi"/>
          <w:lang w:val="en-US"/>
        </w:rPr>
        <w:t xml:space="preserve"> </w:t>
      </w:r>
      <w:r w:rsidR="00E51347" w:rsidRPr="001830F3">
        <w:rPr>
          <w:rFonts w:cstheme="minorHAnsi"/>
          <w:lang w:val="en-US"/>
        </w:rPr>
        <w:t>size of 512 samples, 3 dB bandwidth of 124 Hz</w:t>
      </w:r>
      <w:r w:rsidR="000F6C0B">
        <w:rPr>
          <w:rFonts w:cstheme="minorHAnsi"/>
          <w:lang w:val="en-US"/>
        </w:rPr>
        <w:t xml:space="preserve">; a </w:t>
      </w:r>
      <w:r w:rsidR="006602FF">
        <w:rPr>
          <w:rFonts w:cstheme="minorHAnsi"/>
          <w:lang w:val="en-US"/>
        </w:rPr>
        <w:t>t</w:t>
      </w:r>
      <w:r w:rsidR="00E51347" w:rsidRPr="001830F3">
        <w:rPr>
          <w:rFonts w:cstheme="minorHAnsi"/>
          <w:lang w:val="en-US"/>
        </w:rPr>
        <w:t>ime grid</w:t>
      </w:r>
      <w:r w:rsidR="000F6C0B">
        <w:rPr>
          <w:rFonts w:cstheme="minorHAnsi"/>
          <w:lang w:val="en-US"/>
        </w:rPr>
        <w:t xml:space="preserve"> with an o</w:t>
      </w:r>
      <w:r w:rsidR="00E51347" w:rsidRPr="001830F3">
        <w:rPr>
          <w:rFonts w:cstheme="minorHAnsi"/>
          <w:lang w:val="en-US"/>
        </w:rPr>
        <w:t>verlap of 50%</w:t>
      </w:r>
      <w:r w:rsidR="000F6C0B">
        <w:rPr>
          <w:rFonts w:cstheme="minorHAnsi"/>
          <w:lang w:val="en-US"/>
        </w:rPr>
        <w:t xml:space="preserve"> and </w:t>
      </w:r>
      <w:r w:rsidR="00E51347" w:rsidRPr="001830F3">
        <w:rPr>
          <w:rFonts w:cstheme="minorHAnsi"/>
          <w:lang w:val="en-US"/>
        </w:rPr>
        <w:t xml:space="preserve">hop size of 5.80 </w:t>
      </w:r>
      <w:proofErr w:type="spellStart"/>
      <w:r w:rsidR="00E51347" w:rsidRPr="001830F3">
        <w:rPr>
          <w:rFonts w:cstheme="minorHAnsi"/>
          <w:lang w:val="en-US"/>
        </w:rPr>
        <w:t>ms</w:t>
      </w:r>
      <w:proofErr w:type="spellEnd"/>
      <w:r w:rsidR="000F6C0B">
        <w:rPr>
          <w:rFonts w:cstheme="minorHAnsi"/>
          <w:lang w:val="en-US"/>
        </w:rPr>
        <w:t xml:space="preserve">; and a </w:t>
      </w:r>
      <w:r w:rsidR="00A07D54">
        <w:rPr>
          <w:rFonts w:cstheme="minorHAnsi"/>
          <w:lang w:val="en-US"/>
        </w:rPr>
        <w:t>f</w:t>
      </w:r>
      <w:r w:rsidR="00E51347" w:rsidRPr="001830F3">
        <w:rPr>
          <w:rFonts w:cstheme="minorHAnsi"/>
          <w:lang w:val="en-US"/>
        </w:rPr>
        <w:t>requency grid spacing</w:t>
      </w:r>
      <w:r w:rsidR="000F6C0B">
        <w:rPr>
          <w:rFonts w:cstheme="minorHAnsi"/>
          <w:lang w:val="en-US"/>
        </w:rPr>
        <w:t xml:space="preserve"> with </w:t>
      </w:r>
      <w:r w:rsidR="00E51347" w:rsidRPr="001830F3">
        <w:rPr>
          <w:rFonts w:cstheme="minorHAnsi"/>
          <w:lang w:val="en-US"/>
        </w:rPr>
        <w:t>DFT size of 512 samples and grip spacing of 86.1 Hz.</w:t>
      </w:r>
    </w:p>
    <w:p w14:paraId="19188AB8" w14:textId="77777777" w:rsidR="000F6C0B" w:rsidRDefault="000F6C0B" w:rsidP="003E17D3">
      <w:pPr>
        <w:spacing w:line="480" w:lineRule="auto"/>
        <w:rPr>
          <w:rFonts w:cstheme="minorHAnsi"/>
          <w:lang w:val="en-US"/>
        </w:rPr>
      </w:pPr>
    </w:p>
    <w:p w14:paraId="5D8E6EC3" w14:textId="77777777" w:rsidR="003E17D3" w:rsidRPr="001830F3" w:rsidRDefault="003E17D3" w:rsidP="003E17D3">
      <w:pPr>
        <w:spacing w:line="480" w:lineRule="auto"/>
        <w:rPr>
          <w:rFonts w:cstheme="minorHAnsi"/>
          <w:lang w:val="en-US"/>
        </w:rPr>
      </w:pPr>
      <w:r w:rsidRPr="001830F3">
        <w:rPr>
          <w:rFonts w:cstheme="minorHAnsi"/>
          <w:lang w:val="en-US"/>
        </w:rPr>
        <w:t>Morphometric measurements</w:t>
      </w:r>
    </w:p>
    <w:p w14:paraId="3C3C1857" w14:textId="68A46E0E" w:rsidR="00C1381F" w:rsidRPr="001830F3" w:rsidRDefault="003E17D3" w:rsidP="002A15DD">
      <w:pPr>
        <w:spacing w:line="480" w:lineRule="auto"/>
        <w:ind w:firstLine="709"/>
        <w:rPr>
          <w:rFonts w:cstheme="minorHAnsi"/>
          <w:lang w:val="en-US"/>
        </w:rPr>
      </w:pPr>
      <w:r w:rsidRPr="001830F3">
        <w:rPr>
          <w:rFonts w:cstheme="minorHAnsi"/>
          <w:lang w:val="en-US"/>
        </w:rPr>
        <w:t xml:space="preserve">We </w:t>
      </w:r>
      <w:r w:rsidR="00741DC5" w:rsidRPr="001830F3">
        <w:rPr>
          <w:rFonts w:cstheme="minorHAnsi"/>
          <w:lang w:val="en-US"/>
        </w:rPr>
        <w:t xml:space="preserve">measured six </w:t>
      </w:r>
      <w:r w:rsidR="00FB0A90">
        <w:rPr>
          <w:rFonts w:cstheme="minorHAnsi"/>
          <w:lang w:val="en-US"/>
        </w:rPr>
        <w:t>morphological traits</w:t>
      </w:r>
      <w:r w:rsidR="00741DC5" w:rsidRPr="001830F3">
        <w:rPr>
          <w:rFonts w:cstheme="minorHAnsi"/>
          <w:lang w:val="en-US"/>
        </w:rPr>
        <w:t>:</w:t>
      </w:r>
      <w:r w:rsidRPr="001830F3">
        <w:rPr>
          <w:rFonts w:cstheme="minorHAnsi"/>
          <w:lang w:val="en-US"/>
        </w:rPr>
        <w:t xml:space="preserve"> tarsus length (from the intertarsal joint to the middle of the </w:t>
      </w:r>
      <w:r w:rsidR="00276B25">
        <w:rPr>
          <w:rFonts w:cstheme="minorHAnsi"/>
          <w:lang w:val="en-US"/>
        </w:rPr>
        <w:t xml:space="preserve">foot </w:t>
      </w:r>
      <w:r w:rsidRPr="001830F3">
        <w:rPr>
          <w:rFonts w:cstheme="minorHAnsi"/>
          <w:lang w:val="en-US"/>
        </w:rPr>
        <w:t>sole), tail length, wing chord length (</w:t>
      </w:r>
      <w:proofErr w:type="spellStart"/>
      <w:r w:rsidRPr="001830F3">
        <w:rPr>
          <w:rFonts w:cstheme="minorHAnsi"/>
          <w:lang w:val="en-US"/>
        </w:rPr>
        <w:t>unflattened</w:t>
      </w:r>
      <w:proofErr w:type="spellEnd"/>
      <w:r w:rsidRPr="001830F3">
        <w:rPr>
          <w:rFonts w:cstheme="minorHAnsi"/>
          <w:lang w:val="en-US"/>
        </w:rPr>
        <w:t xml:space="preserve">), exposed culmen length (from the tip of the beak to </w:t>
      </w:r>
      <w:r w:rsidR="0067597E">
        <w:rPr>
          <w:rFonts w:cstheme="minorHAnsi"/>
          <w:lang w:val="en-US"/>
        </w:rPr>
        <w:t xml:space="preserve">the </w:t>
      </w:r>
      <w:r w:rsidRPr="001830F3">
        <w:rPr>
          <w:rFonts w:cstheme="minorHAnsi"/>
          <w:lang w:val="en-US"/>
        </w:rPr>
        <w:t xml:space="preserve">base of </w:t>
      </w:r>
      <w:r w:rsidR="0067597E">
        <w:rPr>
          <w:rFonts w:cstheme="minorHAnsi"/>
          <w:lang w:val="en-US"/>
        </w:rPr>
        <w:t xml:space="preserve">the </w:t>
      </w:r>
      <w:r w:rsidRPr="001830F3">
        <w:rPr>
          <w:rFonts w:cstheme="minorHAnsi"/>
          <w:lang w:val="en-US"/>
        </w:rPr>
        <w:t xml:space="preserve">skull), beak width (at the beak </w:t>
      </w:r>
      <w:r w:rsidR="00741DC5" w:rsidRPr="001830F3">
        <w:rPr>
          <w:rFonts w:cstheme="minorHAnsi"/>
          <w:lang w:val="en-US"/>
        </w:rPr>
        <w:t>gape</w:t>
      </w:r>
      <w:r w:rsidRPr="001830F3">
        <w:rPr>
          <w:rFonts w:cstheme="minorHAnsi"/>
          <w:lang w:val="en-US"/>
        </w:rPr>
        <w:t xml:space="preserve">), and beak </w:t>
      </w:r>
      <w:r w:rsidR="00AD7BCE" w:rsidRPr="001830F3">
        <w:rPr>
          <w:rFonts w:cstheme="minorHAnsi"/>
          <w:lang w:val="en-US"/>
        </w:rPr>
        <w:t>depth</w:t>
      </w:r>
      <w:r w:rsidRPr="001830F3">
        <w:rPr>
          <w:rFonts w:cstheme="minorHAnsi"/>
          <w:lang w:val="en-US"/>
        </w:rPr>
        <w:t xml:space="preserve"> (measured at right angles to the point on the lower </w:t>
      </w:r>
      <w:r w:rsidR="00AD7BCE" w:rsidRPr="001830F3">
        <w:rPr>
          <w:rFonts w:cstheme="minorHAnsi"/>
          <w:lang w:val="en-US"/>
        </w:rPr>
        <w:t xml:space="preserve">mandible </w:t>
      </w:r>
      <w:r w:rsidRPr="001830F3">
        <w:rPr>
          <w:rFonts w:cstheme="minorHAnsi"/>
          <w:lang w:val="en-US"/>
        </w:rPr>
        <w:t>where the feathers end</w:t>
      </w:r>
      <w:r w:rsidR="00AD7BCE" w:rsidRPr="001830F3">
        <w:rPr>
          <w:rFonts w:cstheme="minorHAnsi"/>
          <w:lang w:val="en-US"/>
        </w:rPr>
        <w:t xml:space="preserve">) following the protocol described in </w:t>
      </w:r>
      <w:r w:rsidR="00D22709">
        <w:rPr>
          <w:rFonts w:cstheme="minorHAnsi"/>
          <w:lang w:val="en-US"/>
        </w:rPr>
        <w:fldChar w:fldCharType="begin" w:fldLock="1"/>
      </w:r>
      <w:r w:rsidR="000725D2">
        <w:rPr>
          <w:rFonts w:cstheme="minorHAnsi"/>
          <w:lang w:val="en-US"/>
        </w:rPr>
        <w:instrText>ADDIN CSL_CITATION {"citationItems":[{"id":"ITEM-1","itemData":{"DOI":"10.1676/12-177.1","ISSN":"15594491","abstract":"The natural history of many tropical bird species is poorly described, preventing more detailed studies of ecology, behavior, and evolution. For most sexually monochromatic tropical bird species, we lack field methodologies to categorize the sex of adults. In this study, we describe sex-based morphological differences of three monochromatic species in the genus Melozone: White-eared Ground-Sparrow, M. leucotis; Prevost's Ground-Sparrow, M. biarcuata; and Rusty-crowned Ground-Sparrow, M. kieneri. We collected six standard morphological measurements (tarsus length, tail length, wing chord length, culmen length, beak width, and beak depth) from live birds and museum specimens. We collected data from all recognized subspecies of the three Mesoamerican Melozone species. Morphological measurements capably distinguished males from females in all three species. In all cases, three or fewer morphological measurements were required to identify sex with accuracy levels that ranged from 75-100%, well beyond the 50% expected by chance. Comparisons involving all six measurements yielded accuracies that ranged from 58-93%. Our results provide the first field-based method for estimating the sex of individuals in this poorly studied genus of tropical birds. We recommend our findings be used to distinguish males from females in banding stations where Melozone ground-sparrow species occur. © 2013 by the Wilson Ornithological Society.","author":[{"dropping-particle":"","family":"Sandoval","given":"Luis","non-dropping-particle":"","parse-names":false,"suffix":""},{"dropping-particle":"","family":"Mennill","given":"Daniel J.","non-dropping-particle":"","parse-names":false,"suffix":""}],"container-title":"Wilson Journal of Ornithology","id":"ITEM-1","issue":"3","issued":{"date-parts":[["2013"]]},"page":"471-478","title":"Morphometric measurements permit accurate sexing of three species of Mesoamerican ground-sparrow (Genus: Melozone)","type":"article-journal","volume":"125"},"uris":["http://www.mendeley.com/documents/?uuid=3b36506e-e24f-4aa2-b0c5-da5ef726f8b9"]}],"mendeley":{"formattedCitation":"(Sandoval &amp; Mennill, 2013)","manualFormatting":"Sandoval &amp; Mennill (2013)","plainTextFormattedCitation":"(Sandoval &amp; Mennill, 2013)","previouslyFormattedCitation":"(Sandoval &amp; Mennill, 2013)"},"properties":{"noteIndex":0},"schema":"https://github.com/citation-style-language/schema/raw/master/csl-citation.json"}</w:instrText>
      </w:r>
      <w:r w:rsidR="00D22709">
        <w:rPr>
          <w:rFonts w:cstheme="minorHAnsi"/>
          <w:lang w:val="en-US"/>
        </w:rPr>
        <w:fldChar w:fldCharType="separate"/>
      </w:r>
      <w:r w:rsidR="00113000" w:rsidRPr="00113000">
        <w:rPr>
          <w:rFonts w:cstheme="minorHAnsi"/>
          <w:noProof/>
          <w:lang w:val="en-US"/>
        </w:rPr>
        <w:t xml:space="preserve">Sandoval &amp; Mennill </w:t>
      </w:r>
      <w:r w:rsidR="00113000">
        <w:rPr>
          <w:rFonts w:cstheme="minorHAnsi"/>
          <w:noProof/>
          <w:lang w:val="en-US"/>
        </w:rPr>
        <w:t>(</w:t>
      </w:r>
      <w:r w:rsidR="00113000" w:rsidRPr="00113000">
        <w:rPr>
          <w:rFonts w:cstheme="minorHAnsi"/>
          <w:noProof/>
          <w:lang w:val="en-US"/>
        </w:rPr>
        <w:t>2013)</w:t>
      </w:r>
      <w:r w:rsidR="00D22709">
        <w:rPr>
          <w:rFonts w:cstheme="minorHAnsi"/>
          <w:lang w:val="en-US"/>
        </w:rPr>
        <w:fldChar w:fldCharType="end"/>
      </w:r>
      <w:r w:rsidRPr="001830F3">
        <w:rPr>
          <w:rFonts w:cstheme="minorHAnsi"/>
          <w:lang w:val="en-US"/>
        </w:rPr>
        <w:t xml:space="preserve">. </w:t>
      </w:r>
      <w:r w:rsidR="00AD7BCE" w:rsidRPr="001830F3">
        <w:rPr>
          <w:rFonts w:cstheme="minorHAnsi"/>
          <w:lang w:val="en-US"/>
        </w:rPr>
        <w:t>We</w:t>
      </w:r>
      <w:r w:rsidRPr="001830F3">
        <w:rPr>
          <w:rFonts w:cstheme="minorHAnsi"/>
          <w:lang w:val="en-US"/>
        </w:rPr>
        <w:t xml:space="preserve"> use</w:t>
      </w:r>
      <w:r w:rsidR="00AD7BCE" w:rsidRPr="001830F3">
        <w:rPr>
          <w:rFonts w:cstheme="minorHAnsi"/>
          <w:lang w:val="en-US"/>
        </w:rPr>
        <w:t>d</w:t>
      </w:r>
      <w:r w:rsidRPr="001830F3">
        <w:rPr>
          <w:rFonts w:cstheme="minorHAnsi"/>
          <w:lang w:val="en-US"/>
        </w:rPr>
        <w:t xml:space="preserve"> a dial caliper (model: SPI Plastic Caliper 150mm, AVINET, NY, USA) to get the bill and tarsus measurements, a metal wing ruler (model: WING15ECON, AVINET, NY, USA) to measure wing chord and tail length.</w:t>
      </w:r>
    </w:p>
    <w:p w14:paraId="687E91DA" w14:textId="77777777" w:rsidR="000F6C0B" w:rsidRDefault="000F6C0B" w:rsidP="00C1381F">
      <w:pPr>
        <w:spacing w:line="480" w:lineRule="auto"/>
        <w:rPr>
          <w:rFonts w:cstheme="minorHAnsi"/>
          <w:lang w:val="en-US"/>
        </w:rPr>
      </w:pPr>
    </w:p>
    <w:p w14:paraId="5AAE46A3" w14:textId="77777777" w:rsidR="00C1381F" w:rsidRDefault="00C1381F" w:rsidP="00C1381F">
      <w:pPr>
        <w:spacing w:line="480" w:lineRule="auto"/>
        <w:rPr>
          <w:rFonts w:cstheme="minorHAnsi"/>
          <w:lang w:val="en-US"/>
        </w:rPr>
      </w:pPr>
      <w:r w:rsidRPr="001830F3">
        <w:rPr>
          <w:rFonts w:cstheme="minorHAnsi"/>
          <w:lang w:val="en-US"/>
        </w:rPr>
        <w:t xml:space="preserve">Statistical </w:t>
      </w:r>
      <w:r w:rsidR="00D10BD3" w:rsidRPr="001830F3">
        <w:rPr>
          <w:rFonts w:cstheme="minorHAnsi"/>
          <w:lang w:val="en-US"/>
        </w:rPr>
        <w:t>analy</w:t>
      </w:r>
      <w:r w:rsidR="00D10BD3">
        <w:rPr>
          <w:rFonts w:cstheme="minorHAnsi"/>
          <w:lang w:val="en-US"/>
        </w:rPr>
        <w:t>s</w:t>
      </w:r>
      <w:r w:rsidR="00D10BD3" w:rsidRPr="001830F3">
        <w:rPr>
          <w:rFonts w:cstheme="minorHAnsi"/>
          <w:lang w:val="en-US"/>
        </w:rPr>
        <w:t xml:space="preserve">es </w:t>
      </w:r>
    </w:p>
    <w:p w14:paraId="6AD8D160" w14:textId="77777777" w:rsidR="00D874D1" w:rsidRPr="00010109" w:rsidRDefault="00D22709" w:rsidP="00C1381F">
      <w:pPr>
        <w:spacing w:line="480" w:lineRule="auto"/>
        <w:rPr>
          <w:rFonts w:cstheme="minorHAnsi"/>
          <w:i/>
          <w:lang w:val="en-US"/>
        </w:rPr>
      </w:pPr>
      <w:r w:rsidRPr="00010109">
        <w:rPr>
          <w:rFonts w:cstheme="minorHAnsi"/>
          <w:i/>
          <w:lang w:val="en-US"/>
        </w:rPr>
        <w:t>Genetic analyses</w:t>
      </w:r>
    </w:p>
    <w:p w14:paraId="1AE53AE0" w14:textId="24BECE75" w:rsidR="006A4C67" w:rsidRDefault="00D64F43" w:rsidP="002A15DD">
      <w:pPr>
        <w:spacing w:line="480" w:lineRule="auto"/>
        <w:ind w:firstLine="709"/>
        <w:rPr>
          <w:rFonts w:cstheme="minorHAnsi"/>
          <w:lang w:val="en-US"/>
        </w:rPr>
      </w:pPr>
      <w:r w:rsidRPr="001830F3">
        <w:rPr>
          <w:rFonts w:cstheme="minorHAnsi"/>
          <w:lang w:val="en-US"/>
        </w:rPr>
        <w:t>Mme7 is a sex-linked marker</w:t>
      </w:r>
      <w:r w:rsidR="008B5E3D">
        <w:rPr>
          <w:rFonts w:cstheme="minorHAnsi"/>
          <w:lang w:val="en-US"/>
        </w:rPr>
        <w:t>,</w:t>
      </w:r>
      <w:r w:rsidR="009276F9">
        <w:rPr>
          <w:rFonts w:cstheme="minorHAnsi"/>
          <w:lang w:val="en-US"/>
        </w:rPr>
        <w:t xml:space="preserve"> and thus females only have one allele (hemizygotes</w:t>
      </w:r>
      <w:r w:rsidR="0067597E">
        <w:rPr>
          <w:rFonts w:cstheme="minorHAnsi"/>
          <w:lang w:val="en-US"/>
        </w:rPr>
        <w:t>);</w:t>
      </w:r>
      <w:r w:rsidR="0067597E" w:rsidRPr="001830F3">
        <w:rPr>
          <w:rFonts w:cstheme="minorHAnsi"/>
          <w:lang w:val="en-US"/>
        </w:rPr>
        <w:t xml:space="preserve"> </w:t>
      </w:r>
      <w:r w:rsidR="008B5E3D">
        <w:rPr>
          <w:rFonts w:cstheme="minorHAnsi"/>
          <w:lang w:val="en-US"/>
        </w:rPr>
        <w:t>therefore</w:t>
      </w:r>
      <w:r w:rsidRPr="001830F3">
        <w:rPr>
          <w:rFonts w:cstheme="minorHAnsi"/>
          <w:lang w:val="en-US"/>
        </w:rPr>
        <w:t xml:space="preserve">, </w:t>
      </w:r>
      <w:r w:rsidR="00E0551D" w:rsidRPr="001830F3">
        <w:rPr>
          <w:rFonts w:cstheme="minorHAnsi"/>
          <w:lang w:val="en-US"/>
        </w:rPr>
        <w:t xml:space="preserve">we coded </w:t>
      </w:r>
      <w:r w:rsidR="00E0551D">
        <w:rPr>
          <w:rFonts w:cstheme="minorHAnsi"/>
          <w:lang w:val="en-US"/>
        </w:rPr>
        <w:t xml:space="preserve">it </w:t>
      </w:r>
      <w:r w:rsidR="00E0551D" w:rsidRPr="001830F3">
        <w:rPr>
          <w:rFonts w:cstheme="minorHAnsi"/>
          <w:lang w:val="en-US"/>
        </w:rPr>
        <w:t xml:space="preserve">as </w:t>
      </w:r>
      <w:r w:rsidR="00E0551D">
        <w:rPr>
          <w:rFonts w:cstheme="minorHAnsi"/>
          <w:lang w:val="en-US"/>
        </w:rPr>
        <w:t xml:space="preserve">a </w:t>
      </w:r>
      <w:r w:rsidR="00E0551D" w:rsidRPr="001830F3">
        <w:rPr>
          <w:rFonts w:cstheme="minorHAnsi"/>
          <w:lang w:val="en-US"/>
        </w:rPr>
        <w:t xml:space="preserve">missing allele for females and juveniles </w:t>
      </w:r>
      <w:r w:rsidR="001F798D">
        <w:rPr>
          <w:rFonts w:cstheme="minorHAnsi"/>
          <w:lang w:val="en-US"/>
        </w:rPr>
        <w:t xml:space="preserve">that cannot be accurately sexed </w:t>
      </w:r>
      <w:r w:rsidRPr="001830F3">
        <w:rPr>
          <w:rFonts w:cstheme="minorHAnsi"/>
          <w:lang w:val="en-US"/>
        </w:rPr>
        <w:t>in further analys</w:t>
      </w:r>
      <w:r w:rsidR="00647769">
        <w:rPr>
          <w:rFonts w:cstheme="minorHAnsi"/>
          <w:lang w:val="en-US"/>
        </w:rPr>
        <w:t>e</w:t>
      </w:r>
      <w:r w:rsidRPr="001830F3">
        <w:rPr>
          <w:rFonts w:cstheme="minorHAnsi"/>
          <w:lang w:val="en-US"/>
        </w:rPr>
        <w:t xml:space="preserve">s </w:t>
      </w:r>
      <w:r w:rsidR="009276F9">
        <w:rPr>
          <w:rFonts w:cstheme="minorHAnsi"/>
          <w:lang w:val="en-US"/>
        </w:rPr>
        <w:t>as suggested in previous studies</w:t>
      </w:r>
      <w:r w:rsidR="009276F9" w:rsidRPr="001830F3">
        <w:rPr>
          <w:rFonts w:cstheme="minorHAnsi"/>
          <w:lang w:val="en-US"/>
        </w:rPr>
        <w:t xml:space="preserve"> </w:t>
      </w:r>
      <w:r w:rsidR="00D22709" w:rsidRPr="001830F3">
        <w:rPr>
          <w:rFonts w:cstheme="minorHAnsi"/>
          <w:lang w:val="en-US"/>
        </w:rPr>
        <w:fldChar w:fldCharType="begin" w:fldLock="1"/>
      </w:r>
      <w:r w:rsidRPr="001830F3">
        <w:rPr>
          <w:rFonts w:cstheme="minorHAnsi"/>
          <w:lang w:val="en-US"/>
        </w:rPr>
        <w:instrText>ADDIN CSL_CITATION {"citationItems":[{"id":"ITEM-1","itemData":{"DOI":"10.1046/j.1365-294X.2004.02104.x","ISSN":"09621083","PMID":"14871370","abstract":"An isolated population of dark-eyed juncos, Junco hyemalis, became established on the campus of the University of California at San Diego (UCSD), probably in the early 1980s. It now numbers about 70 breeding pairs. Populations across the entire natural range of the subspecies J. h. thurberi are weakly differentiated from each other at five microsatellite loci (F ST = 0.01). The UCSD population is significantly different from these populations, the closest of which is 70 km away. It has 88% of the genetic heterozygosity and 63% of the allelic richness of populations in the montane range of the subspecies, consistent with a harmonic mean effective population size of 32 (but with 95% confidence limits from four to &gt; 70) over the eight generations since founding. Results suggest a moderate bottleneck in the early establishment phase but with more than seven effective founders. Individuals in the UCSD population have shorter wings and tails than those in the nearby mountains and a common garden experiment indicates that the morphological differences are genetic-ally based. The moderate effective population size is not sufficient for the observed morphological differences to have evolved as a consequence of genetic drift, indicating a major role for selection subsequent to the founding of the UCSD population.","author":[{"dropping-particle":"","family":"Rasner","given":"C. A.","non-dropping-particle":"","parse-names":false,"suffix":""},{"dropping-particle":"","family":"Yeh","given":"P.","non-dropping-particle":"","parse-names":false,"suffix":""},{"dropping-particle":"","family":"Eggert","given":"L. S.","non-dropping-particle":"","parse-names":false,"suffix":""},{"dropping-particle":"","family":"Hunt","given":"K. E.","non-dropping-particle":"","parse-names":false,"suffix":""},{"dropping-particle":"","family":"Woodruff","given":"D. S.","non-dropping-particle":"","parse-names":false,"suffix":""},{"dropping-particle":"","family":"Price","given":"T. D.","non-dropping-particle":"","parse-names":false,"suffix":""}],"container-title":"Molecular Ecology","id":"ITEM-1","issue":"3","issued":{"date-parts":[["2004"]]},"page":"671-681","title":"Genetic and morphological evolution following a founder event in the dark-eyed junco, Junco hyemalis thurberi","type":"article-journal","volume":"13"},"uris":["http://www.mendeley.com/documents/?uuid=481302d3-bbcf-49c5-9bed-108595892a03"]},{"id":"ITEM-2","itemData":{"DOI":"10.1038/s41598-022-09961-9","ISBN":"4159802209961","ISSN":"2045-2322","abstract":"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Reports","id":"ITEM-2","issue":"1","issued":{"date-parts":[["2022"]]},"page":"1-11","publisher":"Nature Publishing Group UK","title":"Genetic structure in neotropical birds with different tolerance to urbanization","type":"article-journal","volume":"12"},"uris":["http://www.mendeley.com/documents/?uuid=ea8693a5-5706-4033-812a-ef038f7523c8"]}],"mendeley":{"formattedCitation":"(Rasner et al., 2004; Rodríguez-Bardía et al., 2022)","plainTextFormattedCitation":"(Rasner et al., 2004; Rodríguez-Bardía et al., 2022)","previouslyFormattedCitation":"(Rasner et al., 2004; Rodríguez-Bardía et al., 2022)"},"properties":{"noteIndex":0},"schema":"https://github.com/citation-style-language/schema/raw/master/csl-citation.json"}</w:instrText>
      </w:r>
      <w:r w:rsidR="00D22709" w:rsidRPr="001830F3">
        <w:rPr>
          <w:rFonts w:cstheme="minorHAnsi"/>
          <w:lang w:val="en-US"/>
        </w:rPr>
        <w:fldChar w:fldCharType="separate"/>
      </w:r>
      <w:r w:rsidRPr="001830F3">
        <w:rPr>
          <w:rFonts w:cstheme="minorHAnsi"/>
          <w:noProof/>
          <w:lang w:val="en-US"/>
        </w:rPr>
        <w:t>(Rasner et al., 2004; Rodríguez-Bardía et al., 2022)</w:t>
      </w:r>
      <w:r w:rsidR="00D22709" w:rsidRPr="001830F3">
        <w:rPr>
          <w:rFonts w:cstheme="minorHAnsi"/>
          <w:lang w:val="en-US"/>
        </w:rPr>
        <w:fldChar w:fldCharType="end"/>
      </w:r>
      <w:r w:rsidR="001C68E7">
        <w:rPr>
          <w:rFonts w:cstheme="minorHAnsi"/>
          <w:lang w:val="en-US"/>
        </w:rPr>
        <w:t xml:space="preserve"> to </w:t>
      </w:r>
      <w:r w:rsidR="001F798D">
        <w:rPr>
          <w:rFonts w:cstheme="minorHAnsi"/>
          <w:lang w:val="en-US"/>
        </w:rPr>
        <w:t>avoid including extra alleles that may bias allele frequency estimates</w:t>
      </w:r>
      <w:r w:rsidRPr="001830F3">
        <w:rPr>
          <w:rFonts w:cstheme="minorHAnsi"/>
          <w:lang w:val="en-US"/>
        </w:rPr>
        <w:t xml:space="preserve">. </w:t>
      </w:r>
      <w:r w:rsidR="009F1CDD">
        <w:rPr>
          <w:rFonts w:cstheme="minorHAnsi"/>
          <w:lang w:val="en-US"/>
        </w:rPr>
        <w:t xml:space="preserve">We </w:t>
      </w:r>
      <w:r w:rsidR="00A37B17" w:rsidRPr="001830F3">
        <w:rPr>
          <w:rFonts w:cstheme="minorHAnsi"/>
          <w:lang w:val="en-US"/>
        </w:rPr>
        <w:t>genotyped 76 individuals</w:t>
      </w:r>
      <w:r w:rsidR="0067597E">
        <w:rPr>
          <w:rFonts w:cstheme="minorHAnsi"/>
          <w:lang w:val="en-US"/>
        </w:rPr>
        <w:t>:</w:t>
      </w:r>
      <w:r w:rsidR="0067597E" w:rsidRPr="001830F3">
        <w:rPr>
          <w:rFonts w:cstheme="minorHAnsi"/>
          <w:lang w:val="en-US"/>
        </w:rPr>
        <w:t xml:space="preserve"> </w:t>
      </w:r>
      <w:r w:rsidR="004A1486">
        <w:rPr>
          <w:rFonts w:cstheme="minorHAnsi"/>
          <w:lang w:val="en-US"/>
        </w:rPr>
        <w:t>28</w:t>
      </w:r>
      <w:r w:rsidR="00A37B17" w:rsidRPr="001830F3">
        <w:rPr>
          <w:rFonts w:cstheme="minorHAnsi"/>
          <w:lang w:val="en-US"/>
        </w:rPr>
        <w:t xml:space="preserve"> males </w:t>
      </w:r>
      <w:r w:rsidR="004A1486">
        <w:rPr>
          <w:rFonts w:cstheme="minorHAnsi"/>
          <w:lang w:val="en-US"/>
        </w:rPr>
        <w:t xml:space="preserve">from period 1, 25 males from period 2, 14 females from period 1, </w:t>
      </w:r>
      <w:r w:rsidR="00A37B17" w:rsidRPr="001830F3">
        <w:rPr>
          <w:rFonts w:cstheme="minorHAnsi"/>
          <w:lang w:val="en-US"/>
        </w:rPr>
        <w:t xml:space="preserve">and </w:t>
      </w:r>
      <w:r w:rsidR="004A1486">
        <w:rPr>
          <w:rFonts w:cstheme="minorHAnsi"/>
          <w:lang w:val="en-US"/>
        </w:rPr>
        <w:t>9</w:t>
      </w:r>
      <w:r w:rsidR="00A37B17" w:rsidRPr="001830F3">
        <w:rPr>
          <w:rFonts w:cstheme="minorHAnsi"/>
          <w:lang w:val="en-US"/>
        </w:rPr>
        <w:t xml:space="preserve"> females</w:t>
      </w:r>
      <w:r w:rsidR="009F1CDD">
        <w:rPr>
          <w:rFonts w:cstheme="minorHAnsi"/>
          <w:lang w:val="en-US"/>
        </w:rPr>
        <w:t xml:space="preserve"> </w:t>
      </w:r>
      <w:r w:rsidR="004A1486">
        <w:rPr>
          <w:rFonts w:cstheme="minorHAnsi"/>
          <w:lang w:val="en-US"/>
        </w:rPr>
        <w:t>from period 2</w:t>
      </w:r>
      <w:r w:rsidR="00A37B17" w:rsidRPr="001830F3">
        <w:rPr>
          <w:rFonts w:cstheme="minorHAnsi"/>
          <w:lang w:val="en-US"/>
        </w:rPr>
        <w:t xml:space="preserve">. </w:t>
      </w:r>
      <w:r w:rsidR="009276F9">
        <w:rPr>
          <w:rFonts w:cstheme="minorHAnsi"/>
          <w:lang w:val="en-US"/>
        </w:rPr>
        <w:t xml:space="preserve">We </w:t>
      </w:r>
      <w:r w:rsidR="006602FF">
        <w:rPr>
          <w:rFonts w:cstheme="minorHAnsi"/>
          <w:lang w:val="en-US"/>
        </w:rPr>
        <w:t>estimated</w:t>
      </w:r>
      <w:r w:rsidR="009276F9">
        <w:rPr>
          <w:rFonts w:cstheme="minorHAnsi"/>
          <w:lang w:val="en-US"/>
        </w:rPr>
        <w:t xml:space="preserve"> deviation </w:t>
      </w:r>
      <w:r w:rsidR="006602FF">
        <w:rPr>
          <w:rFonts w:cstheme="minorHAnsi"/>
          <w:lang w:val="en-US"/>
        </w:rPr>
        <w:t>for</w:t>
      </w:r>
      <w:r w:rsidR="009276F9">
        <w:rPr>
          <w:rFonts w:cstheme="minorHAnsi"/>
          <w:lang w:val="en-US"/>
        </w:rPr>
        <w:t xml:space="preserve"> the Hardy-Weinberg equilibrium as well as for linkage disequilibrium using Arlequin 3.5.2.  </w:t>
      </w:r>
      <w:r w:rsidR="006A4C67" w:rsidRPr="001830F3">
        <w:rPr>
          <w:rFonts w:cstheme="minorHAnsi"/>
          <w:lang w:val="en-US"/>
        </w:rPr>
        <w:t>We calculated expected heterozygosity (</w:t>
      </w:r>
      <m:oMath>
        <m:sSub>
          <m:sSubPr>
            <m:ctrlPr>
              <w:rPr>
                <w:rFonts w:ascii="Cambria Math" w:hAnsi="Cambria Math" w:cstheme="minorHAnsi"/>
                <w:i/>
                <w:lang w:val="en-US"/>
              </w:rPr>
            </m:ctrlPr>
          </m:sSubPr>
          <m:e>
            <m:r>
              <w:rPr>
                <w:rFonts w:ascii="Cambria Math" w:hAnsi="Cambria Math" w:cstheme="minorHAnsi"/>
                <w:lang w:val="en-US"/>
              </w:rPr>
              <m:t>H</m:t>
            </m:r>
          </m:e>
          <m:sub>
            <m:r>
              <w:rPr>
                <w:rFonts w:ascii="Cambria Math" w:hAnsi="Cambria Math" w:cstheme="minorHAnsi"/>
                <w:lang w:val="en-US"/>
              </w:rPr>
              <m:t>e</m:t>
            </m:r>
          </m:sub>
        </m:sSub>
      </m:oMath>
      <w:r w:rsidR="006A4C67" w:rsidRPr="001830F3">
        <w:rPr>
          <w:rFonts w:cstheme="minorHAnsi"/>
          <w:lang w:val="en-US"/>
        </w:rPr>
        <w:t>), observed heterozygosity (</w:t>
      </w:r>
      <m:oMath>
        <m:sSub>
          <m:sSubPr>
            <m:ctrlPr>
              <w:rPr>
                <w:rFonts w:ascii="Cambria Math" w:hAnsi="Cambria Math" w:cstheme="minorHAnsi"/>
                <w:i/>
                <w:lang w:val="en-US"/>
              </w:rPr>
            </m:ctrlPr>
          </m:sSubPr>
          <m:e>
            <m:r>
              <w:rPr>
                <w:rFonts w:ascii="Cambria Math" w:hAnsi="Cambria Math" w:cstheme="minorHAnsi"/>
                <w:lang w:val="en-US"/>
              </w:rPr>
              <m:t>H</m:t>
            </m:r>
          </m:e>
          <m:sub>
            <m:r>
              <w:rPr>
                <w:rFonts w:ascii="Cambria Math" w:hAnsi="Cambria Math" w:cstheme="minorHAnsi"/>
                <w:lang w:val="en-US"/>
              </w:rPr>
              <m:t>o</m:t>
            </m:r>
          </m:sub>
        </m:sSub>
      </m:oMath>
      <w:r w:rsidR="006A4C67" w:rsidRPr="001830F3">
        <w:rPr>
          <w:rFonts w:cstheme="minorHAnsi"/>
          <w:lang w:val="en-US"/>
        </w:rPr>
        <w:t>), allelic richness (</w:t>
      </w:r>
      <m:oMath>
        <m:sSub>
          <m:sSubPr>
            <m:ctrlPr>
              <w:rPr>
                <w:rFonts w:ascii="Cambria Math" w:hAnsi="Cambria Math" w:cstheme="minorHAnsi"/>
                <w:i/>
                <w:lang w:val="en-US"/>
              </w:rPr>
            </m:ctrlPr>
          </m:sSubPr>
          <m:e>
            <m:r>
              <w:rPr>
                <w:rFonts w:ascii="Cambria Math" w:hAnsi="Cambria Math" w:cstheme="minorHAnsi"/>
                <w:lang w:val="en-US"/>
              </w:rPr>
              <m:t>A</m:t>
            </m:r>
          </m:e>
          <m:sub>
            <m:r>
              <w:rPr>
                <w:rFonts w:ascii="Cambria Math" w:hAnsi="Cambria Math" w:cstheme="minorHAnsi"/>
                <w:lang w:val="en-US"/>
              </w:rPr>
              <m:t>r</m:t>
            </m:r>
          </m:sub>
        </m:sSub>
      </m:oMath>
      <w:r w:rsidR="006A4C67" w:rsidRPr="001830F3">
        <w:rPr>
          <w:rFonts w:cstheme="minorHAnsi"/>
          <w:lang w:val="en-US"/>
        </w:rPr>
        <w:t>)</w:t>
      </w:r>
      <w:r w:rsidR="00277FDA" w:rsidRPr="001830F3">
        <w:rPr>
          <w:rFonts w:cstheme="minorHAnsi"/>
          <w:lang w:val="en-US"/>
        </w:rPr>
        <w:t xml:space="preserve">, </w:t>
      </w:r>
      <w:r w:rsidR="00D1188B">
        <w:rPr>
          <w:rFonts w:cstheme="minorHAnsi"/>
          <w:lang w:val="en-US"/>
        </w:rPr>
        <w:t xml:space="preserve">and </w:t>
      </w:r>
      <w:r w:rsidR="00B036D6">
        <w:rPr>
          <w:rFonts w:cstheme="minorHAnsi"/>
          <w:lang w:val="en-US"/>
        </w:rPr>
        <w:t>inbreeding coefficients (</w:t>
      </w:r>
      <m:oMath>
        <m:sSub>
          <m:sSubPr>
            <m:ctrlPr>
              <w:rPr>
                <w:rFonts w:ascii="Cambria Math" w:hAnsi="Cambria Math" w:cstheme="minorHAnsi"/>
                <w:i/>
                <w:lang w:val="en-US"/>
              </w:rPr>
            </m:ctrlPr>
          </m:sSubPr>
          <m:e>
            <m:r>
              <w:rPr>
                <w:rFonts w:ascii="Cambria Math" w:hAnsi="Cambria Math" w:cstheme="minorHAnsi"/>
                <w:lang w:val="en-US"/>
              </w:rPr>
              <m:t>F</m:t>
            </m:r>
          </m:e>
          <m:sub>
            <m:r>
              <w:rPr>
                <w:rFonts w:ascii="Cambria Math" w:hAnsi="Cambria Math" w:cstheme="minorHAnsi"/>
                <w:lang w:val="en-US"/>
              </w:rPr>
              <m:t>IS</m:t>
            </m:r>
          </m:sub>
        </m:sSub>
      </m:oMath>
      <w:r w:rsidR="00B036D6">
        <w:rPr>
          <w:rFonts w:cstheme="minorHAnsi"/>
          <w:lang w:val="en-US"/>
        </w:rPr>
        <w:t xml:space="preserve">) </w:t>
      </w:r>
      <w:r w:rsidR="00647769">
        <w:rPr>
          <w:rFonts w:cstheme="minorHAnsi"/>
          <w:lang w:val="en-US"/>
        </w:rPr>
        <w:t xml:space="preserve">for </w:t>
      </w:r>
      <w:r w:rsidR="00A07D54">
        <w:rPr>
          <w:rFonts w:cstheme="minorHAnsi"/>
          <w:lang w:val="en-US"/>
        </w:rPr>
        <w:t xml:space="preserve">each </w:t>
      </w:r>
      <w:r w:rsidR="004A1486">
        <w:rPr>
          <w:rFonts w:cstheme="minorHAnsi"/>
          <w:lang w:val="en-US"/>
        </w:rPr>
        <w:t>population</w:t>
      </w:r>
      <w:r w:rsidR="009F1CDD">
        <w:rPr>
          <w:rFonts w:cstheme="minorHAnsi"/>
          <w:lang w:val="en-US"/>
        </w:rPr>
        <w:t xml:space="preserve"> </w:t>
      </w:r>
      <w:r w:rsidR="0046402D">
        <w:rPr>
          <w:rFonts w:cstheme="minorHAnsi"/>
          <w:lang w:val="en-US"/>
        </w:rPr>
        <w:t xml:space="preserve">and </w:t>
      </w:r>
      <w:r w:rsidR="00647769">
        <w:rPr>
          <w:rFonts w:cstheme="minorHAnsi"/>
          <w:lang w:val="en-US"/>
        </w:rPr>
        <w:t>time period</w:t>
      </w:r>
      <w:r w:rsidR="00AF21DF">
        <w:rPr>
          <w:rFonts w:cstheme="minorHAnsi"/>
          <w:lang w:val="en-US"/>
        </w:rPr>
        <w:t xml:space="preserve">. </w:t>
      </w:r>
      <w:r w:rsidR="00647769">
        <w:rPr>
          <w:rFonts w:cstheme="minorHAnsi"/>
          <w:lang w:val="en-US"/>
        </w:rPr>
        <w:t>We estimated c</w:t>
      </w:r>
      <w:r w:rsidR="00AF21DF">
        <w:rPr>
          <w:rFonts w:cstheme="minorHAnsi"/>
          <w:lang w:val="en-US"/>
        </w:rPr>
        <w:t xml:space="preserve">onfidence intervals for </w:t>
      </w:r>
      <w:r w:rsidR="00AF21DF" w:rsidRPr="00F1722E">
        <w:rPr>
          <w:rFonts w:cstheme="minorHAnsi"/>
          <w:i/>
          <w:iCs/>
          <w:lang w:val="en-US"/>
        </w:rPr>
        <w:t>F</w:t>
      </w:r>
      <w:r w:rsidR="00AF21DF" w:rsidRPr="00F1722E">
        <w:rPr>
          <w:rFonts w:cstheme="minorHAnsi"/>
          <w:i/>
          <w:iCs/>
          <w:vertAlign w:val="subscript"/>
          <w:lang w:val="en-US"/>
        </w:rPr>
        <w:t>IS</w:t>
      </w:r>
      <w:r w:rsidR="00AF21DF">
        <w:rPr>
          <w:rFonts w:cstheme="minorHAnsi"/>
          <w:lang w:val="en-US"/>
        </w:rPr>
        <w:t xml:space="preserve"> values </w:t>
      </w:r>
      <w:r w:rsidR="00B036D6" w:rsidRPr="001830F3">
        <w:rPr>
          <w:rFonts w:cstheme="minorHAnsi"/>
          <w:lang w:val="en-US"/>
        </w:rPr>
        <w:t>using 9999 bootstrap</w:t>
      </w:r>
      <w:r w:rsidR="00AF21DF">
        <w:rPr>
          <w:rFonts w:cstheme="minorHAnsi"/>
          <w:lang w:val="en-US"/>
        </w:rPr>
        <w:t>s as implemented</w:t>
      </w:r>
      <w:r w:rsidR="00B036D6" w:rsidRPr="001830F3">
        <w:rPr>
          <w:rFonts w:cstheme="minorHAnsi"/>
          <w:lang w:val="en-US"/>
        </w:rPr>
        <w:t xml:space="preserve"> in</w:t>
      </w:r>
      <w:r w:rsidR="00AF21DF">
        <w:rPr>
          <w:rFonts w:cstheme="minorHAnsi"/>
          <w:lang w:val="en-US"/>
        </w:rPr>
        <w:t xml:space="preserve"> the</w:t>
      </w:r>
      <w:r w:rsidR="00B036D6" w:rsidRPr="001830F3">
        <w:rPr>
          <w:rFonts w:cstheme="minorHAnsi"/>
          <w:lang w:val="en-US"/>
        </w:rPr>
        <w:t xml:space="preserve"> “</w:t>
      </w:r>
      <w:proofErr w:type="spellStart"/>
      <w:r w:rsidR="00B036D6" w:rsidRPr="001830F3">
        <w:rPr>
          <w:rFonts w:cstheme="minorHAnsi"/>
          <w:lang w:val="en-US"/>
        </w:rPr>
        <w:t>hierfstat</w:t>
      </w:r>
      <w:proofErr w:type="spellEnd"/>
      <w:r w:rsidR="00B036D6" w:rsidRPr="001830F3">
        <w:rPr>
          <w:rFonts w:cstheme="minorHAnsi"/>
          <w:lang w:val="en-US"/>
        </w:rPr>
        <w:t>” package in R (R Core Team, 2020)</w:t>
      </w:r>
      <w:r w:rsidR="00B036D6">
        <w:rPr>
          <w:rFonts w:cstheme="minorHAnsi"/>
          <w:lang w:val="en-US"/>
        </w:rPr>
        <w:t xml:space="preserve">. </w:t>
      </w:r>
      <w:r w:rsidR="00B036D6" w:rsidRPr="001830F3">
        <w:rPr>
          <w:rFonts w:cstheme="minorHAnsi"/>
          <w:lang w:val="en-US"/>
        </w:rPr>
        <w:t xml:space="preserve">To </w:t>
      </w:r>
      <w:r w:rsidR="00647769">
        <w:rPr>
          <w:rFonts w:cstheme="minorHAnsi"/>
          <w:lang w:val="en-US"/>
        </w:rPr>
        <w:t>compare</w:t>
      </w:r>
      <w:r w:rsidR="00647769" w:rsidRPr="001830F3">
        <w:rPr>
          <w:rFonts w:cstheme="minorHAnsi"/>
          <w:lang w:val="en-US"/>
        </w:rPr>
        <w:t xml:space="preserve"> </w:t>
      </w:r>
      <w:r w:rsidR="00B036D6" w:rsidRPr="001830F3">
        <w:rPr>
          <w:rFonts w:cstheme="minorHAnsi"/>
          <w:lang w:val="en-US"/>
        </w:rPr>
        <w:t xml:space="preserve">differences in heterozygosity </w:t>
      </w:r>
      <w:r w:rsidR="00700862">
        <w:rPr>
          <w:rFonts w:cstheme="minorHAnsi"/>
          <w:lang w:val="en-US"/>
        </w:rPr>
        <w:t>for</w:t>
      </w:r>
      <w:r w:rsidR="00700862" w:rsidRPr="001830F3">
        <w:rPr>
          <w:rFonts w:cstheme="minorHAnsi"/>
          <w:lang w:val="en-US"/>
        </w:rPr>
        <w:t xml:space="preserve"> </w:t>
      </w:r>
      <w:r w:rsidR="00647769">
        <w:rPr>
          <w:rFonts w:cstheme="minorHAnsi"/>
          <w:lang w:val="en-US"/>
        </w:rPr>
        <w:t>the same</w:t>
      </w:r>
      <w:r w:rsidR="00647769" w:rsidRPr="001830F3">
        <w:rPr>
          <w:rFonts w:cstheme="minorHAnsi"/>
          <w:lang w:val="en-US"/>
        </w:rPr>
        <w:t xml:space="preserve"> </w:t>
      </w:r>
      <w:r w:rsidR="00B036D6" w:rsidRPr="001830F3">
        <w:rPr>
          <w:rFonts w:cstheme="minorHAnsi"/>
          <w:lang w:val="en-US"/>
        </w:rPr>
        <w:t>population</w:t>
      </w:r>
      <w:r w:rsidR="00647769">
        <w:rPr>
          <w:rFonts w:cstheme="minorHAnsi"/>
          <w:lang w:val="en-US"/>
        </w:rPr>
        <w:t xml:space="preserve">s </w:t>
      </w:r>
      <w:r w:rsidR="00700862">
        <w:rPr>
          <w:rFonts w:cstheme="minorHAnsi"/>
          <w:lang w:val="en-US"/>
        </w:rPr>
        <w:t xml:space="preserve">between </w:t>
      </w:r>
      <w:r w:rsidR="00647769">
        <w:rPr>
          <w:rFonts w:cstheme="minorHAnsi"/>
          <w:lang w:val="en-US"/>
        </w:rPr>
        <w:t>time periods</w:t>
      </w:r>
      <w:r w:rsidR="0067597E">
        <w:rPr>
          <w:rFonts w:cstheme="minorHAnsi"/>
          <w:lang w:val="en-US"/>
        </w:rPr>
        <w:t>,</w:t>
      </w:r>
      <w:r w:rsidR="00485C99">
        <w:rPr>
          <w:rFonts w:cstheme="minorHAnsi"/>
          <w:lang w:val="en-US"/>
        </w:rPr>
        <w:t xml:space="preserve"> </w:t>
      </w:r>
      <w:r w:rsidR="00B036D6" w:rsidRPr="001830F3">
        <w:rPr>
          <w:rFonts w:cstheme="minorHAnsi"/>
          <w:lang w:val="en-US"/>
        </w:rPr>
        <w:t xml:space="preserve">we </w:t>
      </w:r>
      <w:r w:rsidR="00700862">
        <w:rPr>
          <w:rFonts w:cstheme="minorHAnsi"/>
          <w:lang w:val="en-US"/>
        </w:rPr>
        <w:t xml:space="preserve">used z-scores from a </w:t>
      </w:r>
      <w:r w:rsidR="00B036D6" w:rsidRPr="001830F3">
        <w:rPr>
          <w:rFonts w:cstheme="minorHAnsi"/>
          <w:lang w:val="en-US"/>
        </w:rPr>
        <w:t xml:space="preserve">Wilcoxon signed rank test </w:t>
      </w:r>
      <w:r w:rsidR="00700862">
        <w:rPr>
          <w:rFonts w:cstheme="minorHAnsi"/>
          <w:lang w:val="en-US"/>
        </w:rPr>
        <w:t xml:space="preserve">as implemented in </w:t>
      </w:r>
      <w:r w:rsidR="00C75182">
        <w:rPr>
          <w:rFonts w:cstheme="minorHAnsi"/>
          <w:lang w:val="en-US"/>
        </w:rPr>
        <w:t xml:space="preserve">the </w:t>
      </w:r>
      <w:r w:rsidR="00B036D6" w:rsidRPr="001830F3">
        <w:rPr>
          <w:rFonts w:cstheme="minorHAnsi"/>
          <w:lang w:val="en-US"/>
        </w:rPr>
        <w:t xml:space="preserve">“coin” </w:t>
      </w:r>
      <w:r w:rsidR="00B036D6" w:rsidRPr="001830F3">
        <w:rPr>
          <w:rFonts w:cstheme="minorHAnsi"/>
          <w:lang w:val="en-US"/>
        </w:rPr>
        <w:lastRenderedPageBreak/>
        <w:t xml:space="preserve">package in R (R Core Team, 2020). </w:t>
      </w:r>
      <w:r w:rsidR="00C75182">
        <w:rPr>
          <w:rFonts w:cstheme="minorHAnsi"/>
          <w:lang w:val="en-US"/>
        </w:rPr>
        <w:t xml:space="preserve">To estimate </w:t>
      </w:r>
      <w:r w:rsidR="00B33C2E">
        <w:rPr>
          <w:rFonts w:cstheme="minorHAnsi"/>
          <w:lang w:val="en-US"/>
        </w:rPr>
        <w:t xml:space="preserve">changes in </w:t>
      </w:r>
      <w:r w:rsidR="000C4EBD">
        <w:rPr>
          <w:rFonts w:cstheme="minorHAnsi"/>
          <w:lang w:val="en-US"/>
        </w:rPr>
        <w:t xml:space="preserve">genetic structure among populations </w:t>
      </w:r>
      <w:r w:rsidR="00B33C2E">
        <w:rPr>
          <w:rFonts w:cstheme="minorHAnsi"/>
          <w:lang w:val="en-US"/>
        </w:rPr>
        <w:t xml:space="preserve">over </w:t>
      </w:r>
      <w:r w:rsidR="00485C99">
        <w:rPr>
          <w:rFonts w:cstheme="minorHAnsi"/>
          <w:lang w:val="en-US"/>
        </w:rPr>
        <w:t xml:space="preserve">a </w:t>
      </w:r>
      <w:r w:rsidR="000C4EBD" w:rsidRPr="004526C7">
        <w:rPr>
          <w:rFonts w:cstheme="minorHAnsi"/>
          <w:lang w:val="en-US"/>
        </w:rPr>
        <w:t>decade</w:t>
      </w:r>
      <w:r w:rsidR="000C4EBD">
        <w:rPr>
          <w:rFonts w:cstheme="minorHAnsi"/>
          <w:lang w:val="en-US"/>
        </w:rPr>
        <w:t>, we</w:t>
      </w:r>
      <w:r w:rsidR="00C75182">
        <w:rPr>
          <w:rFonts w:cstheme="minorHAnsi"/>
          <w:lang w:val="en-US"/>
        </w:rPr>
        <w:t xml:space="preserve"> </w:t>
      </w:r>
      <w:r w:rsidR="00B036D6">
        <w:rPr>
          <w:rFonts w:cstheme="minorHAnsi"/>
          <w:lang w:val="en-US"/>
        </w:rPr>
        <w:t xml:space="preserve">calculated </w:t>
      </w:r>
      <w:r w:rsidR="00FB0A90">
        <w:rPr>
          <w:lang w:val="en-US"/>
        </w:rPr>
        <w:t>Nei's</w:t>
      </w:r>
      <w:r w:rsidR="00EB3193" w:rsidRPr="00253C59">
        <w:rPr>
          <w:lang w:val="en-US"/>
        </w:rPr>
        <w:t xml:space="preserve"> </w:t>
      </w:r>
      <m:oMath>
        <m:sSub>
          <m:sSubPr>
            <m:ctrlPr>
              <w:rPr>
                <w:rFonts w:ascii="Cambria Math" w:hAnsi="Cambria Math"/>
                <w:i/>
                <w:lang w:val="en-US"/>
              </w:rPr>
            </m:ctrlPr>
          </m:sSubPr>
          <m:e>
            <m:r>
              <w:rPr>
                <w:rFonts w:ascii="Cambria Math" w:hAnsi="Cambria Math"/>
                <w:lang w:val="en-US"/>
              </w:rPr>
              <m:t>G</m:t>
            </m:r>
          </m:e>
          <m:sub>
            <m:r>
              <w:rPr>
                <w:rFonts w:ascii="Cambria Math" w:hAnsi="Cambria Math"/>
                <w:lang w:val="en-US"/>
              </w:rPr>
              <m:t>st</m:t>
            </m:r>
          </m:sub>
        </m:sSub>
        <m:r>
          <w:rPr>
            <w:rFonts w:ascii="Cambria Math" w:hAnsi="Cambria Math"/>
            <w:lang w:val="en-US"/>
          </w:rPr>
          <m:t xml:space="preserve"> </m:t>
        </m:r>
      </m:oMath>
      <w:r w:rsidR="00EB3193" w:rsidRPr="00253C59">
        <w:rPr>
          <w:lang w:val="en-US"/>
        </w:rPr>
        <w:t xml:space="preserve">coefficient </w:t>
      </w:r>
      <w:r w:rsidR="00A55C5E">
        <w:rPr>
          <w:rFonts w:cstheme="minorHAnsi"/>
          <w:lang w:val="en-US"/>
        </w:rPr>
        <w:t>among populations within</w:t>
      </w:r>
      <w:r w:rsidR="00160364">
        <w:rPr>
          <w:rFonts w:cstheme="minorHAnsi"/>
          <w:lang w:val="en-US"/>
        </w:rPr>
        <w:t xml:space="preserve"> </w:t>
      </w:r>
      <w:r w:rsidR="00183D88">
        <w:rPr>
          <w:rFonts w:cstheme="minorHAnsi"/>
          <w:lang w:val="en-US"/>
        </w:rPr>
        <w:t xml:space="preserve">time </w:t>
      </w:r>
      <w:r w:rsidR="00160364">
        <w:rPr>
          <w:rFonts w:cstheme="minorHAnsi"/>
          <w:lang w:val="en-US"/>
        </w:rPr>
        <w:t>period</w:t>
      </w:r>
      <w:r w:rsidR="00183D88">
        <w:rPr>
          <w:rFonts w:cstheme="minorHAnsi"/>
          <w:lang w:val="en-US"/>
        </w:rPr>
        <w:t>s</w:t>
      </w:r>
      <w:r w:rsidR="00160364">
        <w:rPr>
          <w:rFonts w:cstheme="minorHAnsi"/>
          <w:lang w:val="en-US"/>
        </w:rPr>
        <w:t xml:space="preserve">, </w:t>
      </w:r>
      <w:r w:rsidR="002453BC" w:rsidRPr="001830F3">
        <w:rPr>
          <w:rFonts w:cstheme="minorHAnsi"/>
          <w:lang w:val="en-US"/>
        </w:rPr>
        <w:t xml:space="preserve">using 9999 </w:t>
      </w:r>
      <w:bookmarkStart w:id="26" w:name="_Hlk169001307"/>
      <w:r w:rsidR="002453BC" w:rsidRPr="001830F3">
        <w:rPr>
          <w:rFonts w:cstheme="minorHAnsi"/>
          <w:lang w:val="en-US"/>
        </w:rPr>
        <w:t>bootstrap</w:t>
      </w:r>
      <w:r w:rsidR="000C4EBD">
        <w:rPr>
          <w:rFonts w:cstheme="minorHAnsi"/>
          <w:lang w:val="en-US"/>
        </w:rPr>
        <w:t xml:space="preserve"> values to estimate </w:t>
      </w:r>
      <w:r w:rsidR="009276F9">
        <w:rPr>
          <w:rFonts w:cstheme="minorHAnsi"/>
          <w:lang w:val="en-US"/>
        </w:rPr>
        <w:t xml:space="preserve">95% </w:t>
      </w:r>
      <w:r w:rsidR="000C4EBD">
        <w:rPr>
          <w:rFonts w:cstheme="minorHAnsi"/>
          <w:lang w:val="en-US"/>
        </w:rPr>
        <w:t>confidence intervals</w:t>
      </w:r>
      <w:bookmarkEnd w:id="26"/>
      <w:r w:rsidR="009276F9">
        <w:rPr>
          <w:rFonts w:cstheme="minorHAnsi"/>
          <w:lang w:val="en-US"/>
        </w:rPr>
        <w:t xml:space="preserve"> using the “</w:t>
      </w:r>
      <w:proofErr w:type="spellStart"/>
      <w:r w:rsidR="009276F9">
        <w:rPr>
          <w:rFonts w:cstheme="minorHAnsi"/>
          <w:lang w:val="en-US"/>
        </w:rPr>
        <w:t>mmod</w:t>
      </w:r>
      <w:proofErr w:type="spellEnd"/>
      <w:r w:rsidR="009276F9">
        <w:rPr>
          <w:rFonts w:cstheme="minorHAnsi"/>
          <w:lang w:val="en-US"/>
        </w:rPr>
        <w:t>” package in R</w:t>
      </w:r>
      <w:r w:rsidR="009276F9" w:rsidRPr="001830F3">
        <w:rPr>
          <w:rFonts w:cstheme="minorHAnsi"/>
          <w:lang w:val="en-US"/>
        </w:rPr>
        <w:t>.</w:t>
      </w:r>
      <w:r w:rsidR="00D83CFC">
        <w:rPr>
          <w:rFonts w:cstheme="minorHAnsi"/>
          <w:lang w:val="en-US"/>
        </w:rPr>
        <w:t xml:space="preserve"> We </w:t>
      </w:r>
      <w:r w:rsidR="00D83CFC" w:rsidRPr="00D83CFC">
        <w:rPr>
          <w:rFonts w:cstheme="minorHAnsi"/>
          <w:lang w:val="en-US"/>
        </w:rPr>
        <w:t xml:space="preserve">assumed that nonoverlapping confidence intervals indicated significant differences </w:t>
      </w:r>
      <w:r w:rsidR="00D83CFC">
        <w:rPr>
          <w:rFonts w:cstheme="minorHAnsi"/>
          <w:lang w:val="en-US"/>
        </w:rPr>
        <w:t xml:space="preserve">in genetic structure </w:t>
      </w:r>
      <w:r w:rsidR="00D83CFC" w:rsidRPr="00D83CFC">
        <w:rPr>
          <w:rFonts w:cstheme="minorHAnsi"/>
          <w:lang w:val="en-US"/>
        </w:rPr>
        <w:t>between</w:t>
      </w:r>
      <w:r w:rsidR="006A4C67" w:rsidRPr="001830F3">
        <w:rPr>
          <w:rFonts w:cstheme="minorHAnsi"/>
          <w:lang w:val="en-US"/>
        </w:rPr>
        <w:t xml:space="preserve"> </w:t>
      </w:r>
      <w:r w:rsidR="00D83CFC">
        <w:rPr>
          <w:rFonts w:cstheme="minorHAnsi"/>
          <w:lang w:val="en-US"/>
        </w:rPr>
        <w:t>periods</w:t>
      </w:r>
      <w:r w:rsidR="009276F9">
        <w:rPr>
          <w:rFonts w:cstheme="minorHAnsi"/>
          <w:lang w:val="en-US"/>
        </w:rPr>
        <w:t>. We used an</w:t>
      </w:r>
      <w:r w:rsidR="009276F9" w:rsidRPr="00261A18">
        <w:rPr>
          <w:rFonts w:cstheme="minorHAnsi"/>
          <w:lang w:val="en-US"/>
        </w:rPr>
        <w:t xml:space="preserve"> </w:t>
      </w:r>
      <w:r w:rsidR="009276F9" w:rsidRPr="001830F3">
        <w:rPr>
          <w:rFonts w:cstheme="minorHAnsi"/>
          <w:lang w:val="en-US"/>
        </w:rPr>
        <w:t xml:space="preserve">analysis of molecular variance (AMOVA) </w:t>
      </w:r>
      <w:r w:rsidR="009276F9">
        <w:rPr>
          <w:rFonts w:cstheme="minorHAnsi"/>
          <w:lang w:val="en-US"/>
        </w:rPr>
        <w:t>as implemented in the</w:t>
      </w:r>
      <w:r w:rsidR="009276F9" w:rsidRPr="001830F3">
        <w:rPr>
          <w:rFonts w:cstheme="minorHAnsi"/>
          <w:lang w:val="en-US"/>
        </w:rPr>
        <w:t xml:space="preserve"> “</w:t>
      </w:r>
      <w:proofErr w:type="spellStart"/>
      <w:r w:rsidR="009276F9" w:rsidRPr="001830F3">
        <w:rPr>
          <w:rFonts w:cstheme="minorHAnsi"/>
          <w:lang w:val="en-US"/>
        </w:rPr>
        <w:t>poppr</w:t>
      </w:r>
      <w:proofErr w:type="spellEnd"/>
      <w:r w:rsidR="009276F9" w:rsidRPr="001830F3">
        <w:rPr>
          <w:rFonts w:cstheme="minorHAnsi"/>
          <w:lang w:val="en-US"/>
        </w:rPr>
        <w:t>” package in R</w:t>
      </w:r>
      <w:r w:rsidR="009276F9" w:rsidRPr="00261A18">
        <w:rPr>
          <w:rFonts w:cstheme="minorHAnsi"/>
          <w:lang w:val="en-US"/>
        </w:rPr>
        <w:t xml:space="preserve"> to partition genetic variance among and within</w:t>
      </w:r>
      <w:r w:rsidR="009276F9">
        <w:rPr>
          <w:rFonts w:cstheme="minorHAnsi"/>
          <w:lang w:val="en-US"/>
        </w:rPr>
        <w:t xml:space="preserve"> time periods</w:t>
      </w:r>
      <w:r w:rsidR="009276F9" w:rsidRPr="00261A18">
        <w:rPr>
          <w:rFonts w:cstheme="minorHAnsi"/>
          <w:lang w:val="en-US"/>
        </w:rPr>
        <w:t xml:space="preserve">. A hierarchical population structure was assumed, with populations nested within </w:t>
      </w:r>
      <w:r w:rsidR="009276F9">
        <w:rPr>
          <w:rFonts w:cstheme="minorHAnsi"/>
          <w:lang w:val="en-US"/>
        </w:rPr>
        <w:t>time periods</w:t>
      </w:r>
      <w:r w:rsidR="009276F9" w:rsidRPr="00261A18">
        <w:rPr>
          <w:rFonts w:cstheme="minorHAnsi"/>
          <w:lang w:val="en-US"/>
        </w:rPr>
        <w:t xml:space="preserve">. </w:t>
      </w:r>
      <w:r w:rsidR="009276F9">
        <w:rPr>
          <w:rFonts w:cstheme="minorHAnsi"/>
          <w:lang w:val="en-US"/>
        </w:rPr>
        <w:t>We used 9999 permutations to assess the</w:t>
      </w:r>
      <w:r w:rsidR="009276F9" w:rsidRPr="00261A18">
        <w:rPr>
          <w:rFonts w:cstheme="minorHAnsi"/>
          <w:lang w:val="en-US"/>
        </w:rPr>
        <w:t xml:space="preserve"> significance of variance components.</w:t>
      </w:r>
      <w:r w:rsidR="00D83CFC">
        <w:rPr>
          <w:rFonts w:cstheme="minorHAnsi"/>
          <w:lang w:val="en-US"/>
        </w:rPr>
        <w:t xml:space="preserve"> </w:t>
      </w:r>
      <w:bookmarkStart w:id="27" w:name="_Hlk167879339"/>
      <w:r w:rsidR="00C91A01" w:rsidRPr="00C91A01">
        <w:rPr>
          <w:rFonts w:cstheme="minorHAnsi"/>
          <w:lang w:val="en-US"/>
        </w:rPr>
        <w:t xml:space="preserve">Using the Bayesian clustering algorithm in Structure 2.3.4, we assessed the potential genetic clustering of individuals into clusters </w:t>
      </w:r>
      <w:r w:rsidR="009240AD">
        <w:rPr>
          <w:rFonts w:cstheme="minorHAnsi"/>
          <w:lang w:val="en-US"/>
        </w:rPr>
        <w:t xml:space="preserve">(K) </w:t>
      </w:r>
      <w:r w:rsidR="00C91A01" w:rsidRPr="00C91A01">
        <w:rPr>
          <w:rFonts w:cstheme="minorHAnsi"/>
          <w:lang w:val="en-US"/>
        </w:rPr>
        <w:t>based on their allele frequencies</w:t>
      </w:r>
      <w:bookmarkEnd w:id="27"/>
      <w:r w:rsidR="00817254" w:rsidRPr="001830F3">
        <w:rPr>
          <w:rFonts w:cstheme="minorHAnsi"/>
          <w:lang w:val="en-US"/>
        </w:rPr>
        <w:t xml:space="preserve"> </w:t>
      </w:r>
      <w:bookmarkStart w:id="28" w:name="_Hlk167879367"/>
      <w:r w:rsidR="00817254" w:rsidRPr="001830F3">
        <w:rPr>
          <w:rFonts w:cstheme="minorHAnsi"/>
          <w:lang w:val="en-US"/>
        </w:rPr>
        <w:fldChar w:fldCharType="begin" w:fldLock="1"/>
      </w:r>
      <w:r w:rsidR="00817254" w:rsidRPr="001830F3">
        <w:rPr>
          <w:rFonts w:cstheme="minorHAnsi"/>
          <w:lang w:val="en-US"/>
        </w:rPr>
        <w:instrText>ADDIN CSL_CITATION {"citationItems":[{"id":"ITEM-1","itemData":{"DOI":"10.1093/genetics/155.2.945","ISSN":"00166731","PMID":"10835412","abstract":"We describe a model-based clustering method for using multilocus genotype data to infer population structure and assign individuals to populations. We assume a model in which there are K populations (where K may be unknown), each of which is characterized by a set of allele frequencies at each locus. Individuals in the sample are assigned (probabilistically) to populations, or jointly to two or more populations if their genotypes indicate that they are admixed. Our model does not assume a particular mutation process, and it can be applied to most of the commonly used genetic markers, provided that they are not closely linked. Applications of our method include demonstrating the presence of population structure, assigning individuals to populations, studying hybrid zones, and identifying migrants and admixed individuals. We show that the method can produce highly accurate assignments using modest numbers of loci - e.g., seven microsatellite loci in an example using genotype data from an endangered bird species. The software used for this article is available from http://www.stats.ox.ac.uk/~pritch/home.html.","author":[{"dropping-particle":"","family":"Pritchard","given":"Jonathan K.","non-dropping-particle":"","parse-names":false,"suffix":""},{"dropping-particle":"","family":"Stephens","given":"Matthew","non-dropping-particle":"","parse-names":false,"suffix":""},{"dropping-particle":"","family":"Donnelly","given":"Peter","non-dropping-particle":"","parse-names":false,"suffix":""}],"container-title":"Genetics","id":"ITEM-1","issue":"2","issued":{"date-parts":[["2000"]]},"page":"945-959","title":"Inference of population structure using multilocus genotype data","type":"article-journal","volume":"155"},"uris":["http://www.mendeley.com/documents/?uuid=4d969009-3cb2-4859-9990-0630bbfe8d3f"]}],"mendeley":{"formattedCitation":"(Pritchard et al., 2000)","plainTextFormattedCitation":"(Pritchard et al., 2000)","previouslyFormattedCitation":"(Pritchard et al., 2000)"},"properties":{"noteIndex":0},"schema":"https://github.com/citation-style-language/schema/raw/master/csl-citation.json"}</w:instrText>
      </w:r>
      <w:r w:rsidR="00817254" w:rsidRPr="001830F3">
        <w:rPr>
          <w:rFonts w:cstheme="minorHAnsi"/>
          <w:lang w:val="en-US"/>
        </w:rPr>
        <w:fldChar w:fldCharType="separate"/>
      </w:r>
      <w:r w:rsidR="00817254" w:rsidRPr="001830F3">
        <w:rPr>
          <w:rFonts w:cstheme="minorHAnsi"/>
          <w:noProof/>
          <w:lang w:val="en-US"/>
        </w:rPr>
        <w:t>(Pritchard et al., 2000)</w:t>
      </w:r>
      <w:r w:rsidR="00817254" w:rsidRPr="001830F3">
        <w:rPr>
          <w:rFonts w:cstheme="minorHAnsi"/>
          <w:lang w:val="en-US"/>
        </w:rPr>
        <w:fldChar w:fldCharType="end"/>
      </w:r>
      <w:bookmarkEnd w:id="28"/>
      <w:r w:rsidR="006A4C67" w:rsidRPr="001830F3">
        <w:rPr>
          <w:rFonts w:cstheme="minorHAnsi"/>
          <w:lang w:val="en-US"/>
        </w:rPr>
        <w:t xml:space="preserve">. </w:t>
      </w:r>
      <w:r w:rsidR="006D7158">
        <w:rPr>
          <w:rFonts w:cstheme="minorHAnsi"/>
          <w:lang w:val="en-US"/>
        </w:rPr>
        <w:t xml:space="preserve">To determine the most </w:t>
      </w:r>
      <w:r w:rsidR="00537C95">
        <w:rPr>
          <w:rFonts w:cstheme="minorHAnsi"/>
          <w:lang w:val="en-US"/>
        </w:rPr>
        <w:t xml:space="preserve">likely </w:t>
      </w:r>
      <w:r w:rsidR="006D7158">
        <w:rPr>
          <w:rFonts w:cstheme="minorHAnsi"/>
          <w:lang w:val="en-US"/>
        </w:rPr>
        <w:t xml:space="preserve">number </w:t>
      </w:r>
      <w:r w:rsidR="00537C95">
        <w:rPr>
          <w:rFonts w:cstheme="minorHAnsi"/>
          <w:lang w:val="en-US"/>
        </w:rPr>
        <w:t xml:space="preserve">of </w:t>
      </w:r>
      <w:r w:rsidR="006D7158">
        <w:rPr>
          <w:rFonts w:cstheme="minorHAnsi"/>
          <w:lang w:val="en-US"/>
        </w:rPr>
        <w:t>K</w:t>
      </w:r>
      <w:r w:rsidR="00537C95">
        <w:rPr>
          <w:rFonts w:cstheme="minorHAnsi"/>
          <w:lang w:val="en-US"/>
        </w:rPr>
        <w:t xml:space="preserve"> clusters</w:t>
      </w:r>
      <w:r w:rsidR="006D7158">
        <w:rPr>
          <w:rFonts w:cstheme="minorHAnsi"/>
          <w:lang w:val="en-US"/>
        </w:rPr>
        <w:t xml:space="preserve">, we </w:t>
      </w:r>
      <w:r w:rsidR="00537C95">
        <w:rPr>
          <w:rFonts w:cstheme="minorHAnsi"/>
          <w:lang w:val="en-US"/>
        </w:rPr>
        <w:t xml:space="preserve">used the same parameters as previously </w:t>
      </w:r>
      <w:r w:rsidR="009276F9">
        <w:rPr>
          <w:rFonts w:cstheme="minorHAnsi"/>
          <w:lang w:val="en-US"/>
        </w:rPr>
        <w:t xml:space="preserve">used in a study with data from the same populations </w:t>
      </w:r>
      <w:r w:rsidR="00817254" w:rsidRPr="001830F3">
        <w:rPr>
          <w:rFonts w:cstheme="minorHAnsi"/>
          <w:lang w:val="en-US"/>
        </w:rPr>
        <w:fldChar w:fldCharType="begin" w:fldLock="1"/>
      </w:r>
      <w:r w:rsidR="00817254" w:rsidRPr="001830F3">
        <w:rPr>
          <w:rFonts w:cstheme="minorHAnsi"/>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817254" w:rsidRPr="001830F3">
        <w:rPr>
          <w:rFonts w:cstheme="minorHAnsi"/>
          <w:lang w:val="en-US"/>
        </w:rPr>
        <w:fldChar w:fldCharType="separate"/>
      </w:r>
      <w:r w:rsidR="00817254" w:rsidRPr="001830F3">
        <w:rPr>
          <w:rFonts w:cstheme="minorHAnsi"/>
          <w:noProof/>
          <w:lang w:val="en-US"/>
        </w:rPr>
        <w:t>(Rodríguez-Bardía et al., 2022)</w:t>
      </w:r>
      <w:r w:rsidR="00817254" w:rsidRPr="001830F3">
        <w:rPr>
          <w:rFonts w:cstheme="minorHAnsi"/>
          <w:lang w:val="en-US"/>
        </w:rPr>
        <w:fldChar w:fldCharType="end"/>
      </w:r>
      <w:r w:rsidR="00817254">
        <w:rPr>
          <w:rFonts w:cstheme="minorHAnsi"/>
          <w:lang w:val="en-US"/>
        </w:rPr>
        <w:t xml:space="preserve">. </w:t>
      </w:r>
      <w:r w:rsidR="00CF78F2">
        <w:rPr>
          <w:rFonts w:cstheme="minorHAnsi"/>
          <w:lang w:val="en-US"/>
        </w:rPr>
        <w:t>W</w:t>
      </w:r>
      <w:r w:rsidR="00EF2593">
        <w:rPr>
          <w:rFonts w:cstheme="minorHAnsi"/>
          <w:lang w:val="en-US"/>
        </w:rPr>
        <w:t xml:space="preserve">e </w:t>
      </w:r>
      <w:r w:rsidR="00160364">
        <w:rPr>
          <w:rFonts w:cstheme="minorHAnsi"/>
          <w:lang w:val="en-US"/>
        </w:rPr>
        <w:t xml:space="preserve">used </w:t>
      </w:r>
      <w:r w:rsidR="00EF2593">
        <w:rPr>
          <w:rFonts w:cstheme="minorHAnsi"/>
          <w:lang w:val="en-US"/>
        </w:rPr>
        <w:t>c</w:t>
      </w:r>
      <w:r w:rsidR="006A4C67" w:rsidRPr="001830F3">
        <w:rPr>
          <w:rFonts w:cstheme="minorHAnsi"/>
          <w:lang w:val="en-US"/>
        </w:rPr>
        <w:t>orrelated allele frequenc</w:t>
      </w:r>
      <w:r w:rsidR="00421D07">
        <w:rPr>
          <w:rFonts w:cstheme="minorHAnsi"/>
          <w:lang w:val="en-US"/>
        </w:rPr>
        <w:t>ies</w:t>
      </w:r>
      <w:r w:rsidR="006A4C67" w:rsidRPr="001830F3">
        <w:rPr>
          <w:rFonts w:cstheme="minorHAnsi"/>
          <w:lang w:val="en-US"/>
        </w:rPr>
        <w:t xml:space="preserve"> </w:t>
      </w:r>
      <w:r w:rsidR="00421D07">
        <w:rPr>
          <w:rFonts w:cstheme="minorHAnsi"/>
          <w:lang w:val="en-US"/>
        </w:rPr>
        <w:t>and</w:t>
      </w:r>
      <w:r w:rsidR="00421D07" w:rsidRPr="001830F3">
        <w:rPr>
          <w:rFonts w:cstheme="minorHAnsi"/>
          <w:lang w:val="en-US"/>
        </w:rPr>
        <w:t xml:space="preserve"> </w:t>
      </w:r>
      <w:r w:rsidR="00537C95">
        <w:rPr>
          <w:rFonts w:cstheme="minorHAnsi"/>
          <w:lang w:val="en-US"/>
        </w:rPr>
        <w:t>an</w:t>
      </w:r>
      <w:r w:rsidR="00537C95" w:rsidRPr="001830F3">
        <w:rPr>
          <w:rFonts w:cstheme="minorHAnsi"/>
          <w:lang w:val="en-US"/>
        </w:rPr>
        <w:t xml:space="preserve"> </w:t>
      </w:r>
      <w:r w:rsidR="006A4C67" w:rsidRPr="001830F3">
        <w:rPr>
          <w:rFonts w:cstheme="minorHAnsi"/>
          <w:lang w:val="en-US"/>
        </w:rPr>
        <w:t>admixture model</w:t>
      </w:r>
      <w:r w:rsidR="00421D07">
        <w:rPr>
          <w:rFonts w:cstheme="minorHAnsi"/>
          <w:lang w:val="en-US"/>
        </w:rPr>
        <w:t xml:space="preserve"> </w:t>
      </w:r>
      <w:r w:rsidR="006A4C67" w:rsidRPr="001830F3">
        <w:rPr>
          <w:rFonts w:cstheme="minorHAnsi"/>
          <w:lang w:val="en-US"/>
        </w:rPr>
        <w:t>with 300</w:t>
      </w:r>
      <w:r w:rsidR="00FA46A3">
        <w:rPr>
          <w:rFonts w:cstheme="minorHAnsi"/>
          <w:lang w:val="en-US"/>
        </w:rPr>
        <w:t xml:space="preserve"> </w:t>
      </w:r>
      <w:r w:rsidR="006A4C67" w:rsidRPr="001830F3">
        <w:rPr>
          <w:rFonts w:cstheme="minorHAnsi"/>
          <w:lang w:val="en-US"/>
        </w:rPr>
        <w:t xml:space="preserve">000 </w:t>
      </w:r>
      <w:r w:rsidR="00FA46A3">
        <w:rPr>
          <w:rFonts w:cstheme="minorHAnsi"/>
          <w:lang w:val="en-US"/>
        </w:rPr>
        <w:t>M</w:t>
      </w:r>
      <w:r w:rsidR="00FA46A3" w:rsidRPr="001830F3">
        <w:rPr>
          <w:rFonts w:cstheme="minorHAnsi"/>
          <w:lang w:val="en-US"/>
        </w:rPr>
        <w:t xml:space="preserve">arkov </w:t>
      </w:r>
      <w:r w:rsidR="006A4C67" w:rsidRPr="001830F3">
        <w:rPr>
          <w:rFonts w:cstheme="minorHAnsi"/>
          <w:lang w:val="en-US"/>
        </w:rPr>
        <w:t xml:space="preserve">chains, </w:t>
      </w:r>
      <w:r w:rsidR="00FA46A3">
        <w:rPr>
          <w:rFonts w:cstheme="minorHAnsi"/>
          <w:lang w:val="en-US"/>
        </w:rPr>
        <w:t xml:space="preserve">and a </w:t>
      </w:r>
      <w:r w:rsidR="00FB0A90">
        <w:rPr>
          <w:rFonts w:cstheme="minorHAnsi"/>
          <w:lang w:val="en-US"/>
        </w:rPr>
        <w:t>burning</w:t>
      </w:r>
      <w:r w:rsidR="00FA46A3">
        <w:rPr>
          <w:rFonts w:cstheme="minorHAnsi"/>
          <w:lang w:val="en-US"/>
        </w:rPr>
        <w:t xml:space="preserve"> of </w:t>
      </w:r>
      <w:r w:rsidR="006A4C67" w:rsidRPr="001830F3">
        <w:rPr>
          <w:rFonts w:cstheme="minorHAnsi"/>
          <w:lang w:val="en-US"/>
        </w:rPr>
        <w:t>30</w:t>
      </w:r>
      <w:r w:rsidR="00FA46A3">
        <w:rPr>
          <w:rFonts w:cstheme="minorHAnsi"/>
          <w:lang w:val="en-US"/>
        </w:rPr>
        <w:t xml:space="preserve"> </w:t>
      </w:r>
      <w:r w:rsidR="006A4C67" w:rsidRPr="001830F3">
        <w:rPr>
          <w:rFonts w:cstheme="minorHAnsi"/>
          <w:lang w:val="en-US"/>
        </w:rPr>
        <w:t xml:space="preserve">000 </w:t>
      </w:r>
      <w:r w:rsidR="00FA46A3">
        <w:rPr>
          <w:rFonts w:cstheme="minorHAnsi"/>
          <w:lang w:val="en-US"/>
        </w:rPr>
        <w:t xml:space="preserve">chains. We </w:t>
      </w:r>
      <w:r w:rsidR="003E584C">
        <w:rPr>
          <w:rFonts w:cstheme="minorHAnsi"/>
          <w:lang w:val="en-US"/>
        </w:rPr>
        <w:t xml:space="preserve">grouped individuals </w:t>
      </w:r>
      <w:r w:rsidR="006D7158">
        <w:rPr>
          <w:rFonts w:cstheme="minorHAnsi"/>
          <w:lang w:val="en-US"/>
        </w:rPr>
        <w:t xml:space="preserve">in </w:t>
      </w:r>
      <w:r w:rsidR="006A4C67" w:rsidRPr="001830F3">
        <w:rPr>
          <w:rFonts w:cstheme="minorHAnsi"/>
          <w:lang w:val="en-US"/>
        </w:rPr>
        <w:t xml:space="preserve">1 to 6 clusters with 20 repetitions for each cluster </w:t>
      </w:r>
      <w:r w:rsidR="00D22709" w:rsidRPr="001830F3">
        <w:rPr>
          <w:rFonts w:cstheme="minorHAnsi"/>
          <w:lang w:val="en-US"/>
        </w:rPr>
        <w:fldChar w:fldCharType="begin" w:fldLock="1"/>
      </w:r>
      <w:r w:rsidR="006A4C67" w:rsidRPr="001830F3">
        <w:rPr>
          <w:rFonts w:cstheme="minorHAnsi"/>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D22709" w:rsidRPr="001830F3">
        <w:rPr>
          <w:rFonts w:cstheme="minorHAnsi"/>
          <w:lang w:val="en-US"/>
        </w:rPr>
        <w:fldChar w:fldCharType="separate"/>
      </w:r>
      <w:r w:rsidR="006A4C67" w:rsidRPr="001830F3">
        <w:rPr>
          <w:rFonts w:cstheme="minorHAnsi"/>
          <w:noProof/>
          <w:lang w:val="en-US"/>
        </w:rPr>
        <w:t>(Rodríguez-Bardía et al., 2022)</w:t>
      </w:r>
      <w:r w:rsidR="00D22709" w:rsidRPr="001830F3">
        <w:rPr>
          <w:rFonts w:cstheme="minorHAnsi"/>
          <w:lang w:val="en-US"/>
        </w:rPr>
        <w:fldChar w:fldCharType="end"/>
      </w:r>
      <w:r w:rsidR="006A4C67" w:rsidRPr="001830F3">
        <w:rPr>
          <w:rFonts w:cstheme="minorHAnsi"/>
          <w:lang w:val="en-US"/>
        </w:rPr>
        <w:t xml:space="preserve">. To determine the most </w:t>
      </w:r>
      <w:r w:rsidR="003E584C">
        <w:rPr>
          <w:rFonts w:cstheme="minorHAnsi"/>
          <w:lang w:val="en-US"/>
        </w:rPr>
        <w:t xml:space="preserve">likely number of </w:t>
      </w:r>
      <w:r w:rsidR="00EF2593">
        <w:rPr>
          <w:rFonts w:cstheme="minorHAnsi"/>
          <w:lang w:val="en-US"/>
        </w:rPr>
        <w:t xml:space="preserve">K </w:t>
      </w:r>
      <w:r w:rsidR="006A4C67" w:rsidRPr="001830F3">
        <w:rPr>
          <w:rFonts w:cstheme="minorHAnsi"/>
          <w:lang w:val="en-US"/>
        </w:rPr>
        <w:t>clusters we used Structure</w:t>
      </w:r>
      <w:r w:rsidR="00B6662E">
        <w:rPr>
          <w:rFonts w:cstheme="minorHAnsi"/>
          <w:lang w:val="en-US"/>
        </w:rPr>
        <w:t xml:space="preserve"> </w:t>
      </w:r>
      <w:r w:rsidR="003E584C">
        <w:rPr>
          <w:rFonts w:cstheme="minorHAnsi"/>
          <w:lang w:val="en-US"/>
        </w:rPr>
        <w:t>H</w:t>
      </w:r>
      <w:r w:rsidR="006A4C67" w:rsidRPr="001830F3">
        <w:rPr>
          <w:rFonts w:cstheme="minorHAnsi"/>
          <w:lang w:val="en-US"/>
        </w:rPr>
        <w:t xml:space="preserve">arvester 0.6.94 </w:t>
      </w:r>
      <w:r w:rsidR="00D22709" w:rsidRPr="001830F3">
        <w:rPr>
          <w:rFonts w:cstheme="minorHAnsi"/>
          <w:lang w:val="en-US"/>
        </w:rPr>
        <w:fldChar w:fldCharType="begin" w:fldLock="1"/>
      </w:r>
      <w:r w:rsidR="006A4C67" w:rsidRPr="001830F3">
        <w:rPr>
          <w:rFonts w:cstheme="minorHAnsi"/>
          <w:lang w:val="en-US"/>
        </w:rPr>
        <w:instrText>ADDIN CSL_CITATION {"citationItems":[{"id":"ITEM-1","itemData":{"DOI":"10.1111/j.1365-294X.2005.02553.x","ISSN":"09621083","PMID":"15969739","abstract":"The identification of genetically homogeneous groups of individuals is a long standing issue in population genetics. A recent Bayesian algorithm implemented in the software STRUCTURE allows the identification of such groups. However, the ability of this algorithm to detect the true number of clusters (K) in a sample of individuals when patterns of dispersal among populations are not homogeneous has not been tested. The goal of this study is to carry out such tests, using various dispersal scenarios from data generated with an individual-based model. We found that in most cases the estimated 'log probability of data' does not provide a correct estimation of the number of clusters, K. However, using an ad hoc statistic ΔK based on the rate of change in the log probability of data between successive K values, we found that STRUCTURE accurately detects the uppermost hierarchical level of structure for the scenarios we tested. As might be expected, the results are sensitive to the type of genetic marker used (AFLP vs. microsatellite), the number of loci scored, the number of populations sampled, and the number of individuals typed in each sample. © 2005 Blackwell Publishing Ltd.","author":[{"dropping-particle":"","family":"Evanno","given":"G.","non-dropping-particle":"","parse-names":false,"suffix":""},{"dropping-particle":"","family":"Regnaut","given":"S.","non-dropping-particle":"","parse-names":false,"suffix":""},{"dropping-particle":"","family":"Goudet","given":"J.","non-dropping-particle":"","parse-names":false,"suffix":""}],"container-title":"Molecular Ecology","id":"ITEM-1","issue":"8","issued":{"date-parts":[["2005"]]},"page":"2611-2620","title":"Detecting the number of clusters of individuals using the software STRUCTURE: A simulation study","type":"article-journal","volume":"14"},"uris":["http://www.mendeley.com/documents/?uuid=4e5c9af5-1499-41f8-bdee-bfcfd79f97dc"]}],"mendeley":{"formattedCitation":"(Evanno et al., 2005)","plainTextFormattedCitation":"(Evanno et al., 2005)","previouslyFormattedCitation":"(Evanno et al., 2005)"},"properties":{"noteIndex":0},"schema":"https://github.com/citation-style-language/schema/raw/master/csl-citation.json"}</w:instrText>
      </w:r>
      <w:r w:rsidR="00D22709" w:rsidRPr="001830F3">
        <w:rPr>
          <w:rFonts w:cstheme="minorHAnsi"/>
          <w:lang w:val="en-US"/>
        </w:rPr>
        <w:fldChar w:fldCharType="separate"/>
      </w:r>
      <w:r w:rsidR="006A4C67" w:rsidRPr="001830F3">
        <w:rPr>
          <w:rFonts w:cstheme="minorHAnsi"/>
          <w:noProof/>
          <w:lang w:val="en-US"/>
        </w:rPr>
        <w:t>(Evanno et al., 2005)</w:t>
      </w:r>
      <w:r w:rsidR="00D22709" w:rsidRPr="001830F3">
        <w:rPr>
          <w:rFonts w:cstheme="minorHAnsi"/>
          <w:lang w:val="en-US"/>
        </w:rPr>
        <w:fldChar w:fldCharType="end"/>
      </w:r>
      <w:r w:rsidR="006A4C67" w:rsidRPr="001830F3">
        <w:rPr>
          <w:rFonts w:cstheme="minorHAnsi"/>
          <w:lang w:val="en-US"/>
        </w:rPr>
        <w:t xml:space="preserve">. After determining the most </w:t>
      </w:r>
      <w:r w:rsidR="00190A4C">
        <w:rPr>
          <w:rFonts w:cstheme="minorHAnsi"/>
          <w:lang w:val="en-US"/>
        </w:rPr>
        <w:t>likely number of K</w:t>
      </w:r>
      <w:r w:rsidR="00190A4C" w:rsidRPr="001830F3">
        <w:rPr>
          <w:rFonts w:cstheme="minorHAnsi"/>
          <w:lang w:val="en-US"/>
        </w:rPr>
        <w:t xml:space="preserve"> </w:t>
      </w:r>
      <w:r w:rsidR="006A4C67" w:rsidRPr="001830F3">
        <w:rPr>
          <w:rFonts w:cstheme="minorHAnsi"/>
          <w:lang w:val="en-US"/>
        </w:rPr>
        <w:t>cluster</w:t>
      </w:r>
      <w:r w:rsidR="0067597E">
        <w:rPr>
          <w:rFonts w:cstheme="minorHAnsi"/>
          <w:lang w:val="en-US"/>
        </w:rPr>
        <w:t>s</w:t>
      </w:r>
      <w:r w:rsidR="00190A4C">
        <w:rPr>
          <w:rFonts w:cstheme="minorHAnsi"/>
          <w:lang w:val="en-US"/>
        </w:rPr>
        <w:t>,</w:t>
      </w:r>
      <w:r w:rsidR="006A4C67" w:rsidRPr="001830F3">
        <w:rPr>
          <w:rFonts w:cstheme="minorHAnsi"/>
          <w:lang w:val="en-US"/>
        </w:rPr>
        <w:t xml:space="preserve"> we </w:t>
      </w:r>
      <w:r w:rsidR="009276F9">
        <w:rPr>
          <w:rFonts w:cstheme="minorHAnsi"/>
          <w:lang w:val="en-US"/>
        </w:rPr>
        <w:t xml:space="preserve">used this K value to </w:t>
      </w:r>
      <w:r w:rsidR="006A4C67" w:rsidRPr="001830F3">
        <w:rPr>
          <w:rFonts w:cstheme="minorHAnsi"/>
          <w:lang w:val="en-US"/>
        </w:rPr>
        <w:t xml:space="preserve">conduct </w:t>
      </w:r>
      <w:r w:rsidR="00190A4C">
        <w:rPr>
          <w:rFonts w:cstheme="minorHAnsi"/>
          <w:lang w:val="en-US"/>
        </w:rPr>
        <w:t xml:space="preserve">another </w:t>
      </w:r>
      <w:r w:rsidR="009276F9">
        <w:rPr>
          <w:rFonts w:cstheme="minorHAnsi"/>
          <w:lang w:val="en-US"/>
        </w:rPr>
        <w:t>STRUCTURE</w:t>
      </w:r>
      <w:r w:rsidR="006A4C67" w:rsidRPr="001830F3">
        <w:rPr>
          <w:rFonts w:cstheme="minorHAnsi"/>
          <w:lang w:val="en-US"/>
        </w:rPr>
        <w:t xml:space="preserve"> analysis with 1 000 000 </w:t>
      </w:r>
      <w:r w:rsidR="00190A4C">
        <w:rPr>
          <w:rFonts w:cstheme="minorHAnsi"/>
          <w:lang w:val="en-US"/>
        </w:rPr>
        <w:t>M</w:t>
      </w:r>
      <w:r w:rsidR="00190A4C" w:rsidRPr="001830F3">
        <w:rPr>
          <w:rFonts w:cstheme="minorHAnsi"/>
          <w:lang w:val="en-US"/>
        </w:rPr>
        <w:t xml:space="preserve">arkov </w:t>
      </w:r>
      <w:r w:rsidR="006A4C67" w:rsidRPr="001830F3">
        <w:rPr>
          <w:rFonts w:cstheme="minorHAnsi"/>
          <w:lang w:val="en-US"/>
        </w:rPr>
        <w:t xml:space="preserve">chains and a burn-in of 100 000 </w:t>
      </w:r>
      <w:r w:rsidR="00190A4C">
        <w:rPr>
          <w:rFonts w:cstheme="minorHAnsi"/>
          <w:lang w:val="en-US"/>
        </w:rPr>
        <w:t xml:space="preserve">chains to </w:t>
      </w:r>
      <w:r w:rsidR="00F91C14">
        <w:rPr>
          <w:rFonts w:cstheme="minorHAnsi"/>
          <w:lang w:val="en-US"/>
        </w:rPr>
        <w:t xml:space="preserve">ensure </w:t>
      </w:r>
      <w:r w:rsidR="00190A4C">
        <w:rPr>
          <w:rFonts w:cstheme="minorHAnsi"/>
          <w:lang w:val="en-US"/>
        </w:rPr>
        <w:t xml:space="preserve">proper </w:t>
      </w:r>
      <w:r w:rsidR="002C13AB">
        <w:rPr>
          <w:rFonts w:cstheme="minorHAnsi"/>
          <w:lang w:val="en-US"/>
        </w:rPr>
        <w:t xml:space="preserve">chain </w:t>
      </w:r>
      <w:r w:rsidR="00190A4C">
        <w:rPr>
          <w:rFonts w:cstheme="minorHAnsi"/>
          <w:lang w:val="en-US"/>
        </w:rPr>
        <w:t xml:space="preserve">mixture </w:t>
      </w:r>
      <w:r w:rsidR="00D22709" w:rsidRPr="001830F3">
        <w:rPr>
          <w:rFonts w:cstheme="minorHAnsi"/>
          <w:lang w:val="en-US"/>
        </w:rPr>
        <w:fldChar w:fldCharType="begin" w:fldLock="1"/>
      </w:r>
      <w:r w:rsidR="006A4C67" w:rsidRPr="001830F3">
        <w:rPr>
          <w:rFonts w:cstheme="minorHAnsi"/>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D22709" w:rsidRPr="001830F3">
        <w:rPr>
          <w:rFonts w:cstheme="minorHAnsi"/>
          <w:lang w:val="en-US"/>
        </w:rPr>
        <w:fldChar w:fldCharType="separate"/>
      </w:r>
      <w:r w:rsidR="006A4C67" w:rsidRPr="001830F3">
        <w:rPr>
          <w:rFonts w:cstheme="minorHAnsi"/>
          <w:noProof/>
          <w:lang w:val="en-US"/>
        </w:rPr>
        <w:t>(Rodríguez-Bardía et al., 2022)</w:t>
      </w:r>
      <w:r w:rsidR="00D22709" w:rsidRPr="001830F3">
        <w:rPr>
          <w:rFonts w:cstheme="minorHAnsi"/>
          <w:lang w:val="en-US"/>
        </w:rPr>
        <w:fldChar w:fldCharType="end"/>
      </w:r>
      <w:r w:rsidR="006A4C67" w:rsidRPr="001830F3">
        <w:rPr>
          <w:rFonts w:cstheme="minorHAnsi"/>
          <w:lang w:val="en-US"/>
        </w:rPr>
        <w:t xml:space="preserve">. </w:t>
      </w:r>
    </w:p>
    <w:p w14:paraId="67106589" w14:textId="77777777" w:rsidR="00D874D1" w:rsidRPr="00EF2593" w:rsidRDefault="00D22709" w:rsidP="00CF2EA8">
      <w:pPr>
        <w:spacing w:line="480" w:lineRule="auto"/>
        <w:rPr>
          <w:rFonts w:cstheme="minorHAnsi"/>
          <w:i/>
          <w:lang w:val="en-US"/>
        </w:rPr>
      </w:pPr>
      <w:r w:rsidRPr="006564DF">
        <w:rPr>
          <w:rFonts w:cstheme="minorHAnsi"/>
          <w:i/>
          <w:lang w:val="en-US"/>
        </w:rPr>
        <w:t>Acoustic analyses</w:t>
      </w:r>
    </w:p>
    <w:p w14:paraId="7B142184" w14:textId="354C5D49" w:rsidR="00C1381F" w:rsidRPr="00695062" w:rsidRDefault="00C1381F" w:rsidP="001830F3">
      <w:pPr>
        <w:spacing w:line="480" w:lineRule="auto"/>
        <w:ind w:firstLine="708"/>
        <w:rPr>
          <w:rFonts w:cstheme="minorHAnsi"/>
          <w:lang w:val="en-US"/>
        </w:rPr>
      </w:pPr>
      <w:r w:rsidRPr="00695062">
        <w:rPr>
          <w:rFonts w:cstheme="minorHAnsi"/>
          <w:lang w:val="en-US"/>
        </w:rPr>
        <w:t>To analyze the effect of time on acoustic measurements</w:t>
      </w:r>
      <w:r w:rsidR="00655387" w:rsidRPr="00695062">
        <w:rPr>
          <w:rFonts w:cstheme="minorHAnsi"/>
          <w:lang w:val="en-US"/>
        </w:rPr>
        <w:t>,</w:t>
      </w:r>
      <w:r w:rsidRPr="00695062">
        <w:rPr>
          <w:rFonts w:cstheme="minorHAnsi"/>
          <w:lang w:val="en-US"/>
        </w:rPr>
        <w:t xml:space="preserve"> </w:t>
      </w:r>
      <w:r w:rsidR="009F4C70" w:rsidRPr="00695062">
        <w:rPr>
          <w:rFonts w:cstheme="minorHAnsi"/>
          <w:lang w:val="en-US"/>
        </w:rPr>
        <w:t>we analyze</w:t>
      </w:r>
      <w:r w:rsidR="00190A4C">
        <w:rPr>
          <w:rFonts w:cstheme="minorHAnsi"/>
          <w:lang w:val="en-US"/>
        </w:rPr>
        <w:t>d</w:t>
      </w:r>
      <w:r w:rsidR="009F4C70" w:rsidRPr="00695062">
        <w:rPr>
          <w:rFonts w:cstheme="minorHAnsi"/>
          <w:lang w:val="en-US"/>
        </w:rPr>
        <w:t xml:space="preserve"> 10</w:t>
      </w:r>
      <w:r w:rsidR="0067597E">
        <w:rPr>
          <w:rFonts w:cstheme="minorHAnsi"/>
          <w:lang w:val="en-US"/>
        </w:rPr>
        <w:t xml:space="preserve"> </w:t>
      </w:r>
      <w:r w:rsidR="009F4C70" w:rsidRPr="00695062">
        <w:rPr>
          <w:rFonts w:cstheme="minorHAnsi"/>
          <w:lang w:val="en-US"/>
        </w:rPr>
        <w:t>7</w:t>
      </w:r>
      <w:r w:rsidR="00AB20F1" w:rsidRPr="00695062">
        <w:rPr>
          <w:rFonts w:cstheme="minorHAnsi"/>
          <w:lang w:val="en-US"/>
        </w:rPr>
        <w:t>07</w:t>
      </w:r>
      <w:r w:rsidR="009F4C70" w:rsidRPr="00695062">
        <w:rPr>
          <w:rFonts w:cstheme="minorHAnsi"/>
          <w:lang w:val="en-US"/>
        </w:rPr>
        <w:t xml:space="preserve"> solo songs. </w:t>
      </w:r>
      <w:r w:rsidR="00F17039" w:rsidRPr="00695062">
        <w:rPr>
          <w:rFonts w:cstheme="minorHAnsi"/>
          <w:lang w:val="en-US"/>
        </w:rPr>
        <w:t xml:space="preserve">We </w:t>
      </w:r>
      <w:r w:rsidR="00CF78F2">
        <w:rPr>
          <w:rFonts w:cstheme="minorHAnsi"/>
          <w:lang w:val="en-US"/>
        </w:rPr>
        <w:t>conducted</w:t>
      </w:r>
      <w:r w:rsidR="00CF78F2" w:rsidRPr="00695062">
        <w:rPr>
          <w:rFonts w:cstheme="minorHAnsi"/>
          <w:lang w:val="en-US"/>
        </w:rPr>
        <w:t xml:space="preserve"> </w:t>
      </w:r>
      <w:r w:rsidR="006A0531">
        <w:rPr>
          <w:rFonts w:cstheme="minorHAnsi"/>
          <w:lang w:val="en-US"/>
        </w:rPr>
        <w:t xml:space="preserve">a </w:t>
      </w:r>
      <w:r w:rsidR="00F17039" w:rsidRPr="00695062">
        <w:rPr>
          <w:rFonts w:cstheme="minorHAnsi"/>
          <w:lang w:val="en-US"/>
        </w:rPr>
        <w:t xml:space="preserve">principal component analysis (PCA) </w:t>
      </w:r>
      <w:r w:rsidR="00997A15" w:rsidRPr="00695062">
        <w:rPr>
          <w:rFonts w:cstheme="minorHAnsi"/>
          <w:lang w:val="en-US"/>
        </w:rPr>
        <w:t>using</w:t>
      </w:r>
      <w:r w:rsidR="00D90D68">
        <w:rPr>
          <w:rFonts w:cstheme="minorHAnsi"/>
          <w:lang w:val="en-US"/>
        </w:rPr>
        <w:t xml:space="preserve"> the</w:t>
      </w:r>
      <w:r w:rsidR="00997A15" w:rsidRPr="00695062">
        <w:rPr>
          <w:rFonts w:cstheme="minorHAnsi"/>
          <w:lang w:val="en-US"/>
        </w:rPr>
        <w:t xml:space="preserve"> “</w:t>
      </w:r>
      <w:proofErr w:type="spellStart"/>
      <w:r w:rsidR="00997A15" w:rsidRPr="00695062">
        <w:rPr>
          <w:rFonts w:cstheme="minorHAnsi"/>
          <w:lang w:val="en-US"/>
        </w:rPr>
        <w:t>FactoMineR</w:t>
      </w:r>
      <w:proofErr w:type="spellEnd"/>
      <w:r w:rsidR="00997A15" w:rsidRPr="00695062">
        <w:rPr>
          <w:rFonts w:cstheme="minorHAnsi"/>
          <w:lang w:val="en-US"/>
        </w:rPr>
        <w:t xml:space="preserve">” </w:t>
      </w:r>
      <w:r w:rsidR="00D90D68">
        <w:rPr>
          <w:rFonts w:cstheme="minorHAnsi"/>
          <w:lang w:val="en-US"/>
        </w:rPr>
        <w:t xml:space="preserve">R </w:t>
      </w:r>
      <w:r w:rsidR="00997A15" w:rsidRPr="00695062">
        <w:rPr>
          <w:rFonts w:cstheme="minorHAnsi"/>
          <w:lang w:val="en-US"/>
        </w:rPr>
        <w:t xml:space="preserve">package </w:t>
      </w:r>
      <w:r w:rsidR="00D22709">
        <w:rPr>
          <w:rFonts w:cstheme="minorHAnsi"/>
          <w:lang w:val="en-US"/>
        </w:rPr>
        <w:fldChar w:fldCharType="begin" w:fldLock="1"/>
      </w:r>
      <w:r w:rsidR="00B877DC">
        <w:rPr>
          <w:rFonts w:cstheme="minorHAnsi"/>
          <w:lang w:val="en-US"/>
        </w:rPr>
        <w:instrText>ADDIN CSL_CITATION {"citationItems":[{"id":"ITEM-1","itemData":{"DOI":"10.1016/j.envint.2008.06.007","ISSN":"18736750","PMID":"18676020","abstract":"To evaluate the status of polybrominated diphenyl ethers (PBDEs) contamination in poultry and sequentially human exposure through consumption of poultry in an e-waste recycling site in South China, two kinds of free-range domestic birds, chicken and duck, were collected and their muscle and liver tissues were analyzed for 16 PBDE congeners. Chicken shows higher PBDE concentrations (summation of 16 PBDE congeners) in both muscle and liver tissues, ranged from 5.7 to 4381 and from 1.5 to 7897 ng/g (lipid weight, the same hereinafter), respectively, compared to duck, ranged from 2.4 to 51 and from 1.9 to 134 ng/g. Different living habitat and feeding habits between the two species might be responsible for this observation. No sex-related differences in PBDE concentrations were found for the two species, while the PBDE concentrations in muscle were higher than those in liver for chicken. The PBDE concentrations in muscle of chicken in the present study were higher than the levels of PBDEs in chicken from other studies reported by far. BDE209 and nona-BDEs were the major congeners in poultry. Comparison of PBDE profiles between birds and environmental matrix implied that the biodebromination of BDE209 might occur in poultry. The intake of PBDEs through consumption of poultry ranges from 7.8 ng/day to 3582 ng/day with a medial 68 ng/day, which is comparable to the calculated values through consumption of all foodstuffs in other studies. The present study suggested that the total dietary PBDEs intake for local residents might be considerably enhanced due to the e-waste recycling activity. © 2008 Elsevier Ltd. All rights reserved.","author":[{"dropping-particle":"","family":"Lê","given":"Sébastien","non-dropping-particle":"","parse-names":false,"suffix":""},{"dropping-particle":"","family":"Josse","given":"Julie","non-dropping-particle":"","parse-names":false,"suffix":""},{"dropping-particle":"","family":"Husson","given":"Francois","non-dropping-particle":"","parse-names":false,"suffix":""}],"container-title":"JournalofStatisticalSoftware","id":"ITEM-1","issue":"1","issued":{"date-parts":[["2008"]]},"page":"253-258","title":"FactoMineR: An R Package for Multivariate Analysis","type":"article-journal","volume":"25"},"uris":["http://www.mendeley.com/documents/?uuid=0b053768-97b3-4454-8a73-e038bfe98cef"]}],"mendeley":{"formattedCitation":"(Lê et al., 2008)","plainTextFormattedCitation":"(Lê et al., 2008)","previouslyFormattedCitation":"(Lê et al., 2008)"},"properties":{"noteIndex":0},"schema":"https://github.com/citation-style-language/schema/raw/master/csl-citation.json"}</w:instrText>
      </w:r>
      <w:r w:rsidR="00D22709">
        <w:rPr>
          <w:rFonts w:cstheme="minorHAnsi"/>
          <w:lang w:val="en-US"/>
        </w:rPr>
        <w:fldChar w:fldCharType="separate"/>
      </w:r>
      <w:r w:rsidR="00815293" w:rsidRPr="00815293">
        <w:rPr>
          <w:rFonts w:cstheme="minorHAnsi"/>
          <w:noProof/>
          <w:lang w:val="en-US"/>
        </w:rPr>
        <w:t>(Lê et al., 2008)</w:t>
      </w:r>
      <w:r w:rsidR="00D22709">
        <w:rPr>
          <w:rFonts w:cstheme="minorHAnsi"/>
          <w:lang w:val="en-US"/>
        </w:rPr>
        <w:fldChar w:fldCharType="end"/>
      </w:r>
      <w:r w:rsidR="00D90D68">
        <w:rPr>
          <w:rFonts w:cstheme="minorHAnsi"/>
          <w:lang w:val="en-US"/>
        </w:rPr>
        <w:t xml:space="preserve"> </w:t>
      </w:r>
      <w:r w:rsidR="00F17039" w:rsidRPr="00695062">
        <w:rPr>
          <w:rFonts w:cstheme="minorHAnsi"/>
          <w:lang w:val="en-US"/>
        </w:rPr>
        <w:t>to condense the five so</w:t>
      </w:r>
      <w:r w:rsidR="000620C9" w:rsidRPr="00695062">
        <w:rPr>
          <w:rFonts w:cstheme="minorHAnsi"/>
          <w:lang w:val="en-US"/>
        </w:rPr>
        <w:t>ng</w:t>
      </w:r>
      <w:r w:rsidR="00F17039" w:rsidRPr="00695062">
        <w:rPr>
          <w:rFonts w:cstheme="minorHAnsi"/>
          <w:lang w:val="en-US"/>
        </w:rPr>
        <w:t xml:space="preserve"> measurements into three </w:t>
      </w:r>
      <w:r w:rsidR="001F1381">
        <w:rPr>
          <w:rFonts w:cstheme="minorHAnsi"/>
          <w:lang w:val="en-US"/>
        </w:rPr>
        <w:t xml:space="preserve">principal components </w:t>
      </w:r>
      <w:r w:rsidR="00F17039" w:rsidRPr="00695062">
        <w:rPr>
          <w:rFonts w:cstheme="minorHAnsi"/>
          <w:lang w:val="en-US"/>
        </w:rPr>
        <w:t xml:space="preserve">with eigenvalues &gt; 1, </w:t>
      </w:r>
      <w:r w:rsidR="0067597E">
        <w:rPr>
          <w:rFonts w:cstheme="minorHAnsi"/>
          <w:lang w:val="en-US"/>
        </w:rPr>
        <w:t>which</w:t>
      </w:r>
      <w:r w:rsidR="0067597E" w:rsidRPr="00695062">
        <w:rPr>
          <w:rFonts w:cstheme="minorHAnsi"/>
          <w:lang w:val="en-US"/>
        </w:rPr>
        <w:t xml:space="preserve"> </w:t>
      </w:r>
      <w:r w:rsidR="00F17039" w:rsidRPr="00695062">
        <w:rPr>
          <w:rFonts w:cstheme="minorHAnsi"/>
          <w:lang w:val="en-US"/>
        </w:rPr>
        <w:t xml:space="preserve">explained 76% of </w:t>
      </w:r>
      <w:r w:rsidR="0067597E">
        <w:rPr>
          <w:rFonts w:cstheme="minorHAnsi"/>
          <w:lang w:val="en-US"/>
        </w:rPr>
        <w:t xml:space="preserve">the </w:t>
      </w:r>
      <w:r w:rsidR="00F17039" w:rsidRPr="00695062">
        <w:rPr>
          <w:rFonts w:cstheme="minorHAnsi"/>
          <w:lang w:val="en-US"/>
        </w:rPr>
        <w:t xml:space="preserve">total variance. The first principal component (PC1) </w:t>
      </w:r>
      <w:r w:rsidR="006A0531">
        <w:rPr>
          <w:rFonts w:cstheme="minorHAnsi"/>
          <w:lang w:val="en-US"/>
        </w:rPr>
        <w:t>correlate</w:t>
      </w:r>
      <w:r w:rsidR="00F47F6C">
        <w:rPr>
          <w:rFonts w:cstheme="minorHAnsi"/>
          <w:lang w:val="en-US"/>
        </w:rPr>
        <w:t>d</w:t>
      </w:r>
      <w:r w:rsidR="006A0531">
        <w:rPr>
          <w:rFonts w:cstheme="minorHAnsi"/>
          <w:lang w:val="en-US"/>
        </w:rPr>
        <w:t xml:space="preserve"> with</w:t>
      </w:r>
      <w:r w:rsidR="006A0531" w:rsidRPr="00695062">
        <w:rPr>
          <w:rFonts w:cstheme="minorHAnsi"/>
          <w:lang w:val="en-US"/>
        </w:rPr>
        <w:t xml:space="preserve"> </w:t>
      </w:r>
      <w:r w:rsidR="00F17039" w:rsidRPr="00695062">
        <w:rPr>
          <w:rFonts w:cstheme="minorHAnsi"/>
          <w:lang w:val="en-US"/>
        </w:rPr>
        <w:t xml:space="preserve">duration and </w:t>
      </w:r>
      <w:r w:rsidR="00997A15" w:rsidRPr="00695062">
        <w:rPr>
          <w:rFonts w:cstheme="minorHAnsi"/>
          <w:lang w:val="en-US"/>
        </w:rPr>
        <w:t xml:space="preserve">number of elements, </w:t>
      </w:r>
      <w:r w:rsidR="0067597E">
        <w:rPr>
          <w:rFonts w:cstheme="minorHAnsi"/>
          <w:lang w:val="en-US"/>
        </w:rPr>
        <w:t xml:space="preserve">while </w:t>
      </w:r>
      <w:r w:rsidR="00997A15" w:rsidRPr="00695062">
        <w:rPr>
          <w:rFonts w:cstheme="minorHAnsi"/>
          <w:lang w:val="en-US"/>
        </w:rPr>
        <w:t xml:space="preserve">the second (PC2) </w:t>
      </w:r>
      <w:r w:rsidR="006A0531">
        <w:rPr>
          <w:rFonts w:cstheme="minorHAnsi"/>
          <w:lang w:val="en-US"/>
        </w:rPr>
        <w:t>correlate</w:t>
      </w:r>
      <w:r w:rsidR="00F47F6C">
        <w:rPr>
          <w:rFonts w:cstheme="minorHAnsi"/>
          <w:lang w:val="en-US"/>
        </w:rPr>
        <w:t>d</w:t>
      </w:r>
      <w:r w:rsidR="006A0531">
        <w:rPr>
          <w:rFonts w:cstheme="minorHAnsi"/>
          <w:lang w:val="en-US"/>
        </w:rPr>
        <w:t xml:space="preserve"> with</w:t>
      </w:r>
      <w:r w:rsidR="006A0531" w:rsidRPr="00695062">
        <w:rPr>
          <w:rFonts w:cstheme="minorHAnsi"/>
          <w:lang w:val="en-US"/>
        </w:rPr>
        <w:t xml:space="preserve"> </w:t>
      </w:r>
      <w:r w:rsidR="00997A15" w:rsidRPr="00695062">
        <w:rPr>
          <w:rFonts w:cstheme="minorHAnsi"/>
          <w:lang w:val="en-US"/>
        </w:rPr>
        <w:lastRenderedPageBreak/>
        <w:t xml:space="preserve">minimum </w:t>
      </w:r>
      <w:r w:rsidR="00C12B06" w:rsidRPr="00695062">
        <w:rPr>
          <w:rFonts w:cstheme="minorHAnsi"/>
          <w:lang w:val="en-US"/>
        </w:rPr>
        <w:t xml:space="preserve">and maximum </w:t>
      </w:r>
      <w:r w:rsidR="00997A15" w:rsidRPr="00695062">
        <w:rPr>
          <w:rFonts w:cstheme="minorHAnsi"/>
          <w:lang w:val="en-US"/>
        </w:rPr>
        <w:t xml:space="preserve">frequency, and the third (PC3) </w:t>
      </w:r>
      <w:r w:rsidR="006A0531">
        <w:rPr>
          <w:rFonts w:cstheme="minorHAnsi"/>
          <w:lang w:val="en-US"/>
        </w:rPr>
        <w:t>correlate</w:t>
      </w:r>
      <w:r w:rsidR="00F47F6C">
        <w:rPr>
          <w:rFonts w:cstheme="minorHAnsi"/>
          <w:lang w:val="en-US"/>
        </w:rPr>
        <w:t>d</w:t>
      </w:r>
      <w:r w:rsidR="006A0531">
        <w:rPr>
          <w:rFonts w:cstheme="minorHAnsi"/>
          <w:lang w:val="en-US"/>
        </w:rPr>
        <w:t xml:space="preserve"> with</w:t>
      </w:r>
      <w:r w:rsidR="006A0531" w:rsidRPr="00695062">
        <w:rPr>
          <w:rFonts w:cstheme="minorHAnsi"/>
          <w:lang w:val="en-US"/>
        </w:rPr>
        <w:t xml:space="preserve"> </w:t>
      </w:r>
      <w:r w:rsidR="00997A15" w:rsidRPr="00695062">
        <w:rPr>
          <w:rFonts w:cstheme="minorHAnsi"/>
          <w:lang w:val="en-US"/>
        </w:rPr>
        <w:t xml:space="preserve">the frequency of maximum amplitude (Table </w:t>
      </w:r>
      <w:r w:rsidR="002F20FF" w:rsidRPr="00695062">
        <w:rPr>
          <w:rFonts w:cstheme="minorHAnsi"/>
          <w:lang w:val="en-US"/>
        </w:rPr>
        <w:t>1</w:t>
      </w:r>
      <w:r w:rsidR="00997A15" w:rsidRPr="00695062">
        <w:rPr>
          <w:rFonts w:cstheme="minorHAnsi"/>
          <w:lang w:val="en-US"/>
        </w:rPr>
        <w:t xml:space="preserve">). </w:t>
      </w:r>
      <w:r w:rsidR="009F4C70" w:rsidRPr="00695062">
        <w:rPr>
          <w:rFonts w:cstheme="minorHAnsi"/>
          <w:lang w:val="en-US"/>
        </w:rPr>
        <w:t>W</w:t>
      </w:r>
      <w:r w:rsidRPr="00695062">
        <w:rPr>
          <w:rFonts w:cstheme="minorHAnsi"/>
          <w:lang w:val="en-US"/>
        </w:rPr>
        <w:t>e performed linear mixed models (</w:t>
      </w:r>
      <w:r w:rsidR="00712A0A">
        <w:rPr>
          <w:rFonts w:cstheme="minorHAnsi"/>
          <w:lang w:val="en-US"/>
        </w:rPr>
        <w:t>G</w:t>
      </w:r>
      <w:r w:rsidRPr="00695062">
        <w:rPr>
          <w:rFonts w:cstheme="minorHAnsi"/>
          <w:lang w:val="en-US"/>
        </w:rPr>
        <w:t xml:space="preserve">LMMs) </w:t>
      </w:r>
      <w:r w:rsidR="004521E1" w:rsidRPr="00695062">
        <w:rPr>
          <w:rFonts w:cstheme="minorHAnsi"/>
          <w:lang w:val="en-US"/>
        </w:rPr>
        <w:t xml:space="preserve">using </w:t>
      </w:r>
      <w:r w:rsidR="00892599">
        <w:rPr>
          <w:rFonts w:cstheme="minorHAnsi"/>
          <w:lang w:val="en-US"/>
        </w:rPr>
        <w:t xml:space="preserve">the </w:t>
      </w:r>
      <w:r w:rsidR="004521E1" w:rsidRPr="00695062">
        <w:rPr>
          <w:rFonts w:cstheme="minorHAnsi"/>
          <w:lang w:val="en-US"/>
        </w:rPr>
        <w:t>“lme</w:t>
      </w:r>
      <w:r w:rsidR="00A530AE" w:rsidRPr="00695062">
        <w:rPr>
          <w:rFonts w:cstheme="minorHAnsi"/>
          <w:lang w:val="en-US"/>
        </w:rPr>
        <w:t>4</w:t>
      </w:r>
      <w:r w:rsidR="004521E1" w:rsidRPr="00695062">
        <w:rPr>
          <w:rFonts w:cstheme="minorHAnsi"/>
          <w:lang w:val="en-US"/>
        </w:rPr>
        <w:t>” package</w:t>
      </w:r>
      <w:r w:rsidR="00B877DC">
        <w:rPr>
          <w:rFonts w:cstheme="minorHAnsi"/>
          <w:lang w:val="en-US"/>
        </w:rPr>
        <w:t xml:space="preserve"> </w:t>
      </w:r>
      <w:r w:rsidR="00D22709">
        <w:rPr>
          <w:rFonts w:cstheme="minorHAnsi"/>
          <w:lang w:val="en-US"/>
        </w:rPr>
        <w:fldChar w:fldCharType="begin" w:fldLock="1"/>
      </w:r>
      <w:r w:rsidR="00B920AB">
        <w:rPr>
          <w:rFonts w:cstheme="minorHAnsi"/>
          <w:lang w:val="en-US"/>
        </w:rPr>
        <w:instrText>ADDIN CSL_CITATION {"citationItems":[{"id":"ITEM-1","itemData":{"DOI":"10.18637/jss.v067.i01","ISSN":"15487660","abstract":"Maximum likelihood or restricted maximum likelihood (REML) estimates of the parameters in linear mixed-effects models can be determined using the lmer function in the lme4 package for R. As for most model-fitting functions in R, the model is described in an lmer call by a formula, in this case including both fixed- and random-effects terms. The formula and data together determine a numerical representation of the model from which the profiled deviance or the profiled REML criterion can be evaluated as a function of some of the model parameters. The appropriate criterion is optimized, using one of the constrained optimization functions in R, to provide the parameter estimates. We describe the structure of the model, the steps in evaluating the profiled deviance or REML criterion, and the structure of classes or types that represents such a model. Sufficient detail is included to allow specialization of these structures by users who wish to write functions to fit specialized linear mixed models, such as models incorporating pedigrees or smoothing splines, that are not easily expressible in the formula language used by lmer.","author":[{"dropping-particle":"","family":"Bates","given":"Douglas","non-dropping-particle":"","parse-names":false,"suffix":""},{"dropping-particle":"","family":"Mächler","given":"Martin","non-dropping-particle":"","parse-names":false,"suffix":""},{"dropping-particle":"","family":"Bolker","given":"Benjamin M.","non-dropping-particle":"","parse-names":false,"suffix":""},{"dropping-particle":"","family":"Walker","given":"Steven C.","non-dropping-particle":"","parse-names":false,"suffix":""}],"container-title":"Journal of Statistical Software","id":"ITEM-1","issue":"1","issued":{"date-parts":[["2015"]]},"title":"Fitting linear mixed-effects models using lme4","type":"article-journal","volume":"67"},"uris":["http://www.mendeley.com/documents/?uuid=6981598e-5d0a-4e16-bca7-78ba7b24bcc2"]}],"mendeley":{"formattedCitation":"(Bates et al., 2015)","plainTextFormattedCitation":"(Bates et al., 2015)","previouslyFormattedCitation":"(Bates et al., 2015)"},"properties":{"noteIndex":0},"schema":"https://github.com/citation-style-language/schema/raw/master/csl-citation.json"}</w:instrText>
      </w:r>
      <w:r w:rsidR="00D22709">
        <w:rPr>
          <w:rFonts w:cstheme="minorHAnsi"/>
          <w:lang w:val="en-US"/>
        </w:rPr>
        <w:fldChar w:fldCharType="separate"/>
      </w:r>
      <w:r w:rsidR="00B877DC" w:rsidRPr="00B877DC">
        <w:rPr>
          <w:rFonts w:cstheme="minorHAnsi"/>
          <w:noProof/>
          <w:lang w:val="en-US"/>
        </w:rPr>
        <w:t>(Bates et al., 2015)</w:t>
      </w:r>
      <w:r w:rsidR="00D22709">
        <w:rPr>
          <w:rFonts w:cstheme="minorHAnsi"/>
          <w:lang w:val="en-US"/>
        </w:rPr>
        <w:fldChar w:fldCharType="end"/>
      </w:r>
      <w:r w:rsidR="006A0531">
        <w:rPr>
          <w:rFonts w:cstheme="minorHAnsi"/>
          <w:lang w:val="en-US"/>
        </w:rPr>
        <w:t xml:space="preserve"> to determine the effect of populations and time periods on the variation of acoustic traits</w:t>
      </w:r>
      <w:r w:rsidR="004521E1" w:rsidRPr="00695062">
        <w:rPr>
          <w:rFonts w:cstheme="minorHAnsi"/>
          <w:lang w:val="en-US"/>
        </w:rPr>
        <w:t xml:space="preserve">. </w:t>
      </w:r>
      <w:r w:rsidR="006A0531">
        <w:rPr>
          <w:rFonts w:cstheme="minorHAnsi"/>
          <w:lang w:val="en-US"/>
        </w:rPr>
        <w:t xml:space="preserve">Specifically, we included in the </w:t>
      </w:r>
      <w:r w:rsidR="00EF2593">
        <w:rPr>
          <w:rFonts w:cstheme="minorHAnsi"/>
          <w:lang w:val="en-US"/>
        </w:rPr>
        <w:t xml:space="preserve">model </w:t>
      </w:r>
      <w:r w:rsidR="00EF2593" w:rsidRPr="00695062">
        <w:rPr>
          <w:rFonts w:cstheme="minorHAnsi"/>
          <w:lang w:val="en-US"/>
        </w:rPr>
        <w:t>two</w:t>
      </w:r>
      <w:r w:rsidR="004521E1" w:rsidRPr="00695062">
        <w:rPr>
          <w:rFonts w:cstheme="minorHAnsi"/>
          <w:lang w:val="en-US"/>
        </w:rPr>
        <w:t xml:space="preserve"> independent variables:</w:t>
      </w:r>
      <w:r w:rsidRPr="00695062">
        <w:rPr>
          <w:rFonts w:cstheme="minorHAnsi"/>
          <w:lang w:val="en-US"/>
        </w:rPr>
        <w:t xml:space="preserve"> Populations (</w:t>
      </w:r>
      <w:r w:rsidR="00753687">
        <w:rPr>
          <w:rFonts w:cstheme="minorHAnsi"/>
          <w:lang w:val="en-US"/>
        </w:rPr>
        <w:t>four</w:t>
      </w:r>
      <w:r w:rsidR="00892599">
        <w:rPr>
          <w:rFonts w:cstheme="minorHAnsi"/>
          <w:lang w:val="en-US"/>
        </w:rPr>
        <w:t xml:space="preserve"> levels: </w:t>
      </w:r>
      <w:r w:rsidRPr="00695062">
        <w:rPr>
          <w:rFonts w:cstheme="minorHAnsi"/>
          <w:lang w:val="en-US"/>
        </w:rPr>
        <w:t>M</w:t>
      </w:r>
      <w:r w:rsidR="00A92CBD">
        <w:rPr>
          <w:rFonts w:cstheme="minorHAnsi"/>
          <w:lang w:val="en-US"/>
        </w:rPr>
        <w:t>TV</w:t>
      </w:r>
      <w:r w:rsidRPr="00695062">
        <w:rPr>
          <w:rFonts w:cstheme="minorHAnsi"/>
          <w:lang w:val="en-US"/>
        </w:rPr>
        <w:t xml:space="preserve">, </w:t>
      </w:r>
      <w:r w:rsidR="00B22C7E">
        <w:rPr>
          <w:rFonts w:cstheme="minorHAnsi"/>
          <w:lang w:val="en-US"/>
        </w:rPr>
        <w:t>HDA</w:t>
      </w:r>
      <w:r w:rsidR="00A92CBD">
        <w:rPr>
          <w:rFonts w:cstheme="minorHAnsi"/>
          <w:lang w:val="en-US"/>
        </w:rPr>
        <w:t>,</w:t>
      </w:r>
      <w:r w:rsidRPr="00695062">
        <w:rPr>
          <w:rFonts w:cstheme="minorHAnsi"/>
          <w:lang w:val="en-US"/>
        </w:rPr>
        <w:t xml:space="preserve"> UCR</w:t>
      </w:r>
      <w:r w:rsidR="00A530AE" w:rsidRPr="00695062">
        <w:rPr>
          <w:rFonts w:cstheme="minorHAnsi"/>
          <w:lang w:val="en-US"/>
        </w:rPr>
        <w:t xml:space="preserve">, and </w:t>
      </w:r>
      <w:r w:rsidR="00A92CBD">
        <w:rPr>
          <w:rFonts w:cstheme="minorHAnsi"/>
          <w:lang w:val="en-US"/>
        </w:rPr>
        <w:t>JBL</w:t>
      </w:r>
      <w:r w:rsidRPr="00695062">
        <w:rPr>
          <w:rFonts w:cstheme="minorHAnsi"/>
          <w:lang w:val="en-US"/>
        </w:rPr>
        <w:t xml:space="preserve">), </w:t>
      </w:r>
      <w:r w:rsidR="004521E1" w:rsidRPr="00695062">
        <w:rPr>
          <w:rFonts w:cstheme="minorHAnsi"/>
          <w:lang w:val="en-US"/>
        </w:rPr>
        <w:t>time</w:t>
      </w:r>
      <w:r w:rsidRPr="00695062">
        <w:rPr>
          <w:rFonts w:cstheme="minorHAnsi"/>
          <w:lang w:val="en-US"/>
        </w:rPr>
        <w:t xml:space="preserve"> periods (</w:t>
      </w:r>
      <w:r w:rsidR="00892599">
        <w:rPr>
          <w:rFonts w:cstheme="minorHAnsi"/>
          <w:lang w:val="en-US"/>
        </w:rPr>
        <w:t>two levels:</w:t>
      </w:r>
      <w:r w:rsidR="00CD08FF">
        <w:rPr>
          <w:rFonts w:cstheme="minorHAnsi"/>
          <w:lang w:val="en-US"/>
        </w:rPr>
        <w:t xml:space="preserve"> </w:t>
      </w:r>
      <w:r w:rsidR="00A92CBD">
        <w:rPr>
          <w:rFonts w:cstheme="minorHAnsi"/>
          <w:lang w:val="en-US"/>
        </w:rPr>
        <w:t>period 1</w:t>
      </w:r>
      <w:r w:rsidR="00A92CBD" w:rsidRPr="00695062">
        <w:rPr>
          <w:rFonts w:cstheme="minorHAnsi"/>
          <w:lang w:val="en-US"/>
        </w:rPr>
        <w:t xml:space="preserve"> </w:t>
      </w:r>
      <w:r w:rsidRPr="00695062">
        <w:rPr>
          <w:rFonts w:cstheme="minorHAnsi"/>
          <w:lang w:val="en-US"/>
        </w:rPr>
        <w:t xml:space="preserve">and </w:t>
      </w:r>
      <w:r w:rsidR="00A92CBD">
        <w:rPr>
          <w:rFonts w:cstheme="minorHAnsi"/>
          <w:lang w:val="en-US"/>
        </w:rPr>
        <w:t>period 2</w:t>
      </w:r>
      <w:r w:rsidRPr="00695062">
        <w:rPr>
          <w:rFonts w:cstheme="minorHAnsi"/>
          <w:lang w:val="en-US"/>
        </w:rPr>
        <w:t xml:space="preserve">), and the interactions between </w:t>
      </w:r>
      <w:r w:rsidR="004521E1" w:rsidRPr="00695062">
        <w:rPr>
          <w:rFonts w:cstheme="minorHAnsi"/>
          <w:lang w:val="en-US"/>
        </w:rPr>
        <w:t>both</w:t>
      </w:r>
      <w:r w:rsidRPr="00695062">
        <w:rPr>
          <w:rFonts w:cstheme="minorHAnsi"/>
          <w:lang w:val="en-US"/>
        </w:rPr>
        <w:t xml:space="preserve"> variables</w:t>
      </w:r>
      <w:r w:rsidR="00712A0A">
        <w:rPr>
          <w:rFonts w:cstheme="minorHAnsi"/>
          <w:lang w:val="en-US"/>
        </w:rPr>
        <w:t>. E</w:t>
      </w:r>
      <w:r w:rsidR="006A0531">
        <w:rPr>
          <w:rFonts w:cstheme="minorHAnsi"/>
          <w:lang w:val="en-US"/>
        </w:rPr>
        <w:t xml:space="preserve">ach of the </w:t>
      </w:r>
      <w:r w:rsidR="006A0531" w:rsidRPr="00695062">
        <w:rPr>
          <w:rFonts w:cstheme="minorHAnsi"/>
          <w:lang w:val="en-US"/>
        </w:rPr>
        <w:t>three principal components (PC1, PC2, and PC3)</w:t>
      </w:r>
      <w:r w:rsidR="006A0531">
        <w:rPr>
          <w:rFonts w:cstheme="minorHAnsi"/>
          <w:lang w:val="en-US"/>
        </w:rPr>
        <w:t xml:space="preserve"> </w:t>
      </w:r>
      <w:r w:rsidR="00712A0A">
        <w:rPr>
          <w:rFonts w:cstheme="minorHAnsi"/>
          <w:lang w:val="en-US"/>
        </w:rPr>
        <w:t>of the song was included as a</w:t>
      </w:r>
      <w:r w:rsidR="006A0531">
        <w:rPr>
          <w:rFonts w:cstheme="minorHAnsi"/>
          <w:lang w:val="en-US"/>
        </w:rPr>
        <w:t xml:space="preserve"> response variable</w:t>
      </w:r>
      <w:r w:rsidR="00712A0A">
        <w:rPr>
          <w:rFonts w:cstheme="minorHAnsi"/>
          <w:lang w:val="en-US"/>
        </w:rPr>
        <w:t xml:space="preserve"> in the model</w:t>
      </w:r>
      <w:r w:rsidR="00F47F6C">
        <w:rPr>
          <w:rFonts w:cstheme="minorHAnsi"/>
          <w:lang w:val="en-US"/>
        </w:rPr>
        <w:t>,</w:t>
      </w:r>
      <w:r w:rsidR="00712A0A">
        <w:rPr>
          <w:rFonts w:cstheme="minorHAnsi"/>
          <w:lang w:val="en-US"/>
        </w:rPr>
        <w:t xml:space="preserve"> and </w:t>
      </w:r>
      <w:r w:rsidR="00712A0A" w:rsidRPr="00695062">
        <w:rPr>
          <w:rFonts w:cstheme="minorHAnsi"/>
          <w:lang w:val="en-US"/>
        </w:rPr>
        <w:t xml:space="preserve">the territory </w:t>
      </w:r>
      <w:r w:rsidR="00712A0A">
        <w:rPr>
          <w:rFonts w:cstheme="minorHAnsi"/>
          <w:lang w:val="en-US"/>
        </w:rPr>
        <w:t xml:space="preserve">inside each population as </w:t>
      </w:r>
      <w:r w:rsidR="007C5ECB">
        <w:rPr>
          <w:rFonts w:cstheme="minorHAnsi"/>
          <w:lang w:val="en-US"/>
        </w:rPr>
        <w:t xml:space="preserve">a </w:t>
      </w:r>
      <w:r w:rsidR="00712A0A">
        <w:rPr>
          <w:rFonts w:cstheme="minorHAnsi"/>
          <w:lang w:val="en-US"/>
        </w:rPr>
        <w:t>random factor</w:t>
      </w:r>
      <w:r w:rsidRPr="00695062">
        <w:rPr>
          <w:rFonts w:cstheme="minorHAnsi"/>
          <w:lang w:val="en-US"/>
        </w:rPr>
        <w:t>.</w:t>
      </w:r>
      <w:r w:rsidR="00712A0A">
        <w:rPr>
          <w:rFonts w:cstheme="minorHAnsi"/>
          <w:lang w:val="en-US"/>
        </w:rPr>
        <w:t xml:space="preserve"> </w:t>
      </w:r>
      <w:bookmarkStart w:id="29" w:name="_Hlk167883524"/>
      <w:r w:rsidR="004521E1" w:rsidRPr="00695062">
        <w:rPr>
          <w:rFonts w:cstheme="minorHAnsi"/>
          <w:lang w:val="en-US"/>
        </w:rPr>
        <w:t>W</w:t>
      </w:r>
      <w:r w:rsidRPr="00695062">
        <w:rPr>
          <w:rFonts w:cstheme="minorHAnsi"/>
          <w:lang w:val="en-US"/>
        </w:rPr>
        <w:t xml:space="preserve">e </w:t>
      </w:r>
      <w:r w:rsidR="00F47F6C">
        <w:rPr>
          <w:rFonts w:cstheme="minorHAnsi"/>
          <w:lang w:val="en-US"/>
        </w:rPr>
        <w:t xml:space="preserve">additionally </w:t>
      </w:r>
      <w:r w:rsidR="00F47F6C" w:rsidRPr="00695062">
        <w:rPr>
          <w:rFonts w:cstheme="minorHAnsi"/>
          <w:lang w:val="en-US"/>
        </w:rPr>
        <w:t xml:space="preserve">carry </w:t>
      </w:r>
      <w:r w:rsidRPr="00695062">
        <w:rPr>
          <w:rFonts w:cstheme="minorHAnsi"/>
          <w:lang w:val="en-US"/>
        </w:rPr>
        <w:t xml:space="preserve">out </w:t>
      </w:r>
      <w:r w:rsidR="00721456">
        <w:rPr>
          <w:rFonts w:cstheme="minorHAnsi"/>
          <w:lang w:val="en-US"/>
        </w:rPr>
        <w:t xml:space="preserve">Bonferroni </w:t>
      </w:r>
      <w:r w:rsidRPr="00B877DC">
        <w:rPr>
          <w:rFonts w:cstheme="minorHAnsi"/>
          <w:i/>
          <w:iCs/>
          <w:lang w:val="en-US"/>
        </w:rPr>
        <w:t>post hoc</w:t>
      </w:r>
      <w:r w:rsidRPr="00695062">
        <w:rPr>
          <w:rFonts w:cstheme="minorHAnsi"/>
          <w:lang w:val="en-US"/>
        </w:rPr>
        <w:t xml:space="preserve"> </w:t>
      </w:r>
      <w:r w:rsidR="005171B4" w:rsidRPr="00695062">
        <w:rPr>
          <w:rFonts w:cstheme="minorHAnsi"/>
          <w:lang w:val="en-US"/>
        </w:rPr>
        <w:t>tests</w:t>
      </w:r>
      <w:r w:rsidR="005171B4">
        <w:rPr>
          <w:rFonts w:cstheme="minorHAnsi"/>
          <w:lang w:val="en-US"/>
        </w:rPr>
        <w:t xml:space="preserve"> when the model showed significant differences </w:t>
      </w:r>
      <w:r w:rsidR="007C5ECB">
        <w:rPr>
          <w:rFonts w:cstheme="minorHAnsi"/>
          <w:lang w:val="en-US"/>
        </w:rPr>
        <w:t>i</w:t>
      </w:r>
      <w:r w:rsidRPr="00695062">
        <w:rPr>
          <w:rFonts w:cstheme="minorHAnsi"/>
          <w:lang w:val="en-US"/>
        </w:rPr>
        <w:t>n pairwise comparisons between the main effects and the two-factor interactions</w:t>
      </w:r>
      <w:r w:rsidR="00712A0A">
        <w:rPr>
          <w:rFonts w:cstheme="minorHAnsi"/>
          <w:lang w:val="en-US"/>
        </w:rPr>
        <w:t>.</w:t>
      </w:r>
      <w:r w:rsidR="00A530AE" w:rsidRPr="00695062">
        <w:rPr>
          <w:rFonts w:cstheme="minorHAnsi"/>
          <w:lang w:val="en-US"/>
        </w:rPr>
        <w:t xml:space="preserve"> </w:t>
      </w:r>
    </w:p>
    <w:bookmarkEnd w:id="29"/>
    <w:p w14:paraId="4E56C29B" w14:textId="77777777" w:rsidR="00B82D81" w:rsidRPr="005171B4" w:rsidRDefault="00D22709" w:rsidP="005171B4">
      <w:pPr>
        <w:spacing w:line="480" w:lineRule="auto"/>
        <w:rPr>
          <w:rFonts w:cstheme="minorHAnsi"/>
          <w:i/>
          <w:lang w:val="en-US"/>
        </w:rPr>
      </w:pPr>
      <w:r w:rsidRPr="005171B4">
        <w:rPr>
          <w:rFonts w:cstheme="minorHAnsi"/>
          <w:i/>
          <w:lang w:val="en-US"/>
        </w:rPr>
        <w:t>Morphological analyses</w:t>
      </w:r>
    </w:p>
    <w:p w14:paraId="7174A5AC" w14:textId="6F48FD75" w:rsidR="000A1B61" w:rsidRPr="00333BBE" w:rsidRDefault="00A21DB7" w:rsidP="004521E1">
      <w:pPr>
        <w:spacing w:line="480" w:lineRule="auto"/>
        <w:ind w:firstLine="709"/>
        <w:rPr>
          <w:rFonts w:cstheme="minorHAnsi"/>
          <w:lang w:val="en-US"/>
        </w:rPr>
      </w:pPr>
      <w:r w:rsidRPr="00695062">
        <w:rPr>
          <w:rFonts w:cstheme="minorHAnsi"/>
          <w:lang w:val="en-US"/>
        </w:rPr>
        <w:t xml:space="preserve">To analyze the effect of time on </w:t>
      </w:r>
      <w:r w:rsidR="0047477F" w:rsidRPr="00695062">
        <w:rPr>
          <w:rFonts w:cstheme="minorHAnsi"/>
          <w:lang w:val="en-US"/>
        </w:rPr>
        <w:t xml:space="preserve">body </w:t>
      </w:r>
      <w:r w:rsidRPr="00695062">
        <w:rPr>
          <w:rFonts w:cstheme="minorHAnsi"/>
          <w:lang w:val="en-US"/>
        </w:rPr>
        <w:t>measure</w:t>
      </w:r>
      <w:r w:rsidR="00655387" w:rsidRPr="00695062">
        <w:rPr>
          <w:rFonts w:cstheme="minorHAnsi"/>
          <w:lang w:val="en-US"/>
        </w:rPr>
        <w:t>ments,</w:t>
      </w:r>
      <w:r w:rsidR="00A37B17" w:rsidRPr="00695062">
        <w:rPr>
          <w:rFonts w:cstheme="minorHAnsi"/>
          <w:lang w:val="en-US"/>
        </w:rPr>
        <w:t xml:space="preserve"> </w:t>
      </w:r>
      <w:r w:rsidR="005835A6" w:rsidRPr="00695062">
        <w:rPr>
          <w:rFonts w:cstheme="minorHAnsi"/>
          <w:lang w:val="en-US"/>
        </w:rPr>
        <w:t>w</w:t>
      </w:r>
      <w:r w:rsidR="00A37B17" w:rsidRPr="00695062">
        <w:rPr>
          <w:rFonts w:cstheme="minorHAnsi"/>
          <w:lang w:val="en-US"/>
        </w:rPr>
        <w:t xml:space="preserve">e measured 87 individuals, 55 males and 32 </w:t>
      </w:r>
      <w:r w:rsidR="003335B5" w:rsidRPr="00695062">
        <w:rPr>
          <w:rFonts w:cstheme="minorHAnsi"/>
          <w:lang w:val="en-US"/>
        </w:rPr>
        <w:t xml:space="preserve">females. </w:t>
      </w:r>
      <w:r w:rsidR="005F4609" w:rsidRPr="00695062">
        <w:rPr>
          <w:rFonts w:cstheme="minorHAnsi"/>
          <w:lang w:val="en-US"/>
        </w:rPr>
        <w:t xml:space="preserve">We </w:t>
      </w:r>
      <w:r w:rsidR="00DE5ED7">
        <w:rPr>
          <w:rFonts w:cstheme="minorHAnsi"/>
          <w:lang w:val="en-US"/>
        </w:rPr>
        <w:t>conducted a</w:t>
      </w:r>
      <w:r w:rsidR="00DE5ED7" w:rsidRPr="00695062">
        <w:rPr>
          <w:rFonts w:cstheme="minorHAnsi"/>
          <w:lang w:val="en-US"/>
        </w:rPr>
        <w:t xml:space="preserve"> </w:t>
      </w:r>
      <w:r w:rsidR="005F4609" w:rsidRPr="00695062">
        <w:rPr>
          <w:rFonts w:cstheme="minorHAnsi"/>
          <w:lang w:val="en-US"/>
        </w:rPr>
        <w:t>principal component analysis (PCA) using “</w:t>
      </w:r>
      <w:proofErr w:type="spellStart"/>
      <w:r w:rsidR="005F4609" w:rsidRPr="00695062">
        <w:rPr>
          <w:rFonts w:cstheme="minorHAnsi"/>
          <w:lang w:val="en-US"/>
        </w:rPr>
        <w:t>FactoMineR</w:t>
      </w:r>
      <w:proofErr w:type="spellEnd"/>
      <w:r w:rsidR="005F4609" w:rsidRPr="00695062">
        <w:rPr>
          <w:rFonts w:cstheme="minorHAnsi"/>
          <w:lang w:val="en-US"/>
        </w:rPr>
        <w:t xml:space="preserve">” to condense the </w:t>
      </w:r>
      <w:r w:rsidR="00316FA8" w:rsidRPr="00695062">
        <w:rPr>
          <w:rFonts w:cstheme="minorHAnsi"/>
          <w:lang w:val="en-US"/>
        </w:rPr>
        <w:t xml:space="preserve">six </w:t>
      </w:r>
      <w:r w:rsidR="00B6286A" w:rsidRPr="00695062">
        <w:rPr>
          <w:rFonts w:cstheme="minorHAnsi"/>
          <w:lang w:val="en-US"/>
        </w:rPr>
        <w:t>body</w:t>
      </w:r>
      <w:r w:rsidR="00477842">
        <w:rPr>
          <w:rFonts w:cstheme="minorHAnsi"/>
          <w:lang w:val="en-US"/>
        </w:rPr>
        <w:t xml:space="preserve"> </w:t>
      </w:r>
      <w:r w:rsidR="00316FA8" w:rsidRPr="00695062">
        <w:rPr>
          <w:rFonts w:cstheme="minorHAnsi"/>
          <w:lang w:val="en-US"/>
        </w:rPr>
        <w:t xml:space="preserve">measurements </w:t>
      </w:r>
      <w:r w:rsidR="005F4609" w:rsidRPr="00695062">
        <w:rPr>
          <w:rFonts w:cstheme="minorHAnsi"/>
          <w:lang w:val="en-US"/>
        </w:rPr>
        <w:t>into t</w:t>
      </w:r>
      <w:r w:rsidR="00316FA8" w:rsidRPr="00695062">
        <w:rPr>
          <w:rFonts w:cstheme="minorHAnsi"/>
          <w:lang w:val="en-US"/>
        </w:rPr>
        <w:t>wo</w:t>
      </w:r>
      <w:r w:rsidR="005F4609" w:rsidRPr="00695062">
        <w:rPr>
          <w:rFonts w:cstheme="minorHAnsi"/>
          <w:lang w:val="en-US"/>
        </w:rPr>
        <w:t xml:space="preserve"> variables with eigenvalues &gt; 1, </w:t>
      </w:r>
      <w:r w:rsidR="00E875EE">
        <w:rPr>
          <w:rFonts w:cstheme="minorHAnsi"/>
          <w:lang w:val="en-US"/>
        </w:rPr>
        <w:t>which</w:t>
      </w:r>
      <w:r w:rsidR="00E875EE" w:rsidRPr="00695062">
        <w:rPr>
          <w:rFonts w:cstheme="minorHAnsi"/>
          <w:lang w:val="en-US"/>
        </w:rPr>
        <w:t xml:space="preserve"> </w:t>
      </w:r>
      <w:r w:rsidR="005F4609" w:rsidRPr="00695062">
        <w:rPr>
          <w:rFonts w:cstheme="minorHAnsi"/>
          <w:lang w:val="en-US"/>
        </w:rPr>
        <w:t xml:space="preserve">together explained 60% of </w:t>
      </w:r>
      <w:r w:rsidR="00E875EE">
        <w:rPr>
          <w:rFonts w:cstheme="minorHAnsi"/>
          <w:lang w:val="en-US"/>
        </w:rPr>
        <w:t xml:space="preserve">the </w:t>
      </w:r>
      <w:r w:rsidR="005F4609" w:rsidRPr="00695062">
        <w:rPr>
          <w:rFonts w:cstheme="minorHAnsi"/>
          <w:lang w:val="en-US"/>
        </w:rPr>
        <w:t xml:space="preserve">total variance. The first principal component (PC1) </w:t>
      </w:r>
      <w:r w:rsidR="00F47F6C">
        <w:rPr>
          <w:rFonts w:cstheme="minorHAnsi"/>
          <w:lang w:val="en-US"/>
        </w:rPr>
        <w:t>correlated with</w:t>
      </w:r>
      <w:r w:rsidR="00F47F6C" w:rsidRPr="00695062">
        <w:rPr>
          <w:rFonts w:cstheme="minorHAnsi"/>
          <w:lang w:val="en-US"/>
        </w:rPr>
        <w:t xml:space="preserve"> </w:t>
      </w:r>
      <w:r w:rsidR="005F4609" w:rsidRPr="00695062">
        <w:rPr>
          <w:rFonts w:cstheme="minorHAnsi"/>
          <w:lang w:val="en-US"/>
        </w:rPr>
        <w:t xml:space="preserve">tarsus length, tail length, wing chord length, </w:t>
      </w:r>
      <w:r w:rsidR="00316FA8" w:rsidRPr="00695062">
        <w:rPr>
          <w:rFonts w:cstheme="minorHAnsi"/>
          <w:lang w:val="en-US"/>
        </w:rPr>
        <w:t>and beak depth</w:t>
      </w:r>
      <w:r w:rsidR="006564DF">
        <w:rPr>
          <w:rFonts w:cstheme="minorHAnsi"/>
          <w:lang w:val="en-US"/>
        </w:rPr>
        <w:t xml:space="preserve"> and</w:t>
      </w:r>
      <w:r w:rsidR="00316FA8" w:rsidRPr="00695062">
        <w:rPr>
          <w:rFonts w:cstheme="minorHAnsi"/>
          <w:lang w:val="en-US"/>
        </w:rPr>
        <w:t xml:space="preserve"> </w:t>
      </w:r>
      <w:r w:rsidR="005F4609" w:rsidRPr="00695062">
        <w:rPr>
          <w:rFonts w:cstheme="minorHAnsi"/>
          <w:lang w:val="en-US"/>
        </w:rPr>
        <w:t>the second principal com</w:t>
      </w:r>
      <w:r w:rsidR="006564DF">
        <w:rPr>
          <w:rFonts w:cstheme="minorHAnsi"/>
          <w:lang w:val="en-US"/>
        </w:rPr>
        <w:t>p</w:t>
      </w:r>
      <w:r w:rsidR="005F4609" w:rsidRPr="00695062">
        <w:rPr>
          <w:rFonts w:cstheme="minorHAnsi"/>
          <w:lang w:val="en-US"/>
        </w:rPr>
        <w:t xml:space="preserve">onent (PC2) </w:t>
      </w:r>
      <w:r w:rsidR="00F47F6C">
        <w:rPr>
          <w:rFonts w:cstheme="minorHAnsi"/>
          <w:lang w:val="en-US"/>
        </w:rPr>
        <w:t>correlated with</w:t>
      </w:r>
      <w:r w:rsidR="00F47F6C" w:rsidRPr="00695062">
        <w:rPr>
          <w:rFonts w:cstheme="minorHAnsi"/>
          <w:lang w:val="en-US"/>
        </w:rPr>
        <w:t xml:space="preserve"> </w:t>
      </w:r>
      <w:r w:rsidR="00316FA8" w:rsidRPr="00695062">
        <w:rPr>
          <w:rFonts w:cstheme="minorHAnsi"/>
          <w:lang w:val="en-US"/>
        </w:rPr>
        <w:t>exposed culmen length and beak width</w:t>
      </w:r>
      <w:r w:rsidR="005F4609" w:rsidRPr="00695062">
        <w:rPr>
          <w:rFonts w:cstheme="minorHAnsi"/>
          <w:lang w:val="en-US"/>
        </w:rPr>
        <w:t xml:space="preserve"> </w:t>
      </w:r>
      <w:r w:rsidR="00316FA8" w:rsidRPr="00695062">
        <w:rPr>
          <w:rFonts w:cstheme="minorHAnsi"/>
          <w:lang w:val="en-US"/>
        </w:rPr>
        <w:t xml:space="preserve">(Table </w:t>
      </w:r>
      <w:r w:rsidR="006F308C" w:rsidRPr="00695062">
        <w:rPr>
          <w:rFonts w:cstheme="minorHAnsi"/>
          <w:lang w:val="en-US"/>
        </w:rPr>
        <w:t>2</w:t>
      </w:r>
      <w:r w:rsidR="00316FA8" w:rsidRPr="00695062">
        <w:rPr>
          <w:rFonts w:cstheme="minorHAnsi"/>
          <w:lang w:val="en-US"/>
        </w:rPr>
        <w:t>)</w:t>
      </w:r>
      <w:r w:rsidR="006F308C" w:rsidRPr="00695062">
        <w:rPr>
          <w:rFonts w:cstheme="minorHAnsi"/>
          <w:lang w:val="en-US"/>
        </w:rPr>
        <w:t>.</w:t>
      </w:r>
      <w:r w:rsidR="00316FA8" w:rsidRPr="00695062">
        <w:rPr>
          <w:rFonts w:cstheme="minorHAnsi"/>
          <w:lang w:val="en-US"/>
        </w:rPr>
        <w:t xml:space="preserve"> </w:t>
      </w:r>
      <w:r w:rsidR="003335B5" w:rsidRPr="00695062">
        <w:rPr>
          <w:rFonts w:cstheme="minorHAnsi"/>
          <w:lang w:val="en-US"/>
        </w:rPr>
        <w:t>We</w:t>
      </w:r>
      <w:r w:rsidRPr="00695062">
        <w:rPr>
          <w:rFonts w:cstheme="minorHAnsi"/>
          <w:lang w:val="en-US"/>
        </w:rPr>
        <w:t xml:space="preserve"> performed </w:t>
      </w:r>
      <w:r w:rsidR="00477842">
        <w:rPr>
          <w:rFonts w:cstheme="minorHAnsi"/>
          <w:lang w:val="en-US"/>
        </w:rPr>
        <w:t xml:space="preserve">a </w:t>
      </w:r>
      <w:r w:rsidR="00A530AE" w:rsidRPr="00695062">
        <w:rPr>
          <w:rFonts w:cstheme="minorHAnsi"/>
          <w:lang w:val="en-US"/>
        </w:rPr>
        <w:t>generalized linear mixed model</w:t>
      </w:r>
      <w:r w:rsidR="00F47F6C">
        <w:rPr>
          <w:rFonts w:cstheme="minorHAnsi"/>
          <w:lang w:val="en-US"/>
        </w:rPr>
        <w:t>s</w:t>
      </w:r>
      <w:r w:rsidR="00A530AE" w:rsidRPr="00695062">
        <w:rPr>
          <w:rFonts w:cstheme="minorHAnsi"/>
          <w:lang w:val="en-US"/>
        </w:rPr>
        <w:t xml:space="preserve"> (</w:t>
      </w:r>
      <w:r w:rsidR="00DC7453" w:rsidRPr="00695062">
        <w:rPr>
          <w:rFonts w:cstheme="minorHAnsi"/>
          <w:lang w:val="en-US"/>
        </w:rPr>
        <w:t>G</w:t>
      </w:r>
      <w:r w:rsidRPr="00695062">
        <w:rPr>
          <w:rFonts w:cstheme="minorHAnsi"/>
          <w:lang w:val="en-US"/>
        </w:rPr>
        <w:t>LMMs</w:t>
      </w:r>
      <w:r w:rsidR="00A530AE" w:rsidRPr="00695062">
        <w:rPr>
          <w:rFonts w:cstheme="minorHAnsi"/>
          <w:lang w:val="en-US"/>
        </w:rPr>
        <w:t xml:space="preserve">) with a gamma </w:t>
      </w:r>
      <w:r w:rsidR="00F47F6C">
        <w:rPr>
          <w:rFonts w:cstheme="minorHAnsi"/>
          <w:lang w:val="en-US"/>
        </w:rPr>
        <w:t xml:space="preserve">error </w:t>
      </w:r>
      <w:r w:rsidR="00A530AE" w:rsidRPr="00695062">
        <w:rPr>
          <w:rFonts w:cstheme="minorHAnsi"/>
          <w:lang w:val="en-US"/>
        </w:rPr>
        <w:t>distribution, using “lme4”.</w:t>
      </w:r>
      <w:r w:rsidR="00D66110" w:rsidRPr="00695062">
        <w:rPr>
          <w:rFonts w:cstheme="minorHAnsi"/>
          <w:lang w:val="en-US"/>
        </w:rPr>
        <w:t xml:space="preserve"> </w:t>
      </w:r>
      <w:r w:rsidR="00F47F6C">
        <w:rPr>
          <w:rFonts w:cstheme="minorHAnsi"/>
          <w:lang w:val="en-US"/>
        </w:rPr>
        <w:t>In these analyses we included p</w:t>
      </w:r>
      <w:r w:rsidR="00DC7453" w:rsidRPr="00695062">
        <w:rPr>
          <w:rFonts w:cstheme="minorHAnsi"/>
          <w:lang w:val="en-US"/>
        </w:rPr>
        <w:t>opulations (M</w:t>
      </w:r>
      <w:r w:rsidR="00A92CBD">
        <w:rPr>
          <w:rFonts w:cstheme="minorHAnsi"/>
          <w:lang w:val="en-US"/>
        </w:rPr>
        <w:t>TV</w:t>
      </w:r>
      <w:r w:rsidR="00DC7453" w:rsidRPr="00695062">
        <w:rPr>
          <w:rFonts w:cstheme="minorHAnsi"/>
          <w:lang w:val="en-US"/>
        </w:rPr>
        <w:t>, H</w:t>
      </w:r>
      <w:r w:rsidR="00A92CBD">
        <w:rPr>
          <w:rFonts w:cstheme="minorHAnsi"/>
          <w:lang w:val="en-US"/>
        </w:rPr>
        <w:t>DA</w:t>
      </w:r>
      <w:r w:rsidR="00DC7453" w:rsidRPr="00695062">
        <w:rPr>
          <w:rFonts w:cstheme="minorHAnsi"/>
          <w:lang w:val="en-US"/>
        </w:rPr>
        <w:t xml:space="preserve">, UCR, and </w:t>
      </w:r>
      <w:r w:rsidR="00A92CBD">
        <w:rPr>
          <w:rFonts w:cstheme="minorHAnsi"/>
          <w:lang w:val="en-US"/>
        </w:rPr>
        <w:t>JBL</w:t>
      </w:r>
      <w:r w:rsidR="00DC7453" w:rsidRPr="00695062">
        <w:rPr>
          <w:rFonts w:cstheme="minorHAnsi"/>
          <w:lang w:val="en-US"/>
        </w:rPr>
        <w:t>)</w:t>
      </w:r>
      <w:r w:rsidR="002A75A7" w:rsidRPr="00695062">
        <w:rPr>
          <w:rFonts w:cstheme="minorHAnsi"/>
          <w:lang w:val="en-US"/>
        </w:rPr>
        <w:t>,</w:t>
      </w:r>
      <w:r w:rsidR="00DC7453" w:rsidRPr="00695062">
        <w:rPr>
          <w:rFonts w:cstheme="minorHAnsi"/>
          <w:lang w:val="en-US"/>
        </w:rPr>
        <w:t xml:space="preserve"> time periods (</w:t>
      </w:r>
      <w:r w:rsidR="00A92CBD">
        <w:rPr>
          <w:rFonts w:cstheme="minorHAnsi"/>
          <w:lang w:val="en-US"/>
        </w:rPr>
        <w:t>period 1</w:t>
      </w:r>
      <w:r w:rsidR="00DC7453" w:rsidRPr="00695062">
        <w:rPr>
          <w:rFonts w:cstheme="minorHAnsi"/>
          <w:lang w:val="en-US"/>
        </w:rPr>
        <w:t xml:space="preserve"> and </w:t>
      </w:r>
      <w:r w:rsidR="00A92CBD">
        <w:rPr>
          <w:rFonts w:cstheme="minorHAnsi"/>
          <w:lang w:val="en-US"/>
        </w:rPr>
        <w:t>period 2</w:t>
      </w:r>
      <w:r w:rsidR="00DC7453" w:rsidRPr="00695062">
        <w:rPr>
          <w:rFonts w:cstheme="minorHAnsi"/>
          <w:lang w:val="en-US"/>
        </w:rPr>
        <w:t xml:space="preserve">) and the interactions between </w:t>
      </w:r>
      <w:r w:rsidR="00316FA8" w:rsidRPr="00695062">
        <w:rPr>
          <w:rFonts w:cstheme="minorHAnsi"/>
          <w:lang w:val="en-US"/>
        </w:rPr>
        <w:t>both variables</w:t>
      </w:r>
      <w:r w:rsidR="00F47F6C">
        <w:rPr>
          <w:rFonts w:cstheme="minorHAnsi"/>
          <w:lang w:val="en-US"/>
        </w:rPr>
        <w:t>, as independent variables; each of the</w:t>
      </w:r>
      <w:r w:rsidR="00F47F6C" w:rsidRPr="00695062">
        <w:rPr>
          <w:rFonts w:cstheme="minorHAnsi"/>
          <w:lang w:val="en-US"/>
        </w:rPr>
        <w:t xml:space="preserve"> two principal components (PC1 and PC2)</w:t>
      </w:r>
      <w:r w:rsidR="00F47F6C">
        <w:rPr>
          <w:rFonts w:cstheme="minorHAnsi"/>
          <w:lang w:val="en-US"/>
        </w:rPr>
        <w:t xml:space="preserve"> as </w:t>
      </w:r>
      <w:r w:rsidR="00F21192">
        <w:rPr>
          <w:rFonts w:cstheme="minorHAnsi"/>
          <w:lang w:val="en-US"/>
        </w:rPr>
        <w:t>the</w:t>
      </w:r>
      <w:r w:rsidR="00F21192" w:rsidRPr="00695062">
        <w:rPr>
          <w:rFonts w:cstheme="minorHAnsi"/>
          <w:lang w:val="en-US"/>
        </w:rPr>
        <w:t xml:space="preserve"> response</w:t>
      </w:r>
      <w:r w:rsidR="00050B34" w:rsidRPr="00695062">
        <w:rPr>
          <w:rFonts w:cstheme="minorHAnsi"/>
          <w:lang w:val="en-US"/>
        </w:rPr>
        <w:t xml:space="preserve"> variable</w:t>
      </w:r>
      <w:r w:rsidR="00F47F6C">
        <w:rPr>
          <w:rFonts w:cstheme="minorHAnsi"/>
          <w:lang w:val="en-US"/>
        </w:rPr>
        <w:t>, and t</w:t>
      </w:r>
      <w:r w:rsidR="00F47F6C" w:rsidRPr="00B920AB">
        <w:rPr>
          <w:rFonts w:cstheme="minorHAnsi"/>
          <w:lang w:val="en-US"/>
        </w:rPr>
        <w:t xml:space="preserve">he territory </w:t>
      </w:r>
      <w:r w:rsidR="00F47F6C" w:rsidRPr="001925CF">
        <w:rPr>
          <w:rFonts w:cstheme="minorHAnsi"/>
          <w:lang w:val="en-US"/>
        </w:rPr>
        <w:t>in</w:t>
      </w:r>
      <w:r w:rsidR="00F47F6C">
        <w:rPr>
          <w:rFonts w:cstheme="minorHAnsi"/>
          <w:lang w:val="en-US"/>
        </w:rPr>
        <w:t xml:space="preserve">side each population </w:t>
      </w:r>
      <w:r w:rsidR="00F47F6C" w:rsidRPr="001925CF">
        <w:rPr>
          <w:rFonts w:cstheme="minorHAnsi"/>
          <w:lang w:val="en-US"/>
        </w:rPr>
        <w:t>in</w:t>
      </w:r>
      <w:r w:rsidR="00F47F6C" w:rsidRPr="00B920AB">
        <w:rPr>
          <w:rFonts w:cstheme="minorHAnsi"/>
          <w:lang w:val="en-US"/>
        </w:rPr>
        <w:t xml:space="preserve"> which individual</w:t>
      </w:r>
      <w:r w:rsidR="009C3123">
        <w:rPr>
          <w:rFonts w:cstheme="minorHAnsi"/>
          <w:lang w:val="en-US"/>
        </w:rPr>
        <w:t>s</w:t>
      </w:r>
      <w:r w:rsidR="00F47F6C" w:rsidRPr="00B920AB">
        <w:rPr>
          <w:rFonts w:cstheme="minorHAnsi"/>
          <w:lang w:val="en-US"/>
        </w:rPr>
        <w:t xml:space="preserve"> </w:t>
      </w:r>
      <w:r w:rsidR="009C3123">
        <w:rPr>
          <w:rFonts w:cstheme="minorHAnsi"/>
          <w:lang w:val="en-US"/>
        </w:rPr>
        <w:t>were</w:t>
      </w:r>
      <w:r w:rsidR="009C3123" w:rsidRPr="00B920AB">
        <w:rPr>
          <w:rFonts w:cstheme="minorHAnsi"/>
          <w:lang w:val="en-US"/>
        </w:rPr>
        <w:t xml:space="preserve"> </w:t>
      </w:r>
      <w:r w:rsidR="00F47F6C" w:rsidRPr="00B920AB">
        <w:rPr>
          <w:rFonts w:cstheme="minorHAnsi"/>
          <w:lang w:val="en-US"/>
        </w:rPr>
        <w:t>captured</w:t>
      </w:r>
      <w:r w:rsidR="00F47F6C">
        <w:rPr>
          <w:rFonts w:cstheme="minorHAnsi"/>
          <w:lang w:val="en-US"/>
        </w:rPr>
        <w:t xml:space="preserve"> as random factor.</w:t>
      </w:r>
      <w:r w:rsidR="00050B34" w:rsidRPr="00B920AB">
        <w:rPr>
          <w:rFonts w:cstheme="minorHAnsi"/>
          <w:lang w:val="en-US"/>
        </w:rPr>
        <w:t xml:space="preserve"> </w:t>
      </w:r>
      <w:r w:rsidR="00477842">
        <w:rPr>
          <w:rFonts w:cstheme="minorHAnsi"/>
          <w:lang w:val="en-US"/>
        </w:rPr>
        <w:t>We also</w:t>
      </w:r>
      <w:r w:rsidR="00316FA8" w:rsidRPr="00695062">
        <w:rPr>
          <w:rFonts w:cstheme="minorHAnsi"/>
          <w:lang w:val="en-US"/>
        </w:rPr>
        <w:t xml:space="preserve"> performed models for females and males because males are larger than females </w:t>
      </w:r>
      <w:r w:rsidR="00D22709" w:rsidRPr="00695062">
        <w:rPr>
          <w:rFonts w:cstheme="minorHAnsi"/>
          <w:lang w:val="en-US"/>
        </w:rPr>
        <w:fldChar w:fldCharType="begin" w:fldLock="1"/>
      </w:r>
      <w:r w:rsidR="005643DA">
        <w:rPr>
          <w:rFonts w:cstheme="minorHAnsi"/>
          <w:lang w:val="en-US"/>
        </w:rPr>
        <w:instrText>ADDIN CSL_CITATION {"citationItems":[{"id":"ITEM-1","itemData":{"DOI":"10.1676/12-177.1","ISSN":"15594491","abstract":"The natural history of many tropical bird species is poorly described, preventing more detailed studies of ecology, behavior, and evolution. For most sexually monochromatic tropical bird species, we lack field methodologies to categorize the sex of adults. In this study, we describe sex-based morphological differences of three monochromatic species in the genus Melozone: White-eared Ground-Sparrow, M. leucotis; Prevost's Ground-Sparrow, M. biarcuata; and Rusty-crowned Ground-Sparrow, M. kieneri. We collected six standard morphological measurements (tarsus length, tail length, wing chord length, culmen length, beak width, and beak depth) from live birds and museum specimens. We collected data from all recognized subspecies of the three Mesoamerican Melozone species. Morphological measurements capably distinguished males from females in all three species. In all cas</w:instrText>
      </w:r>
      <w:r w:rsidR="005643DA" w:rsidRPr="0004030A">
        <w:rPr>
          <w:rFonts w:cstheme="minorHAnsi"/>
          <w:lang w:val="en-US"/>
        </w:rPr>
        <w:instrText>es, three or fewer morphological measurements were required to identify sex with accuracy levels that ranged from 75-100%, well beyond the 50% expected by chance. Comparisons involving all six measurements yielded accuracies that ranged from 58-93%. Our results provide the first field-based method for estimating the sex of individuals in this poorly studied genus of tropical birds. We recommend our findings be used to distinguish males from females in banding stations where Melozone ground-sparrow species occur. © 2013 by the Wilson Ornithological Society.","author":[{"dropping-particle":"","family":"Sandoval","given":"Luis","non-dropping-particle":"","parse-names":false,"suffix":""},{"dropping-particle":"","family":"Mennill","given":"Daniel J.","non-dropping-particle":"","parse-names":false,"suffix":""}],"container-title":"Wilson Journal of Ornithology","id":"ITEM-1","issue":"3","issued":{"date-parts":[["2013"]]},"page":"471-478","title":"Morphometric measurements permit accurate sexing of three species of Mesoamerican ground-sparrow (Genus: Melozone)","type":"article-journal","volume":"125"},"uris":["http://www.mendeley.com/documents/?uuid=3b36506e-e24f-4aa2-b0c5-da5ef726f8b9"]}],"mendeley":{"formattedCitation":"(Sandoval &amp; Mennill, 2013)","plainTextFormattedCitation":"(Sandoval &amp; Mennill, 2013)","previouslyFormattedCitation":"(Sandoval &amp; Mennill, 2013)"},"properties":{"noteIndex":0},"schema":"https://github.com/citation-style-language/schema/raw/master/csl-citation.json"}</w:instrText>
      </w:r>
      <w:r w:rsidR="00D22709" w:rsidRPr="00695062">
        <w:rPr>
          <w:rFonts w:cstheme="minorHAnsi"/>
          <w:lang w:val="en-US"/>
        </w:rPr>
        <w:fldChar w:fldCharType="separate"/>
      </w:r>
      <w:r w:rsidR="002D47FD" w:rsidRPr="0004030A">
        <w:rPr>
          <w:rFonts w:cstheme="minorHAnsi"/>
          <w:noProof/>
          <w:lang w:val="en-US"/>
        </w:rPr>
        <w:t>(Sandoval &amp; Mennill, 2013)</w:t>
      </w:r>
      <w:r w:rsidR="00D22709" w:rsidRPr="00695062">
        <w:rPr>
          <w:rFonts w:cstheme="minorHAnsi"/>
          <w:lang w:val="en-US"/>
        </w:rPr>
        <w:fldChar w:fldCharType="end"/>
      </w:r>
      <w:r w:rsidR="002844FC">
        <w:rPr>
          <w:rFonts w:cstheme="minorHAnsi"/>
          <w:lang w:val="en-US"/>
        </w:rPr>
        <w:t>.</w:t>
      </w:r>
      <w:r w:rsidR="00477842" w:rsidRPr="0004030A">
        <w:rPr>
          <w:rFonts w:cstheme="minorHAnsi"/>
          <w:lang w:val="en-US"/>
        </w:rPr>
        <w:t xml:space="preserve"> </w:t>
      </w:r>
      <w:r w:rsidR="004521E1" w:rsidRPr="00333BBE">
        <w:rPr>
          <w:rFonts w:cstheme="minorHAnsi"/>
          <w:lang w:val="en-US"/>
        </w:rPr>
        <w:t xml:space="preserve">We </w:t>
      </w:r>
      <w:r w:rsidR="00477842" w:rsidRPr="00333BBE">
        <w:rPr>
          <w:rFonts w:cstheme="minorHAnsi"/>
          <w:lang w:val="en-US"/>
        </w:rPr>
        <w:t xml:space="preserve">carried </w:t>
      </w:r>
      <w:r w:rsidR="000A1B61" w:rsidRPr="00333BBE">
        <w:rPr>
          <w:rFonts w:cstheme="minorHAnsi"/>
          <w:lang w:val="en-US"/>
        </w:rPr>
        <w:t xml:space="preserve">out </w:t>
      </w:r>
      <w:r w:rsidR="00721456">
        <w:rPr>
          <w:rFonts w:cstheme="minorHAnsi"/>
          <w:lang w:val="en-US"/>
        </w:rPr>
        <w:t>Bonferroni</w:t>
      </w:r>
      <w:r w:rsidR="00721456" w:rsidRPr="00333BBE">
        <w:rPr>
          <w:rFonts w:cstheme="minorHAnsi"/>
          <w:lang w:val="en-US"/>
        </w:rPr>
        <w:t xml:space="preserve"> </w:t>
      </w:r>
      <w:r w:rsidR="000A1B61" w:rsidRPr="00333BBE">
        <w:rPr>
          <w:rFonts w:cstheme="minorHAnsi"/>
          <w:lang w:val="en-US"/>
        </w:rPr>
        <w:t xml:space="preserve">post hoc tests </w:t>
      </w:r>
      <w:r w:rsidR="00F21192">
        <w:rPr>
          <w:rFonts w:cstheme="minorHAnsi"/>
          <w:lang w:val="en-US"/>
        </w:rPr>
        <w:t xml:space="preserve">when the model showed </w:t>
      </w:r>
      <w:r w:rsidR="00F21192">
        <w:rPr>
          <w:rFonts w:cstheme="minorHAnsi"/>
          <w:lang w:val="en-US"/>
        </w:rPr>
        <w:lastRenderedPageBreak/>
        <w:t xml:space="preserve">significant differences </w:t>
      </w:r>
      <w:r w:rsidR="00721456">
        <w:rPr>
          <w:rFonts w:cstheme="minorHAnsi"/>
          <w:lang w:val="en-US"/>
        </w:rPr>
        <w:t>i</w:t>
      </w:r>
      <w:r w:rsidR="000A1B61" w:rsidRPr="00333BBE">
        <w:rPr>
          <w:rFonts w:cstheme="minorHAnsi"/>
          <w:lang w:val="en-US"/>
        </w:rPr>
        <w:t>n</w:t>
      </w:r>
      <w:r w:rsidR="00F21192">
        <w:rPr>
          <w:rFonts w:cstheme="minorHAnsi"/>
          <w:lang w:val="en-US"/>
        </w:rPr>
        <w:t xml:space="preserve"> </w:t>
      </w:r>
      <w:r w:rsidR="000A1B61" w:rsidRPr="00333BBE">
        <w:rPr>
          <w:rFonts w:cstheme="minorHAnsi"/>
          <w:lang w:val="en-US"/>
        </w:rPr>
        <w:t>pairwise comparisons between the main effects and the two-factor interactions</w:t>
      </w:r>
      <w:r w:rsidR="002844FC">
        <w:rPr>
          <w:rFonts w:cstheme="minorHAnsi"/>
          <w:lang w:val="en-US"/>
        </w:rPr>
        <w:t>.</w:t>
      </w:r>
      <w:r w:rsidR="004521E1" w:rsidRPr="00333BBE">
        <w:rPr>
          <w:rFonts w:cstheme="minorHAnsi"/>
          <w:lang w:val="en-US"/>
        </w:rPr>
        <w:t xml:space="preserve"> </w:t>
      </w:r>
    </w:p>
    <w:p w14:paraId="2304B0DF" w14:textId="70F4B606" w:rsidR="003413AF" w:rsidRPr="00695062" w:rsidRDefault="00230A9A" w:rsidP="003413AF">
      <w:pPr>
        <w:spacing w:line="480" w:lineRule="auto"/>
        <w:ind w:firstLine="709"/>
        <w:rPr>
          <w:rFonts w:cstheme="minorHAnsi"/>
          <w:lang w:val="en-US"/>
        </w:rPr>
      </w:pPr>
      <w:r w:rsidRPr="00695062">
        <w:rPr>
          <w:rFonts w:cstheme="minorHAnsi"/>
          <w:lang w:val="en-US"/>
        </w:rPr>
        <w:t xml:space="preserve">Finally, to </w:t>
      </w:r>
      <w:r w:rsidR="00FC46F5">
        <w:rPr>
          <w:rFonts w:cstheme="minorHAnsi"/>
          <w:lang w:val="en-US"/>
        </w:rPr>
        <w:t>determine if</w:t>
      </w:r>
      <w:r w:rsidRPr="00695062">
        <w:rPr>
          <w:rFonts w:cstheme="minorHAnsi"/>
          <w:lang w:val="en-US"/>
        </w:rPr>
        <w:t xml:space="preserve"> </w:t>
      </w:r>
      <w:r w:rsidR="00721456">
        <w:rPr>
          <w:rFonts w:cstheme="minorHAnsi"/>
          <w:lang w:val="en-US"/>
        </w:rPr>
        <w:t xml:space="preserve">the </w:t>
      </w:r>
      <w:r w:rsidR="003E6F79">
        <w:rPr>
          <w:rFonts w:cstheme="minorHAnsi"/>
          <w:lang w:val="en-US"/>
        </w:rPr>
        <w:t xml:space="preserve">divergence between </w:t>
      </w:r>
      <w:r w:rsidR="00F8330C">
        <w:rPr>
          <w:rFonts w:cstheme="minorHAnsi"/>
          <w:lang w:val="en-US"/>
        </w:rPr>
        <w:t xml:space="preserve">different </w:t>
      </w:r>
      <w:r w:rsidR="003E6F79">
        <w:rPr>
          <w:rFonts w:cstheme="minorHAnsi"/>
          <w:lang w:val="en-US"/>
        </w:rPr>
        <w:t>traits (</w:t>
      </w:r>
      <w:r w:rsidR="00F8330C">
        <w:rPr>
          <w:rFonts w:cstheme="minorHAnsi"/>
          <w:lang w:val="en-US"/>
        </w:rPr>
        <w:t xml:space="preserve">i.e., </w:t>
      </w:r>
      <w:r w:rsidRPr="00695062">
        <w:rPr>
          <w:rFonts w:cstheme="minorHAnsi"/>
          <w:lang w:val="en-US"/>
        </w:rPr>
        <w:t>genetic, acoustic</w:t>
      </w:r>
      <w:r w:rsidR="005759DF" w:rsidRPr="00695062">
        <w:rPr>
          <w:rFonts w:cstheme="minorHAnsi"/>
          <w:lang w:val="en-US"/>
        </w:rPr>
        <w:t>,</w:t>
      </w:r>
      <w:r w:rsidRPr="00695062">
        <w:rPr>
          <w:rFonts w:cstheme="minorHAnsi"/>
          <w:lang w:val="en-US"/>
        </w:rPr>
        <w:t xml:space="preserve"> and </w:t>
      </w:r>
      <w:r w:rsidR="00403725" w:rsidRPr="00695062">
        <w:rPr>
          <w:rFonts w:cstheme="minorHAnsi"/>
          <w:lang w:val="en-US"/>
        </w:rPr>
        <w:t>morpholog</w:t>
      </w:r>
      <w:r w:rsidR="003E6F79">
        <w:rPr>
          <w:rFonts w:cstheme="minorHAnsi"/>
          <w:lang w:val="en-US"/>
        </w:rPr>
        <w:t>y)</w:t>
      </w:r>
      <w:r w:rsidR="0004030A">
        <w:rPr>
          <w:rFonts w:cstheme="minorHAnsi"/>
          <w:lang w:val="en-US"/>
        </w:rPr>
        <w:t xml:space="preserve"> </w:t>
      </w:r>
      <w:r w:rsidR="0067597E">
        <w:rPr>
          <w:rFonts w:cstheme="minorHAnsi"/>
          <w:lang w:val="en-US"/>
        </w:rPr>
        <w:t xml:space="preserve">were </w:t>
      </w:r>
      <w:r w:rsidR="00403725">
        <w:rPr>
          <w:rFonts w:cstheme="minorHAnsi"/>
          <w:lang w:val="en-US"/>
        </w:rPr>
        <w:t>related</w:t>
      </w:r>
      <w:r w:rsidRPr="00695062">
        <w:rPr>
          <w:rFonts w:cstheme="minorHAnsi"/>
          <w:lang w:val="en-US"/>
        </w:rPr>
        <w:t xml:space="preserve">, </w:t>
      </w:r>
      <w:r w:rsidR="00B6286A" w:rsidRPr="00695062">
        <w:rPr>
          <w:rFonts w:cstheme="minorHAnsi"/>
          <w:lang w:val="en-US"/>
        </w:rPr>
        <w:t xml:space="preserve">we </w:t>
      </w:r>
      <w:r w:rsidR="00F91C14">
        <w:rPr>
          <w:rFonts w:cstheme="minorHAnsi"/>
          <w:lang w:val="en-US"/>
        </w:rPr>
        <w:t>c</w:t>
      </w:r>
      <w:r w:rsidR="009276F9">
        <w:rPr>
          <w:rFonts w:cstheme="minorHAnsi"/>
          <w:lang w:val="en-US"/>
        </w:rPr>
        <w:t>onducted</w:t>
      </w:r>
      <w:r w:rsidR="00F91C14">
        <w:rPr>
          <w:rFonts w:cstheme="minorHAnsi"/>
          <w:lang w:val="en-US"/>
        </w:rPr>
        <w:t xml:space="preserve"> </w:t>
      </w:r>
      <w:r w:rsidR="00B6286A" w:rsidRPr="00695062">
        <w:rPr>
          <w:rFonts w:cstheme="minorHAnsi"/>
          <w:lang w:val="en-US"/>
        </w:rPr>
        <w:t xml:space="preserve">a partial </w:t>
      </w:r>
      <w:r w:rsidR="003413AF" w:rsidRPr="00695062">
        <w:rPr>
          <w:rFonts w:cstheme="minorHAnsi"/>
          <w:lang w:val="en-US"/>
        </w:rPr>
        <w:t>M</w:t>
      </w:r>
      <w:r w:rsidR="00B6286A" w:rsidRPr="00695062">
        <w:rPr>
          <w:rFonts w:cstheme="minorHAnsi"/>
          <w:lang w:val="en-US"/>
        </w:rPr>
        <w:t>antel test</w:t>
      </w:r>
      <w:r w:rsidR="004938C2">
        <w:rPr>
          <w:rFonts w:cstheme="minorHAnsi"/>
          <w:lang w:val="en-US"/>
        </w:rPr>
        <w:t xml:space="preserve"> </w:t>
      </w:r>
      <w:r w:rsidR="00403725">
        <w:rPr>
          <w:rFonts w:cstheme="minorHAnsi"/>
          <w:lang w:val="en-US"/>
        </w:rPr>
        <w:t xml:space="preserve">to </w:t>
      </w:r>
      <w:r w:rsidR="000627BE">
        <w:rPr>
          <w:rFonts w:cstheme="minorHAnsi"/>
          <w:lang w:val="en-US"/>
        </w:rPr>
        <w:t xml:space="preserve">evaluate </w:t>
      </w:r>
      <w:r w:rsidR="002844FC">
        <w:rPr>
          <w:rFonts w:cstheme="minorHAnsi"/>
          <w:lang w:val="en-US"/>
        </w:rPr>
        <w:t xml:space="preserve">the strength of  </w:t>
      </w:r>
      <w:r w:rsidR="00403725">
        <w:rPr>
          <w:rFonts w:cstheme="minorHAnsi"/>
          <w:lang w:val="en-US"/>
        </w:rPr>
        <w:t xml:space="preserve">the correlation between variables </w:t>
      </w:r>
      <w:r w:rsidR="00F24466">
        <w:rPr>
          <w:rFonts w:cstheme="minorHAnsi"/>
          <w:lang w:val="en-US"/>
        </w:rPr>
        <w:t xml:space="preserve">using </w:t>
      </w:r>
      <w:r w:rsidR="00B6286A" w:rsidRPr="00695062">
        <w:rPr>
          <w:rFonts w:cstheme="minorHAnsi"/>
          <w:lang w:val="en-US"/>
        </w:rPr>
        <w:t>10</w:t>
      </w:r>
      <w:r w:rsidR="0067597E">
        <w:rPr>
          <w:rFonts w:cstheme="minorHAnsi"/>
          <w:lang w:val="en-US"/>
        </w:rPr>
        <w:t xml:space="preserve"> </w:t>
      </w:r>
      <w:r w:rsidR="00B6286A" w:rsidRPr="00695062">
        <w:rPr>
          <w:rFonts w:cstheme="minorHAnsi"/>
          <w:lang w:val="en-US"/>
        </w:rPr>
        <w:t xml:space="preserve">000 permutations </w:t>
      </w:r>
      <w:r w:rsidR="00F91C14">
        <w:rPr>
          <w:rFonts w:cstheme="minorHAnsi"/>
          <w:lang w:val="en-US"/>
        </w:rPr>
        <w:t xml:space="preserve">as </w:t>
      </w:r>
      <w:r w:rsidR="00F24466">
        <w:rPr>
          <w:rFonts w:cstheme="minorHAnsi"/>
          <w:lang w:val="en-US"/>
        </w:rPr>
        <w:t xml:space="preserve">implemented in the </w:t>
      </w:r>
      <w:r w:rsidR="00B6286A" w:rsidRPr="00695062">
        <w:rPr>
          <w:rFonts w:cstheme="minorHAnsi"/>
          <w:lang w:val="en-US"/>
        </w:rPr>
        <w:t>“</w:t>
      </w:r>
      <w:r w:rsidR="00A33D94">
        <w:rPr>
          <w:rFonts w:cstheme="minorHAnsi"/>
          <w:lang w:val="en-US"/>
        </w:rPr>
        <w:t>v</w:t>
      </w:r>
      <w:r w:rsidR="00A33D94" w:rsidRPr="00695062">
        <w:rPr>
          <w:rFonts w:cstheme="minorHAnsi"/>
          <w:lang w:val="en-US"/>
        </w:rPr>
        <w:t>egan</w:t>
      </w:r>
      <w:r w:rsidR="00B6286A" w:rsidRPr="00695062">
        <w:rPr>
          <w:rFonts w:cstheme="minorHAnsi"/>
          <w:lang w:val="en-US"/>
        </w:rPr>
        <w:t xml:space="preserve">” package in R </w:t>
      </w:r>
      <w:r w:rsidR="00D22709">
        <w:rPr>
          <w:rFonts w:cstheme="minorHAnsi"/>
          <w:lang w:val="en-US"/>
        </w:rPr>
        <w:fldChar w:fldCharType="begin" w:fldLock="1"/>
      </w:r>
      <w:r w:rsidR="00A77197">
        <w:rPr>
          <w:rFonts w:cstheme="minorHAnsi"/>
          <w:lang w:val="en-US"/>
        </w:rPr>
        <w:instrText>ADDIN CSL_CITATION {"citationItems":[{"id":"ITEM-1","itemData":{"abstract":"Suggests parallel, tcltk, knitr, markdown Imports MASS, cluster, mgcv VignetteBuilder utils, knitr Description Ordination methods, diversity analysis and other functions for community and vegetation ecologists. License GPL-2","author":[{"dropping-particle":"","family":"Oksanen","given":"r Jari","non-dropping-particle":"","parse-names":false,"suffix":""},{"dropping-particle":"","family":"Simpson","given":"Gavin L","non-dropping-particle":"","parse-names":false,"suffix":""},{"dropping-particle":"","family":"Blanchet","given":"F Guillaume","non-dropping-particle":"","parse-names":false,"suffix":""},{"dropping-particle":"","family":"Solymos","given":"Peter","non-dropping-particle":"","parse-names":false,"suffix":""},{"dropping-particle":"","family":"Stevens","given":"M Henry H","non-dropping-particle":"","parse-names":false,"suffix":""},{"dropping-particle":"","family":"Szoecs","given":"Eduard","non-dropping-particle":"","parse-names":false,"suffix":""},{"dropping-particle":"","family":"Wagner","given":"Helene","non-dropping-particle":"","parse-names":false,"suffix":""},{"dropping-particle":"","family":"Barbour","given":"Matt","non-dropping-particle":"","parse-names":false,"suffix":""},{"dropping-particle":"","family":"Bedward","given":"Michael","non-dropping-particle":"","parse-names":false,"suffix":""},{"dropping-particle":"","family":"Bolker","given":"Ben","non-dropping-particle":"","parse-names":false,"suffix":""},{"dropping-particle":"","family":"Borcard","given":"Daniel","non-dropping-particle":"","parse-names":false,"suffix":""},{"dropping-particle":"","family":"Carvalho","given":"Gustavo","non-dropping-particle":"","parse-names":false,"suffix":""},{"dropping-particle":"","family":"Chirico","given":"Michael","non-dropping-particle":"","parse-names":false,"suffix":""},{"dropping-particle":"","family":"Durand","given":"Sebastien","non-dropping-particle":"","parse-names":false,"suffix":""},{"dropping-particle":"","family":"Beatriz","given":"Heloisa","non-dropping-particle":"","parse-names":false,"suffix":""},{"dropping-particle":"","family":"Evangelista","given":"Antoniazi","non-dropping-particle":"","parse-names":false,"suffix":""},{"dropping-particle":"","family":"Friendly","given":"Michael","non-dropping-particle":"","parse-names":false,"suffix":""},{"dropping-particle":"","family":"Hannigan","given":"Geoffrey","non-dropping-particle":"","parse-names":false,"suffix":""},{"dropping-particle":"","family":"Hill","given":"Mark O","non-dropping-particle":"","parse-names":false,"suffix":""},{"dropping-particle":"","family":"Lahti","given":"Leo","non-dropping-particle":"","parse-names":false,"suffix":""},{"dropping-particle":"","family":"Mcglinn","given":"Dan","non-dropping-particle":"","parse-names":false,"suffix":""},{"dropping-particle":"","family":"Ribeiro","given":"Eduardo","non-dropping-particle":"","parse-names":false,"suffix":""},{"dropping-particle":"","family":"Smith","given":"Tyler","non-dropping-particle":"","parse-names":false,"suffix":""},{"dropping-particle":"","family":"Stier","given":"Adrian","non-dropping-particle":"","parse-names":false,"suffix":""},{"dropping-particle":"","family":"Ter","given":"Cajo J F","non-dropping-particle":"","parse-names":false,"suffix":""},{"dropping-particle":"","family":"Weedon","given":"James","non-dropping-particle":"","parse-names":false,"suffix":""}],"container-title":"Vegan: Community Ecol Package","id":"ITEM-1","issued":{"date-parts":[["2012"]]},"title":"Vegan: Community Ecology Package.","type":"article-journal"},"uris":["http://www.mendeley.com/documents/?uuid=a66ef04f-5279-4e47-9482-b0ec35fee8b8"]}],"mendeley":{"formattedCitation":"(Oksanen et al., 2012)","plainTextFormattedCitation":"(Oksanen et al., 2012)","previouslyFormattedCitation":"(Oksanen et al., 2012)"},"properties":{"noteIndex":0},"schema":"https://github.com/citation-style-language/schema/raw/master/csl-citation.json"}</w:instrText>
      </w:r>
      <w:r w:rsidR="00D22709">
        <w:rPr>
          <w:rFonts w:cstheme="minorHAnsi"/>
          <w:lang w:val="en-US"/>
        </w:rPr>
        <w:fldChar w:fldCharType="separate"/>
      </w:r>
      <w:r w:rsidR="00B920AB" w:rsidRPr="00B920AB">
        <w:rPr>
          <w:rFonts w:cstheme="minorHAnsi"/>
          <w:noProof/>
          <w:lang w:val="en-US"/>
        </w:rPr>
        <w:t>(Oksanen et al., 2012)</w:t>
      </w:r>
      <w:r w:rsidR="00D22709">
        <w:rPr>
          <w:rFonts w:cstheme="minorHAnsi"/>
          <w:lang w:val="en-US"/>
        </w:rPr>
        <w:fldChar w:fldCharType="end"/>
      </w:r>
      <w:r w:rsidR="00B6286A" w:rsidRPr="00695062">
        <w:rPr>
          <w:rFonts w:cstheme="minorHAnsi"/>
          <w:lang w:val="en-US"/>
        </w:rPr>
        <w:t xml:space="preserve">. </w:t>
      </w:r>
      <w:r w:rsidR="009E0576" w:rsidRPr="00695062">
        <w:rPr>
          <w:rFonts w:cstheme="minorHAnsi"/>
          <w:lang w:val="en-US"/>
        </w:rPr>
        <w:t>Females</w:t>
      </w:r>
      <w:r w:rsidR="003E6F79">
        <w:rPr>
          <w:rFonts w:cstheme="minorHAnsi"/>
          <w:lang w:val="en-US"/>
        </w:rPr>
        <w:t xml:space="preserve"> in this analysis</w:t>
      </w:r>
      <w:r w:rsidR="009E0576" w:rsidRPr="00695062">
        <w:rPr>
          <w:rFonts w:cstheme="minorHAnsi"/>
          <w:lang w:val="en-US"/>
        </w:rPr>
        <w:t xml:space="preserve"> </w:t>
      </w:r>
      <w:r w:rsidR="00F24466">
        <w:rPr>
          <w:rFonts w:cstheme="minorHAnsi"/>
          <w:lang w:val="en-US"/>
        </w:rPr>
        <w:t>were not</w:t>
      </w:r>
      <w:r w:rsidR="009E0576" w:rsidRPr="00695062">
        <w:rPr>
          <w:rFonts w:cstheme="minorHAnsi"/>
          <w:lang w:val="en-US"/>
        </w:rPr>
        <w:t xml:space="preserve"> </w:t>
      </w:r>
      <w:r w:rsidR="002844FC">
        <w:rPr>
          <w:rFonts w:cstheme="minorHAnsi"/>
          <w:lang w:val="en-US"/>
        </w:rPr>
        <w:t>considered</w:t>
      </w:r>
      <w:r w:rsidR="009E0576" w:rsidRPr="00695062">
        <w:rPr>
          <w:rFonts w:cstheme="minorHAnsi"/>
          <w:lang w:val="en-US"/>
        </w:rPr>
        <w:t xml:space="preserve"> because </w:t>
      </w:r>
      <w:r w:rsidR="000B0D72" w:rsidRPr="00695062">
        <w:rPr>
          <w:rFonts w:cstheme="minorHAnsi"/>
          <w:lang w:val="en-US"/>
        </w:rPr>
        <w:t>they</w:t>
      </w:r>
      <w:r w:rsidR="009E0576" w:rsidRPr="00695062">
        <w:rPr>
          <w:rFonts w:cstheme="minorHAnsi"/>
          <w:lang w:val="en-US"/>
        </w:rPr>
        <w:t xml:space="preserve"> d</w:t>
      </w:r>
      <w:r w:rsidR="000B0D72" w:rsidRPr="00695062">
        <w:rPr>
          <w:rFonts w:cstheme="minorHAnsi"/>
          <w:lang w:val="en-US"/>
        </w:rPr>
        <w:t>o</w:t>
      </w:r>
      <w:r w:rsidR="009E0576" w:rsidRPr="00695062">
        <w:rPr>
          <w:rFonts w:cstheme="minorHAnsi"/>
          <w:lang w:val="en-US"/>
        </w:rPr>
        <w:t xml:space="preserve"> not sing </w:t>
      </w:r>
      <w:r w:rsidR="00D22709" w:rsidRPr="00695062">
        <w:rPr>
          <w:rFonts w:cstheme="minorHAnsi"/>
          <w:lang w:val="es-MX"/>
        </w:rPr>
        <w:fldChar w:fldCharType="begin" w:fldLock="1"/>
      </w:r>
      <w:r w:rsidR="009E0576" w:rsidRPr="00695062">
        <w:rPr>
          <w:rFonts w:cstheme="minorHAnsi"/>
          <w:lang w:val="en-US"/>
        </w:rPr>
        <w:instrText>ADDIN CSL_CITATION {"citationItems":[{"id":"ITEM-1","itemData":{"DOI":"10.1007/s10336-015-1237-y","ISSN":"21937206","abstract":"There are relatively few quantitative descriptive studies of the vocalisations and vocal behaviour of tropical bird species, in spite of the tropic’s rich avian biodiversity and the extensive variety of vocalisations produced by tropical birds. This lack of information inhibits our understanding of tropical animals, including our ability to perform comparative analyses on vocal behaviours from an evolutionary perspective. In this study, we present the first quantitative description of the vocal repertoire and daily vocal activity of White-eared Ground-sparrows (Melozone leuco-tis), using focal and autonomous recordings collected during two consecutive breeding seasons in Costa Rica. We classified vocalisations into categories based on their visual appearance on sound spectrograms to create a library of vocalisations for this species. We found that White-eared Ground-sparrows produce three main categories of vocalisations: solo songs, calls, and duets. Solo songs were produced only by males. Each male sang a repertoire of solo song types, which all shared the same general structure with short introductory notes, a frequency-modulated middle section, and a terminal trill. Both sexes produce calls and coordinated vocal duets. We quantified patterns of diel variation in each category of vocalisation, and found that the Ground-sparrows produced all three vocalisations at higher output at dawn (between 0500 and 0600 hours) compared to the rest of the day. This study allowed us to conduct the first comparisons of vocalisations between White-eared Ground-sparrows and North American species in the genus Melozone, and revealed both similarities and differences between the species groups. Our investigation also showed that vocalisations related to communication within pairs and to territory defence (calls and duets) exhibited lower levels of individual distinctiveness than vocalisations related mainly to female attraction (male solo songs). Our observations suggest that each of the three types of vocalisations have multiple functions in White-eared Ground-sparrows, revealing diverse communication functions with a small vocal repertoire in this tropical songbird.","author":[{"dropping-particle":"","family":"Sandoval","given":"Luis","non-dropping-particle":"","parse-names":false,"suffix":""},{"dropping-particle":"","family":"Méndez","given":"Carolina","non-dropping-particle":"","parse-names":false,"suffix":""},{"dropping-particle":"","family":"Mennill","given":"Daniel J.","non-dropping-particle":"","parse-names":false,"suffix":""}],"container-title":"Journal of Ornithology","id":"ITEM-1","issue":"1","issued":{"date-parts":[["2016"]]},"page":"1-12","title":"Vocal behaviour of white-eared ground-sparrows (Melozone leucotis) during the breeding season: Repertoires, diel variation, behavioural contexts, and individual distinctiveness","type":"article-journal","volume":"157"},"uris":["http://www.mendeley.com/documents/?uuid=a1e24b29-ddc4-4a7f-be09-cfafb82a815f"]},{"id":"ITEM-2","itemData":{"ISSN":"10754377","abstract":"Many species of sparrows (Emberizidae) in the temperate zone provide model systems for understanding bird song and singing behaviour. In contrast, the vocal repertoire and vocal behaviour for most tropical sparrows is poorly understood, in spite of their impressive biodiversity. We present here the first detailed quantitative description of vocal repertoires and vocal behaviour of the Rusty-crowned Ground-sparrow (Melozone kieneri), an endemic Mexican sparrow. We provide information on the effect of territory spacing on song repertoire-use and details of the diel pattern of variation in vocal output, using focal, autonomous, and opportunistic recordings of birds in El Tuito, Jalisco, Mexico. Our results demonstrate that Rusty-crowned Ground-sparrows produce three distinct categories of vocalizations - calls, solo songs, and duets - as in other Melozone ground-sparrows. We found that solo songs and duets in this species showed an acoustic structure intermediate to other northern and southern Melozone groundsparrows. Patterns of repertoire-use in male solo songs were highly similar between males holding nearby territories, suggesting that song learning may occur after territory establishment. The diel pattern for output of calls and solo songs showed a pronounced peak early in the morning, indicative of dawnchorus singing behaviour. This study provides the first quantitative investigation of Rusty-crowned Ground-sparrow vocalizations, providing important descriptive information on this little-studied Neotropical Melozone species.","author":[{"dropping-particle":"","family":"Sandoval","given":"Luis","non-dropping-particle":"","parse-names":false,"suffix":""},{"dropping-particle":"","family":"Mennill","given":"Daniel J.","non-dropping-particle":"","parse-names":false,"suffix":""}],"container-title":"Ornitologia Neotropical","id":"ITEM-2","issue":"2","issued":{"date-parts":[["2014"]]},"page":"219-230","title":"A quantitative description of vocalizations and vocal behaviour of the Rusty-crowned Ground-sparrow (Melozone kieneri)","type":"article-journal","volume":"25"},"uris":["http://www.mendeley.com/documents/?uuid=168043c2-12db-4994-823a-620a05504c7a"]}],"mendeley":{"formattedCitation":"(Sandoval et al., 2016; Sandoval &amp; Mennill, 2014)","manualFormatting":"(Sandoval and Mennill 2014; Sandoval et al. 2016)","plainTextFormattedCitation":"(Sandoval et al., 2016; Sandoval &amp; Mennill, 2014)","previouslyFormattedCitation":"(Sandoval et al., 2016; Sandoval &amp; Mennill, 2014)"},"properties":{"noteIndex":0},"schema":"https://github.com/citation-style-language/schema/raw/master/csl-citation.json"}</w:instrText>
      </w:r>
      <w:r w:rsidR="00D22709" w:rsidRPr="00695062">
        <w:rPr>
          <w:rFonts w:cstheme="minorHAnsi"/>
          <w:lang w:val="es-MX"/>
        </w:rPr>
        <w:fldChar w:fldCharType="separate"/>
      </w:r>
      <w:r w:rsidR="009E0576" w:rsidRPr="00695062">
        <w:rPr>
          <w:rFonts w:cstheme="minorHAnsi"/>
          <w:noProof/>
          <w:lang w:val="en-US"/>
        </w:rPr>
        <w:t>(Sandoval and Mennill 2014; Sandoval et al. 2016)</w:t>
      </w:r>
      <w:r w:rsidR="00D22709" w:rsidRPr="00695062">
        <w:rPr>
          <w:rFonts w:cstheme="minorHAnsi"/>
          <w:lang w:val="es-MX"/>
        </w:rPr>
        <w:fldChar w:fldCharType="end"/>
      </w:r>
      <w:r w:rsidR="009E0576" w:rsidRPr="00695062">
        <w:rPr>
          <w:rFonts w:cstheme="minorHAnsi"/>
          <w:lang w:val="en-US"/>
        </w:rPr>
        <w:t>. W</w:t>
      </w:r>
      <w:r w:rsidRPr="00695062">
        <w:rPr>
          <w:rFonts w:cstheme="minorHAnsi"/>
          <w:lang w:val="en-US"/>
        </w:rPr>
        <w:t xml:space="preserve">e </w:t>
      </w:r>
      <w:r w:rsidR="00A37B17" w:rsidRPr="00695062">
        <w:rPr>
          <w:rFonts w:cstheme="minorHAnsi"/>
          <w:lang w:val="en-US"/>
        </w:rPr>
        <w:t>used</w:t>
      </w:r>
      <w:r w:rsidR="003E6F79">
        <w:rPr>
          <w:rFonts w:cstheme="minorHAnsi"/>
          <w:lang w:val="en-US"/>
        </w:rPr>
        <w:t xml:space="preserve"> 46</w:t>
      </w:r>
      <w:r w:rsidR="00A37B17" w:rsidRPr="00695062">
        <w:rPr>
          <w:rFonts w:cstheme="minorHAnsi"/>
          <w:lang w:val="en-US"/>
        </w:rPr>
        <w:t xml:space="preserve"> males </w:t>
      </w:r>
      <w:r w:rsidR="009E0576" w:rsidRPr="00695062">
        <w:rPr>
          <w:rFonts w:cstheme="minorHAnsi"/>
          <w:lang w:val="en-US"/>
        </w:rPr>
        <w:t xml:space="preserve">with </w:t>
      </w:r>
      <w:r w:rsidR="005D2DEF" w:rsidRPr="00695062">
        <w:rPr>
          <w:rFonts w:cstheme="minorHAnsi"/>
          <w:lang w:val="en-US"/>
        </w:rPr>
        <w:t>data of the three variables</w:t>
      </w:r>
      <w:r w:rsidR="003335B5" w:rsidRPr="00695062">
        <w:rPr>
          <w:rFonts w:cstheme="minorHAnsi"/>
          <w:lang w:val="en-US"/>
        </w:rPr>
        <w:t xml:space="preserve">. </w:t>
      </w:r>
      <w:r w:rsidR="00B6286A" w:rsidRPr="00695062">
        <w:rPr>
          <w:rFonts w:cstheme="minorHAnsi"/>
          <w:lang w:val="en-US"/>
        </w:rPr>
        <w:t>First, we performed a PCA to condense the six body measurements and another PCA to condense the five song measurements of the males.</w:t>
      </w:r>
      <w:r w:rsidR="003413AF" w:rsidRPr="00695062">
        <w:rPr>
          <w:rFonts w:cstheme="minorHAnsi"/>
          <w:lang w:val="en-US"/>
        </w:rPr>
        <w:t xml:space="preserve"> </w:t>
      </w:r>
      <w:r w:rsidR="00F91C14">
        <w:rPr>
          <w:rFonts w:cstheme="minorHAnsi"/>
          <w:lang w:val="en-US"/>
        </w:rPr>
        <w:t xml:space="preserve">Using the PCAs, we then obtained acoustic and morphological distance matrices created from Euclidean distances of mean population attributes across time periods, and the genetic distance matrix from </w:t>
      </w:r>
      <w:proofErr w:type="spellStart"/>
      <w:r w:rsidR="00F91C14">
        <w:rPr>
          <w:rFonts w:cstheme="minorHAnsi"/>
          <w:lang w:val="en-US"/>
        </w:rPr>
        <w:t>Gst</w:t>
      </w:r>
      <w:proofErr w:type="spellEnd"/>
      <w:r w:rsidR="00F91C14">
        <w:rPr>
          <w:rFonts w:cstheme="minorHAnsi"/>
          <w:lang w:val="en-US"/>
        </w:rPr>
        <w:t xml:space="preserve"> values</w:t>
      </w:r>
      <w:r w:rsidR="003413AF" w:rsidRPr="00695062">
        <w:rPr>
          <w:rFonts w:cstheme="minorHAnsi"/>
          <w:lang w:val="en-US"/>
        </w:rPr>
        <w:t xml:space="preserve">. </w:t>
      </w:r>
    </w:p>
    <w:p w14:paraId="06021862" w14:textId="77777777" w:rsidR="000F6C0B" w:rsidRDefault="000F6C0B" w:rsidP="00482C6C">
      <w:pPr>
        <w:spacing w:line="480" w:lineRule="auto"/>
        <w:rPr>
          <w:rFonts w:cstheme="minorHAnsi"/>
          <w:lang w:val="en-US"/>
        </w:rPr>
      </w:pPr>
    </w:p>
    <w:p w14:paraId="196E1203" w14:textId="77777777" w:rsidR="00341C70" w:rsidRPr="00695062" w:rsidRDefault="00341C70" w:rsidP="00482C6C">
      <w:pPr>
        <w:spacing w:line="480" w:lineRule="auto"/>
        <w:rPr>
          <w:rFonts w:cstheme="minorHAnsi"/>
          <w:lang w:val="en-US"/>
        </w:rPr>
      </w:pPr>
      <w:r w:rsidRPr="00695062">
        <w:rPr>
          <w:rFonts w:cstheme="minorHAnsi"/>
          <w:lang w:val="en-US"/>
        </w:rPr>
        <w:t>Results</w:t>
      </w:r>
    </w:p>
    <w:p w14:paraId="2EB5CF96" w14:textId="77777777" w:rsidR="00341C70" w:rsidRPr="00695062" w:rsidRDefault="00341C70" w:rsidP="00482C6C">
      <w:pPr>
        <w:spacing w:line="480" w:lineRule="auto"/>
        <w:rPr>
          <w:rFonts w:cstheme="minorHAnsi"/>
          <w:lang w:val="en-US"/>
        </w:rPr>
      </w:pPr>
      <w:r w:rsidRPr="00695062">
        <w:rPr>
          <w:rFonts w:cstheme="minorHAnsi"/>
          <w:lang w:val="en-US"/>
        </w:rPr>
        <w:t>Genetic diversity</w:t>
      </w:r>
    </w:p>
    <w:p w14:paraId="40033CC3" w14:textId="67456F69" w:rsidR="006B19E3" w:rsidRPr="00600D70" w:rsidRDefault="00FC46F5" w:rsidP="006B19E3">
      <w:pPr>
        <w:spacing w:line="480" w:lineRule="auto"/>
        <w:ind w:firstLine="709"/>
        <w:rPr>
          <w:rFonts w:cstheme="minorHAnsi"/>
          <w:lang w:val="en-US"/>
        </w:rPr>
      </w:pPr>
      <w:r>
        <w:rPr>
          <w:rFonts w:cstheme="minorHAnsi"/>
          <w:lang w:val="en-US"/>
        </w:rPr>
        <w:t xml:space="preserve">We found no significant evidence of linkage disequilibrium in any of the loci.  Two loci deviated significantly from HWE (Gf01 and Gf05) but excluding these loci from our analysis yielded consistent results, thus we decided to retain the loci to improve our statistical power. </w:t>
      </w:r>
      <w:r w:rsidR="002138C0">
        <w:rPr>
          <w:rFonts w:cstheme="minorHAnsi"/>
          <w:lang w:val="en-US"/>
        </w:rPr>
        <w:t xml:space="preserve">At UCR, </w:t>
      </w:r>
      <w:r w:rsidR="00F91C14">
        <w:rPr>
          <w:rFonts w:cstheme="minorHAnsi"/>
          <w:lang w:val="en-US"/>
        </w:rPr>
        <w:t xml:space="preserve">we </w:t>
      </w:r>
      <w:r w:rsidR="00A62F28">
        <w:rPr>
          <w:rFonts w:cstheme="minorHAnsi"/>
          <w:lang w:val="en-US"/>
        </w:rPr>
        <w:t xml:space="preserve">found </w:t>
      </w:r>
      <w:r w:rsidR="00F91C14">
        <w:rPr>
          <w:rFonts w:cstheme="minorHAnsi"/>
          <w:lang w:val="en-US"/>
        </w:rPr>
        <w:t xml:space="preserve">a greater </w:t>
      </w:r>
      <w:r w:rsidR="0008408D">
        <w:rPr>
          <w:rFonts w:cstheme="minorHAnsi"/>
          <w:lang w:val="en-US"/>
        </w:rPr>
        <w:t xml:space="preserve">observed </w:t>
      </w:r>
      <w:r w:rsidR="002138C0">
        <w:rPr>
          <w:rFonts w:cstheme="minorHAnsi"/>
          <w:lang w:val="en-US"/>
        </w:rPr>
        <w:t>heterozygosity (</w:t>
      </w:r>
      <m:oMath>
        <m:sSub>
          <m:sSubPr>
            <m:ctrlPr>
              <w:rPr>
                <w:rFonts w:ascii="Cambria Math" w:hAnsi="Cambria Math" w:cstheme="minorHAnsi"/>
                <w:i/>
                <w:lang w:val="en-US"/>
              </w:rPr>
            </m:ctrlPr>
          </m:sSubPr>
          <m:e>
            <m:r>
              <w:rPr>
                <w:rFonts w:ascii="Cambria Math" w:hAnsi="Cambria Math" w:cstheme="minorHAnsi"/>
                <w:lang w:val="en-US"/>
              </w:rPr>
              <m:t>H</m:t>
            </m:r>
          </m:e>
          <m:sub>
            <m:r>
              <w:rPr>
                <w:rFonts w:ascii="Cambria Math" w:hAnsi="Cambria Math" w:cstheme="minorHAnsi"/>
                <w:lang w:val="en-US"/>
              </w:rPr>
              <m:t>o</m:t>
            </m:r>
          </m:sub>
        </m:sSub>
      </m:oMath>
      <w:r w:rsidR="002138C0">
        <w:rPr>
          <w:rFonts w:cstheme="minorHAnsi"/>
          <w:lang w:val="en-US"/>
        </w:rPr>
        <w:t xml:space="preserve">) in period 1 </w:t>
      </w:r>
      <w:r w:rsidR="00F91C14">
        <w:rPr>
          <w:rFonts w:cstheme="minorHAnsi"/>
          <w:lang w:val="en-US"/>
        </w:rPr>
        <w:t>compared to</w:t>
      </w:r>
      <w:r w:rsidR="002138C0">
        <w:rPr>
          <w:rFonts w:cstheme="minorHAnsi"/>
          <w:lang w:val="en-US"/>
        </w:rPr>
        <w:t xml:space="preserve"> period 2 (z = 1.95, p = 0.05), whereas the genetic diversity of the other populations did not differ between time periods (all comparisons: </w:t>
      </w:r>
      <w:r w:rsidR="00F91C14">
        <w:rPr>
          <w:rFonts w:cstheme="minorHAnsi"/>
          <w:lang w:val="en-US"/>
        </w:rPr>
        <w:t>z=</w:t>
      </w:r>
      <w:r w:rsidR="002138C0">
        <w:rPr>
          <w:rFonts w:cstheme="minorHAnsi"/>
          <w:lang w:val="en-US"/>
        </w:rPr>
        <w:t>1.01, p &gt; 0.05) (Table 3).</w:t>
      </w:r>
      <w:r w:rsidR="001C0079">
        <w:rPr>
          <w:rFonts w:cstheme="minorHAnsi"/>
          <w:lang w:val="en-US"/>
        </w:rPr>
        <w:t xml:space="preserve"> </w:t>
      </w:r>
      <w:bookmarkStart w:id="30" w:name="_Hlk167885008"/>
      <w:bookmarkStart w:id="31" w:name="_Hlk172619299"/>
      <w:r w:rsidR="000C4149">
        <w:rPr>
          <w:rFonts w:cstheme="minorHAnsi"/>
          <w:lang w:val="en-US"/>
        </w:rPr>
        <w:t>In H</w:t>
      </w:r>
      <w:r w:rsidR="00E962FF">
        <w:rPr>
          <w:rFonts w:cstheme="minorHAnsi"/>
          <w:lang w:val="en-US"/>
        </w:rPr>
        <w:t>DA</w:t>
      </w:r>
      <w:r w:rsidR="006564DF">
        <w:rPr>
          <w:rFonts w:cstheme="minorHAnsi"/>
          <w:lang w:val="en-US"/>
        </w:rPr>
        <w:t xml:space="preserve"> </w:t>
      </w:r>
      <w:r w:rsidR="004D339D">
        <w:rPr>
          <w:rFonts w:cstheme="minorHAnsi"/>
          <w:lang w:val="en-US"/>
        </w:rPr>
        <w:t>and JBL populations the expected heterozygosity (</w:t>
      </w:r>
      <m:oMath>
        <m:sSub>
          <m:sSubPr>
            <m:ctrlPr>
              <w:rPr>
                <w:rFonts w:ascii="Cambria Math" w:hAnsi="Cambria Math" w:cstheme="minorHAnsi"/>
                <w:i/>
                <w:lang w:val="en-US"/>
              </w:rPr>
            </m:ctrlPr>
          </m:sSubPr>
          <m:e>
            <m:r>
              <w:rPr>
                <w:rFonts w:ascii="Cambria Math" w:hAnsi="Cambria Math" w:cstheme="minorHAnsi"/>
                <w:lang w:val="en-US"/>
              </w:rPr>
              <m:t>H</m:t>
            </m:r>
          </m:e>
          <m:sub>
            <m:r>
              <w:rPr>
                <w:rFonts w:ascii="Cambria Math" w:hAnsi="Cambria Math" w:cstheme="minorHAnsi"/>
                <w:lang w:val="en-US"/>
              </w:rPr>
              <m:t>e</m:t>
            </m:r>
          </m:sub>
        </m:sSub>
      </m:oMath>
      <w:r w:rsidR="004D339D">
        <w:rPr>
          <w:rFonts w:cstheme="minorHAnsi"/>
          <w:lang w:val="en-US"/>
        </w:rPr>
        <w:t>) was lower in</w:t>
      </w:r>
      <w:r w:rsidR="000C4149">
        <w:rPr>
          <w:rFonts w:cstheme="minorHAnsi"/>
          <w:lang w:val="en-US"/>
        </w:rPr>
        <w:t xml:space="preserve"> period 1 </w:t>
      </w:r>
      <w:r w:rsidR="00F91C14">
        <w:rPr>
          <w:rFonts w:cstheme="minorHAnsi"/>
          <w:lang w:val="en-US"/>
        </w:rPr>
        <w:t xml:space="preserve">compared to </w:t>
      </w:r>
      <w:r w:rsidR="000C4149">
        <w:rPr>
          <w:rFonts w:cstheme="minorHAnsi"/>
          <w:lang w:val="en-US"/>
        </w:rPr>
        <w:t>period 2 (z = -2</w:t>
      </w:r>
      <w:r w:rsidR="00C67F90">
        <w:rPr>
          <w:rFonts w:cstheme="minorHAnsi"/>
          <w:lang w:val="en-US"/>
        </w:rPr>
        <w:t>.</w:t>
      </w:r>
      <w:r w:rsidR="000C4149">
        <w:rPr>
          <w:rFonts w:cstheme="minorHAnsi"/>
          <w:lang w:val="en-US"/>
        </w:rPr>
        <w:t>3</w:t>
      </w:r>
      <w:r w:rsidR="00C67F90">
        <w:rPr>
          <w:rFonts w:cstheme="minorHAnsi"/>
          <w:lang w:val="en-US"/>
        </w:rPr>
        <w:t>7</w:t>
      </w:r>
      <w:r w:rsidR="000C4149">
        <w:rPr>
          <w:rFonts w:cstheme="minorHAnsi"/>
          <w:lang w:val="en-US"/>
        </w:rPr>
        <w:t>, p</w:t>
      </w:r>
      <w:r w:rsidR="00C67F90">
        <w:rPr>
          <w:rFonts w:cstheme="minorHAnsi"/>
          <w:lang w:val="en-US"/>
        </w:rPr>
        <w:t xml:space="preserve"> &lt;</w:t>
      </w:r>
      <w:r w:rsidR="000C4149">
        <w:rPr>
          <w:rFonts w:cstheme="minorHAnsi"/>
          <w:lang w:val="en-US"/>
        </w:rPr>
        <w:t xml:space="preserve"> 0.05</w:t>
      </w:r>
      <w:r w:rsidR="004D339D">
        <w:rPr>
          <w:rFonts w:cstheme="minorHAnsi"/>
          <w:lang w:val="en-US"/>
        </w:rPr>
        <w:t>; same values for both populations</w:t>
      </w:r>
      <w:r w:rsidR="000C4149">
        <w:rPr>
          <w:rFonts w:cstheme="minorHAnsi"/>
          <w:lang w:val="en-US"/>
        </w:rPr>
        <w:t>), whereas the other populations did not differ</w:t>
      </w:r>
      <w:r w:rsidR="004D339D">
        <w:rPr>
          <w:rFonts w:cstheme="minorHAnsi"/>
          <w:lang w:val="en-US"/>
        </w:rPr>
        <w:t xml:space="preserve"> in this parameter</w:t>
      </w:r>
      <w:r w:rsidR="000C4149">
        <w:rPr>
          <w:rFonts w:cstheme="minorHAnsi"/>
          <w:lang w:val="en-US"/>
        </w:rPr>
        <w:t xml:space="preserve"> (all comparisons: z </w:t>
      </w:r>
      <w:r w:rsidR="00C67F90">
        <w:rPr>
          <w:rFonts w:cstheme="minorHAnsi"/>
          <w:lang w:val="en-US"/>
        </w:rPr>
        <w:t xml:space="preserve">= </w:t>
      </w:r>
      <w:r w:rsidR="000C4149">
        <w:rPr>
          <w:rFonts w:cstheme="minorHAnsi"/>
          <w:lang w:val="en-US"/>
        </w:rPr>
        <w:t>0</w:t>
      </w:r>
      <w:r w:rsidR="00C67F90">
        <w:rPr>
          <w:rFonts w:cstheme="minorHAnsi"/>
          <w:lang w:val="en-US"/>
        </w:rPr>
        <w:t>.</w:t>
      </w:r>
      <w:r w:rsidR="000C4149">
        <w:rPr>
          <w:rFonts w:cstheme="minorHAnsi"/>
          <w:lang w:val="en-US"/>
        </w:rPr>
        <w:t>6</w:t>
      </w:r>
      <w:r w:rsidR="00C67F90">
        <w:rPr>
          <w:rFonts w:cstheme="minorHAnsi"/>
          <w:lang w:val="en-US"/>
        </w:rPr>
        <w:t>8</w:t>
      </w:r>
      <w:r w:rsidR="000C4149">
        <w:rPr>
          <w:rFonts w:cstheme="minorHAnsi"/>
          <w:lang w:val="en-US"/>
        </w:rPr>
        <w:t>, p &gt; 0.05) (Table 3).</w:t>
      </w:r>
      <w:r w:rsidR="00E6099C" w:rsidRPr="00695062">
        <w:rPr>
          <w:rFonts w:cstheme="minorHAnsi"/>
          <w:lang w:val="en-US"/>
        </w:rPr>
        <w:t xml:space="preserve"> </w:t>
      </w:r>
      <w:bookmarkEnd w:id="30"/>
      <w:r w:rsidR="001F798D">
        <w:rPr>
          <w:rFonts w:cstheme="minorHAnsi"/>
          <w:lang w:val="en-US"/>
        </w:rPr>
        <w:t xml:space="preserve">In period 2, </w:t>
      </w:r>
      <w:r w:rsidR="00600D70">
        <w:rPr>
          <w:rFonts w:cstheme="minorHAnsi"/>
          <w:lang w:val="en-US"/>
        </w:rPr>
        <w:t xml:space="preserve">HDA, JBL, and UCR </w:t>
      </w:r>
      <w:r w:rsidR="00E6099C" w:rsidRPr="00695062">
        <w:rPr>
          <w:rFonts w:cstheme="minorHAnsi"/>
          <w:lang w:val="en-US"/>
        </w:rPr>
        <w:t xml:space="preserve">showed </w:t>
      </w:r>
      <w:r w:rsidR="005B7970">
        <w:rPr>
          <w:rFonts w:cstheme="minorHAnsi"/>
          <w:lang w:val="en-US"/>
        </w:rPr>
        <w:t xml:space="preserve">significant </w:t>
      </w:r>
      <w:r w:rsidR="00E6099C" w:rsidRPr="00695062">
        <w:rPr>
          <w:rFonts w:cstheme="minorHAnsi"/>
          <w:lang w:val="en-US"/>
        </w:rPr>
        <w:t xml:space="preserve">inbreeding </w:t>
      </w:r>
      <w:r w:rsidR="001F798D">
        <w:rPr>
          <w:rFonts w:cstheme="minorHAnsi"/>
          <w:lang w:val="en-US"/>
        </w:rPr>
        <w:t>coefficients</w:t>
      </w:r>
      <w:r w:rsidR="009E6E73">
        <w:rPr>
          <w:rFonts w:cstheme="minorHAnsi"/>
          <w:lang w:val="en-US"/>
        </w:rPr>
        <w:t xml:space="preserve"> </w:t>
      </w:r>
      <w:r w:rsidR="00E6099C" w:rsidRPr="00695062">
        <w:rPr>
          <w:rFonts w:cstheme="minorHAnsi"/>
          <w:lang w:val="en-US"/>
        </w:rPr>
        <w:t xml:space="preserve">(Table </w:t>
      </w:r>
      <w:r w:rsidR="00D70F08" w:rsidRPr="00695062">
        <w:rPr>
          <w:rFonts w:cstheme="minorHAnsi"/>
          <w:lang w:val="en-US"/>
        </w:rPr>
        <w:t>3</w:t>
      </w:r>
      <w:r w:rsidR="00E6099C" w:rsidRPr="00695062">
        <w:rPr>
          <w:rFonts w:cstheme="minorHAnsi"/>
          <w:lang w:val="en-US"/>
        </w:rPr>
        <w:t xml:space="preserve">). </w:t>
      </w:r>
      <w:bookmarkEnd w:id="31"/>
    </w:p>
    <w:p w14:paraId="0CE57A76" w14:textId="16066271" w:rsidR="0080398E" w:rsidRPr="00695062" w:rsidRDefault="00B16D94" w:rsidP="00362F06">
      <w:pPr>
        <w:spacing w:line="480" w:lineRule="auto"/>
        <w:ind w:firstLine="709"/>
        <w:rPr>
          <w:rFonts w:eastAsiaTheme="minorEastAsia" w:cstheme="minorHAnsi"/>
          <w:lang w:val="en-US"/>
        </w:rPr>
      </w:pPr>
      <w:r w:rsidRPr="00600D70">
        <w:rPr>
          <w:rFonts w:cstheme="minorHAnsi"/>
          <w:lang w:val="en-US"/>
        </w:rPr>
        <w:lastRenderedPageBreak/>
        <w:t xml:space="preserve"> </w:t>
      </w:r>
      <w:r w:rsidR="00E6099C" w:rsidRPr="00695062">
        <w:rPr>
          <w:rFonts w:cstheme="minorHAnsi"/>
          <w:lang w:val="en-US"/>
        </w:rPr>
        <w:t>Genetic diversity was significantly structured in the metapopulation</w:t>
      </w:r>
      <w:r w:rsidR="009D3F4B">
        <w:rPr>
          <w:rFonts w:cstheme="minorHAnsi"/>
          <w:lang w:val="en-US"/>
        </w:rPr>
        <w:t>; however, structure did not differ between time periods:</w:t>
      </w:r>
      <w:r w:rsidR="002D591B">
        <w:rPr>
          <w:rFonts w:cstheme="minorHAnsi"/>
          <w:lang w:val="en-US"/>
        </w:rPr>
        <w:t xml:space="preserve"> </w:t>
      </w:r>
      <w:r w:rsidR="00357FEE">
        <w:rPr>
          <w:rFonts w:cstheme="minorHAnsi"/>
          <w:lang w:val="en-US"/>
        </w:rPr>
        <w:t>period 1</w:t>
      </w:r>
      <w:r w:rsidR="00E6099C" w:rsidRPr="00695062">
        <w:rPr>
          <w:rFonts w:cstheme="minorHAnsi"/>
          <w:lang w:val="en-US"/>
        </w:rPr>
        <w:t xml:space="preserve"> (</w:t>
      </w:r>
      <m:oMath>
        <m:sSub>
          <m:sSubPr>
            <m:ctrlPr>
              <w:rPr>
                <w:rFonts w:ascii="Cambria Math" w:hAnsi="Cambria Math" w:cstheme="minorHAnsi"/>
                <w:i/>
                <w:lang w:val="en-US"/>
              </w:rPr>
            </m:ctrlPr>
          </m:sSubPr>
          <m:e>
            <m:r>
              <w:rPr>
                <w:rFonts w:ascii="Cambria Math" w:hAnsi="Cambria Math" w:cstheme="minorHAnsi"/>
                <w:lang w:val="en-US"/>
              </w:rPr>
              <m:t>G</m:t>
            </m:r>
          </m:e>
          <m:sub>
            <m:r>
              <w:rPr>
                <w:rFonts w:ascii="Cambria Math" w:hAnsi="Cambria Math" w:cstheme="minorHAnsi"/>
                <w:lang w:val="en-US"/>
              </w:rPr>
              <m:t>st</m:t>
            </m:r>
          </m:sub>
        </m:sSub>
      </m:oMath>
      <w:r w:rsidR="00E6099C" w:rsidRPr="00695062">
        <w:rPr>
          <w:rFonts w:eastAsiaTheme="minorEastAsia" w:cstheme="minorHAnsi"/>
          <w:lang w:val="en-US"/>
        </w:rPr>
        <w:t xml:space="preserve"> = 0.07,</w:t>
      </w:r>
      <w:r w:rsidR="00E6099C" w:rsidRPr="00695062">
        <w:rPr>
          <w:rFonts w:cstheme="minorHAnsi"/>
          <w:lang w:val="en-US"/>
        </w:rPr>
        <w:t xml:space="preserve"> 95% CI = 0.06 and 0.09) and </w:t>
      </w:r>
      <w:r w:rsidR="00357FEE">
        <w:rPr>
          <w:rFonts w:cstheme="minorHAnsi"/>
          <w:lang w:val="en-US"/>
        </w:rPr>
        <w:t>period 2</w:t>
      </w:r>
      <w:r w:rsidR="00E6099C" w:rsidRPr="00695062">
        <w:rPr>
          <w:rFonts w:cstheme="minorHAnsi"/>
          <w:lang w:val="en-US"/>
        </w:rPr>
        <w:t xml:space="preserve"> (</w:t>
      </w:r>
      <m:oMath>
        <m:sSub>
          <m:sSubPr>
            <m:ctrlPr>
              <w:rPr>
                <w:rFonts w:ascii="Cambria Math" w:hAnsi="Cambria Math" w:cstheme="minorHAnsi"/>
                <w:i/>
                <w:lang w:val="en-US"/>
              </w:rPr>
            </m:ctrlPr>
          </m:sSubPr>
          <m:e>
            <m:r>
              <w:rPr>
                <w:rFonts w:ascii="Cambria Math" w:hAnsi="Cambria Math" w:cstheme="minorHAnsi"/>
                <w:lang w:val="en-US"/>
              </w:rPr>
              <m:t>G</m:t>
            </m:r>
          </m:e>
          <m:sub>
            <m:r>
              <w:rPr>
                <w:rFonts w:ascii="Cambria Math" w:hAnsi="Cambria Math" w:cstheme="minorHAnsi"/>
                <w:lang w:val="en-US"/>
              </w:rPr>
              <m:t>st</m:t>
            </m:r>
          </m:sub>
        </m:sSub>
      </m:oMath>
      <w:r w:rsidR="00E6099C" w:rsidRPr="00695062">
        <w:rPr>
          <w:rFonts w:eastAsiaTheme="minorEastAsia" w:cstheme="minorHAnsi"/>
          <w:lang w:val="en-US"/>
        </w:rPr>
        <w:t xml:space="preserve"> = 0.07,</w:t>
      </w:r>
      <w:r w:rsidR="00E6099C" w:rsidRPr="00695062">
        <w:rPr>
          <w:rFonts w:cstheme="minorHAnsi"/>
          <w:lang w:val="en-US"/>
        </w:rPr>
        <w:t xml:space="preserve"> 95% CI = 0.06 and 0.09)</w:t>
      </w:r>
      <w:r w:rsidR="00E6099C" w:rsidRPr="00DB14BD">
        <w:rPr>
          <w:rFonts w:cstheme="minorHAnsi"/>
          <w:lang w:val="en-US"/>
        </w:rPr>
        <w:t xml:space="preserve">. </w:t>
      </w:r>
      <w:r w:rsidR="00E6099C" w:rsidRPr="00695062">
        <w:rPr>
          <w:rFonts w:cstheme="minorHAnsi"/>
          <w:lang w:val="en-US"/>
        </w:rPr>
        <w:t xml:space="preserve">AMOVA </w:t>
      </w:r>
      <w:r w:rsidR="00DB14BD">
        <w:rPr>
          <w:rFonts w:cstheme="minorHAnsi"/>
          <w:lang w:val="en-US"/>
        </w:rPr>
        <w:t xml:space="preserve">results showed that </w:t>
      </w:r>
      <w:r w:rsidR="005812CC">
        <w:rPr>
          <w:rFonts w:cstheme="minorHAnsi"/>
          <w:lang w:val="en-US"/>
        </w:rPr>
        <w:t xml:space="preserve">12% of total genetic variation </w:t>
      </w:r>
      <w:r w:rsidR="009438AF">
        <w:rPr>
          <w:rFonts w:cstheme="minorHAnsi"/>
          <w:lang w:val="en-US"/>
        </w:rPr>
        <w:t xml:space="preserve">was </w:t>
      </w:r>
      <w:r w:rsidR="00551E9B">
        <w:rPr>
          <w:rFonts w:cstheme="minorHAnsi"/>
          <w:lang w:val="en-US"/>
        </w:rPr>
        <w:t>partition</w:t>
      </w:r>
      <w:r w:rsidR="007E47B6">
        <w:rPr>
          <w:rFonts w:cstheme="minorHAnsi"/>
          <w:lang w:val="en-US"/>
        </w:rPr>
        <w:t>ed</w:t>
      </w:r>
      <w:r w:rsidR="00551E9B">
        <w:rPr>
          <w:rFonts w:cstheme="minorHAnsi"/>
          <w:lang w:val="en-US"/>
        </w:rPr>
        <w:t xml:space="preserve"> among </w:t>
      </w:r>
      <w:r w:rsidR="005812CC">
        <w:rPr>
          <w:rFonts w:cstheme="minorHAnsi"/>
          <w:lang w:val="en-US"/>
        </w:rPr>
        <w:t xml:space="preserve">individuals </w:t>
      </w:r>
      <w:r w:rsidR="00551E9B">
        <w:rPr>
          <w:rFonts w:cstheme="minorHAnsi"/>
          <w:lang w:val="en-US"/>
        </w:rPr>
        <w:t xml:space="preserve">in </w:t>
      </w:r>
      <w:r w:rsidR="005812CC">
        <w:rPr>
          <w:rFonts w:cstheme="minorHAnsi"/>
          <w:lang w:val="en-US"/>
        </w:rPr>
        <w:t xml:space="preserve">different </w:t>
      </w:r>
      <w:r w:rsidR="00551E9B">
        <w:rPr>
          <w:rFonts w:cstheme="minorHAnsi"/>
          <w:lang w:val="en-US"/>
        </w:rPr>
        <w:t xml:space="preserve">time </w:t>
      </w:r>
      <w:r w:rsidR="005812CC">
        <w:rPr>
          <w:rFonts w:cstheme="minorHAnsi"/>
          <w:lang w:val="en-US"/>
        </w:rPr>
        <w:t>periods</w:t>
      </w:r>
      <w:r w:rsidR="00551E9B">
        <w:rPr>
          <w:rFonts w:cstheme="minorHAnsi"/>
          <w:lang w:val="en-US"/>
        </w:rPr>
        <w:t>.</w:t>
      </w:r>
      <w:r w:rsidR="00600D70">
        <w:rPr>
          <w:rFonts w:cstheme="minorHAnsi"/>
          <w:lang w:val="en-US"/>
        </w:rPr>
        <w:t xml:space="preserve"> </w:t>
      </w:r>
      <w:r w:rsidR="00551E9B">
        <w:rPr>
          <w:rFonts w:cstheme="minorHAnsi"/>
          <w:lang w:val="en-US"/>
        </w:rPr>
        <w:t>T</w:t>
      </w:r>
      <w:r w:rsidR="00DB14BD">
        <w:rPr>
          <w:rFonts w:cstheme="minorHAnsi"/>
          <w:lang w:val="en-US"/>
        </w:rPr>
        <w:t xml:space="preserve">here were significant differences in allele frequencies </w:t>
      </w:r>
      <w:r w:rsidR="00551E9B">
        <w:rPr>
          <w:rFonts w:cstheme="minorHAnsi"/>
          <w:lang w:val="en-US"/>
        </w:rPr>
        <w:t xml:space="preserve">between </w:t>
      </w:r>
      <w:r w:rsidR="00C67F90">
        <w:rPr>
          <w:rFonts w:cstheme="minorHAnsi"/>
          <w:lang w:val="en-US"/>
        </w:rPr>
        <w:t xml:space="preserve">periods </w:t>
      </w:r>
      <w:r w:rsidR="00DB14BD" w:rsidRPr="00695062">
        <w:rPr>
          <w:rFonts w:cstheme="minorHAnsi"/>
          <w:lang w:val="en-US"/>
        </w:rPr>
        <w:t xml:space="preserve">(i.e., </w:t>
      </w:r>
      <w:r w:rsidR="00357FEE">
        <w:rPr>
          <w:rFonts w:cstheme="minorHAnsi"/>
          <w:lang w:val="en-US"/>
        </w:rPr>
        <w:t>period 1</w:t>
      </w:r>
      <w:r w:rsidR="00DB14BD" w:rsidRPr="00695062">
        <w:rPr>
          <w:rFonts w:cstheme="minorHAnsi"/>
          <w:lang w:val="en-US"/>
        </w:rPr>
        <w:t xml:space="preserve"> vs. </w:t>
      </w:r>
      <w:r w:rsidR="00357FEE">
        <w:rPr>
          <w:rFonts w:cstheme="minorHAnsi"/>
          <w:lang w:val="en-US"/>
        </w:rPr>
        <w:t>period 2</w:t>
      </w:r>
      <w:r w:rsidR="00DB14BD" w:rsidRPr="00695062">
        <w:rPr>
          <w:rFonts w:cstheme="minorHAnsi"/>
          <w:lang w:val="en-US"/>
        </w:rPr>
        <w:t xml:space="preserve">; </w:t>
      </w:r>
      <m:oMath>
        <m:sSub>
          <m:sSubPr>
            <m:ctrlPr>
              <w:rPr>
                <w:rFonts w:ascii="Cambria Math" w:hAnsi="Cambria Math" w:cstheme="minorHAnsi"/>
                <w:i/>
              </w:rPr>
            </m:ctrlPr>
          </m:sSubPr>
          <m:e>
            <m:r>
              <w:rPr>
                <w:rFonts w:ascii="Cambria Math" w:hAnsi="Cambria Math" w:cstheme="minorHAnsi"/>
              </w:rPr>
              <m:t>ϕ</m:t>
            </m:r>
          </m:e>
          <m:sub>
            <m:r>
              <w:rPr>
                <w:rFonts w:ascii="Cambria Math" w:hAnsi="Cambria Math" w:cstheme="minorHAnsi"/>
              </w:rPr>
              <m:t>ct</m:t>
            </m:r>
          </m:sub>
        </m:sSub>
      </m:oMath>
      <w:r w:rsidR="00DB14BD" w:rsidRPr="00695062">
        <w:rPr>
          <w:rFonts w:cstheme="minorHAnsi"/>
          <w:lang w:val="en-US"/>
        </w:rPr>
        <w:t xml:space="preserve"> = 0.120, p &lt; 0.05)</w:t>
      </w:r>
      <w:r w:rsidR="00DB14BD">
        <w:rPr>
          <w:rFonts w:cstheme="minorHAnsi"/>
          <w:lang w:val="en-US"/>
        </w:rPr>
        <w:t xml:space="preserve">, as well as among populations within </w:t>
      </w:r>
      <w:r w:rsidR="00C33E75">
        <w:rPr>
          <w:rFonts w:cstheme="minorHAnsi"/>
          <w:lang w:val="en-US"/>
        </w:rPr>
        <w:t>time periods</w:t>
      </w:r>
      <w:r w:rsidR="00DB14BD">
        <w:rPr>
          <w:rFonts w:cstheme="minorHAnsi"/>
          <w:lang w:val="en-US"/>
        </w:rPr>
        <w:t xml:space="preserve"> </w:t>
      </w:r>
      <w:r w:rsidR="00DB14BD" w:rsidRPr="00695062">
        <w:rPr>
          <w:rFonts w:cstheme="minorHAnsi"/>
          <w:lang w:val="en-US"/>
        </w:rPr>
        <w:t>(</w:t>
      </w:r>
      <m:oMath>
        <m:sSub>
          <m:sSubPr>
            <m:ctrlPr>
              <w:rPr>
                <w:rFonts w:ascii="Cambria Math" w:hAnsi="Cambria Math" w:cstheme="minorHAnsi"/>
                <w:i/>
              </w:rPr>
            </m:ctrlPr>
          </m:sSubPr>
          <m:e>
            <m:r>
              <w:rPr>
                <w:rFonts w:ascii="Cambria Math" w:hAnsi="Cambria Math" w:cstheme="minorHAnsi"/>
              </w:rPr>
              <m:t>ϕ</m:t>
            </m:r>
          </m:e>
          <m:sub>
            <m:r>
              <w:rPr>
                <w:rFonts w:ascii="Cambria Math" w:hAnsi="Cambria Math" w:cstheme="minorHAnsi"/>
              </w:rPr>
              <m:t>sc</m:t>
            </m:r>
          </m:sub>
        </m:sSub>
      </m:oMath>
      <w:r w:rsidR="00DB14BD" w:rsidRPr="00695062">
        <w:rPr>
          <w:rFonts w:cstheme="minorHAnsi"/>
          <w:lang w:val="en-US"/>
        </w:rPr>
        <w:t xml:space="preserve"> = 0.15, p &lt; 0.001)</w:t>
      </w:r>
      <w:r w:rsidR="000570CE">
        <w:rPr>
          <w:rFonts w:cstheme="minorHAnsi"/>
          <w:lang w:val="en-US"/>
        </w:rPr>
        <w:t xml:space="preserve"> (Supplementary Table S1)</w:t>
      </w:r>
      <w:r w:rsidR="00E6099C" w:rsidRPr="00695062">
        <w:rPr>
          <w:rFonts w:cstheme="minorHAnsi"/>
          <w:lang w:val="en-US"/>
        </w:rPr>
        <w:t xml:space="preserve">. </w:t>
      </w:r>
      <w:r w:rsidR="00050495">
        <w:rPr>
          <w:rFonts w:cstheme="minorHAnsi"/>
          <w:lang w:val="en-US"/>
        </w:rPr>
        <w:t xml:space="preserve">In both time periods, the </w:t>
      </w:r>
      <w:proofErr w:type="spellStart"/>
      <w:r w:rsidR="00050495">
        <w:rPr>
          <w:rFonts w:cstheme="minorHAnsi"/>
          <w:lang w:val="en-US"/>
        </w:rPr>
        <w:t>Evanno</w:t>
      </w:r>
      <w:proofErr w:type="spellEnd"/>
      <w:r w:rsidR="00050495">
        <w:rPr>
          <w:rFonts w:cstheme="minorHAnsi"/>
          <w:lang w:val="en-US"/>
        </w:rPr>
        <w:t xml:space="preserve"> method suggested that populations were likely grouped into two clusters (i.e., K=2)</w:t>
      </w:r>
      <w:r w:rsidR="00224C20">
        <w:rPr>
          <w:rFonts w:cstheme="minorHAnsi"/>
          <w:lang w:val="en-US"/>
        </w:rPr>
        <w:t xml:space="preserve"> (Supplementary Fig</w:t>
      </w:r>
      <w:r w:rsidR="00512E2A">
        <w:rPr>
          <w:rFonts w:cstheme="minorHAnsi"/>
          <w:lang w:val="en-US"/>
        </w:rPr>
        <w:t>ure</w:t>
      </w:r>
      <w:r w:rsidR="00224C20">
        <w:rPr>
          <w:rFonts w:cstheme="minorHAnsi"/>
          <w:lang w:val="en-US"/>
        </w:rPr>
        <w:t xml:space="preserve"> S</w:t>
      </w:r>
      <w:r w:rsidR="000570CE">
        <w:rPr>
          <w:rFonts w:cstheme="minorHAnsi"/>
          <w:lang w:val="en-US"/>
        </w:rPr>
        <w:t>1</w:t>
      </w:r>
      <w:r w:rsidR="00224C20">
        <w:rPr>
          <w:rFonts w:cstheme="minorHAnsi"/>
          <w:lang w:val="en-US"/>
        </w:rPr>
        <w:t>)</w:t>
      </w:r>
      <w:r w:rsidR="00050495">
        <w:rPr>
          <w:rFonts w:cstheme="minorHAnsi"/>
          <w:lang w:val="en-US"/>
        </w:rPr>
        <w:t xml:space="preserve">. In period 1, all MTV individuals were assigned to cluster 1, while nearly all HDA, UCR, and JBL individuals were assigned to cluster 2 (Figure </w:t>
      </w:r>
      <w:r w:rsidR="0067092D">
        <w:rPr>
          <w:rFonts w:cstheme="minorHAnsi"/>
          <w:lang w:val="en-US"/>
        </w:rPr>
        <w:t>2</w:t>
      </w:r>
      <w:r w:rsidR="00050495">
        <w:rPr>
          <w:rFonts w:cstheme="minorHAnsi"/>
          <w:lang w:val="en-US"/>
        </w:rPr>
        <w:t>).</w:t>
      </w:r>
      <w:r w:rsidR="00E6099C" w:rsidRPr="00695062">
        <w:rPr>
          <w:rFonts w:cstheme="minorHAnsi"/>
          <w:lang w:val="en-US"/>
        </w:rPr>
        <w:t xml:space="preserve"> In </w:t>
      </w:r>
      <w:r w:rsidR="00357FEE">
        <w:rPr>
          <w:rFonts w:cstheme="minorHAnsi"/>
          <w:lang w:val="en-US"/>
        </w:rPr>
        <w:t>period 2</w:t>
      </w:r>
      <w:r w:rsidR="00E6099C" w:rsidRPr="00695062">
        <w:rPr>
          <w:rFonts w:cstheme="minorHAnsi"/>
          <w:lang w:val="en-US"/>
        </w:rPr>
        <w:t xml:space="preserve"> </w:t>
      </w:r>
      <w:r w:rsidR="00A867C3">
        <w:rPr>
          <w:rFonts w:cstheme="minorHAnsi"/>
          <w:lang w:val="en-US"/>
        </w:rPr>
        <w:t>individuals were also grouped into</w:t>
      </w:r>
      <w:r w:rsidR="00E6099C" w:rsidRPr="00695062">
        <w:rPr>
          <w:rFonts w:cstheme="minorHAnsi"/>
          <w:lang w:val="en-US"/>
        </w:rPr>
        <w:t xml:space="preserve"> K = 2</w:t>
      </w:r>
      <w:r w:rsidR="005C1D42">
        <w:rPr>
          <w:rFonts w:cstheme="minorHAnsi"/>
          <w:lang w:val="en-US"/>
        </w:rPr>
        <w:t xml:space="preserve"> clusters</w:t>
      </w:r>
      <w:r w:rsidR="007E47B6">
        <w:rPr>
          <w:rFonts w:cstheme="minorHAnsi"/>
          <w:lang w:val="en-US"/>
        </w:rPr>
        <w:t xml:space="preserve">. </w:t>
      </w:r>
      <w:r w:rsidR="007E47B6" w:rsidRPr="00BB1701">
        <w:rPr>
          <w:lang w:val="en-US"/>
        </w:rPr>
        <w:t xml:space="preserve">Cluster 1 contained half of the HDA, UCR, and JBL populations, while cluster 2 contained the other half (Figure 2). </w:t>
      </w:r>
      <w:r w:rsidR="00E6099C" w:rsidRPr="00695062">
        <w:rPr>
          <w:rFonts w:cstheme="minorHAnsi"/>
          <w:lang w:val="en-US"/>
        </w:rPr>
        <w:t xml:space="preserve"> </w:t>
      </w:r>
    </w:p>
    <w:p w14:paraId="5A97AA60" w14:textId="77777777" w:rsidR="000F6C0B" w:rsidRDefault="000F6C0B" w:rsidP="00482C6C">
      <w:pPr>
        <w:spacing w:line="480" w:lineRule="auto"/>
        <w:rPr>
          <w:rFonts w:eastAsiaTheme="minorEastAsia" w:cstheme="minorHAnsi"/>
          <w:lang w:val="en-US"/>
        </w:rPr>
      </w:pPr>
    </w:p>
    <w:p w14:paraId="077016D8" w14:textId="77777777" w:rsidR="00E6099C" w:rsidRPr="00695062" w:rsidRDefault="00E6099C" w:rsidP="00482C6C">
      <w:pPr>
        <w:spacing w:line="480" w:lineRule="auto"/>
        <w:rPr>
          <w:rFonts w:eastAsiaTheme="minorEastAsia" w:cstheme="minorHAnsi"/>
          <w:lang w:val="en-US"/>
        </w:rPr>
      </w:pPr>
      <w:r w:rsidRPr="00695062">
        <w:rPr>
          <w:rFonts w:eastAsiaTheme="minorEastAsia" w:cstheme="minorHAnsi"/>
          <w:lang w:val="en-US"/>
        </w:rPr>
        <w:t>Acoustic characteristics of song</w:t>
      </w:r>
      <w:r w:rsidR="0048124D">
        <w:rPr>
          <w:rFonts w:eastAsiaTheme="minorEastAsia" w:cstheme="minorHAnsi"/>
          <w:lang w:val="en-US"/>
        </w:rPr>
        <w:t>s</w:t>
      </w:r>
    </w:p>
    <w:p w14:paraId="72291A82" w14:textId="3EB445AF" w:rsidR="000F3490" w:rsidRDefault="00E6099C" w:rsidP="002A15DD">
      <w:pPr>
        <w:spacing w:line="480" w:lineRule="auto"/>
        <w:ind w:firstLine="709"/>
        <w:rPr>
          <w:rFonts w:eastAsiaTheme="minorEastAsia" w:cstheme="minorHAnsi"/>
          <w:lang w:val="en-US"/>
        </w:rPr>
      </w:pPr>
      <w:r w:rsidRPr="00695062">
        <w:rPr>
          <w:rFonts w:eastAsiaTheme="minorEastAsia" w:cstheme="minorHAnsi"/>
          <w:lang w:val="en-US"/>
        </w:rPr>
        <w:t xml:space="preserve"> </w:t>
      </w:r>
      <w:bookmarkStart w:id="32" w:name="_Hlk169167083"/>
      <w:r w:rsidR="00B82D81">
        <w:rPr>
          <w:rFonts w:eastAsiaTheme="minorEastAsia" w:cstheme="minorHAnsi"/>
          <w:lang w:val="en-US"/>
        </w:rPr>
        <w:t xml:space="preserve">We found </w:t>
      </w:r>
      <w:r w:rsidR="004155B5" w:rsidRPr="004155B5">
        <w:rPr>
          <w:rFonts w:eastAsiaTheme="minorEastAsia" w:cstheme="minorHAnsi"/>
          <w:lang w:val="en-US"/>
        </w:rPr>
        <w:t xml:space="preserve">that the duration and number of elements (PC1) were affected by time </w:t>
      </w:r>
      <w:r w:rsidR="00EB0854">
        <w:rPr>
          <w:rFonts w:eastAsiaTheme="minorEastAsia" w:cstheme="minorHAnsi"/>
          <w:lang w:val="en-US"/>
        </w:rPr>
        <w:t xml:space="preserve">period </w:t>
      </w:r>
      <w:r w:rsidR="004155B5" w:rsidRPr="004155B5">
        <w:rPr>
          <w:rFonts w:eastAsiaTheme="minorEastAsia" w:cstheme="minorHAnsi"/>
          <w:lang w:val="en-US"/>
        </w:rPr>
        <w:t xml:space="preserve">and by the interaction </w:t>
      </w:r>
      <w:r w:rsidR="00911B0F">
        <w:rPr>
          <w:rFonts w:eastAsiaTheme="minorEastAsia" w:cstheme="minorHAnsi"/>
          <w:lang w:val="en-US"/>
        </w:rPr>
        <w:t xml:space="preserve">between </w:t>
      </w:r>
      <w:r w:rsidR="004155B5" w:rsidRPr="004155B5">
        <w:rPr>
          <w:rFonts w:eastAsiaTheme="minorEastAsia" w:cstheme="minorHAnsi"/>
          <w:lang w:val="en-US"/>
        </w:rPr>
        <w:t xml:space="preserve">population </w:t>
      </w:r>
      <w:r w:rsidR="00911B0F">
        <w:rPr>
          <w:rFonts w:eastAsiaTheme="minorEastAsia" w:cstheme="minorHAnsi"/>
          <w:lang w:val="en-US"/>
        </w:rPr>
        <w:t>and</w:t>
      </w:r>
      <w:r w:rsidR="00911B0F" w:rsidRPr="004155B5">
        <w:rPr>
          <w:rFonts w:eastAsiaTheme="minorEastAsia" w:cstheme="minorHAnsi"/>
          <w:lang w:val="en-US"/>
        </w:rPr>
        <w:t xml:space="preserve"> </w:t>
      </w:r>
      <w:r w:rsidR="004155B5" w:rsidRPr="004155B5">
        <w:rPr>
          <w:rFonts w:eastAsiaTheme="minorEastAsia" w:cstheme="minorHAnsi"/>
          <w:lang w:val="en-US"/>
        </w:rPr>
        <w:t xml:space="preserve">time period (Table </w:t>
      </w:r>
      <w:r w:rsidR="009C194A">
        <w:rPr>
          <w:rFonts w:eastAsiaTheme="minorEastAsia" w:cstheme="minorHAnsi"/>
          <w:lang w:val="en-US"/>
        </w:rPr>
        <w:t>4</w:t>
      </w:r>
      <w:r w:rsidR="004155B5" w:rsidRPr="004155B5">
        <w:rPr>
          <w:rFonts w:eastAsiaTheme="minorEastAsia" w:cstheme="minorHAnsi"/>
          <w:lang w:val="en-US"/>
        </w:rPr>
        <w:t xml:space="preserve">). </w:t>
      </w:r>
      <w:r w:rsidR="00435210">
        <w:rPr>
          <w:rFonts w:eastAsiaTheme="minorEastAsia" w:cstheme="minorHAnsi"/>
          <w:lang w:val="en-US"/>
        </w:rPr>
        <w:t>In M</w:t>
      </w:r>
      <w:r w:rsidR="00994C95">
        <w:rPr>
          <w:rFonts w:eastAsiaTheme="minorEastAsia" w:cstheme="minorHAnsi"/>
          <w:lang w:val="en-US"/>
        </w:rPr>
        <w:t>T</w:t>
      </w:r>
      <w:r w:rsidR="00435210">
        <w:rPr>
          <w:rFonts w:eastAsiaTheme="minorEastAsia" w:cstheme="minorHAnsi"/>
          <w:lang w:val="en-US"/>
        </w:rPr>
        <w:t xml:space="preserve">V, </w:t>
      </w:r>
      <w:r w:rsidR="004155B5" w:rsidRPr="004155B5">
        <w:rPr>
          <w:rFonts w:eastAsiaTheme="minorEastAsia" w:cstheme="minorHAnsi"/>
          <w:lang w:val="en-US"/>
        </w:rPr>
        <w:t xml:space="preserve">songs increased </w:t>
      </w:r>
      <w:r w:rsidR="00911B0F">
        <w:rPr>
          <w:rFonts w:eastAsiaTheme="minorEastAsia" w:cstheme="minorHAnsi"/>
          <w:lang w:val="en-US"/>
        </w:rPr>
        <w:t xml:space="preserve">in </w:t>
      </w:r>
      <w:r w:rsidR="004155B5" w:rsidRPr="004155B5">
        <w:rPr>
          <w:rFonts w:eastAsiaTheme="minorEastAsia" w:cstheme="minorHAnsi"/>
          <w:lang w:val="en-US"/>
        </w:rPr>
        <w:t xml:space="preserve">duration and number of elements in </w:t>
      </w:r>
      <w:r w:rsidR="00451DBB">
        <w:rPr>
          <w:rFonts w:eastAsiaTheme="minorEastAsia" w:cstheme="minorHAnsi"/>
          <w:lang w:val="en-US"/>
        </w:rPr>
        <w:t>‘</w:t>
      </w:r>
      <w:r w:rsidR="00994C95">
        <w:rPr>
          <w:rFonts w:eastAsiaTheme="minorEastAsia" w:cstheme="minorHAnsi"/>
          <w:lang w:val="en-US"/>
        </w:rPr>
        <w:t>period 2</w:t>
      </w:r>
      <w:r w:rsidR="00451DBB">
        <w:rPr>
          <w:rFonts w:eastAsiaTheme="minorEastAsia" w:cstheme="minorHAnsi"/>
          <w:lang w:val="en-US"/>
        </w:rPr>
        <w:t>’</w:t>
      </w:r>
      <w:r w:rsidR="004155B5" w:rsidRPr="004155B5">
        <w:rPr>
          <w:rFonts w:eastAsiaTheme="minorEastAsia" w:cstheme="minorHAnsi"/>
          <w:lang w:val="en-US"/>
        </w:rPr>
        <w:t xml:space="preserve"> </w:t>
      </w:r>
      <w:bookmarkEnd w:id="32"/>
      <w:r w:rsidR="004155B5" w:rsidRPr="004155B5">
        <w:rPr>
          <w:rFonts w:eastAsiaTheme="minorEastAsia" w:cstheme="minorHAnsi"/>
          <w:lang w:val="en-US"/>
        </w:rPr>
        <w:t xml:space="preserve">(Figure </w:t>
      </w:r>
      <w:r w:rsidR="0067092D">
        <w:rPr>
          <w:rFonts w:eastAsiaTheme="minorEastAsia" w:cstheme="minorHAnsi"/>
          <w:lang w:val="en-US"/>
        </w:rPr>
        <w:t>3</w:t>
      </w:r>
      <w:r w:rsidR="004155B5" w:rsidRPr="004155B5">
        <w:rPr>
          <w:rFonts w:eastAsiaTheme="minorEastAsia" w:cstheme="minorHAnsi"/>
          <w:lang w:val="en-US"/>
        </w:rPr>
        <w:t>)</w:t>
      </w:r>
      <w:r w:rsidR="00795FC8">
        <w:rPr>
          <w:rFonts w:eastAsiaTheme="minorEastAsia" w:cstheme="minorHAnsi"/>
          <w:lang w:val="en-US"/>
        </w:rPr>
        <w:t xml:space="preserve">. </w:t>
      </w:r>
      <w:r w:rsidR="004155B5" w:rsidRPr="004155B5">
        <w:rPr>
          <w:rFonts w:eastAsiaTheme="minorEastAsia" w:cstheme="minorHAnsi"/>
          <w:lang w:val="en-US"/>
        </w:rPr>
        <w:t xml:space="preserve">The minimum and maximum frequency (PC2) were not affected by time, but </w:t>
      </w:r>
      <w:r w:rsidR="008D45A2">
        <w:rPr>
          <w:rFonts w:eastAsiaTheme="minorEastAsia" w:cstheme="minorHAnsi"/>
          <w:lang w:val="en-US"/>
        </w:rPr>
        <w:t xml:space="preserve">acoustic variables </w:t>
      </w:r>
      <w:r w:rsidR="00F03F6C">
        <w:rPr>
          <w:rFonts w:eastAsiaTheme="minorEastAsia" w:cstheme="minorHAnsi"/>
          <w:lang w:val="en-US"/>
        </w:rPr>
        <w:t xml:space="preserve">differed significantly </w:t>
      </w:r>
      <w:r w:rsidR="004155B5" w:rsidRPr="004155B5">
        <w:rPr>
          <w:rFonts w:eastAsiaTheme="minorEastAsia" w:cstheme="minorHAnsi"/>
          <w:lang w:val="en-US"/>
        </w:rPr>
        <w:t xml:space="preserve">among populations (Table </w:t>
      </w:r>
      <w:r w:rsidR="009C194A">
        <w:rPr>
          <w:rFonts w:eastAsiaTheme="minorEastAsia" w:cstheme="minorHAnsi"/>
          <w:lang w:val="en-US"/>
        </w:rPr>
        <w:t>4</w:t>
      </w:r>
      <w:r w:rsidR="004155B5" w:rsidRPr="004155B5">
        <w:rPr>
          <w:rFonts w:eastAsiaTheme="minorEastAsia" w:cstheme="minorHAnsi"/>
          <w:lang w:val="en-US"/>
        </w:rPr>
        <w:t xml:space="preserve">). UCR had </w:t>
      </w:r>
      <w:r w:rsidR="00CB03A7">
        <w:rPr>
          <w:rFonts w:eastAsiaTheme="minorEastAsia" w:cstheme="minorHAnsi"/>
          <w:lang w:val="en-US"/>
        </w:rPr>
        <w:t xml:space="preserve">a </w:t>
      </w:r>
      <w:r w:rsidR="004155B5" w:rsidRPr="004155B5">
        <w:rPr>
          <w:rFonts w:eastAsiaTheme="minorEastAsia" w:cstheme="minorHAnsi"/>
          <w:lang w:val="en-US"/>
        </w:rPr>
        <w:t xml:space="preserve">higher minimum frequency and lower maximum frequency than </w:t>
      </w:r>
      <w:r w:rsidR="00994C95" w:rsidRPr="004155B5">
        <w:rPr>
          <w:rFonts w:eastAsiaTheme="minorEastAsia" w:cstheme="minorHAnsi"/>
          <w:lang w:val="en-US"/>
        </w:rPr>
        <w:t>M</w:t>
      </w:r>
      <w:r w:rsidR="00994C95">
        <w:rPr>
          <w:rFonts w:eastAsiaTheme="minorEastAsia" w:cstheme="minorHAnsi"/>
          <w:lang w:val="en-US"/>
        </w:rPr>
        <w:t>TV</w:t>
      </w:r>
      <w:r w:rsidR="00994C95" w:rsidRPr="004155B5">
        <w:rPr>
          <w:rFonts w:eastAsiaTheme="minorEastAsia" w:cstheme="minorHAnsi"/>
          <w:lang w:val="en-US"/>
        </w:rPr>
        <w:t xml:space="preserve"> </w:t>
      </w:r>
      <w:r w:rsidR="004155B5" w:rsidRPr="004155B5">
        <w:rPr>
          <w:rFonts w:eastAsiaTheme="minorEastAsia" w:cstheme="minorHAnsi"/>
          <w:lang w:val="en-US"/>
        </w:rPr>
        <w:t xml:space="preserve">and </w:t>
      </w:r>
      <w:r w:rsidR="00994C95" w:rsidRPr="004155B5">
        <w:rPr>
          <w:rFonts w:eastAsiaTheme="minorEastAsia" w:cstheme="minorHAnsi"/>
          <w:lang w:val="en-US"/>
        </w:rPr>
        <w:t>H</w:t>
      </w:r>
      <w:r w:rsidR="00994C95">
        <w:rPr>
          <w:rFonts w:eastAsiaTheme="minorEastAsia" w:cstheme="minorHAnsi"/>
          <w:lang w:val="en-US"/>
        </w:rPr>
        <w:t>DA</w:t>
      </w:r>
      <w:r w:rsidR="00F03F6C">
        <w:rPr>
          <w:rFonts w:eastAsiaTheme="minorEastAsia" w:cstheme="minorHAnsi"/>
          <w:lang w:val="en-US"/>
        </w:rPr>
        <w:t xml:space="preserve">; while </w:t>
      </w:r>
      <w:r w:rsidR="00994C95">
        <w:rPr>
          <w:rFonts w:eastAsiaTheme="minorEastAsia" w:cstheme="minorHAnsi"/>
          <w:lang w:val="en-US"/>
        </w:rPr>
        <w:t>JBL</w:t>
      </w:r>
      <w:r w:rsidR="00994C95" w:rsidRPr="004155B5">
        <w:rPr>
          <w:rFonts w:eastAsiaTheme="minorEastAsia" w:cstheme="minorHAnsi"/>
          <w:lang w:val="en-US"/>
        </w:rPr>
        <w:t xml:space="preserve"> </w:t>
      </w:r>
      <w:r w:rsidR="004155B5" w:rsidRPr="004155B5">
        <w:rPr>
          <w:rFonts w:eastAsiaTheme="minorEastAsia" w:cstheme="minorHAnsi"/>
          <w:lang w:val="en-US"/>
        </w:rPr>
        <w:t xml:space="preserve">had </w:t>
      </w:r>
      <w:r w:rsidR="00CB03A7">
        <w:rPr>
          <w:rFonts w:eastAsiaTheme="minorEastAsia" w:cstheme="minorHAnsi"/>
          <w:lang w:val="en-US"/>
        </w:rPr>
        <w:t xml:space="preserve">a </w:t>
      </w:r>
      <w:r w:rsidR="004155B5" w:rsidRPr="004155B5">
        <w:rPr>
          <w:rFonts w:eastAsiaTheme="minorEastAsia" w:cstheme="minorHAnsi"/>
          <w:lang w:val="en-US"/>
        </w:rPr>
        <w:t xml:space="preserve">lower minimum frequency and higher maximum frequency </w:t>
      </w:r>
      <w:r w:rsidR="00315954">
        <w:rPr>
          <w:rFonts w:eastAsiaTheme="minorEastAsia" w:cstheme="minorHAnsi"/>
          <w:lang w:val="en-US"/>
        </w:rPr>
        <w:t>compared</w:t>
      </w:r>
      <w:r w:rsidR="00F03F6C">
        <w:rPr>
          <w:rFonts w:eastAsiaTheme="minorEastAsia" w:cstheme="minorHAnsi"/>
          <w:lang w:val="en-US"/>
        </w:rPr>
        <w:t xml:space="preserve"> </w:t>
      </w:r>
      <w:r w:rsidR="00CB03A7">
        <w:rPr>
          <w:rFonts w:eastAsiaTheme="minorEastAsia" w:cstheme="minorHAnsi"/>
          <w:lang w:val="en-US"/>
        </w:rPr>
        <w:t xml:space="preserve">to </w:t>
      </w:r>
      <w:r w:rsidR="004155B5" w:rsidRPr="004155B5">
        <w:rPr>
          <w:rFonts w:eastAsiaTheme="minorEastAsia" w:cstheme="minorHAnsi"/>
          <w:lang w:val="en-US"/>
        </w:rPr>
        <w:t xml:space="preserve">other populations (Figure </w:t>
      </w:r>
      <w:r w:rsidR="0067092D">
        <w:rPr>
          <w:rFonts w:eastAsiaTheme="minorEastAsia" w:cstheme="minorHAnsi"/>
          <w:lang w:val="en-US"/>
        </w:rPr>
        <w:t>3</w:t>
      </w:r>
      <w:r w:rsidR="004155B5" w:rsidRPr="004155B5">
        <w:rPr>
          <w:rFonts w:eastAsiaTheme="minorEastAsia" w:cstheme="minorHAnsi"/>
          <w:lang w:val="en-US"/>
        </w:rPr>
        <w:t xml:space="preserve">). The frequency of maximum amplitude (PC3) showed significant differences in the interaction population × time period (Table </w:t>
      </w:r>
      <w:r w:rsidR="009C194A">
        <w:rPr>
          <w:rFonts w:eastAsiaTheme="minorEastAsia" w:cstheme="minorHAnsi"/>
          <w:lang w:val="en-US"/>
        </w:rPr>
        <w:t>4</w:t>
      </w:r>
      <w:r w:rsidR="004155B5" w:rsidRPr="004155B5">
        <w:rPr>
          <w:rFonts w:eastAsiaTheme="minorEastAsia" w:cstheme="minorHAnsi"/>
          <w:lang w:val="en-US"/>
        </w:rPr>
        <w:t>).</w:t>
      </w:r>
      <w:r w:rsidR="00E97251">
        <w:rPr>
          <w:rFonts w:eastAsiaTheme="minorEastAsia" w:cstheme="minorHAnsi"/>
          <w:lang w:val="en-US"/>
        </w:rPr>
        <w:t xml:space="preserve"> </w:t>
      </w:r>
      <w:r w:rsidR="00881E60">
        <w:rPr>
          <w:rFonts w:eastAsiaTheme="minorEastAsia" w:cstheme="minorHAnsi"/>
          <w:lang w:val="en-US"/>
        </w:rPr>
        <w:t>The songs increased the frequency of maximum amplitude in HDA period 2</w:t>
      </w:r>
      <w:r w:rsidR="00F07325">
        <w:rPr>
          <w:rFonts w:eastAsiaTheme="minorEastAsia" w:cstheme="minorHAnsi"/>
          <w:lang w:val="en-US"/>
        </w:rPr>
        <w:t>,</w:t>
      </w:r>
      <w:r w:rsidR="00881E60">
        <w:rPr>
          <w:rFonts w:eastAsiaTheme="minorEastAsia" w:cstheme="minorHAnsi"/>
          <w:lang w:val="en-US"/>
        </w:rPr>
        <w:t xml:space="preserve"> relative to period 1, whereas UCR and JBL decreased in period 2 compared to period 1.</w:t>
      </w:r>
    </w:p>
    <w:p w14:paraId="2DEAD65A" w14:textId="77777777" w:rsidR="000F6C0B" w:rsidRDefault="000F6C0B" w:rsidP="00482C6C">
      <w:pPr>
        <w:spacing w:line="480" w:lineRule="auto"/>
        <w:rPr>
          <w:rFonts w:eastAsiaTheme="minorEastAsia" w:cstheme="minorHAnsi"/>
          <w:lang w:val="en-US"/>
        </w:rPr>
      </w:pPr>
    </w:p>
    <w:p w14:paraId="252E0E8B" w14:textId="77777777" w:rsidR="007B5983" w:rsidRPr="00695062" w:rsidRDefault="00341C70" w:rsidP="00482C6C">
      <w:pPr>
        <w:spacing w:line="480" w:lineRule="auto"/>
        <w:rPr>
          <w:rFonts w:cstheme="minorHAnsi"/>
          <w:lang w:val="en-US"/>
        </w:rPr>
      </w:pPr>
      <w:r w:rsidRPr="00695062">
        <w:rPr>
          <w:rFonts w:eastAsiaTheme="minorEastAsia" w:cstheme="minorHAnsi"/>
          <w:lang w:val="en-US"/>
        </w:rPr>
        <w:lastRenderedPageBreak/>
        <w:t xml:space="preserve">Morphology </w:t>
      </w:r>
    </w:p>
    <w:p w14:paraId="72F0A7C9" w14:textId="79ACBF13" w:rsidR="0080398E" w:rsidRPr="0084578B" w:rsidRDefault="00EA3F9C" w:rsidP="002A15DD">
      <w:pPr>
        <w:spacing w:line="480" w:lineRule="auto"/>
        <w:ind w:firstLine="709"/>
        <w:rPr>
          <w:rFonts w:eastAsiaTheme="minorEastAsia" w:cstheme="minorHAnsi"/>
          <w:lang w:val="en-US"/>
        </w:rPr>
      </w:pPr>
      <w:bookmarkStart w:id="33" w:name="_Hlk127988885"/>
      <w:r>
        <w:rPr>
          <w:rFonts w:eastAsiaTheme="minorEastAsia" w:cstheme="minorHAnsi"/>
          <w:lang w:val="en-US"/>
        </w:rPr>
        <w:t xml:space="preserve">We found a significant interaction between </w:t>
      </w:r>
      <w:r w:rsidRPr="00695062">
        <w:rPr>
          <w:rFonts w:eastAsiaTheme="minorEastAsia" w:cstheme="minorHAnsi"/>
          <w:lang w:val="en-US"/>
        </w:rPr>
        <w:t xml:space="preserve">population </w:t>
      </w:r>
      <w:r w:rsidR="00565389">
        <w:rPr>
          <w:rFonts w:eastAsiaTheme="minorEastAsia" w:cstheme="minorHAnsi"/>
          <w:lang w:val="en-US"/>
        </w:rPr>
        <w:t>and</w:t>
      </w:r>
      <w:r w:rsidR="00565389" w:rsidRPr="00695062">
        <w:rPr>
          <w:rFonts w:eastAsiaTheme="minorEastAsia" w:cstheme="minorHAnsi"/>
          <w:lang w:val="en-US"/>
        </w:rPr>
        <w:t xml:space="preserve"> </w:t>
      </w:r>
      <w:r w:rsidRPr="002E2228">
        <w:rPr>
          <w:rFonts w:eastAsiaTheme="minorEastAsia" w:cstheme="minorHAnsi"/>
          <w:lang w:val="en-US"/>
        </w:rPr>
        <w:t xml:space="preserve">time period </w:t>
      </w:r>
      <w:r w:rsidR="00565389">
        <w:rPr>
          <w:rFonts w:eastAsiaTheme="minorEastAsia" w:cstheme="minorHAnsi"/>
          <w:lang w:val="en-US"/>
        </w:rPr>
        <w:t>in</w:t>
      </w:r>
      <w:r w:rsidR="00565389" w:rsidRPr="002E2228">
        <w:rPr>
          <w:rFonts w:eastAsiaTheme="minorEastAsia" w:cstheme="minorHAnsi"/>
          <w:lang w:val="en-US"/>
        </w:rPr>
        <w:t xml:space="preserve"> </w:t>
      </w:r>
      <w:r w:rsidRPr="002E2228">
        <w:rPr>
          <w:rFonts w:eastAsiaTheme="minorEastAsia" w:cstheme="minorHAnsi"/>
          <w:lang w:val="en-US"/>
        </w:rPr>
        <w:t>females</w:t>
      </w:r>
      <w:r w:rsidDel="00EA3F9C">
        <w:rPr>
          <w:rFonts w:eastAsiaTheme="minorEastAsia" w:cstheme="minorHAnsi"/>
          <w:lang w:val="en-US"/>
        </w:rPr>
        <w:t xml:space="preserve"> </w:t>
      </w:r>
      <w:bookmarkStart w:id="34" w:name="_Hlk122631174"/>
      <w:r w:rsidR="0054022A">
        <w:rPr>
          <w:rFonts w:eastAsiaTheme="minorEastAsia" w:cstheme="minorHAnsi"/>
          <w:lang w:val="en-US"/>
        </w:rPr>
        <w:t xml:space="preserve">for </w:t>
      </w:r>
      <w:r w:rsidR="004F28B5" w:rsidRPr="00695062">
        <w:rPr>
          <w:rFonts w:cstheme="minorHAnsi"/>
          <w:lang w:val="en-US"/>
        </w:rPr>
        <w:t>tarsus length, tail length, wing chord length, and beak depth</w:t>
      </w:r>
      <w:r w:rsidR="004F28B5" w:rsidRPr="00695062">
        <w:rPr>
          <w:rFonts w:eastAsiaTheme="minorEastAsia" w:cstheme="minorHAnsi"/>
          <w:lang w:val="en-US"/>
        </w:rPr>
        <w:t xml:space="preserve"> </w:t>
      </w:r>
      <w:bookmarkEnd w:id="34"/>
      <w:r w:rsidR="004F28B5" w:rsidRPr="00695062">
        <w:rPr>
          <w:rFonts w:eastAsiaTheme="minorEastAsia" w:cstheme="minorHAnsi"/>
          <w:lang w:val="en-US"/>
        </w:rPr>
        <w:t>(PC1)</w:t>
      </w:r>
      <w:r w:rsidR="0048124D">
        <w:rPr>
          <w:rFonts w:eastAsiaTheme="minorEastAsia" w:cstheme="minorHAnsi"/>
          <w:lang w:val="en-US"/>
        </w:rPr>
        <w:t xml:space="preserve"> </w:t>
      </w:r>
      <w:r w:rsidR="00F37C3C" w:rsidRPr="00695062">
        <w:rPr>
          <w:rFonts w:eastAsiaTheme="minorEastAsia" w:cstheme="minorHAnsi"/>
          <w:lang w:val="en-US"/>
        </w:rPr>
        <w:t xml:space="preserve">(Table </w:t>
      </w:r>
      <w:r w:rsidR="009C194A">
        <w:rPr>
          <w:rFonts w:eastAsiaTheme="minorEastAsia" w:cstheme="minorHAnsi"/>
          <w:lang w:val="en-US"/>
        </w:rPr>
        <w:t>5</w:t>
      </w:r>
      <w:r w:rsidR="00F37C3C" w:rsidRPr="00695062">
        <w:rPr>
          <w:rFonts w:eastAsiaTheme="minorEastAsia" w:cstheme="minorHAnsi"/>
          <w:lang w:val="en-US"/>
        </w:rPr>
        <w:t>)</w:t>
      </w:r>
      <w:r w:rsidR="004155B5">
        <w:rPr>
          <w:rFonts w:eastAsiaTheme="minorEastAsia" w:cstheme="minorHAnsi"/>
          <w:lang w:val="en-US"/>
        </w:rPr>
        <w:t>.</w:t>
      </w:r>
      <w:r w:rsidR="00F37C3C" w:rsidRPr="00695062">
        <w:rPr>
          <w:rFonts w:eastAsiaTheme="minorEastAsia" w:cstheme="minorHAnsi"/>
          <w:lang w:val="en-US"/>
        </w:rPr>
        <w:t xml:space="preserve"> </w:t>
      </w:r>
      <w:r w:rsidR="00EC4745">
        <w:rPr>
          <w:rFonts w:cstheme="minorHAnsi"/>
          <w:lang w:val="en-US"/>
        </w:rPr>
        <w:t xml:space="preserve">These morphological variables represented by the PC1 decreased between periods 1 and 2 for MTV and JBL (Figure </w:t>
      </w:r>
      <w:r w:rsidR="0067092D">
        <w:rPr>
          <w:rFonts w:cstheme="minorHAnsi"/>
          <w:lang w:val="en-US"/>
        </w:rPr>
        <w:t>4</w:t>
      </w:r>
      <w:r w:rsidR="00EC4745">
        <w:rPr>
          <w:rFonts w:cstheme="minorHAnsi"/>
          <w:lang w:val="en-US"/>
        </w:rPr>
        <w:t>).</w:t>
      </w:r>
      <w:r w:rsidR="00981E5D">
        <w:rPr>
          <w:rFonts w:cstheme="minorHAnsi"/>
          <w:lang w:val="en-US"/>
        </w:rPr>
        <w:t xml:space="preserve"> </w:t>
      </w:r>
      <w:r w:rsidR="00526D88" w:rsidRPr="00695062">
        <w:rPr>
          <w:rFonts w:eastAsiaTheme="minorEastAsia" w:cstheme="minorHAnsi"/>
          <w:lang w:val="en-US"/>
        </w:rPr>
        <w:t xml:space="preserve">The </w:t>
      </w:r>
      <w:r w:rsidR="00526D88" w:rsidRPr="00695062">
        <w:rPr>
          <w:rFonts w:cstheme="minorHAnsi"/>
          <w:lang w:val="en-US"/>
        </w:rPr>
        <w:t xml:space="preserve">exposed culmen length and beak width (PC2) did not show </w:t>
      </w:r>
      <w:r w:rsidR="00E6099C" w:rsidRPr="00695062">
        <w:rPr>
          <w:rFonts w:eastAsiaTheme="minorEastAsia" w:cstheme="minorHAnsi"/>
          <w:lang w:val="en-US"/>
        </w:rPr>
        <w:t>significant differences</w:t>
      </w:r>
      <w:r w:rsidR="00526D88" w:rsidRPr="00695062">
        <w:rPr>
          <w:rFonts w:eastAsiaTheme="minorEastAsia" w:cstheme="minorHAnsi"/>
          <w:lang w:val="en-US"/>
        </w:rPr>
        <w:t xml:space="preserve"> (Table </w:t>
      </w:r>
      <w:r w:rsidR="009C194A">
        <w:rPr>
          <w:rFonts w:eastAsiaTheme="minorEastAsia" w:cstheme="minorHAnsi"/>
          <w:lang w:val="en-US"/>
        </w:rPr>
        <w:t>5</w:t>
      </w:r>
      <w:r w:rsidR="00526D88" w:rsidRPr="00695062">
        <w:rPr>
          <w:rFonts w:eastAsiaTheme="minorEastAsia" w:cstheme="minorHAnsi"/>
          <w:lang w:val="en-US"/>
        </w:rPr>
        <w:t>)</w:t>
      </w:r>
      <w:r w:rsidR="0048124D">
        <w:rPr>
          <w:rFonts w:eastAsiaTheme="minorEastAsia" w:cstheme="minorHAnsi"/>
          <w:lang w:val="en-US"/>
        </w:rPr>
        <w:t xml:space="preserve"> </w:t>
      </w:r>
      <w:r w:rsidR="0048124D" w:rsidRPr="002E2228">
        <w:rPr>
          <w:rFonts w:eastAsiaTheme="minorEastAsia" w:cstheme="minorHAnsi"/>
          <w:lang w:val="en-US"/>
        </w:rPr>
        <w:t xml:space="preserve">among </w:t>
      </w:r>
      <w:r w:rsidR="008D45A2">
        <w:rPr>
          <w:rFonts w:eastAsiaTheme="minorEastAsia" w:cstheme="minorHAnsi"/>
          <w:lang w:val="en-US"/>
        </w:rPr>
        <w:t>populations</w:t>
      </w:r>
      <w:r w:rsidR="008D45A2" w:rsidRPr="002E2228">
        <w:rPr>
          <w:rFonts w:eastAsiaTheme="minorEastAsia" w:cstheme="minorHAnsi"/>
          <w:lang w:val="en-US"/>
        </w:rPr>
        <w:t xml:space="preserve"> </w:t>
      </w:r>
      <w:r w:rsidR="0054022A">
        <w:rPr>
          <w:rFonts w:eastAsiaTheme="minorEastAsia" w:cstheme="minorHAnsi"/>
          <w:lang w:val="en-US"/>
        </w:rPr>
        <w:t>or time periods</w:t>
      </w:r>
      <w:r w:rsidR="00526D88" w:rsidRPr="007718B8">
        <w:rPr>
          <w:rFonts w:eastAsiaTheme="minorEastAsia" w:cstheme="minorHAnsi"/>
          <w:lang w:val="en-US"/>
        </w:rPr>
        <w:t>.</w:t>
      </w:r>
      <w:r w:rsidR="00526D88" w:rsidRPr="00695062">
        <w:rPr>
          <w:rFonts w:eastAsiaTheme="minorEastAsia" w:cstheme="minorHAnsi"/>
          <w:lang w:val="en-US"/>
        </w:rPr>
        <w:t xml:space="preserve"> For males </w:t>
      </w:r>
      <w:r w:rsidR="0054022A">
        <w:rPr>
          <w:rFonts w:cstheme="minorHAnsi"/>
          <w:lang w:val="en-US"/>
        </w:rPr>
        <w:t>we also f</w:t>
      </w:r>
      <w:r w:rsidR="00193537">
        <w:rPr>
          <w:rFonts w:cstheme="minorHAnsi"/>
          <w:lang w:val="en-US"/>
        </w:rPr>
        <w:t>o</w:t>
      </w:r>
      <w:r w:rsidR="0054022A">
        <w:rPr>
          <w:rFonts w:cstheme="minorHAnsi"/>
          <w:lang w:val="en-US"/>
        </w:rPr>
        <w:t xml:space="preserve">und a significant interaction between </w:t>
      </w:r>
      <w:r w:rsidR="0054022A" w:rsidRPr="00695062">
        <w:rPr>
          <w:rFonts w:eastAsiaTheme="minorEastAsia" w:cstheme="minorHAnsi"/>
          <w:lang w:val="en-US"/>
        </w:rPr>
        <w:t xml:space="preserve">population </w:t>
      </w:r>
      <w:r w:rsidR="00E65475">
        <w:rPr>
          <w:rFonts w:eastAsiaTheme="minorEastAsia" w:cstheme="minorHAnsi"/>
          <w:lang w:val="en-US"/>
        </w:rPr>
        <w:t>and</w:t>
      </w:r>
      <w:r w:rsidR="00E65475" w:rsidRPr="00695062">
        <w:rPr>
          <w:rFonts w:eastAsiaTheme="minorEastAsia" w:cstheme="minorHAnsi"/>
          <w:lang w:val="en-US"/>
        </w:rPr>
        <w:t xml:space="preserve"> </w:t>
      </w:r>
      <w:r w:rsidR="0054022A">
        <w:rPr>
          <w:rFonts w:eastAsiaTheme="minorEastAsia" w:cstheme="minorHAnsi"/>
          <w:lang w:val="en-US"/>
        </w:rPr>
        <w:t xml:space="preserve">time period for PC1 </w:t>
      </w:r>
      <w:r w:rsidR="00526D88" w:rsidRPr="00695062">
        <w:rPr>
          <w:rFonts w:eastAsiaTheme="minorEastAsia" w:cstheme="minorHAnsi"/>
          <w:lang w:val="en-US"/>
        </w:rPr>
        <w:t xml:space="preserve">(Table </w:t>
      </w:r>
      <w:r w:rsidR="009C194A">
        <w:rPr>
          <w:rFonts w:eastAsiaTheme="minorEastAsia" w:cstheme="minorHAnsi"/>
          <w:lang w:val="en-US"/>
        </w:rPr>
        <w:t>5</w:t>
      </w:r>
      <w:r w:rsidR="0048124D" w:rsidRPr="00695062">
        <w:rPr>
          <w:rFonts w:eastAsiaTheme="minorEastAsia" w:cstheme="minorHAnsi"/>
          <w:lang w:val="en-US"/>
        </w:rPr>
        <w:t>)</w:t>
      </w:r>
      <w:r w:rsidR="0048124D">
        <w:rPr>
          <w:rFonts w:eastAsiaTheme="minorEastAsia" w:cstheme="minorHAnsi"/>
          <w:lang w:val="en-US"/>
        </w:rPr>
        <w:t>.</w:t>
      </w:r>
      <w:r w:rsidR="0048124D" w:rsidRPr="00695062">
        <w:rPr>
          <w:rFonts w:eastAsiaTheme="minorEastAsia" w:cstheme="minorHAnsi"/>
          <w:lang w:val="en-US"/>
        </w:rPr>
        <w:t xml:space="preserve"> </w:t>
      </w:r>
      <w:r w:rsidR="002E2228">
        <w:rPr>
          <w:rFonts w:cstheme="minorHAnsi"/>
          <w:lang w:val="en-US"/>
        </w:rPr>
        <w:t>T</w:t>
      </w:r>
      <w:r w:rsidR="00855C36" w:rsidRPr="00695062">
        <w:rPr>
          <w:rFonts w:cstheme="minorHAnsi"/>
          <w:lang w:val="en-US"/>
        </w:rPr>
        <w:t xml:space="preserve">arsus length, tail length, wing chord length, and beak depth </w:t>
      </w:r>
      <w:r w:rsidR="002E2228">
        <w:rPr>
          <w:rFonts w:cstheme="minorHAnsi"/>
          <w:lang w:val="en-US"/>
        </w:rPr>
        <w:t xml:space="preserve">were smaller in </w:t>
      </w:r>
      <w:r w:rsidR="002E1F4B">
        <w:rPr>
          <w:rFonts w:cstheme="minorHAnsi"/>
          <w:lang w:val="en-US"/>
        </w:rPr>
        <w:t>JBL</w:t>
      </w:r>
      <w:r w:rsidR="002E1F4B" w:rsidRPr="00695062">
        <w:rPr>
          <w:rFonts w:cstheme="minorHAnsi"/>
          <w:lang w:val="en-US"/>
        </w:rPr>
        <w:t xml:space="preserve"> </w:t>
      </w:r>
      <w:r w:rsidR="002E1F4B">
        <w:rPr>
          <w:rFonts w:cstheme="minorHAnsi"/>
          <w:lang w:val="en-US"/>
        </w:rPr>
        <w:t>period 2</w:t>
      </w:r>
      <w:r w:rsidR="002E2228">
        <w:rPr>
          <w:rFonts w:cstheme="minorHAnsi"/>
          <w:lang w:val="en-US"/>
        </w:rPr>
        <w:t xml:space="preserve"> compared to </w:t>
      </w:r>
      <w:r w:rsidR="002E1F4B">
        <w:rPr>
          <w:rFonts w:cstheme="minorHAnsi"/>
          <w:lang w:val="en-US"/>
        </w:rPr>
        <w:t>period 1</w:t>
      </w:r>
      <w:r w:rsidR="005D0472" w:rsidRPr="00695062">
        <w:rPr>
          <w:rFonts w:cstheme="minorHAnsi"/>
          <w:lang w:val="en-US"/>
        </w:rPr>
        <w:t xml:space="preserve"> (Figure </w:t>
      </w:r>
      <w:r w:rsidR="0067092D">
        <w:rPr>
          <w:rFonts w:cstheme="minorHAnsi"/>
          <w:lang w:val="en-US"/>
        </w:rPr>
        <w:t>4</w:t>
      </w:r>
      <w:r w:rsidR="005D0472" w:rsidRPr="00695062">
        <w:rPr>
          <w:rFonts w:cstheme="minorHAnsi"/>
          <w:lang w:val="en-US"/>
        </w:rPr>
        <w:t>)</w:t>
      </w:r>
      <w:r w:rsidR="00855C36" w:rsidRPr="00695062">
        <w:rPr>
          <w:rFonts w:cstheme="minorHAnsi"/>
          <w:lang w:val="en-US"/>
        </w:rPr>
        <w:t xml:space="preserve">. </w:t>
      </w:r>
      <w:r w:rsidR="00855C36" w:rsidRPr="00695062">
        <w:rPr>
          <w:rFonts w:eastAsiaTheme="minorEastAsia" w:cstheme="minorHAnsi"/>
          <w:lang w:val="en-US"/>
        </w:rPr>
        <w:t xml:space="preserve">The </w:t>
      </w:r>
      <w:r w:rsidR="00855C36" w:rsidRPr="00695062">
        <w:rPr>
          <w:rFonts w:cstheme="minorHAnsi"/>
          <w:lang w:val="en-US"/>
        </w:rPr>
        <w:t xml:space="preserve">exposed culmen length and beak width (PC2) </w:t>
      </w:r>
      <w:r w:rsidR="00855C36" w:rsidRPr="00695062">
        <w:rPr>
          <w:rFonts w:eastAsiaTheme="minorEastAsia" w:cstheme="minorHAnsi"/>
          <w:lang w:val="en-US"/>
        </w:rPr>
        <w:t xml:space="preserve">were affected by the interaction </w:t>
      </w:r>
      <w:r w:rsidR="00E65475">
        <w:rPr>
          <w:rFonts w:eastAsiaTheme="minorEastAsia" w:cstheme="minorHAnsi"/>
          <w:lang w:val="en-US"/>
        </w:rPr>
        <w:t xml:space="preserve">between </w:t>
      </w:r>
      <w:r w:rsidR="00855C36" w:rsidRPr="00695062">
        <w:rPr>
          <w:rFonts w:eastAsiaTheme="minorEastAsia" w:cstheme="minorHAnsi"/>
          <w:lang w:val="en-US"/>
        </w:rPr>
        <w:t xml:space="preserve">population </w:t>
      </w:r>
      <w:r w:rsidR="00E65475">
        <w:rPr>
          <w:rFonts w:eastAsiaTheme="minorEastAsia" w:cstheme="minorHAnsi"/>
          <w:lang w:val="en-US"/>
        </w:rPr>
        <w:t>and</w:t>
      </w:r>
      <w:r w:rsidR="00E65475" w:rsidRPr="00695062">
        <w:rPr>
          <w:rFonts w:eastAsiaTheme="minorEastAsia" w:cstheme="minorHAnsi"/>
          <w:lang w:val="en-US"/>
        </w:rPr>
        <w:t xml:space="preserve"> </w:t>
      </w:r>
      <w:r w:rsidR="00855C36" w:rsidRPr="00695062">
        <w:rPr>
          <w:rFonts w:eastAsiaTheme="minorEastAsia" w:cstheme="minorHAnsi"/>
          <w:lang w:val="en-US"/>
        </w:rPr>
        <w:t xml:space="preserve">time period (Table </w:t>
      </w:r>
      <w:r w:rsidR="009C194A">
        <w:rPr>
          <w:rFonts w:eastAsiaTheme="minorEastAsia" w:cstheme="minorHAnsi"/>
          <w:lang w:val="en-US"/>
        </w:rPr>
        <w:t>5</w:t>
      </w:r>
      <w:r w:rsidR="00855C36" w:rsidRPr="00695062">
        <w:rPr>
          <w:rFonts w:eastAsiaTheme="minorEastAsia" w:cstheme="minorHAnsi"/>
          <w:lang w:val="en-US"/>
        </w:rPr>
        <w:t>)</w:t>
      </w:r>
      <w:r w:rsidR="005D0472" w:rsidRPr="00695062">
        <w:rPr>
          <w:rFonts w:eastAsiaTheme="minorEastAsia" w:cstheme="minorHAnsi"/>
          <w:lang w:val="en-US"/>
        </w:rPr>
        <w:t>.</w:t>
      </w:r>
      <w:r w:rsidR="00855C36" w:rsidRPr="00695062">
        <w:rPr>
          <w:rFonts w:eastAsiaTheme="minorEastAsia" w:cstheme="minorHAnsi"/>
          <w:lang w:val="en-US"/>
        </w:rPr>
        <w:t xml:space="preserve"> </w:t>
      </w:r>
      <w:r w:rsidR="00366D31">
        <w:rPr>
          <w:rFonts w:eastAsiaTheme="minorEastAsia" w:cstheme="minorHAnsi"/>
          <w:lang w:val="en-US"/>
        </w:rPr>
        <w:t xml:space="preserve">Birds in </w:t>
      </w:r>
      <w:r w:rsidR="002E1F4B" w:rsidRPr="00695062">
        <w:rPr>
          <w:rFonts w:eastAsiaTheme="minorEastAsia" w:cstheme="minorHAnsi"/>
          <w:lang w:val="en-US"/>
        </w:rPr>
        <w:t>M</w:t>
      </w:r>
      <w:r w:rsidR="002E1F4B">
        <w:rPr>
          <w:rFonts w:eastAsiaTheme="minorEastAsia" w:cstheme="minorHAnsi"/>
          <w:lang w:val="en-US"/>
        </w:rPr>
        <w:t>TV</w:t>
      </w:r>
      <w:r w:rsidR="002E1F4B" w:rsidRPr="00695062">
        <w:rPr>
          <w:rFonts w:eastAsiaTheme="minorEastAsia" w:cstheme="minorHAnsi"/>
          <w:lang w:val="en-US"/>
        </w:rPr>
        <w:t xml:space="preserve"> </w:t>
      </w:r>
      <w:r w:rsidR="002E1F4B">
        <w:rPr>
          <w:rFonts w:eastAsiaTheme="minorEastAsia" w:cstheme="minorHAnsi"/>
          <w:lang w:val="en-US"/>
        </w:rPr>
        <w:t>period 2</w:t>
      </w:r>
      <w:r w:rsidR="005D58A1">
        <w:rPr>
          <w:rFonts w:eastAsiaTheme="minorEastAsia" w:cstheme="minorHAnsi"/>
          <w:lang w:val="en-US"/>
        </w:rPr>
        <w:t xml:space="preserve"> </w:t>
      </w:r>
      <w:r w:rsidR="005D0472" w:rsidRPr="00695062">
        <w:rPr>
          <w:rFonts w:eastAsiaTheme="minorEastAsia" w:cstheme="minorHAnsi"/>
          <w:lang w:val="en-US"/>
        </w:rPr>
        <w:t xml:space="preserve">had </w:t>
      </w:r>
      <w:r w:rsidR="00366D31">
        <w:rPr>
          <w:rFonts w:eastAsiaTheme="minorEastAsia" w:cstheme="minorHAnsi"/>
          <w:lang w:val="en-US"/>
        </w:rPr>
        <w:t>shorter</w:t>
      </w:r>
      <w:r w:rsidR="00366D31" w:rsidRPr="00695062">
        <w:rPr>
          <w:rFonts w:eastAsiaTheme="minorEastAsia" w:cstheme="minorHAnsi"/>
          <w:lang w:val="en-US"/>
        </w:rPr>
        <w:t xml:space="preserve"> </w:t>
      </w:r>
      <w:r w:rsidR="005D0472" w:rsidRPr="00695062">
        <w:rPr>
          <w:rFonts w:cstheme="minorHAnsi"/>
          <w:lang w:val="en-US"/>
        </w:rPr>
        <w:t xml:space="preserve">exposed culmen and bigger beak width than </w:t>
      </w:r>
      <w:r w:rsidR="00366D31">
        <w:rPr>
          <w:rFonts w:cstheme="minorHAnsi"/>
          <w:lang w:val="en-US"/>
        </w:rPr>
        <w:t xml:space="preserve">in </w:t>
      </w:r>
      <w:r w:rsidR="002E1F4B">
        <w:rPr>
          <w:rFonts w:cstheme="minorHAnsi"/>
          <w:lang w:val="en-US"/>
        </w:rPr>
        <w:t>period 1</w:t>
      </w:r>
      <w:r w:rsidR="00366D31">
        <w:rPr>
          <w:rFonts w:cstheme="minorHAnsi"/>
          <w:lang w:val="en-US"/>
        </w:rPr>
        <w:t>,</w:t>
      </w:r>
      <w:r w:rsidR="005D58A1">
        <w:rPr>
          <w:rFonts w:cstheme="minorHAnsi"/>
          <w:lang w:val="en-US"/>
        </w:rPr>
        <w:t xml:space="preserve"> and </w:t>
      </w:r>
      <w:r w:rsidR="00A54B0B">
        <w:rPr>
          <w:rFonts w:cstheme="minorHAnsi"/>
          <w:lang w:val="en-US"/>
        </w:rPr>
        <w:t xml:space="preserve">birds in </w:t>
      </w:r>
      <w:r w:rsidR="002E1F4B">
        <w:rPr>
          <w:rFonts w:eastAsiaTheme="minorEastAsia" w:cstheme="minorHAnsi"/>
          <w:lang w:val="en-US"/>
        </w:rPr>
        <w:t>JBL period 2</w:t>
      </w:r>
      <w:r w:rsidR="005D58A1">
        <w:rPr>
          <w:rFonts w:eastAsiaTheme="minorEastAsia" w:cstheme="minorHAnsi"/>
          <w:lang w:val="en-US"/>
        </w:rPr>
        <w:t xml:space="preserve"> </w:t>
      </w:r>
      <w:r w:rsidR="005846F9">
        <w:rPr>
          <w:rFonts w:eastAsiaTheme="minorEastAsia" w:cstheme="minorHAnsi"/>
          <w:lang w:val="en-US"/>
        </w:rPr>
        <w:t>had bigger</w:t>
      </w:r>
      <w:r w:rsidR="005D58A1">
        <w:rPr>
          <w:rFonts w:eastAsiaTheme="minorEastAsia" w:cstheme="minorHAnsi"/>
          <w:lang w:val="en-US"/>
        </w:rPr>
        <w:t xml:space="preserve"> exposed culmen length and smaller beak width than </w:t>
      </w:r>
      <w:r w:rsidR="00366D31">
        <w:rPr>
          <w:rFonts w:eastAsiaTheme="minorEastAsia" w:cstheme="minorHAnsi"/>
          <w:lang w:val="en-US"/>
        </w:rPr>
        <w:t xml:space="preserve">in </w:t>
      </w:r>
      <w:r w:rsidR="002E1F4B">
        <w:rPr>
          <w:rFonts w:eastAsiaTheme="minorEastAsia" w:cstheme="minorHAnsi"/>
          <w:lang w:val="en-US"/>
        </w:rPr>
        <w:t>period 1</w:t>
      </w:r>
      <w:r w:rsidR="005846F9" w:rsidRPr="00695062">
        <w:rPr>
          <w:rFonts w:eastAsiaTheme="minorEastAsia" w:cstheme="minorHAnsi"/>
          <w:lang w:val="en-US"/>
        </w:rPr>
        <w:t xml:space="preserve"> </w:t>
      </w:r>
      <w:r w:rsidR="005846F9">
        <w:rPr>
          <w:rFonts w:cstheme="minorHAnsi"/>
          <w:lang w:val="en-US"/>
        </w:rPr>
        <w:t>(</w:t>
      </w:r>
      <w:r w:rsidR="005D0472" w:rsidRPr="00695062">
        <w:rPr>
          <w:rFonts w:cstheme="minorHAnsi"/>
          <w:lang w:val="en-US"/>
        </w:rPr>
        <w:t xml:space="preserve">Figure </w:t>
      </w:r>
      <w:r w:rsidR="0067092D">
        <w:rPr>
          <w:rFonts w:cstheme="minorHAnsi"/>
          <w:lang w:val="en-US"/>
        </w:rPr>
        <w:t>4</w:t>
      </w:r>
      <w:r w:rsidR="005D0472" w:rsidRPr="00695062">
        <w:rPr>
          <w:rFonts w:cstheme="minorHAnsi"/>
          <w:lang w:val="en-US"/>
        </w:rPr>
        <w:t xml:space="preserve">). </w:t>
      </w:r>
      <w:r w:rsidR="0048124D">
        <w:rPr>
          <w:rFonts w:cstheme="minorHAnsi"/>
          <w:lang w:val="en-US"/>
        </w:rPr>
        <w:t xml:space="preserve"> </w:t>
      </w:r>
    </w:p>
    <w:bookmarkEnd w:id="33"/>
    <w:p w14:paraId="1561BA31" w14:textId="77777777" w:rsidR="000F6C0B" w:rsidRDefault="000F6C0B" w:rsidP="00482C6C">
      <w:pPr>
        <w:spacing w:line="480" w:lineRule="auto"/>
        <w:rPr>
          <w:rFonts w:eastAsiaTheme="minorEastAsia" w:cstheme="minorHAnsi"/>
          <w:lang w:val="en-US"/>
        </w:rPr>
      </w:pPr>
    </w:p>
    <w:p w14:paraId="61309A21" w14:textId="77777777" w:rsidR="00E6099C" w:rsidRPr="00695062" w:rsidRDefault="00E6099C" w:rsidP="00482C6C">
      <w:pPr>
        <w:spacing w:line="480" w:lineRule="auto"/>
        <w:rPr>
          <w:rFonts w:eastAsiaTheme="minorEastAsia" w:cstheme="minorHAnsi"/>
          <w:lang w:val="en-US"/>
        </w:rPr>
      </w:pPr>
      <w:r w:rsidRPr="00695062">
        <w:rPr>
          <w:rFonts w:eastAsiaTheme="minorEastAsia" w:cstheme="minorHAnsi"/>
          <w:lang w:val="en-US"/>
        </w:rPr>
        <w:t xml:space="preserve">Relationship </w:t>
      </w:r>
      <w:r w:rsidR="00482C6C" w:rsidRPr="00695062">
        <w:rPr>
          <w:rFonts w:eastAsiaTheme="minorEastAsia" w:cstheme="minorHAnsi"/>
          <w:lang w:val="en-US"/>
        </w:rPr>
        <w:t xml:space="preserve">between variables </w:t>
      </w:r>
    </w:p>
    <w:p w14:paraId="2095C3E6" w14:textId="5C23881C" w:rsidR="00362F06" w:rsidRDefault="007E79BB" w:rsidP="002A15DD">
      <w:pPr>
        <w:spacing w:line="480" w:lineRule="auto"/>
        <w:ind w:firstLine="709"/>
        <w:rPr>
          <w:rFonts w:cstheme="minorHAnsi"/>
          <w:lang w:val="en-US"/>
        </w:rPr>
      </w:pPr>
      <w:r>
        <w:rPr>
          <w:rFonts w:cstheme="minorHAnsi"/>
          <w:lang w:val="en-US"/>
        </w:rPr>
        <w:t xml:space="preserve">When acoustic differences were controlled, the partial Mantel test revealed a non-significant association between genetic and morphological distances (r = -0.06, p = 0.40; Figure </w:t>
      </w:r>
      <w:r w:rsidR="0067092D">
        <w:rPr>
          <w:rFonts w:cstheme="minorHAnsi"/>
          <w:lang w:val="en-US"/>
        </w:rPr>
        <w:t>5</w:t>
      </w:r>
      <w:r>
        <w:rPr>
          <w:rFonts w:cstheme="minorHAnsi"/>
          <w:lang w:val="en-US"/>
        </w:rPr>
        <w:t>).</w:t>
      </w:r>
      <w:r w:rsidR="00600D70">
        <w:rPr>
          <w:rFonts w:cstheme="minorHAnsi"/>
          <w:lang w:val="en-US"/>
        </w:rPr>
        <w:t xml:space="preserve"> </w:t>
      </w:r>
      <w:r w:rsidR="005147B7">
        <w:rPr>
          <w:rFonts w:cstheme="minorHAnsi"/>
          <w:lang w:val="en-US"/>
        </w:rPr>
        <w:t xml:space="preserve">Similarly, we found no significant correlation </w:t>
      </w:r>
      <w:r w:rsidR="005147B7" w:rsidRPr="00695062">
        <w:rPr>
          <w:rFonts w:cstheme="minorHAnsi"/>
          <w:lang w:val="en-US"/>
        </w:rPr>
        <w:t xml:space="preserve">between </w:t>
      </w:r>
      <w:r w:rsidR="005147B7">
        <w:rPr>
          <w:rFonts w:cstheme="minorHAnsi"/>
          <w:lang w:val="en-US"/>
        </w:rPr>
        <w:t>morphology</w:t>
      </w:r>
      <w:r w:rsidR="005147B7" w:rsidRPr="00695062">
        <w:rPr>
          <w:rFonts w:cstheme="minorHAnsi"/>
          <w:lang w:val="en-US"/>
        </w:rPr>
        <w:t xml:space="preserve"> and acoustic distances, </w:t>
      </w:r>
      <w:r w:rsidR="002E7E56">
        <w:rPr>
          <w:rFonts w:cstheme="minorHAnsi"/>
          <w:lang w:val="en-US"/>
        </w:rPr>
        <w:t xml:space="preserve">while </w:t>
      </w:r>
      <w:r w:rsidR="005147B7" w:rsidRPr="00695062">
        <w:rPr>
          <w:rFonts w:cstheme="minorHAnsi"/>
          <w:lang w:val="en-US"/>
        </w:rPr>
        <w:t xml:space="preserve">accounting for genetic </w:t>
      </w:r>
      <w:r w:rsidR="002E7E56">
        <w:rPr>
          <w:rFonts w:cstheme="minorHAnsi"/>
          <w:lang w:val="en-US"/>
        </w:rPr>
        <w:t xml:space="preserve">differences </w:t>
      </w:r>
      <w:r w:rsidR="005147B7">
        <w:rPr>
          <w:rFonts w:cstheme="minorHAnsi"/>
          <w:lang w:val="en-US"/>
        </w:rPr>
        <w:t>(</w:t>
      </w:r>
      <w:r w:rsidR="005147B7" w:rsidRPr="00695062">
        <w:rPr>
          <w:rFonts w:cstheme="minorHAnsi"/>
          <w:lang w:val="en-US"/>
        </w:rPr>
        <w:t>r = 0.2</w:t>
      </w:r>
      <w:r w:rsidR="005147B7">
        <w:rPr>
          <w:rFonts w:cstheme="minorHAnsi"/>
          <w:lang w:val="en-US"/>
        </w:rPr>
        <w:t>4</w:t>
      </w:r>
      <w:r w:rsidR="005147B7" w:rsidRPr="00695062">
        <w:rPr>
          <w:rFonts w:cstheme="minorHAnsi"/>
          <w:lang w:val="en-US"/>
        </w:rPr>
        <w:t>, p = 0.10</w:t>
      </w:r>
      <w:r w:rsidR="005147B7">
        <w:rPr>
          <w:rFonts w:cstheme="minorHAnsi"/>
          <w:lang w:val="en-US"/>
        </w:rPr>
        <w:t xml:space="preserve">; Figure </w:t>
      </w:r>
      <w:r w:rsidR="0067092D">
        <w:rPr>
          <w:rFonts w:cstheme="minorHAnsi"/>
          <w:lang w:val="en-US"/>
        </w:rPr>
        <w:t>5</w:t>
      </w:r>
      <w:r w:rsidR="005147B7">
        <w:rPr>
          <w:rFonts w:cstheme="minorHAnsi"/>
          <w:lang w:val="en-US"/>
        </w:rPr>
        <w:t xml:space="preserve">). </w:t>
      </w:r>
      <w:r w:rsidR="00AF32C7">
        <w:rPr>
          <w:rFonts w:cstheme="minorHAnsi"/>
          <w:lang w:val="en-US"/>
        </w:rPr>
        <w:t>However, w</w:t>
      </w:r>
      <w:r w:rsidR="005147B7">
        <w:rPr>
          <w:rFonts w:cstheme="minorHAnsi"/>
          <w:lang w:val="en-US"/>
        </w:rPr>
        <w:t>e</w:t>
      </w:r>
      <w:r w:rsidR="00656899">
        <w:rPr>
          <w:rFonts w:cstheme="minorHAnsi"/>
          <w:lang w:val="en-US"/>
        </w:rPr>
        <w:t xml:space="preserve"> found a </w:t>
      </w:r>
      <w:r w:rsidR="00AF32C7">
        <w:rPr>
          <w:rFonts w:cstheme="minorHAnsi"/>
          <w:lang w:val="en-US"/>
        </w:rPr>
        <w:t xml:space="preserve">significant </w:t>
      </w:r>
      <w:r w:rsidR="00482C6C" w:rsidRPr="00695062">
        <w:rPr>
          <w:rFonts w:cstheme="minorHAnsi"/>
          <w:lang w:val="en-US"/>
        </w:rPr>
        <w:t>correlation between genetic distances and acoustic distances</w:t>
      </w:r>
      <w:r w:rsidR="002E7E56">
        <w:rPr>
          <w:rFonts w:cstheme="minorHAnsi"/>
          <w:lang w:val="en-US"/>
        </w:rPr>
        <w:t xml:space="preserve"> when </w:t>
      </w:r>
      <w:r w:rsidR="00EA31A9">
        <w:rPr>
          <w:rFonts w:cstheme="minorHAnsi"/>
          <w:lang w:val="en-US"/>
        </w:rPr>
        <w:t>morpholog</w:t>
      </w:r>
      <w:r w:rsidR="002E7E56">
        <w:rPr>
          <w:rFonts w:cstheme="minorHAnsi"/>
          <w:lang w:val="en-US"/>
        </w:rPr>
        <w:t xml:space="preserve">ical </w:t>
      </w:r>
      <w:r w:rsidR="00EA31A9">
        <w:rPr>
          <w:rFonts w:cstheme="minorHAnsi"/>
          <w:lang w:val="en-US"/>
        </w:rPr>
        <w:t>distances</w:t>
      </w:r>
      <w:r w:rsidR="005147B7">
        <w:rPr>
          <w:rFonts w:cstheme="minorHAnsi"/>
          <w:lang w:val="en-US"/>
        </w:rPr>
        <w:t xml:space="preserve"> </w:t>
      </w:r>
      <w:r w:rsidR="002E7E56">
        <w:rPr>
          <w:rFonts w:cstheme="minorHAnsi"/>
          <w:lang w:val="en-US"/>
        </w:rPr>
        <w:t xml:space="preserve">were accounted for </w:t>
      </w:r>
      <w:r w:rsidR="005147B7">
        <w:rPr>
          <w:rFonts w:cstheme="minorHAnsi"/>
          <w:lang w:val="en-US"/>
        </w:rPr>
        <w:t>(</w:t>
      </w:r>
      <w:r w:rsidR="00482C6C" w:rsidRPr="00695062">
        <w:rPr>
          <w:rFonts w:cstheme="minorHAnsi"/>
          <w:lang w:val="en-US"/>
        </w:rPr>
        <w:t>r = 0.</w:t>
      </w:r>
      <w:r w:rsidR="000D58DD" w:rsidRPr="00695062">
        <w:rPr>
          <w:rFonts w:cstheme="minorHAnsi"/>
          <w:lang w:val="en-US"/>
        </w:rPr>
        <w:t>49</w:t>
      </w:r>
      <w:r w:rsidR="00482C6C" w:rsidRPr="00695062">
        <w:rPr>
          <w:rFonts w:cstheme="minorHAnsi"/>
          <w:lang w:val="en-US"/>
        </w:rPr>
        <w:t>, p &lt; 0.05</w:t>
      </w:r>
      <w:r w:rsidR="005147B7">
        <w:rPr>
          <w:rFonts w:cstheme="minorHAnsi"/>
          <w:lang w:val="en-US"/>
        </w:rPr>
        <w:t>;</w:t>
      </w:r>
      <w:r w:rsidR="000F433D">
        <w:rPr>
          <w:rFonts w:cstheme="minorHAnsi"/>
          <w:lang w:val="en-US"/>
        </w:rPr>
        <w:t xml:space="preserve"> Figure </w:t>
      </w:r>
      <w:r w:rsidR="0067092D">
        <w:rPr>
          <w:rFonts w:cstheme="minorHAnsi"/>
          <w:lang w:val="en-US"/>
        </w:rPr>
        <w:t>5</w:t>
      </w:r>
      <w:r w:rsidR="000F433D">
        <w:rPr>
          <w:rFonts w:cstheme="minorHAnsi"/>
          <w:lang w:val="en-US"/>
        </w:rPr>
        <w:t>)</w:t>
      </w:r>
      <w:r w:rsidR="00482C6C" w:rsidRPr="00695062">
        <w:rPr>
          <w:rFonts w:cstheme="minorHAnsi"/>
          <w:lang w:val="en-US"/>
        </w:rPr>
        <w:t xml:space="preserve">. </w:t>
      </w:r>
    </w:p>
    <w:p w14:paraId="2C891537" w14:textId="77777777" w:rsidR="000F6C0B" w:rsidRDefault="000F6C0B" w:rsidP="00362F06">
      <w:pPr>
        <w:spacing w:line="480" w:lineRule="auto"/>
        <w:rPr>
          <w:lang w:val="en-US"/>
        </w:rPr>
      </w:pPr>
    </w:p>
    <w:p w14:paraId="21FF9D79" w14:textId="77777777" w:rsidR="00287DE5" w:rsidRPr="00482C6C" w:rsidRDefault="00287DE5" w:rsidP="00362F06">
      <w:pPr>
        <w:spacing w:line="480" w:lineRule="auto"/>
        <w:rPr>
          <w:lang w:val="en-US"/>
        </w:rPr>
      </w:pPr>
      <w:r w:rsidRPr="009E3089">
        <w:rPr>
          <w:lang w:val="en-US"/>
        </w:rPr>
        <w:t>Discussion</w:t>
      </w:r>
      <w:r w:rsidRPr="00482C6C">
        <w:rPr>
          <w:lang w:val="en-US"/>
        </w:rPr>
        <w:t xml:space="preserve"> </w:t>
      </w:r>
    </w:p>
    <w:p w14:paraId="0746D427" w14:textId="1C3DBFBC" w:rsidR="00DC6C14" w:rsidRPr="00493C4B" w:rsidRDefault="00DC6C14" w:rsidP="0098165E">
      <w:pPr>
        <w:spacing w:line="480" w:lineRule="auto"/>
        <w:ind w:firstLine="709"/>
        <w:rPr>
          <w:rFonts w:eastAsiaTheme="minorEastAsia"/>
        </w:rPr>
      </w:pPr>
      <w:bookmarkStart w:id="35" w:name="_Hlk187912691"/>
      <w:r w:rsidRPr="00F55983">
        <w:rPr>
          <w:rFonts w:eastAsiaTheme="minorEastAsia"/>
          <w:lang w:val="en-US"/>
        </w:rPr>
        <w:t xml:space="preserve">Over the 10-year period between samplings, urbanization around </w:t>
      </w:r>
      <w:r w:rsidR="00E550E7">
        <w:rPr>
          <w:rFonts w:eastAsiaTheme="minorEastAsia"/>
          <w:lang w:val="en-US"/>
        </w:rPr>
        <w:t>our</w:t>
      </w:r>
      <w:r w:rsidRPr="00F55983">
        <w:rPr>
          <w:rFonts w:eastAsiaTheme="minorEastAsia"/>
          <w:lang w:val="en-US"/>
        </w:rPr>
        <w:t xml:space="preserve"> sampled populations increased</w:t>
      </w:r>
      <w:r w:rsidR="006B21DC">
        <w:rPr>
          <w:rFonts w:eastAsiaTheme="minorEastAsia"/>
          <w:lang w:val="en-US"/>
        </w:rPr>
        <w:t xml:space="preserve"> </w:t>
      </w:r>
      <w:r w:rsidR="00FE3A22">
        <w:rPr>
          <w:rFonts w:eastAsiaTheme="minorEastAsia"/>
          <w:lang w:val="en-US"/>
        </w:rPr>
        <w:t>(</w:t>
      </w:r>
      <w:proofErr w:type="spellStart"/>
      <w:r w:rsidR="00FE3A22" w:rsidRPr="00AE0FC4">
        <w:rPr>
          <w:rFonts w:eastAsiaTheme="minorEastAsia"/>
          <w:lang w:val="en-US"/>
        </w:rPr>
        <w:t>Biamonte</w:t>
      </w:r>
      <w:proofErr w:type="spellEnd"/>
      <w:r w:rsidR="00FE3A22" w:rsidRPr="00AE0FC4">
        <w:rPr>
          <w:rFonts w:eastAsiaTheme="minorEastAsia"/>
          <w:lang w:val="en-US"/>
        </w:rPr>
        <w:t xml:space="preserve"> et al., 2011; Rodríguez-</w:t>
      </w:r>
      <w:proofErr w:type="spellStart"/>
      <w:r w:rsidR="00FE3A22" w:rsidRPr="00AE0FC4">
        <w:rPr>
          <w:rFonts w:eastAsiaTheme="minorEastAsia"/>
          <w:lang w:val="en-US"/>
        </w:rPr>
        <w:t>Bardía</w:t>
      </w:r>
      <w:proofErr w:type="spellEnd"/>
      <w:r w:rsidR="00FE3A22" w:rsidRPr="00AE0FC4">
        <w:rPr>
          <w:rFonts w:eastAsiaTheme="minorEastAsia"/>
          <w:lang w:val="en-US"/>
        </w:rPr>
        <w:t xml:space="preserve"> et al., 2022</w:t>
      </w:r>
      <w:r w:rsidR="006B21DC">
        <w:rPr>
          <w:rFonts w:eastAsiaTheme="minorEastAsia"/>
          <w:lang w:val="en-US"/>
        </w:rPr>
        <w:t>)</w:t>
      </w:r>
      <w:r w:rsidRPr="00F55983">
        <w:rPr>
          <w:rFonts w:eastAsiaTheme="minorEastAsia"/>
          <w:lang w:val="en-US"/>
        </w:rPr>
        <w:t xml:space="preserve">. Large areas of </w:t>
      </w:r>
      <w:r w:rsidRPr="00F55983">
        <w:rPr>
          <w:rFonts w:eastAsiaTheme="minorEastAsia"/>
          <w:lang w:val="en-US"/>
        </w:rPr>
        <w:lastRenderedPageBreak/>
        <w:t>natural or semi-natural habitats were eliminated, leading to greater noise, increased population isolation, and a likely decline in habitat quality</w:t>
      </w:r>
      <w:r w:rsidR="00F55983">
        <w:rPr>
          <w:rFonts w:eastAsiaTheme="minorEastAsia"/>
          <w:lang w:val="en-US"/>
        </w:rPr>
        <w:t xml:space="preserve"> </w:t>
      </w:r>
      <w:r w:rsidR="00F55983">
        <w:rPr>
          <w:rFonts w:cstheme="minorHAnsi"/>
          <w:lang w:val="en-US"/>
        </w:rPr>
        <w:fldChar w:fldCharType="begin" w:fldLock="1"/>
      </w:r>
      <w:r w:rsidR="00F55983">
        <w:rPr>
          <w:rFonts w:cstheme="minorHAnsi"/>
          <w:lang w:val="en-US"/>
        </w:rPr>
        <w:instrText>ADDIN CSL_CITATION {"citationItems":[{"id":"ITEM-1","itemData":{"author":[{"dropping-particle":"","family":"Joyce","given":"AT","non-dropping-particle":"","parse-names":false,"suffix":""}],"id":"ITEM-1","issued":{"date-parts":[["2006"]]},"publisher":"Litografía e imprenta LIL, S.A..","publisher-place":"San José, Costa Rica","title":"Land use change in Costa Rica: 1996–2006, as inﬂuenced by social, economic, political, and environmental factors","type":"book"},"uris":["http://www.mendeley.com/documents/?uuid=161c91af-ad9a-4c91-a73f-2884ba8c404b"]},{"id":"ITEM-2","itemData":{"DOI":"10.1007/s10980-010-9564-0","ISBN":"1098001095","ISSN":"15729761","abstract":"The rapid and unplanned expansion of urban areas is a common pattern in neotropical developing countries. Urbanization has eliminated or drastically altered large areas of natural habitats used by the rich neotropical avifauna. In our study area, in Costa Rica's Central Valley, urbanization increased 72% in 33 years with the consequent destruction, fragmentation, and isolation of forest tracts, shade plantations, and other semi-natural habitats used by a rich avifauna. We show that over the last 16 years 32 resident species of birds have disappeared from this area. Species with specialized habitat requirements or particular life history traits (e. g., altitudinal migrants) are disproportionately represented among those birds that have disappeared from the region. Another 34 latitudinal migrants have gone undetected as nearly all habitats these species used as a stopover site during the autumn migration have disappeared; many of these migrants were very abundant 16 years earlier. Relative abundance has also decreased for most resident and migratory species that remained or visited the area. If uncontrolled urban expansion continues, we predict that the rate of extinction of the avifauna that originally inhabited this region would continue possibly increasing. © 2010 Springer Science+Business Media B.V.","author":[{"dropping-particle":"","family":"Biamonte","given":"Estaban","non-dropping-particle":"","parse-names":false,"suffix":""},{"dropping-particle":"","family":"Sandoval","given":"Luis","non-dropping-particle":"","parse-names":false,"suffix":""},{"dropping-particle":"","family":"Chacón","given":"Eduardo","non-dropping-particle":"","parse-names":false,"suffix":""},{"dropping-particle":"","family":"Barrantes","given":"Gilbert","non-dropping-particle":"","parse-names":false,"suffix":""}],"container-title":"Landscape Ecology","id":"ITEM-2","issue":"2","issued":{"date-parts":[["2011"]]},"page":"183-194","title":"Effect of urbanization on the avifauna in a tropical metropolitan area","type":"article-journal","volume":"26"},"uris":["http://www.mendeley.com/documents/?uuid=64715cc3-ad99-4667-b144-73850e259c87"]}],"mendeley":{"formattedCitation":"(Biamonte et al., 2011; Joyce, 2006)","manualFormatting":"( Joyce, 2006; Biamonte et al., 2011; Mendezet al., 2021)","plainTextFormattedCitation":"(Biamonte et al., 2011; Joyce, 2006)","previouslyFormattedCitation":"(Biamonte et al., 2011; Joyce, 2006)"},"properties":{"noteIndex":0},"schema":"https://github.com/citation-style-language/schema/raw/master/csl-citation.json"}</w:instrText>
      </w:r>
      <w:r w:rsidR="00F55983">
        <w:rPr>
          <w:rFonts w:cstheme="minorHAnsi"/>
          <w:lang w:val="en-US"/>
        </w:rPr>
        <w:fldChar w:fldCharType="separate"/>
      </w:r>
      <w:r w:rsidR="00F55983" w:rsidRPr="00397843">
        <w:rPr>
          <w:rFonts w:cstheme="minorHAnsi"/>
          <w:noProof/>
          <w:lang w:val="en-US"/>
        </w:rPr>
        <w:t>( Joyce, 2006</w:t>
      </w:r>
      <w:r w:rsidR="00F55983">
        <w:rPr>
          <w:rFonts w:cstheme="minorHAnsi"/>
          <w:noProof/>
          <w:lang w:val="en-US"/>
        </w:rPr>
        <w:t xml:space="preserve">; </w:t>
      </w:r>
      <w:r w:rsidR="00F55983" w:rsidRPr="00397843">
        <w:rPr>
          <w:rFonts w:cstheme="minorHAnsi"/>
          <w:noProof/>
          <w:lang w:val="en-US"/>
        </w:rPr>
        <w:t>Biamonte et al., 2011</w:t>
      </w:r>
      <w:r w:rsidR="00F55983">
        <w:rPr>
          <w:rFonts w:cstheme="minorHAnsi"/>
          <w:noProof/>
          <w:lang w:val="en-US"/>
        </w:rPr>
        <w:t>; Mendezet al., 2021</w:t>
      </w:r>
      <w:r w:rsidR="00F55983" w:rsidRPr="00397843">
        <w:rPr>
          <w:rFonts w:cstheme="minorHAnsi"/>
          <w:noProof/>
          <w:lang w:val="en-US"/>
        </w:rPr>
        <w:t>)</w:t>
      </w:r>
      <w:r w:rsidR="00F55983">
        <w:rPr>
          <w:rFonts w:cstheme="minorHAnsi"/>
          <w:lang w:val="en-US"/>
        </w:rPr>
        <w:fldChar w:fldCharType="end"/>
      </w:r>
      <w:r w:rsidR="00310EDA">
        <w:rPr>
          <w:rFonts w:eastAsiaTheme="minorEastAsia"/>
          <w:lang w:val="en-US"/>
        </w:rPr>
        <w:t xml:space="preserve"> </w:t>
      </w:r>
      <w:r w:rsidRPr="00F55983">
        <w:rPr>
          <w:rFonts w:eastAsiaTheme="minorEastAsia"/>
          <w:lang w:val="en-US"/>
        </w:rPr>
        <w:t>These changes in the urbanscape align with our findings of increased inbreeding and changes in acoustic and morphological traits over the same period</w:t>
      </w:r>
      <w:r w:rsidR="00FE3A22">
        <w:rPr>
          <w:rFonts w:eastAsiaTheme="minorEastAsia"/>
          <w:lang w:val="en-US"/>
        </w:rPr>
        <w:t>. H</w:t>
      </w:r>
      <w:r w:rsidRPr="00F55983">
        <w:rPr>
          <w:rFonts w:eastAsiaTheme="minorEastAsia"/>
          <w:lang w:val="en-US"/>
        </w:rPr>
        <w:t>owever, only genetic and song distances were correlated. These results are likely explained by the interaction between declining habitat quality and barriers to gene flow caused by rapid urban development in the sampling area (</w:t>
      </w:r>
      <w:proofErr w:type="spellStart"/>
      <w:r w:rsidRPr="00F55983">
        <w:rPr>
          <w:rFonts w:eastAsiaTheme="minorEastAsia"/>
          <w:lang w:val="en-US"/>
        </w:rPr>
        <w:t>Biamonte</w:t>
      </w:r>
      <w:proofErr w:type="spellEnd"/>
      <w:r w:rsidRPr="00F55983">
        <w:rPr>
          <w:rFonts w:eastAsiaTheme="minorEastAsia"/>
          <w:lang w:val="en-US"/>
        </w:rPr>
        <w:t xml:space="preserve"> et al., 2011; </w:t>
      </w:r>
      <w:r w:rsidR="000F2A29" w:rsidRPr="00F55983">
        <w:rPr>
          <w:rFonts w:eastAsia="Calibri"/>
          <w:noProof/>
          <w:lang w:val="en-US"/>
        </w:rPr>
        <w:t>Juárez et al., 2020</w:t>
      </w:r>
      <w:r w:rsidR="005E02BF">
        <w:rPr>
          <w:rFonts w:eastAsia="Calibri"/>
          <w:noProof/>
          <w:lang w:val="en-US"/>
        </w:rPr>
        <w:t>, 2022</w:t>
      </w:r>
      <w:r w:rsidR="000F2A29">
        <w:rPr>
          <w:rFonts w:eastAsia="Calibri"/>
          <w:noProof/>
          <w:lang w:val="en-US"/>
        </w:rPr>
        <w:t xml:space="preserve">; </w:t>
      </w:r>
      <w:r w:rsidRPr="00BB1701">
        <w:rPr>
          <w:rFonts w:eastAsiaTheme="minorEastAsia"/>
          <w:lang w:val="en-US"/>
        </w:rPr>
        <w:t>Rodríguez-</w:t>
      </w:r>
      <w:proofErr w:type="spellStart"/>
      <w:r w:rsidRPr="00BB1701">
        <w:rPr>
          <w:rFonts w:eastAsiaTheme="minorEastAsia"/>
          <w:lang w:val="en-US"/>
        </w:rPr>
        <w:t>Bardía</w:t>
      </w:r>
      <w:proofErr w:type="spellEnd"/>
      <w:r w:rsidRPr="00BB1701">
        <w:rPr>
          <w:rFonts w:eastAsiaTheme="minorEastAsia"/>
          <w:lang w:val="en-US"/>
        </w:rPr>
        <w:t xml:space="preserve"> et al., 2022), particularly given the low mobility, isolation, and specific habitat requirements of the white-eared ground-sparrow </w:t>
      </w:r>
      <w:r w:rsidR="000F2A29">
        <w:rPr>
          <w:rFonts w:eastAsia="Calibri"/>
          <w:lang w:val="en-US"/>
        </w:rPr>
        <w:fldChar w:fldCharType="begin" w:fldLock="1"/>
      </w:r>
      <w:r w:rsidR="00493C4B">
        <w:rPr>
          <w:rFonts w:eastAsia="Calibri"/>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urbanization","type":"article-journal","volume":"12"},"uris":["http://www.mendeley.com/documents/?uuid=ea8693a5-5706-4033-812a-ef038f7523c8"]},{"id":"ITEM-2","itemData":{"DOI":"10.1186/s40657-020-00198-6","ISBN":"4065702000198","ISSN":"20537166","abstract":"Background: Urban expansion has been identified as one of the leading drivers of biodiversity change or loss. For birds, urbanization is specifically related to survival, breeding success, and territory size. Understanding how different birds adjust territory size in response to urbanization is essential for their conservation in urban environments and to better understand why some species are lost and others persist under this condition. We evaluated the effect of urbanization on the territory size of an urban avoider species, White-eared Ground-Sparrow (Melozone leucotis), and an urban adapter species, House Wren (Troglodytes aedon), at five Costa Rican sites. Methods: We measured the size of 30 ground-sparrow and 28 wren territories using a total of 296 h of observation. We followed each individual for at least 1 h per day for at least 2 days of two consecutive years, and geo-referenced their locations. Territory size was estimated using the minimum convex polygon method. We measured the urban surfaces (roads, buildings, any other paved area, soccer fields, lawns, and gardens with short grass) within territories. Results: Ground-sparrow territories were larger at the highly urbanized site than at the non-urbanized site. Wren territories were larger at the low urbanized site than at the highly urbanized site. We found a positive relationship between urban surface and territory size for the ground-sparrow, but not for the wren. Conclusions: Our results showed that not all birds adjust territory size in the same way in response to urbanization. We showed that urban avoiders probably need to defend larger territories in urban environments to find al</w:instrText>
      </w:r>
      <w:r w:rsidR="00493C4B" w:rsidRPr="007F3E3A">
        <w:rPr>
          <w:rFonts w:eastAsia="Calibri"/>
        </w:rPr>
        <w:instrText>l the resources required to survive because urban environments may provide insufficient resources such as food or shelter. Urban adapters on the other hand defend smaller territories in urban environments because even small territories may provide sufficient resources. These results suggest specific behavioral adaptations developed by Neotropical birds inhabiting urban environments.","author":[{"dropping-particle":"","family":"Juárez","given":"Roselvy","non-dropping-particle":"","parse-names":false,"suffix":""},{"dropping-particle":"","family":"Chacón-Madrigal","given":"Eduardo","non-dropping-particle":"","parse-names":false,"suffix":""},{"dropping-particle":"","family":"Sandoval","given":"Luis","non-dropping-particle":"","parse-names":false,"suffix":""}],"container-title":"Avian Research","id":"ITEM-2","issue":"1","issued":{"date-parts":[["2020"]]},"page":"1-9","publisher":"BioMed Central","title":"Urbanization has opposite effects on the territory size of two passerine birds","type":"article-journal","volume":"11"},"uris":["http://www.mendeley.com/documents/?uuid=c857e4f4-a155-4b1b-b130-51ef9ffcd409"]}],"mendeley":{"formattedCitation":"(Juárez et al., 2020; Rodríguez-Bardía et al., 2022)","plainTextFormattedCitation":"(Juárez et al., 2020; Rodríguez-Bardía et al., 2022)","previouslyFormattedCitation":"(Juárez et al., 2020; Rodríguez-Bardía et al., 2022)"},"properties":{"noteIndex":0},"schema":"https://github.com/citation-style-language/schema/raw/master/csl-citation.json"}</w:instrText>
      </w:r>
      <w:r w:rsidR="000F2A29">
        <w:rPr>
          <w:rFonts w:eastAsia="Calibri"/>
          <w:lang w:val="en-US"/>
        </w:rPr>
        <w:fldChar w:fldCharType="separate"/>
      </w:r>
      <w:r w:rsidR="000F2A29" w:rsidRPr="00493C4B">
        <w:rPr>
          <w:rFonts w:eastAsia="Calibri"/>
          <w:noProof/>
        </w:rPr>
        <w:t>(Juárez et al., 2020; Rodríguez-Bardía et al., 2022)</w:t>
      </w:r>
      <w:r w:rsidR="000F2A29">
        <w:rPr>
          <w:rFonts w:eastAsia="Calibri"/>
          <w:lang w:val="en-US"/>
        </w:rPr>
        <w:fldChar w:fldCharType="end"/>
      </w:r>
      <w:r w:rsidRPr="00493C4B">
        <w:rPr>
          <w:rFonts w:eastAsiaTheme="minorEastAsia"/>
        </w:rPr>
        <w:t>.</w:t>
      </w:r>
    </w:p>
    <w:bookmarkEnd w:id="35"/>
    <w:p w14:paraId="23B199A1" w14:textId="741B86C8" w:rsidR="0098165E" w:rsidRPr="00493C4B" w:rsidRDefault="0098165E" w:rsidP="00157603">
      <w:pPr>
        <w:spacing w:line="480" w:lineRule="auto"/>
        <w:rPr>
          <w:rFonts w:eastAsiaTheme="minorEastAsia"/>
        </w:rPr>
      </w:pPr>
      <w:proofErr w:type="spellStart"/>
      <w:r w:rsidRPr="00493C4B">
        <w:rPr>
          <w:rFonts w:eastAsiaTheme="minorEastAsia"/>
        </w:rPr>
        <w:t>Genetics</w:t>
      </w:r>
      <w:proofErr w:type="spellEnd"/>
    </w:p>
    <w:p w14:paraId="6F5F8522" w14:textId="7BED7BEF" w:rsidR="0098165E" w:rsidRPr="00BB1701" w:rsidRDefault="00F23118" w:rsidP="0098165E">
      <w:pPr>
        <w:spacing w:line="480" w:lineRule="auto"/>
        <w:ind w:firstLine="709"/>
        <w:rPr>
          <w:rFonts w:eastAsiaTheme="minorEastAsia"/>
          <w:lang w:val="en-US"/>
        </w:rPr>
      </w:pPr>
      <w:r w:rsidRPr="00493C4B">
        <w:rPr>
          <w:rFonts w:eastAsiaTheme="minorEastAsia"/>
        </w:rPr>
        <w:t xml:space="preserve">We found an increase in </w:t>
      </w:r>
      <w:proofErr w:type="spellStart"/>
      <w:r w:rsidRPr="00493C4B">
        <w:rPr>
          <w:rFonts w:eastAsiaTheme="minorEastAsia"/>
        </w:rPr>
        <w:t>inbreeding</w:t>
      </w:r>
      <w:proofErr w:type="spellEnd"/>
      <w:r w:rsidRPr="00493C4B">
        <w:rPr>
          <w:rFonts w:eastAsiaTheme="minorEastAsia"/>
        </w:rPr>
        <w:t xml:space="preserve"> in three populations </w:t>
      </w:r>
      <w:proofErr w:type="spellStart"/>
      <w:r w:rsidRPr="00493C4B">
        <w:rPr>
          <w:rFonts w:eastAsiaTheme="minorEastAsia"/>
        </w:rPr>
        <w:t>exposed</w:t>
      </w:r>
      <w:proofErr w:type="spellEnd"/>
      <w:r w:rsidRPr="00493C4B">
        <w:rPr>
          <w:rFonts w:eastAsiaTheme="minorEastAsia"/>
        </w:rPr>
        <w:t xml:space="preserve"> to </w:t>
      </w:r>
      <w:proofErr w:type="spellStart"/>
      <w:r w:rsidRPr="00493C4B">
        <w:rPr>
          <w:rFonts w:eastAsiaTheme="minorEastAsia"/>
        </w:rPr>
        <w:t>rapid</w:t>
      </w:r>
      <w:proofErr w:type="spellEnd"/>
      <w:r w:rsidRPr="00493C4B">
        <w:rPr>
          <w:rFonts w:eastAsiaTheme="minorEastAsia"/>
        </w:rPr>
        <w:t xml:space="preserve"> </w:t>
      </w:r>
      <w:proofErr w:type="spellStart"/>
      <w:r w:rsidRPr="00493C4B">
        <w:rPr>
          <w:rFonts w:eastAsiaTheme="minorEastAsia"/>
        </w:rPr>
        <w:t>urbanization</w:t>
      </w:r>
      <w:proofErr w:type="spellEnd"/>
      <w:r w:rsidRPr="00493C4B">
        <w:rPr>
          <w:rFonts w:eastAsiaTheme="minorEastAsia"/>
        </w:rPr>
        <w:t xml:space="preserve"> in </w:t>
      </w:r>
      <w:proofErr w:type="spellStart"/>
      <w:r w:rsidR="0040034B" w:rsidRPr="00493C4B">
        <w:rPr>
          <w:rFonts w:eastAsiaTheme="minorEastAsia"/>
        </w:rPr>
        <w:t>the</w:t>
      </w:r>
      <w:proofErr w:type="spellEnd"/>
      <w:r w:rsidR="0040034B" w:rsidRPr="00493C4B">
        <w:rPr>
          <w:rFonts w:eastAsiaTheme="minorEastAsia"/>
        </w:rPr>
        <w:t xml:space="preserve"> </w:t>
      </w:r>
      <w:r w:rsidRPr="00493C4B">
        <w:rPr>
          <w:rFonts w:eastAsiaTheme="minorEastAsia"/>
        </w:rPr>
        <w:t xml:space="preserve">Costa </w:t>
      </w:r>
      <w:proofErr w:type="spellStart"/>
      <w:r w:rsidRPr="00493C4B">
        <w:rPr>
          <w:rFonts w:eastAsiaTheme="minorEastAsia"/>
        </w:rPr>
        <w:t>Rica</w:t>
      </w:r>
      <w:r w:rsidR="0040034B" w:rsidRPr="00493C4B">
        <w:rPr>
          <w:rFonts w:eastAsiaTheme="minorEastAsia"/>
        </w:rPr>
        <w:t>n</w:t>
      </w:r>
      <w:proofErr w:type="spellEnd"/>
      <w:r w:rsidRPr="00493C4B">
        <w:rPr>
          <w:rFonts w:eastAsiaTheme="minorEastAsia"/>
        </w:rPr>
        <w:t xml:space="preserve"> </w:t>
      </w:r>
      <w:r w:rsidR="0040034B" w:rsidRPr="00493C4B">
        <w:rPr>
          <w:rFonts w:eastAsiaTheme="minorEastAsia"/>
        </w:rPr>
        <w:t>C</w:t>
      </w:r>
      <w:r w:rsidRPr="00493C4B">
        <w:rPr>
          <w:rFonts w:eastAsiaTheme="minorEastAsia"/>
        </w:rPr>
        <w:t xml:space="preserve">entral </w:t>
      </w:r>
      <w:r w:rsidR="0040034B" w:rsidRPr="00493C4B">
        <w:rPr>
          <w:rFonts w:eastAsiaTheme="minorEastAsia"/>
        </w:rPr>
        <w:t>V</w:t>
      </w:r>
      <w:r w:rsidRPr="00493C4B">
        <w:rPr>
          <w:rFonts w:eastAsiaTheme="minorEastAsia"/>
        </w:rPr>
        <w:t>alley (HDA, JBL, and UCR).</w:t>
      </w:r>
      <w:r w:rsidR="006B22B9" w:rsidRPr="00493C4B">
        <w:rPr>
          <w:rFonts w:eastAsiaTheme="minorEastAsia"/>
        </w:rPr>
        <w:t xml:space="preserve"> </w:t>
      </w:r>
      <w:r w:rsidR="006D4DA4">
        <w:rPr>
          <w:rFonts w:eastAsiaTheme="minorEastAsia"/>
          <w:lang w:val="en-US"/>
        </w:rPr>
        <w:t xml:space="preserve">Inbreeding is </w:t>
      </w:r>
      <w:r w:rsidR="00822F1A">
        <w:rPr>
          <w:rFonts w:eastAsiaTheme="minorEastAsia"/>
          <w:lang w:val="en-US"/>
        </w:rPr>
        <w:t xml:space="preserve">predominantly </w:t>
      </w:r>
      <w:r w:rsidR="006D4DA4">
        <w:rPr>
          <w:rFonts w:eastAsiaTheme="minorEastAsia"/>
          <w:lang w:val="en-US"/>
        </w:rPr>
        <w:t xml:space="preserve">caused by consanguineous mattings, and its extent is proportional to a reduction in effective population sizes, or </w:t>
      </w:r>
      <w:r w:rsidR="00B8546B">
        <w:rPr>
          <w:rFonts w:eastAsiaTheme="minorEastAsia"/>
          <w:lang w:val="en-US"/>
        </w:rPr>
        <w:t xml:space="preserve">a reduction in the </w:t>
      </w:r>
      <w:r w:rsidR="006D4DA4">
        <w:rPr>
          <w:rFonts w:eastAsiaTheme="minorEastAsia"/>
          <w:lang w:val="en-US"/>
        </w:rPr>
        <w:t xml:space="preserve">dispersal of individuals among populations </w:t>
      </w:r>
      <w:r w:rsidR="006B22B9">
        <w:rPr>
          <w:rFonts w:eastAsiaTheme="minorEastAsia"/>
          <w:lang w:val="en-US"/>
        </w:rPr>
        <w:fldChar w:fldCharType="begin" w:fldLock="1"/>
      </w:r>
      <w:r w:rsidR="006B22B9">
        <w:rPr>
          <w:rFonts w:eastAsiaTheme="minorEastAsia"/>
          <w:lang w:val="en-US"/>
        </w:rPr>
        <w:instrText>ADDIN CSL_CITATION {"citationItems":[{"id":"ITEM-1","itemData":{"ISBN":"9780521630146","author":[{"dropping-particle":"","family":"Frankham","given":"Richard","non-dropping-particle":"","parse-names":false,"suffix":""},{"dropping-particle":"","family":"Ballou","given":"Jonathan D.","non-dropping-particle":"","parse-names":false,"suffix":""},{"dropping-particle":"","family":"Briscoe","given":"David","non-dropping-particle":"","parse-names":false,"suffix":""}],"edition":"Cambridge ","id":"ITEM-1","issue":"1","issued":{"date-parts":[["2002"]]},"title":"Introduction to conservation genetics","type":"book"},"uris":["http://www.mendeley.com/documents/?uuid=0340a319-f929-4cc4-b880-edc6084dbd55"]}],"mendeley":{"formattedCitation":"(Frankham et al., 2002)","plainTextFormattedCitation":"(Frankham et al., 2002)","previouslyFormattedCitation":"(Frankham et al., 2002)"},"properties":{"noteIndex":0},"schema":"https://github.com/citation-style-language/schema/raw/master/csl-citation.json"}</w:instrText>
      </w:r>
      <w:r w:rsidR="006B22B9">
        <w:rPr>
          <w:rFonts w:eastAsiaTheme="minorEastAsia"/>
          <w:lang w:val="en-US"/>
        </w:rPr>
        <w:fldChar w:fldCharType="separate"/>
      </w:r>
      <w:r w:rsidR="006B22B9" w:rsidRPr="00784A7F">
        <w:rPr>
          <w:rFonts w:eastAsiaTheme="minorEastAsia"/>
          <w:noProof/>
          <w:lang w:val="en-US"/>
        </w:rPr>
        <w:t>(Frankham et al., 2002)</w:t>
      </w:r>
      <w:r w:rsidR="006B22B9">
        <w:rPr>
          <w:rFonts w:eastAsiaTheme="minorEastAsia"/>
          <w:lang w:val="en-US"/>
        </w:rPr>
        <w:fldChar w:fldCharType="end"/>
      </w:r>
      <w:r w:rsidR="006D4DA4">
        <w:rPr>
          <w:rFonts w:eastAsiaTheme="minorEastAsia"/>
          <w:lang w:val="en-US"/>
        </w:rPr>
        <w:t>.</w:t>
      </w:r>
      <w:r w:rsidR="007D0385">
        <w:rPr>
          <w:rFonts w:eastAsiaTheme="minorEastAsia"/>
          <w:lang w:val="en-US"/>
        </w:rPr>
        <w:t xml:space="preserve"> </w:t>
      </w:r>
      <w:r w:rsidR="005A2615">
        <w:rPr>
          <w:rFonts w:eastAsiaTheme="minorEastAsia"/>
          <w:lang w:val="en-US"/>
        </w:rPr>
        <w:t>Therefore, t</w:t>
      </w:r>
      <w:r w:rsidR="0098165E" w:rsidRPr="0098165E">
        <w:rPr>
          <w:rFonts w:eastAsiaTheme="minorEastAsia"/>
          <w:lang w:val="en-US"/>
        </w:rPr>
        <w:t xml:space="preserve">he increase in inbreeding </w:t>
      </w:r>
      <w:r w:rsidR="003552E1">
        <w:rPr>
          <w:rFonts w:eastAsiaTheme="minorEastAsia"/>
          <w:lang w:val="en-US"/>
        </w:rPr>
        <w:t xml:space="preserve">could be explained </w:t>
      </w:r>
      <w:r w:rsidR="0040034B">
        <w:rPr>
          <w:rFonts w:eastAsiaTheme="minorEastAsia"/>
          <w:lang w:val="en-US"/>
        </w:rPr>
        <w:t>by</w:t>
      </w:r>
      <w:r w:rsidR="0040034B" w:rsidRPr="0098165E">
        <w:rPr>
          <w:rFonts w:eastAsiaTheme="minorEastAsia"/>
          <w:lang w:val="en-US"/>
        </w:rPr>
        <w:t xml:space="preserve"> </w:t>
      </w:r>
      <w:r w:rsidR="0098165E" w:rsidRPr="0098165E">
        <w:rPr>
          <w:rFonts w:eastAsiaTheme="minorEastAsia"/>
          <w:lang w:val="en-US"/>
        </w:rPr>
        <w:t xml:space="preserve">urban expansion </w:t>
      </w:r>
      <w:r w:rsidR="0040034B">
        <w:rPr>
          <w:rFonts w:eastAsiaTheme="minorEastAsia"/>
          <w:lang w:val="en-US"/>
        </w:rPr>
        <w:t xml:space="preserve">which </w:t>
      </w:r>
      <w:r w:rsidR="0098165E" w:rsidRPr="0098165E">
        <w:rPr>
          <w:rFonts w:eastAsiaTheme="minorEastAsia"/>
          <w:lang w:val="en-US"/>
        </w:rPr>
        <w:t>rapidly transfor</w:t>
      </w:r>
      <w:r w:rsidR="0073669E">
        <w:rPr>
          <w:rFonts w:eastAsiaTheme="minorEastAsia"/>
          <w:lang w:val="en-US"/>
        </w:rPr>
        <w:t>ms</w:t>
      </w:r>
      <w:r w:rsidR="0098165E" w:rsidRPr="0098165E">
        <w:rPr>
          <w:rFonts w:eastAsiaTheme="minorEastAsia"/>
          <w:lang w:val="en-US"/>
        </w:rPr>
        <w:t xml:space="preserve"> natural ecosystems into homogenized environment</w:t>
      </w:r>
      <w:r w:rsidR="007E47B6">
        <w:rPr>
          <w:rFonts w:eastAsiaTheme="minorEastAsia"/>
          <w:lang w:val="en-US"/>
        </w:rPr>
        <w:t>s</w:t>
      </w:r>
      <w:r w:rsidR="0098165E" w:rsidRPr="0098165E">
        <w:rPr>
          <w:rFonts w:eastAsiaTheme="minorEastAsia"/>
          <w:lang w:val="en-US"/>
        </w:rPr>
        <w:t xml:space="preserve"> that limit resources to small suboptimal </w:t>
      </w:r>
      <w:r w:rsidR="00046617">
        <w:rPr>
          <w:rFonts w:eastAsiaTheme="minorEastAsia"/>
          <w:lang w:val="en-US"/>
        </w:rPr>
        <w:t xml:space="preserve">patches </w:t>
      </w:r>
      <w:r w:rsidR="0098165E" w:rsidRPr="0098165E">
        <w:rPr>
          <w:rFonts w:eastAsiaTheme="minorEastAsia"/>
          <w:lang w:val="en-US"/>
        </w:rPr>
        <w:t xml:space="preserve">of vegetation </w:t>
      </w:r>
      <w:r w:rsidR="00335980">
        <w:rPr>
          <w:rFonts w:eastAsiaTheme="minorEastAsia"/>
          <w:lang w:val="en-US"/>
        </w:rPr>
        <w:fldChar w:fldCharType="begin" w:fldLock="1"/>
      </w:r>
      <w:r w:rsidR="00335980">
        <w:rPr>
          <w:rFonts w:eastAsiaTheme="minorEastAsia"/>
          <w:lang w:val="en-US"/>
        </w:rPr>
        <w:instrText>ADDIN CSL_CITATION {"citationItems":[{"id":"ITEM-1","itemData":{"DOI":"10.5751/ES-02815-140121","ISSN":"17083087","abstract":"We attempted a complete review of the empirical literature on effects of roads and traffic on animal abundance and distribution. We found 79 studies, with results for 131 species and 30 species groups. Overall, the number of documented negative effects of roads on animal abundance outnumbered the number of positive effects by a factor of 5; 114 responses were negative, 22 were positive, and 56 showed no effect. Amphibians and reptiles tended to show negative effects. Birds showed mainly negative or no effects, with a few positive effects for some small birds and for vultures. Small mammals generally showed either positive effects or no effect, mid-sized mammals showed either negative effects or no effect, and large mammals showed predominantly negative effects. We synthesized this information, along with information on species attributes, to develop a set of predictions of the conditions that lead to negative or positive effects or no effect of roads on animal abundance. Four species types are predicted to respond negatively to roads: (i) species that are attracted to roads and are unable to avoid individual cars; (ii) species with large movement ranges, low reproductive rates, and low natural densities; and (iii and iv) small animals whose populations are not limited by road-affected predators and either (a) avoid habitat near roads due to traffic disturbance or (b) show no avoidance of roads or traffic disturbance and are unable to avoid oncoming cars. Two species types are predicted to respond positively to roads: (i) species that are attracted to roads for an important resource (e.g., food) and are able to avoid oncoming cars, and (ii) species that do not avoid traffic disturbance but do avoid roads, and whose main predators show negative population-level responses to roads. Other conditions lead to weak or non-existent effects of roads and traffic on animal abundance. We identify areas where further research is needed, but we also argue that the evidence for population-level effects of roads and traffic is already strong enough to merit routine consideration of mitigation of these effects in all road construction and maintenance projects. © 2009 by the author(s).","author":[{"dropping-particle":"","family":"Fahrig","given":"Lenore","non-dropping-particle":"","parse-names":false,"suffix":""},{"dropping-particle":"","family":"Rytwinski","given":"Trina","non-dropping-particle":"","parse-names":false,"suffix":""}],"container-title":"Ecology and Society","id":"ITEM-1","issue":"1","issued":{"date-parts":[["2009"]]},"title":"Effects of roads on animal abundance: An empirical review and synthesis","type":"article-journal","volume":"14"},"uris":["http://www.mendeley.com/documents/?uuid=26ce6b55-6737-4ab3-b945-47704e5c4417"]},{"id":"ITEM-2","itemData":{"DOI":"10.1007/s10980-010-9564-0","ISBN":"1098001095","ISSN":"15729761","abstract":"The rapid and unplanned expansion of urban areas is a common pattern in neotropical developing countries. Urbanization has eliminated or drastically altered large areas of natural habitats used by the rich neotropical avifauna. In our study area, in Costa Rica's Central Valley, urbanization increased 72% in 33 years with the consequent destruction, fragmentation, and isolation of forest tracts, shade plantations, and other semi-natural habitats used by a rich avifauna. We show that over the last 16 years 32 resident species of birds have disappeared from this area. Species with specialized habitat requirements or particular life history traits (e. g., altitudinal migrants) are disproportionately represented among those birds that have disappeared from the region. Another 34 latitudinal migrants have gone undetected as nearly all habitats these species used as a stopover site during the autumn migration have disappeared; many of these migrants were very abundant 16 years earlier. Relative abundance has also decreased for most resident and migratory species that remained or visited the area. If uncontrolled urban expansion continues, we predict that the rate of extinction of the avifauna that originally inhabited this region would continue possibly increasing. © 2010 Springer Science+Business Media B.V.","author":[{"dropping-particle":"","family":"Biamonte","given":"Estaban","non-dropping-particle":"","parse-names":false,"suffix":""},{"dropping-particle":"","family":"Sandoval","given":"Luis","non-dropping-particle":"","parse-names":false,"suffix":""},{"dropping-particle":"","family":"Chacón","given":"Eduardo","non-dropping-particle":"","parse-names":false,"suffix":""},{"dropping-particle":"","family":"Barrantes","given":"Gilbert","non-dropping-particle":"","parse-names":false,"suffix":""}],"container-title":"Landscape Ecology","id":"ITEM-2","issue":"2","issued":{"date-parts":[["2011"]]},"page":"183-194","title":"Effect of urbanization on the avifauna in a tropical metropolitan area","type":"article-journal","volume":"26"},"uris":["http://www.mendeley.com/documents/?uuid=64715cc3-ad99-4667-b144-73850e259c87"]},{"id":"ITEM-3","itemData":{"DOI":"10.1111/mec.15221","ISSN":"1365294X","PMID":"31482608","abstract":"Evidence is growing that human modification of landscapes has dramatically altered evolutionary processes. In urban population genetic studies, urbanization is typically predicted to act as a barrier that isolates populations of species, leading to increased genetic drift within populations and reduced gene flow between populations. However, urbanization may also facilitate dispersal among populations, leading to higher genetic diversity within, and lower differentiation between, urban populations. We reviewed the literature on nonadaptive urban evolution to evaluate the support for each of these urban fragmentation and facilitation models. In a review of the literature with supporting quantitative analyses of 167 published urban population genetics studies, we found a weak signature of reduced within-population genetic diversity and no evidence of consistently increased between-population genetic differentiation associated with urbanization. In addition, we found that urban landscape features act as barriers or conduits to gene flow, depending on the species and city in question. Thus, we speculate that dispersal ability of species and environmental heterogeneity between cities contributes to the variation exhibited in our results. However, &gt;90% of published studies reviewed here showed an association of urbanization with genetic drift or gene flow, highlighting the strong impact of urbanization on nonadaptive evolution. It is clear that species biology and city heterogeneity obscure patterns of genetic drift and gene flow in a quantitative analysis. Thus, we suggest that future research makes comparisons of multiple cities and nonurban habitats, and takes into consideration species' natural history, environmental variation, spatial modelling and marker selection.","author":[{"dropping-particle":"","family":"Miles","given":"Lindsay S.","non-dropping-particle":"","parse-names":false,"suffix":""},{"dropping-particle":"","family":"Rivkin","given":"L. Ruth","non-dropping-particle":"","parse-names":false,"suffix":""},{"dropping-particle":"","family":"Johnson","given":"Marc T.J.","non-dropping-particle":"","parse-names":false,"suffix":""},{"dropping-particle":"","family":"Munshi-South","given":"Jason","non-dropping-particle":"","parse-names":false,"suffix":""},{"dropping-particle":"","family":"Verrelli","given":"Brian C.","non-dropping-particle":"","parse-names":false,"suffix":""}],"container-title":"Molecular Ecology","id":"ITEM-3","issue":"18","issued":{"date-parts":[["2019"]]},"page":"4138-4151","title":"Gene flow and genetic drift in urban environments","type":"article-journal","volume":"28"},"uris":["http://www.mendeley.com/documents/?uuid=e7d518d7-8f2a-4d4d-871d-bee0d37bd973"]}],"mendeley":{"formattedCitation":"(Biamonte et al., 2011; Fahrig &amp; Rytwinski, 2009; Miles et al., 2019)","plainTextFormattedCitation":"(Biamonte et al., 2011; Fahrig &amp; Rytwinski, 2009; Miles et al., 2019)","previouslyFormattedCitation":"(Biamonte et al., 2011; Fahrig &amp; Rytwinski, 2009; Miles et al., 2019)"},"properties":{"noteIndex":0},"schema":"https://github.com/citation-style-language/schema/raw/master/csl-citation.json"}</w:instrText>
      </w:r>
      <w:r w:rsidR="00335980">
        <w:rPr>
          <w:rFonts w:eastAsiaTheme="minorEastAsia"/>
          <w:lang w:val="en-US"/>
        </w:rPr>
        <w:fldChar w:fldCharType="separate"/>
      </w:r>
      <w:r w:rsidR="00335980" w:rsidRPr="00335980">
        <w:rPr>
          <w:rFonts w:eastAsiaTheme="minorEastAsia"/>
          <w:noProof/>
          <w:lang w:val="en-US"/>
        </w:rPr>
        <w:t>(Biamonte et al., 2011; Fahrig &amp; Rytwinski, 2009; Miles et al., 2019)</w:t>
      </w:r>
      <w:r w:rsidR="00335980">
        <w:rPr>
          <w:rFonts w:eastAsiaTheme="minorEastAsia"/>
          <w:lang w:val="en-US"/>
        </w:rPr>
        <w:fldChar w:fldCharType="end"/>
      </w:r>
      <w:r w:rsidR="0098165E" w:rsidRPr="0098165E">
        <w:rPr>
          <w:rFonts w:eastAsiaTheme="minorEastAsia"/>
          <w:lang w:val="en-US"/>
        </w:rPr>
        <w:t xml:space="preserve">. </w:t>
      </w:r>
      <w:r w:rsidR="000F2F8B">
        <w:rPr>
          <w:rFonts w:eastAsiaTheme="minorEastAsia"/>
          <w:lang w:val="en-US"/>
        </w:rPr>
        <w:t xml:space="preserve">These drastic changes brought about by urbanization restrict the movement of birds between populations </w:t>
      </w:r>
      <w:r w:rsidR="006B22B9">
        <w:rPr>
          <w:rFonts w:eastAsiaTheme="minorEastAsia"/>
          <w:lang w:val="en-US"/>
        </w:rPr>
        <w:fldChar w:fldCharType="begin" w:fldLock="1"/>
      </w:r>
      <w:r w:rsidR="006B22B9">
        <w:rPr>
          <w:rFonts w:eastAsiaTheme="minorEastAsia"/>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6B22B9">
        <w:rPr>
          <w:rFonts w:eastAsiaTheme="minorEastAsia"/>
          <w:lang w:val="en-US"/>
        </w:rPr>
        <w:fldChar w:fldCharType="separate"/>
      </w:r>
      <w:r w:rsidR="006B22B9" w:rsidRPr="00335980">
        <w:rPr>
          <w:rFonts w:eastAsiaTheme="minorEastAsia"/>
          <w:noProof/>
          <w:lang w:val="en-US"/>
        </w:rPr>
        <w:t>(Rodríguez-Bardía et al., 2022)</w:t>
      </w:r>
      <w:r w:rsidR="006B22B9">
        <w:rPr>
          <w:rFonts w:eastAsiaTheme="minorEastAsia"/>
          <w:lang w:val="en-US"/>
        </w:rPr>
        <w:fldChar w:fldCharType="end"/>
      </w:r>
      <w:r w:rsidR="000F2F8B">
        <w:rPr>
          <w:rFonts w:eastAsiaTheme="minorEastAsia"/>
          <w:lang w:val="en-US"/>
        </w:rPr>
        <w:t xml:space="preserve">. Consequently, small and isolated populations increase the likelihood of mating with relatives </w:t>
      </w:r>
      <w:r w:rsidR="006B22B9">
        <w:rPr>
          <w:rFonts w:eastAsiaTheme="minorEastAsia"/>
          <w:lang w:val="en-US"/>
        </w:rPr>
        <w:fldChar w:fldCharType="begin" w:fldLock="1"/>
      </w:r>
      <w:r w:rsidR="006B22B9">
        <w:rPr>
          <w:rFonts w:eastAsiaTheme="minorEastAsia"/>
          <w:lang w:val="en-US"/>
        </w:rPr>
        <w:instrText>ADDIN CSL_CITATION {"citationItems":[{"id":"ITEM-1","itemData":{"DOI":"10.1007/s10592-007-9405-0","ISSN":"15660621","abstract":"Inbreeding is unavoidable in small, isolated populations and can cause substantial fitness reductions compared to outbred populations. This loss of fitness has been predicted to elevate extinction risk giving it substantial conservation significance. Inbreeding may result in reduced fitness for two reasons: an increased expression of deleterious recessive alleles (partial dominance hypothesis) or the loss of favourable heterozygote combinations (overdominance hypothesis). Because both these sources of inbreeding depression are dependent upon dominance variance, inbreeding depression is predicted to be greater in life history traits than in morphological traits. In this study we used replicate inbred and control lines of Drosophila simulans to address three questions:1) is inbreeding depression greater in life history than morphological traits? 2) which of the two hypotheses is the major underlying cause of inbreeding depression? 3) does inbreeding elevate population extinction risk? We found that inbreeding depression was significantly greater in life history traits compared to morphological traits, but were unable to find unequivocal support for either the overdominance or partial dominance hypotheses as the genetic basis of inbreeding depression. As predicted, inbred lines had a significantly greater extinction risk. © 2007 Springer Science+Business Media B.V.","author":[{"dropping-particle":"","family":"Wright","given":"Lucy I.","non-dropping-particle":"","parse-names":false,"suffix":""},{"dropping-particle":"","family":"Tregenza","given":"Tom","non-dropping-particle":"","parse-names":false,"suffix":""},{"dropping-particle":"","family":"Hosken","given":"David J.","non-dropping-particle":"","parse-names":false,"suffix":""}],"container-title":"Conservation Genetics","id":"ITEM-1","issue":"4","issued":{"date-parts":[["2008"]]},"page":"833-843","title":"Inbreeding, inbreeding depression and extinction","type":"article-journal","volume":"9"},"uris":["http://www.mendeley.com/documents/?uuid=5a01ada6-470e-4fd8-879e-adcce6630771"]}],"mendeley":{"formattedCitation":"(Wright et al., 2008)","plainTextFormattedCitation":"(Wright et al., 2008)","previouslyFormattedCitation":"(Wright et al., 2008)"},"properties":{"noteIndex":0},"schema":"https://github.com/citation-style-language/schema/raw/master/csl-citation.json"}</w:instrText>
      </w:r>
      <w:r w:rsidR="006B22B9">
        <w:rPr>
          <w:rFonts w:eastAsiaTheme="minorEastAsia"/>
          <w:lang w:val="en-US"/>
        </w:rPr>
        <w:fldChar w:fldCharType="separate"/>
      </w:r>
      <w:r w:rsidR="006B22B9" w:rsidRPr="007D0385">
        <w:rPr>
          <w:rFonts w:eastAsiaTheme="minorEastAsia"/>
          <w:noProof/>
          <w:lang w:val="en-US"/>
        </w:rPr>
        <w:t>(Wright et al., 2008)</w:t>
      </w:r>
      <w:r w:rsidR="006B22B9">
        <w:rPr>
          <w:rFonts w:eastAsiaTheme="minorEastAsia"/>
          <w:lang w:val="en-US"/>
        </w:rPr>
        <w:fldChar w:fldCharType="end"/>
      </w:r>
      <w:r w:rsidR="000F2F8B">
        <w:rPr>
          <w:rFonts w:eastAsiaTheme="minorEastAsia"/>
          <w:lang w:val="en-US"/>
        </w:rPr>
        <w:t>.</w:t>
      </w:r>
      <w:r w:rsidR="0098165E" w:rsidRPr="003552E1">
        <w:rPr>
          <w:rFonts w:eastAsiaTheme="minorEastAsia"/>
          <w:lang w:val="en-US"/>
        </w:rPr>
        <w:t xml:space="preserve"> </w:t>
      </w:r>
      <w:r w:rsidR="000F2F8B">
        <w:rPr>
          <w:rFonts w:eastAsiaTheme="minorEastAsia"/>
          <w:lang w:val="en-US"/>
        </w:rPr>
        <w:t>A similar increase</w:t>
      </w:r>
      <w:r w:rsidR="009F2AD9">
        <w:rPr>
          <w:rFonts w:eastAsiaTheme="minorEastAsia"/>
          <w:lang w:val="en-US"/>
        </w:rPr>
        <w:t xml:space="preserve"> in inbreedin</w:t>
      </w:r>
      <w:r w:rsidR="00C95C03">
        <w:rPr>
          <w:rFonts w:eastAsiaTheme="minorEastAsia"/>
          <w:lang w:val="en-US"/>
        </w:rPr>
        <w:t>g</w:t>
      </w:r>
      <w:r w:rsidR="009F2AD9">
        <w:rPr>
          <w:rFonts w:eastAsiaTheme="minorEastAsia"/>
          <w:lang w:val="en-US"/>
        </w:rPr>
        <w:t xml:space="preserve"> associated with </w:t>
      </w:r>
      <w:r w:rsidR="00FF5C99">
        <w:rPr>
          <w:rFonts w:eastAsiaTheme="minorEastAsia"/>
          <w:lang w:val="en-US"/>
        </w:rPr>
        <w:t xml:space="preserve">isolation </w:t>
      </w:r>
      <w:r w:rsidR="000F2F8B">
        <w:rPr>
          <w:rFonts w:eastAsiaTheme="minorEastAsia"/>
          <w:lang w:val="en-US"/>
        </w:rPr>
        <w:t xml:space="preserve">was reported for </w:t>
      </w:r>
      <w:r w:rsidR="000C27C5">
        <w:rPr>
          <w:rFonts w:eastAsiaTheme="minorEastAsia"/>
          <w:lang w:val="en-US"/>
        </w:rPr>
        <w:t xml:space="preserve">the </w:t>
      </w:r>
      <w:proofErr w:type="spellStart"/>
      <w:r w:rsidR="000C27C5">
        <w:rPr>
          <w:lang w:val="en-US"/>
        </w:rPr>
        <w:t>taita</w:t>
      </w:r>
      <w:proofErr w:type="spellEnd"/>
      <w:r w:rsidR="000C27C5">
        <w:rPr>
          <w:lang w:val="en-US"/>
        </w:rPr>
        <w:t xml:space="preserve"> thrush </w:t>
      </w:r>
      <w:r w:rsidR="000C27C5" w:rsidRPr="00157603">
        <w:rPr>
          <w:i/>
          <w:iCs/>
          <w:lang w:val="en-US"/>
        </w:rPr>
        <w:t>Turdus helleri</w:t>
      </w:r>
      <w:r w:rsidR="000C27C5">
        <w:rPr>
          <w:i/>
          <w:iCs/>
          <w:lang w:val="en-US"/>
        </w:rPr>
        <w:t xml:space="preserve"> </w:t>
      </w:r>
      <w:r w:rsidR="000C27C5">
        <w:rPr>
          <w:i/>
          <w:iCs/>
          <w:lang w:val="en-US"/>
        </w:rPr>
        <w:fldChar w:fldCharType="begin" w:fldLock="1"/>
      </w:r>
      <w:r w:rsidR="000C27C5">
        <w:rPr>
          <w:i/>
          <w:iCs/>
          <w:lang w:val="en-US"/>
        </w:rPr>
        <w:instrText>ADDIN CSL_CITATION {"citationItems":[{"id":"ITEM-1","itemData":{"DOI":"10.1046/j.1420-9101.2000.00232.x","ISSN":"1010061X","abstract":"As habitat disturbance and inbreeding increasingly stress natural populations, ecologists are in urgent need of simple estimators to measure their impact. It has been argued that developmental instability (DI) could be such a measure. Observed associations between DI and environmental or genetic stress, however, are largely inconsistent. We here test whether an interaction between habitat disturbance and inbreeding could, at least partly, explain these discordant patterns. We therefore studied individual estimates of fluctuating asymmetry (FA) and of inbreeding in three populations of the critically endangered Taita thrush that are differentially exposed to habitat disturbance following severe forest fragmentation. As predicted, the relationship between DI and inbreeding was pronounced under high levels of disturbance, but weak or nonexistent under less disturbed conditions. Examining this relationship with mean d2, an allelic distance estimator assumed to reflect ancestral inbreeding, did not reveal any significant trend, hence suggesting that inbreeding effects in the Taita thrush are fairly recent.","author":[{"dropping-particle":"","family":"Lens","given":"L.","non-dropping-particle":"","parse-names":false,"suffix":""},{"dropping-particle":"","family":"Dongen","given":"S.","non-dropping-particle":"Van","parse-names":false,"suffix":""},{"dropping-particle":"","family":"Galbusera","given":"P.","non-dropping-particle":"","parse-names":false,"suffix":""},{"dropping-particle":"","family":"Schenck","given":"T.","non-dropping-particle":"","parse-names":false,"suffix":""},{"dropping-particle":"","family":"Matthysen","given":"E.","non-dropping-particle":"","parse-names":false,"suffix":""},{"dropping-particle":"","family":"Casteele","given":"T.","non-dropping-particle":"Van De","parse-names":false,"suffix":""}],"container-title":"Journal of Evolutionary Biology","id":"ITEM-1","issue":"6","issued":{"date-parts":[["2000"]]},"page":"889-896","title":"Developmental instability and inbreeding in natural bird populations exposed to different levels of habitat disturbance","type":"article-journal","volume":"13"},"uris":["http://www.mendeley.com/documents/?uuid=d6d26f66-f52e-4dec-a4ab-214c04d26071"]}],"mendeley":{"formattedCitation":"(Lens et al., 2000)","plainTextFormattedCitation":"(Lens et al., 2000)","previouslyFormattedCitation":"(Lens et al., 2000)"},"properties":{"noteIndex":0},"schema":"https://github.com/citation-style-language/schema/raw/master/csl-citation.json"}</w:instrText>
      </w:r>
      <w:r w:rsidR="000C27C5">
        <w:rPr>
          <w:i/>
          <w:iCs/>
          <w:lang w:val="en-US"/>
        </w:rPr>
        <w:fldChar w:fldCharType="separate"/>
      </w:r>
      <w:r w:rsidR="000C27C5" w:rsidRPr="0032281D">
        <w:rPr>
          <w:iCs/>
          <w:noProof/>
          <w:lang w:val="en-US"/>
        </w:rPr>
        <w:t>(Lens et al., 2000)</w:t>
      </w:r>
      <w:r w:rsidR="000C27C5">
        <w:rPr>
          <w:i/>
          <w:iCs/>
          <w:lang w:val="en-US"/>
        </w:rPr>
        <w:fldChar w:fldCharType="end"/>
      </w:r>
      <w:r w:rsidR="000C27C5" w:rsidRPr="00E56356">
        <w:rPr>
          <w:lang w:val="en-US"/>
        </w:rPr>
        <w:t>, and</w:t>
      </w:r>
      <w:r w:rsidR="000C27C5">
        <w:rPr>
          <w:i/>
          <w:iCs/>
          <w:lang w:val="en-US"/>
        </w:rPr>
        <w:t xml:space="preserve"> </w:t>
      </w:r>
      <w:r w:rsidR="000F2F8B">
        <w:rPr>
          <w:rFonts w:eastAsiaTheme="minorEastAsia"/>
          <w:lang w:val="en-US"/>
        </w:rPr>
        <w:t xml:space="preserve">the </w:t>
      </w:r>
      <w:r w:rsidR="00B566B4">
        <w:rPr>
          <w:lang w:val="en-US"/>
        </w:rPr>
        <w:t xml:space="preserve">striped tit-babblers </w:t>
      </w:r>
      <w:proofErr w:type="spellStart"/>
      <w:r w:rsidR="00B566B4">
        <w:rPr>
          <w:i/>
          <w:iCs/>
          <w:lang w:val="en-US"/>
        </w:rPr>
        <w:t>Mixornis</w:t>
      </w:r>
      <w:proofErr w:type="spellEnd"/>
      <w:r w:rsidR="00B566B4">
        <w:rPr>
          <w:i/>
          <w:iCs/>
          <w:lang w:val="en-US"/>
        </w:rPr>
        <w:t xml:space="preserve"> </w:t>
      </w:r>
      <w:proofErr w:type="spellStart"/>
      <w:r w:rsidR="00B566B4">
        <w:rPr>
          <w:i/>
          <w:iCs/>
          <w:lang w:val="en-US"/>
        </w:rPr>
        <w:t>gularis</w:t>
      </w:r>
      <w:proofErr w:type="spellEnd"/>
      <w:r w:rsidR="00460C5F" w:rsidRPr="00157603">
        <w:rPr>
          <w:i/>
          <w:iCs/>
          <w:lang w:val="en-US"/>
        </w:rPr>
        <w:t xml:space="preserve"> </w:t>
      </w:r>
      <w:r w:rsidR="00B566B4">
        <w:rPr>
          <w:i/>
          <w:iCs/>
          <w:lang w:val="en-US"/>
        </w:rPr>
        <w:fldChar w:fldCharType="begin" w:fldLock="1"/>
      </w:r>
      <w:r w:rsidR="00397843">
        <w:rPr>
          <w:i/>
          <w:iCs/>
          <w:lang w:val="en-US"/>
        </w:rPr>
        <w:instrText>ADDIN CSL_CITATION {"citationItems":[{"id":"ITEM-1","itemData":{"DOI":"10.1038/s41598-018-31074-5","ISSN":"20452322","PMID":"30143731","abstract":"Although edge-tolerant species are known to benefit from habitat fragmentation, less is known about the population genetic impacts fragmentation may exert on edge-tolerant species. We examined the landscape genomic structure of an edge-tolerant forest-dependent bird species, the Striped Tit-Babbler Mixornis gularis, in the heavily urbanized island of Singapore to determine if two centuries of fragmentation have led to signs of isolation and loss of population-genetic diversity in different parts of the island. We obtained a high-quality complete reference genome with 78x coverage. Using almost 4000 SNPs from double-digest RAD-Sequencing across 46 individuals, we found that the population has likely experienced a recent contraction in effective population size and presently exhibits low population genetic diversity. Using empirical and simulation-based landscape genomic analyses, we also found that the subtle population genetic structure observed in the Striped Tit-Babbler population in Singapore is likely driven by isolation by distance resulting from limited dispersal. Our results demonstrate that population genetic impoverishment and subdivision can accumulate at relatively rapid rates in edge-tolerant bird species such as the Striped Tit-Babbler as a result of fragmentation, and that subtle spatial genetic structure can be detected over fine spatial and temporal scales using relatively few multilocus genomic SNPs.","author":[{"dropping-particle":"","fa</w:instrText>
      </w:r>
      <w:r w:rsidR="00397843" w:rsidRPr="00BB1701">
        <w:rPr>
          <w:i/>
          <w:iCs/>
          <w:lang w:val="en-US"/>
        </w:rPr>
        <w:instrText>mily":"Tan","given":"David J.X.","non-dropping-particle":"","parse-names":false,"suffix":""},{"dropping-particle":"","family":"Chattopadhyay","given":"Balaji","non-dropping-particle":"","parse-names":false,"suffix":""},{"dropping-particle":"","family":"Garg","given":"Kritika M.","non-dropping-particle":"","parse-names":false,"suffix":""},{"dropping-particle":"","family":"Cros","given":"Emilie","non-dropping-particle":"","parse-names":false,"suffix":""},{"dropping-particle":"","family":"Ericson","given":"Per G.P.","non-dropping-particle":"","parse-names":false,"suffix":""},{"dropping-particle":"","family":"Irestedt","given":"Martin","non-dropping-particle":"","parse-names":false,"suffix":""},{"dropping-particle":"","family":"Rheindt","given":"Frank E.","non-dropping-particle":"","parse-names":false,"suffix":""}],"container-title":"Scientific Reports","id":"ITEM-1","issue":"1","issued":{"date-parts":[["2018"]]},"page":"1-12","title":"Novel genome and genome-wide SNPs reveal early fragmentation effects in an edge-tolerant songbird population across an urbanized tropical metropolis","type":"article-journal","volume":"8"},"uris":["http://www.mendeley.com/documents/?uuid=4c03ec8c-1cfd-47e1-8a58-3261fbc5f77d"]}],"mendeley":{"formattedCitation":"(Tan et al., 2018)","plainTextFormattedCitation":"(Tan et al., 2018)","previouslyFormattedCitation":"(Tan et al., 2018)"},"properties":{"noteIndex":0},"schema":"https://github.com/citation-style-language/schema/raw/master/csl-citation.json"}</w:instrText>
      </w:r>
      <w:r w:rsidR="00B566B4">
        <w:rPr>
          <w:i/>
          <w:iCs/>
          <w:lang w:val="en-US"/>
        </w:rPr>
        <w:fldChar w:fldCharType="separate"/>
      </w:r>
      <w:r w:rsidR="00B566B4" w:rsidRPr="00BB1701">
        <w:rPr>
          <w:iCs/>
          <w:noProof/>
          <w:lang w:val="en-US"/>
        </w:rPr>
        <w:t>(Tan et al., 2018)</w:t>
      </w:r>
      <w:r w:rsidR="00B566B4">
        <w:rPr>
          <w:i/>
          <w:iCs/>
          <w:lang w:val="en-US"/>
        </w:rPr>
        <w:fldChar w:fldCharType="end"/>
      </w:r>
      <w:r w:rsidR="0032281D" w:rsidRPr="00BB1701">
        <w:rPr>
          <w:lang w:val="en-US"/>
        </w:rPr>
        <w:t xml:space="preserve"> </w:t>
      </w:r>
    </w:p>
    <w:p w14:paraId="7D476F4D" w14:textId="60B88113" w:rsidR="00D15F29" w:rsidRDefault="00FC46F5" w:rsidP="0098165E">
      <w:pPr>
        <w:spacing w:line="480" w:lineRule="auto"/>
        <w:ind w:firstLine="709"/>
        <w:rPr>
          <w:rFonts w:eastAsiaTheme="minorEastAsia"/>
          <w:lang w:val="en-US"/>
        </w:rPr>
      </w:pPr>
      <w:r w:rsidRPr="006602FF">
        <w:rPr>
          <w:rFonts w:eastAsiaTheme="minorEastAsia"/>
          <w:lang w:val="en-US"/>
        </w:rPr>
        <w:t xml:space="preserve">Results from </w:t>
      </w:r>
      <w:r w:rsidR="00310EDA">
        <w:rPr>
          <w:rFonts w:eastAsiaTheme="minorEastAsia"/>
          <w:lang w:val="en-US"/>
        </w:rPr>
        <w:t>the</w:t>
      </w:r>
      <w:r w:rsidR="00310EDA" w:rsidRPr="006602FF">
        <w:rPr>
          <w:rFonts w:eastAsiaTheme="minorEastAsia"/>
          <w:lang w:val="en-US"/>
        </w:rPr>
        <w:t xml:space="preserve"> </w:t>
      </w:r>
      <w:r w:rsidRPr="006602FF">
        <w:rPr>
          <w:rFonts w:eastAsiaTheme="minorEastAsia"/>
          <w:lang w:val="en-US"/>
        </w:rPr>
        <w:t xml:space="preserve">AMOVA analysis revealed that population </w:t>
      </w:r>
      <w:r w:rsidRPr="00184224">
        <w:rPr>
          <w:rFonts w:eastAsiaTheme="minorEastAsia"/>
          <w:lang w:val="en-US"/>
        </w:rPr>
        <w:t xml:space="preserve">structure has a greater influence on spatial genetic structure than time-periods. </w:t>
      </w:r>
      <w:r w:rsidR="00C42150">
        <w:rPr>
          <w:rFonts w:eastAsiaTheme="minorEastAsia"/>
          <w:lang w:val="en-US"/>
        </w:rPr>
        <w:t xml:space="preserve">This result is consistent with the </w:t>
      </w:r>
      <w:r w:rsidR="00C42150">
        <w:rPr>
          <w:rFonts w:eastAsiaTheme="minorEastAsia"/>
          <w:lang w:val="en-US"/>
        </w:rPr>
        <w:lastRenderedPageBreak/>
        <w:t xml:space="preserve">isolation by distance and the urban resistance </w:t>
      </w:r>
      <w:r w:rsidR="00D1053B">
        <w:rPr>
          <w:rFonts w:eastAsiaTheme="minorEastAsia"/>
          <w:lang w:val="en-US"/>
        </w:rPr>
        <w:t xml:space="preserve">to gene flow </w:t>
      </w:r>
      <w:r w:rsidR="00C42150">
        <w:rPr>
          <w:rFonts w:eastAsiaTheme="minorEastAsia"/>
          <w:lang w:val="en-US"/>
        </w:rPr>
        <w:t xml:space="preserve">previously reported </w:t>
      </w:r>
      <w:r w:rsidR="003D6F74">
        <w:rPr>
          <w:rFonts w:eastAsiaTheme="minorEastAsia"/>
          <w:lang w:val="en-US"/>
        </w:rPr>
        <w:t xml:space="preserve">for this species </w:t>
      </w:r>
      <w:r w:rsidR="00B97118">
        <w:rPr>
          <w:rFonts w:eastAsiaTheme="minorEastAsia"/>
          <w:lang w:val="en-US"/>
        </w:rPr>
        <w:fldChar w:fldCharType="begin" w:fldLock="1"/>
      </w:r>
      <w:r w:rsidR="00B97118">
        <w:rPr>
          <w:rFonts w:eastAsiaTheme="minorEastAsia"/>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B97118">
        <w:rPr>
          <w:rFonts w:eastAsiaTheme="minorEastAsia"/>
          <w:lang w:val="en-US"/>
        </w:rPr>
        <w:fldChar w:fldCharType="separate"/>
      </w:r>
      <w:r w:rsidR="00B97118" w:rsidRPr="00B97118">
        <w:rPr>
          <w:rFonts w:eastAsiaTheme="minorEastAsia"/>
          <w:noProof/>
          <w:lang w:val="en-US"/>
        </w:rPr>
        <w:t>(Rodríguez-Bardía et al., 2022)</w:t>
      </w:r>
      <w:r w:rsidR="00B97118">
        <w:rPr>
          <w:rFonts w:eastAsiaTheme="minorEastAsia"/>
          <w:lang w:val="en-US"/>
        </w:rPr>
        <w:fldChar w:fldCharType="end"/>
      </w:r>
      <w:r w:rsidR="00C42150">
        <w:rPr>
          <w:rFonts w:eastAsiaTheme="minorEastAsia"/>
          <w:lang w:val="en-US"/>
        </w:rPr>
        <w:t xml:space="preserve">. </w:t>
      </w:r>
      <w:r w:rsidR="00822F1A">
        <w:rPr>
          <w:rFonts w:eastAsiaTheme="minorEastAsia"/>
          <w:lang w:val="en-US"/>
        </w:rPr>
        <w:t xml:space="preserve">Limited gene flow </w:t>
      </w:r>
      <w:r w:rsidR="00433E4B">
        <w:rPr>
          <w:rFonts w:eastAsiaTheme="minorEastAsia"/>
          <w:lang w:val="en-US"/>
        </w:rPr>
        <w:t xml:space="preserve">is </w:t>
      </w:r>
      <w:r w:rsidR="00822F1A">
        <w:rPr>
          <w:rFonts w:eastAsiaTheme="minorEastAsia"/>
          <w:lang w:val="en-US"/>
        </w:rPr>
        <w:t xml:space="preserve">expected </w:t>
      </w:r>
      <w:r w:rsidR="00433E4B">
        <w:rPr>
          <w:rFonts w:eastAsiaTheme="minorEastAsia"/>
          <w:lang w:val="en-US"/>
        </w:rPr>
        <w:t>for species with low mobility and specific habitat requirements, such as the white-eared ground-sparrow</w:t>
      </w:r>
      <w:r w:rsidR="009E3089">
        <w:rPr>
          <w:rFonts w:eastAsiaTheme="minorEastAsia"/>
          <w:lang w:val="en-US"/>
        </w:rPr>
        <w:t xml:space="preserve"> </w:t>
      </w:r>
      <w:r w:rsidR="00B97118">
        <w:rPr>
          <w:rFonts w:eastAsiaTheme="minorEastAsia"/>
          <w:lang w:val="en-US"/>
        </w:rPr>
        <w:fldChar w:fldCharType="begin" w:fldLock="1"/>
      </w:r>
      <w:r w:rsidR="005E02BF">
        <w:rPr>
          <w:rFonts w:eastAsiaTheme="minorEastAsia"/>
          <w:lang w:val="en-US"/>
        </w:rPr>
        <w:instrText>ADDIN CSL_CITATION {"citationItems":[{"id":"ITEM-1","itemData":{"abstract":"Image","author":[{"dropping-particle":"","family":"Soulé","given":"Michael E","non-dropping-particle":"","parse-names":false,"suffix":""},{"dropping-particle":"","family":"Bolger","given":"Douglas T","non-dropping-particle":"","parse-names":false,"suffix":""},{"dropping-particle":"","family":"Alberts","given":"Allison C","non-dropping-particle":"","parse-names":false,"suffix":""},{"dropping-particle":"","family":"Wright","given":"J","non-dropping-particle":"","parse-names":false,"suffix":""},{"dropping-particle":"","family":"Sorice","given":"Marina","non-dropping-particle":"","parse-names":false,"suffix":""},{"dropping-particle":"","family":"Hill","given":"Scott","non-dropping-particle":"","parse-names":false,"suffix":""}],"container-title":"Conservation Biology","id":"ITEM-1","issue":"1","issued":{"date-parts":[["1988"]]},"page":"1-10","title":"Reconstructed Dynamics of Rapid Extinctions of Chaparral-Requiring Birds in Urban Habitat Islands","type":"article-journal","volume":"2"},"uris":["http://www.mendeley.com/documents/?uuid=4b213768-b153-49a2-9206-36d84dbed3ee"]},{"id":"ITEM-2","itemData":{"DOI":"10.1371/journal.pone.0012767","author":[{"dropping-particle":"","family":"Delaney","given":"Kathleen Semple","non-dropping-particle":"","parse-names":false,"suffix":""},{"dropping-particle":"","family":"Riley","given":"Seth P D","non-dropping-particle":"","parse-names":false,"suffix":""},{"dropping-particle":"","family":"Fisher","given":"Robert N","non-dropping-particle":"","parse-names":false,"suffix":""}],"container-title":"PLoS ONE","id":"ITEM-2","issue":"9","issued":{"date-parts":[["2010"]]},"title":"A Rapid , Strong , and Convergent Genetic Response to Urban Habitat Fragmentation in Four Divergent and Widespread Vertebrates","type":"article-journal","volume":"5"},"uris":["http://www.mendeley.com/documents/?uuid=4996e313-8fb2-443f-881b-f7fb2d33f756"]},{"id":"ITEM-3","itemData":{"DOI":"10.1038/s41598-022-09961-9","ISBN":"4159802209961","ISSN":"2045-2322","abstract":"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w:instrText>
      </w:r>
      <w:r w:rsidR="005E02BF" w:rsidRPr="007F3E3A">
        <w:rPr>
          <w:rFonts w:eastAsiaTheme="minorEastAsia"/>
        </w:rPr>
        <w:instrText>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Reports","id":"ITEM-3","issue":"1","issued":{"date-parts":[["2022"]]},"page":"1-11","publisher":"Nature Publishing Group UK","title":"Genetic structure in neotropical birds with different tolerance to urbanization","type":"article-journal","volume":"12"},"uris":["http://www.mendeley.com/documents/?uuid=ea8693a5-5706-4033-812a-ef038f7523c8"]}],"mendeley":{"formattedCitation":"(Delaney et al., 2010; Rodríguez-Bardía et al., 2022; Soulé et al., 1988)","plainTextFormattedCitation":"(Delaney et al., 2010; Rodríguez-Bardía et al., 2022; Soulé et al., 1988)","previouslyFormattedCitation":"(Delaney et al., 2010; Rodríguez-Bardía et al., 2022; Soulé et al., 1988)"},"properties":{"noteIndex":0},"schema":"https://github.com/citation-style-language/schema/raw/master/csl-citation.json"}</w:instrText>
      </w:r>
      <w:r w:rsidR="00B97118">
        <w:rPr>
          <w:rFonts w:eastAsiaTheme="minorEastAsia"/>
          <w:lang w:val="en-US"/>
        </w:rPr>
        <w:fldChar w:fldCharType="separate"/>
      </w:r>
      <w:r w:rsidR="00493C4B" w:rsidRPr="00493C4B">
        <w:rPr>
          <w:rFonts w:eastAsiaTheme="minorEastAsia"/>
          <w:noProof/>
          <w:lang w:val="es-ES"/>
        </w:rPr>
        <w:t>(Delaney et al., 2010; Rodríguez-Bardía et al., 2022; Soulé et al., 1988)</w:t>
      </w:r>
      <w:r w:rsidR="00B97118">
        <w:rPr>
          <w:rFonts w:eastAsiaTheme="minorEastAsia"/>
          <w:lang w:val="en-US"/>
        </w:rPr>
        <w:fldChar w:fldCharType="end"/>
      </w:r>
      <w:r w:rsidR="0098165E" w:rsidRPr="00675F8D">
        <w:rPr>
          <w:rFonts w:eastAsiaTheme="minorEastAsia"/>
          <w:lang w:val="es-ES"/>
        </w:rPr>
        <w:t>.</w:t>
      </w:r>
      <w:r w:rsidR="00CF226A" w:rsidRPr="00675F8D">
        <w:rPr>
          <w:rFonts w:eastAsiaTheme="minorEastAsia"/>
          <w:lang w:val="es-ES"/>
        </w:rPr>
        <w:t xml:space="preserve"> </w:t>
      </w:r>
      <w:r>
        <w:rPr>
          <w:rFonts w:eastAsiaTheme="minorEastAsia"/>
          <w:lang w:val="en-US"/>
        </w:rPr>
        <w:t>However, STRUCTURE clustering suggests that some movement of individuals may still occur between populations; alternatively, allele frequencies are becoming homogenized through drift, resulting in a few individuals being clustered together by STRUCTURE even though they are in separate isolated populations</w:t>
      </w:r>
      <w:r w:rsidR="00511ED2">
        <w:rPr>
          <w:rFonts w:eastAsiaTheme="minorEastAsia"/>
          <w:lang w:val="en-US"/>
        </w:rPr>
        <w:t>.</w:t>
      </w:r>
      <w:r w:rsidR="005630DE">
        <w:rPr>
          <w:rFonts w:eastAsiaTheme="minorEastAsia"/>
          <w:lang w:val="en-US"/>
        </w:rPr>
        <w:t xml:space="preserve"> </w:t>
      </w:r>
    </w:p>
    <w:p w14:paraId="058363CD" w14:textId="7F2198BE" w:rsidR="005838C6" w:rsidRDefault="005838C6" w:rsidP="0098165E">
      <w:pPr>
        <w:spacing w:line="480" w:lineRule="auto"/>
        <w:ind w:firstLine="709"/>
        <w:rPr>
          <w:rFonts w:eastAsiaTheme="minorEastAsia"/>
          <w:lang w:val="en-US"/>
        </w:rPr>
      </w:pPr>
      <w:r>
        <w:rPr>
          <w:rFonts w:eastAsiaTheme="minorEastAsia"/>
          <w:lang w:val="en-US"/>
        </w:rPr>
        <w:t>The indirect evidence of limited gen</w:t>
      </w:r>
      <w:r w:rsidR="00B42D6A">
        <w:rPr>
          <w:rFonts w:eastAsiaTheme="minorEastAsia"/>
          <w:lang w:val="en-US"/>
        </w:rPr>
        <w:t>e</w:t>
      </w:r>
      <w:r>
        <w:rPr>
          <w:rFonts w:eastAsiaTheme="minorEastAsia"/>
          <w:lang w:val="en-US"/>
        </w:rPr>
        <w:t xml:space="preserve"> flow found in our study, could be also a result of the interaction between philopatry, territoriality and the lack of suitable habitat for populations </w:t>
      </w:r>
      <w:r w:rsidRPr="0098165E">
        <w:rPr>
          <w:rFonts w:eastAsiaTheme="minorEastAsia"/>
          <w:lang w:val="en-US"/>
        </w:rPr>
        <w:t xml:space="preserve">of </w:t>
      </w:r>
      <w:r>
        <w:rPr>
          <w:rFonts w:eastAsiaTheme="minorEastAsia"/>
          <w:lang w:val="en-US"/>
        </w:rPr>
        <w:t>ground-sparrows in an urban setting.</w:t>
      </w:r>
      <w:r w:rsidRPr="0098165E">
        <w:rPr>
          <w:rFonts w:eastAsiaTheme="minorEastAsia"/>
          <w:lang w:val="en-US"/>
        </w:rPr>
        <w:t xml:space="preserve"> </w:t>
      </w:r>
      <w:r>
        <w:rPr>
          <w:rFonts w:eastAsiaTheme="minorEastAsia"/>
          <w:lang w:val="en-US"/>
        </w:rPr>
        <w:t xml:space="preserve">Philopatry and territoriality </w:t>
      </w:r>
      <w:r w:rsidR="007F21A1">
        <w:rPr>
          <w:rFonts w:eastAsiaTheme="minorEastAsia"/>
          <w:lang w:val="en-US"/>
        </w:rPr>
        <w:t xml:space="preserve">maintain </w:t>
      </w:r>
      <w:r>
        <w:rPr>
          <w:rFonts w:eastAsiaTheme="minorEastAsia"/>
          <w:lang w:val="en-US"/>
        </w:rPr>
        <w:t xml:space="preserve">individuals within a population, thereby decreasing gene flow and increasing genetic differentiation between populations </w:t>
      </w:r>
      <w:r>
        <w:rPr>
          <w:rFonts w:eastAsiaTheme="minorEastAsia"/>
          <w:lang w:val="en-US"/>
        </w:rPr>
        <w:fldChar w:fldCharType="begin" w:fldLock="1"/>
      </w:r>
      <w:r>
        <w:rPr>
          <w:rFonts w:eastAsiaTheme="minorEastAsia"/>
          <w:lang w:val="en-US"/>
        </w:rPr>
        <w:instrText>ADDIN CSL_CITATION {"citationItems":[{"id":"ITEM-1","itemData":{"DOI":"10.1093/biolinnean/bly073","ISSN":"10958312","abstract":"Significant demographic fluctuations can have major genetic consequences in wild populations. The lesser kestrel (Falco naumanni) has suffered both population declines and range fragmentation during the second half of the 20th century. In this study we analysed multilocus microsatellite data to assess the genetic structure of the species. Our analysis revealed significant genetic structuring of lesser kestrel populations, not only at the cross-continental scale, but also regionally within the Central and Eastern (CE) Mediterranean region. We detected signs of genetic bottlenecks in some of the peripheral populations coupled with small effective population sizes. Values of genetic differentiation among the largest populations were low, albeit significant, whereas the small peripheral CE Mediterranean populations showed higher levels of differentiation from all other populations. Gene flow levels were relatively low among the discontinuously distributed populations of the CE Mediterranean region. We argue that the observed spatial genetic structure can be attributed at some level to the past demographic decline experienced by the species. Finally, we identify management units in the region, and inform the design of conservation actions aimed at the increase of population sizes and dispersal rates among peripheral populations.","author":[{"dropping-particle":"","family":"Bounas","given":"Anastasios","non-dropping-particle":"","parse-names":false,"suffix":""},{"dropping-particle":"","family":"Tsaparis","given":"Dimitris","non-dropping-particle":"","parse-names":false,"suffix":""},{"dropping-particle":"","family":"Efrat","given":"Ron","non-dropping-particle":"","parse-names":false,"suffix":""},{"dropping-particle":"","family":"Gradev","given":"Gradimir","non-dropping-particle":"","parse-names":false,"suffix":""},{"dropping-particle":"","family":"Gustin","given":"Marco","non-dropping-particle":"","parse-names":false,"suffix":""},{"dropping-particle":"","family":"Mikulic","given":"Kresimir","non-dropping-particle":"","parse-names":false,"suffix":""},{"dropping-particle":"","family":"Rodríguez","given":"Airam","non-dropping-particle":"","parse-names":false,"suffix":""},{"dropping-particle":"","family":"Sarà","given":"Maurizio","non-dropping-particle":"","parse-names":false,"suffix":""},{"dropping-particle":"","family":"Kotoulas","given":"Georgios","non-dropping-particle":"","parse-names":false,"suffix":""},{"dropping-particle":"","family":"Sotiropoulos","given":"Konstantinos","non-dropping-particle":"","parse-names":false,"suffix":""}],"container-title":"Biological Journal of the Linnean Society","id":"ITEM-1","issue":"4","issued":{"date-parts":[["2018"]]},"page":"633-644","title":"Genetic structure of a patchily distributed philopatric migrant: Implications for management and conservation","type":"article-journal","volume":"124"},"uris":["http://www.mendeley.com/documents/?uuid=688ab7bc-f7e3-4846-b140-887473b584fc"]},{"id":"ITEM-2","itemData":{"DOI":"10.1038/s41598-022-09961-9","ISBN":"4159802209961","ISSN":"2045-2322","abstract":"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Reports","id":"ITEM-2","issue":"1","issued":{"date-parts":[["2022"]]},"page":"1-11","publisher":"Nature Publishing Group UK","title":"Genetic structure in neotropical birds with different tolerance to urbanization","type":"article-journal","volume":"12"},"uris":["http://www.mendeley.com/documents/?uuid=ea8693a5-5706-4033-812a-ef038f7523c8"]}],"mendeley":{"formattedCitation":"(Bounas et al., 2018; Rodríguez-Bardía et al., 2022)","plainTextFormattedCitation":"(Bounas et al., 2018; Rodríguez-Bardía et al., 2022)","previouslyFormattedCitation":"(Bounas et al., 2018; Rodríguez-Bardía et al., 2022)"},"properties":{"noteIndex":0},"schema":"https://github.com/citation-style-language/schema/raw/master/csl-citation.json"}</w:instrText>
      </w:r>
      <w:r>
        <w:rPr>
          <w:rFonts w:eastAsiaTheme="minorEastAsia"/>
          <w:lang w:val="en-US"/>
        </w:rPr>
        <w:fldChar w:fldCharType="separate"/>
      </w:r>
      <w:r w:rsidRPr="004A6938">
        <w:rPr>
          <w:rFonts w:eastAsiaTheme="minorEastAsia"/>
          <w:noProof/>
          <w:lang w:val="en-US"/>
        </w:rPr>
        <w:t>(Bounas et al., 2018; Rodríguez-Bardía et al., 2022)</w:t>
      </w:r>
      <w:r>
        <w:rPr>
          <w:rFonts w:eastAsiaTheme="minorEastAsia"/>
          <w:lang w:val="en-US"/>
        </w:rPr>
        <w:fldChar w:fldCharType="end"/>
      </w:r>
      <w:r>
        <w:rPr>
          <w:rFonts w:eastAsiaTheme="minorEastAsia"/>
          <w:lang w:val="en-US"/>
        </w:rPr>
        <w:t>. In urbanized sites</w:t>
      </w:r>
      <w:r w:rsidR="004521D3">
        <w:rPr>
          <w:rFonts w:eastAsiaTheme="minorEastAsia"/>
          <w:lang w:val="en-US"/>
        </w:rPr>
        <w:t>,</w:t>
      </w:r>
      <w:r>
        <w:rPr>
          <w:rFonts w:eastAsiaTheme="minorEastAsia"/>
          <w:lang w:val="en-US"/>
        </w:rPr>
        <w:t xml:space="preserve"> ground-sparrow males increase their territories to </w:t>
      </w:r>
      <w:r w:rsidR="00AE00FB">
        <w:rPr>
          <w:rFonts w:eastAsiaTheme="minorEastAsia"/>
          <w:lang w:val="en-US"/>
        </w:rPr>
        <w:t xml:space="preserve">likely </w:t>
      </w:r>
      <w:r>
        <w:rPr>
          <w:rFonts w:eastAsiaTheme="minorEastAsia"/>
          <w:lang w:val="en-US"/>
        </w:rPr>
        <w:t xml:space="preserve">search for additional food sources </w:t>
      </w:r>
      <w:r>
        <w:rPr>
          <w:rFonts w:eastAsiaTheme="minorEastAsia"/>
          <w:lang w:val="en-US"/>
        </w:rPr>
        <w:fldChar w:fldCharType="begin" w:fldLock="1"/>
      </w:r>
      <w:r>
        <w:rPr>
          <w:rFonts w:eastAsiaTheme="minorEastAsia"/>
          <w:lang w:val="en-US"/>
        </w:rPr>
        <w:instrText>ADDIN CSL_CITATION {"citationItems":[{"id":"ITEM-1","itemData":{"DOI":"10.1186/s40657-020-00198-6","ISBN":"4065702000198","ISSN":"20537166","abstract":"Background: Urban expansion has been identified as one of the leading drivers of biodiversity change or loss. For birds, urbanization is specifically related to survival, breeding success, and territory size. Understanding how different birds adjust territory size in response to urbanization is essential for their conservation in urban environments and to better understand why some species are lost and others persist under this condition. We evaluated the effect of urbanization on the territory size of an urban avoider species, White-eared Ground-Sparrow (Melozone leucotis), and an urban adapter species, House Wren (Troglodytes aedon), at five Costa Rican sites. Methods: We measured the size of 30 ground-sparrow and 28 wren territories using a total of 296 h of observation. We followed each individual for at least 1 h per day for at least 2 days of two consecutive years, and geo-referenced their locations. Territory size was estimated using the minimum convex polygon method. We measured the urban surfaces (roads, buildings, any other paved area, soccer fields, lawns, and gardens with short grass) within territories. Results: Ground-sparrow territories were larger at the highly urbanized site than at the non-urbanized site. Wren territories were larger at the low urbanized site than at the highly urbanized site. We found a positive relationship between urban surface and territory size for the ground-sparrow, but not for the wren. Conclusions: Our results showed that not all birds adjust territory size in the same way in response to urbanization. We showed that urban avoiders probably need to defend larger territories in urban environments to find all the resources required to survive because urban environments may provide insufficient resources such as food or shelter. Urban adapters on the other hand defend smaller territories in urban environments because even small territories may provide sufficient resources. These results suggest specific behavioral adaptations developed by Neotropical birds inhabiting urban environments.","author":[{"dropping-particle":"","family":"Juárez","given":"Roselvy","non-dropping-particle":"","parse-names":false,"suffix":""},{"dropping-particle":"","family":"Chacón-Madrigal","given":"Eduardo","non-dropping-particle":"","parse-names":false,"suffix":""},{"dropping-particle":"","family":"Sandoval","given":"Luis","non-dropping-particle":"","parse-names":false,"suffix":""}],"container-title":"Avian Research","id":"ITEM-1","issue":"1","issued":{"date-parts":[["2020"]]},"page":"1-9","publisher":"BioMed Central","title":"Urbanization has opposite effects on the territory size of two passerine birds","type":"article-journal","volume":"11"},"uris":["http://www.mendeley.com/documents/?uuid=c857e4f4-a155-4b1b-b130-51ef9ffcd409"]}],"mendeley":{"formattedCitation":"(Juárez et al., 2020)","plainTextFormattedCitation":"(Juárez et al., 2020)","previouslyFormattedCitation":"(Juárez et al., 2020)"},"properties":{"noteIndex":0},"schema":"https://github.com/citation-style-language/schema/raw/master/csl-citation.json"}</w:instrText>
      </w:r>
      <w:r>
        <w:rPr>
          <w:rFonts w:eastAsiaTheme="minorEastAsia"/>
          <w:lang w:val="en-US"/>
        </w:rPr>
        <w:fldChar w:fldCharType="separate"/>
      </w:r>
      <w:r w:rsidRPr="00976AA8">
        <w:rPr>
          <w:rFonts w:eastAsiaTheme="minorEastAsia"/>
          <w:noProof/>
          <w:lang w:val="en-US"/>
        </w:rPr>
        <w:t>(Juárez et al., 2020)</w:t>
      </w:r>
      <w:r>
        <w:rPr>
          <w:rFonts w:eastAsiaTheme="minorEastAsia"/>
          <w:lang w:val="en-US"/>
        </w:rPr>
        <w:fldChar w:fldCharType="end"/>
      </w:r>
      <w:r>
        <w:rPr>
          <w:rFonts w:eastAsiaTheme="minorEastAsia"/>
          <w:lang w:val="en-US"/>
        </w:rPr>
        <w:t xml:space="preserve">. This foraging behavior </w:t>
      </w:r>
      <w:r w:rsidR="00FC0759">
        <w:rPr>
          <w:rFonts w:eastAsiaTheme="minorEastAsia"/>
          <w:lang w:val="en-US"/>
        </w:rPr>
        <w:t>may prompt</w:t>
      </w:r>
      <w:r w:rsidR="00AE00FB">
        <w:rPr>
          <w:rFonts w:eastAsiaTheme="minorEastAsia"/>
          <w:lang w:val="en-US"/>
        </w:rPr>
        <w:t xml:space="preserve"> </w:t>
      </w:r>
      <w:r w:rsidR="007143F3">
        <w:rPr>
          <w:rFonts w:eastAsiaTheme="minorEastAsia"/>
          <w:lang w:val="en-US"/>
        </w:rPr>
        <w:t xml:space="preserve">some </w:t>
      </w:r>
      <w:r>
        <w:rPr>
          <w:rFonts w:eastAsiaTheme="minorEastAsia"/>
          <w:lang w:val="en-US"/>
        </w:rPr>
        <w:t>males to migrate when resources are scarce</w:t>
      </w:r>
      <w:r w:rsidR="007F21A1">
        <w:rPr>
          <w:rFonts w:eastAsiaTheme="minorEastAsia"/>
          <w:lang w:val="en-US"/>
        </w:rPr>
        <w:t xml:space="preserve">, </w:t>
      </w:r>
      <w:r w:rsidR="007143F3">
        <w:rPr>
          <w:rFonts w:eastAsiaTheme="minorEastAsia"/>
          <w:lang w:val="en-US"/>
        </w:rPr>
        <w:t>explaining</w:t>
      </w:r>
      <w:r>
        <w:rPr>
          <w:rFonts w:eastAsiaTheme="minorEastAsia"/>
          <w:lang w:val="en-US"/>
        </w:rPr>
        <w:t xml:space="preserve"> the movement of individuals </w:t>
      </w:r>
      <w:r w:rsidR="007143F3">
        <w:rPr>
          <w:rFonts w:eastAsiaTheme="minorEastAsia"/>
          <w:lang w:val="en-US"/>
        </w:rPr>
        <w:t>detected</w:t>
      </w:r>
      <w:r w:rsidR="00FC0759">
        <w:rPr>
          <w:rFonts w:eastAsiaTheme="minorEastAsia"/>
          <w:lang w:val="en-US"/>
        </w:rPr>
        <w:t xml:space="preserve"> </w:t>
      </w:r>
      <w:r>
        <w:rPr>
          <w:rFonts w:eastAsiaTheme="minorEastAsia"/>
          <w:lang w:val="en-US"/>
        </w:rPr>
        <w:t xml:space="preserve">in our Bayesian clustering.  </w:t>
      </w:r>
    </w:p>
    <w:p w14:paraId="59C2E291" w14:textId="2E2A1F8C" w:rsidR="00C95472" w:rsidRDefault="001F61AF" w:rsidP="0098165E">
      <w:pPr>
        <w:spacing w:line="480" w:lineRule="auto"/>
        <w:ind w:firstLine="709"/>
        <w:rPr>
          <w:rFonts w:eastAsiaTheme="minorEastAsia"/>
          <w:lang w:val="en-US"/>
        </w:rPr>
      </w:pPr>
      <w:r>
        <w:rPr>
          <w:rFonts w:eastAsiaTheme="minorEastAsia"/>
          <w:lang w:val="en-US"/>
        </w:rPr>
        <w:t xml:space="preserve">On the </w:t>
      </w:r>
      <w:r w:rsidR="00B42D6A">
        <w:rPr>
          <w:rFonts w:eastAsiaTheme="minorEastAsia"/>
          <w:lang w:val="en-US"/>
        </w:rPr>
        <w:t>contrary</w:t>
      </w:r>
      <w:r>
        <w:rPr>
          <w:rFonts w:eastAsiaTheme="minorEastAsia"/>
          <w:lang w:val="en-US"/>
        </w:rPr>
        <w:t xml:space="preserve">, individuals inhabiting isolated populations </w:t>
      </w:r>
      <w:r w:rsidR="00AE00FB">
        <w:rPr>
          <w:rFonts w:eastAsiaTheme="minorEastAsia"/>
          <w:lang w:val="en-US"/>
        </w:rPr>
        <w:t xml:space="preserve">often </w:t>
      </w:r>
      <w:r>
        <w:rPr>
          <w:rFonts w:eastAsiaTheme="minorEastAsia"/>
          <w:lang w:val="en-US"/>
        </w:rPr>
        <w:t>develop local adaptations, such as different dialects and variations in the frequency and duration of songs, as shown for the white-eared ground-sparrow</w:t>
      </w:r>
      <w:r w:rsidR="00B42D6A">
        <w:rPr>
          <w:rFonts w:eastAsiaTheme="minorEastAsia"/>
          <w:lang w:val="en-US"/>
        </w:rPr>
        <w:t xml:space="preserve"> </w:t>
      </w:r>
      <w:r w:rsidR="00052BDD" w:rsidRPr="001830F3">
        <w:rPr>
          <w:rFonts w:cstheme="minorHAnsi"/>
          <w:lang w:val="en-US"/>
        </w:rPr>
        <w:fldChar w:fldCharType="begin" w:fldLock="1"/>
      </w:r>
      <w:r w:rsidR="00052BDD">
        <w:rPr>
          <w:rFonts w:cstheme="minorHAnsi"/>
          <w:lang w:val="en-US"/>
        </w:rPr>
        <w:instrText>ADDIN CSL_CITATION {"citationItems":[{"id":"ITEM-1","itemData":{"DOI":"10.1016/j.beproc.2020.104282","ISSN":"18728308","PMID":"33217514","abstract":"Noise affects the recognition of acoustic signals by masking information. To compensate for increased noise, individuals often increase the minimum frequency of their vocalization to reduce noise interference. Our goal was to analyze the effect of noise on the characteristics of different bird vocalizations, through a comparative study of vocalizations on the same bird species. We analyzed the effects of noise variation on the fine spectrotemporal characteristics of calls, songs, and duets of White-eared Ground-sparrows (Melozone leucotis) across three populations over a three-year period. We recorded vocalizations and noise levels simultaneously from 41 territories between 2012 and 2014. We measured the duration, minimum, maximum, and maximum amplitude frequency, and counted the number of songs elements for each vocalization recorded. As we predicted, noise influences the minimum frequency of song, but did not have an effect on the fine spectrotemporal characteristics for calls and duets. We did, however, find that low and high frequency of calls and duets increased with noise-population-year interaction. Our results suggest that differences in noise values at each population were inadequate to observe changes in vocalization characteristics. In conclusion, evaluating responses to different noise levels on different vocalization types for the same species expands our understanding of the flexibility of birds to adjust vocalizations in response to anthropogenic noise.","author":[{"dropping-particle":"","family":"Méndez","given":"Carolina","non-dropping-particle":"","parse-names":false,"suffix":""},{"dropping-particle":"","family":"Barrantes","given":"Gilbert","non-dropping-particle":"","parse-names":false,"suffix":""},{"dropping-particle":"","family":"Sandoval","given":"Luis","non-dropping-particle":"","parse-names":false,"suffix":""}],"container-title":"Behavioural Processes","id":"ITEM-1","issued":{"date-parts":[["2020"]]},"title":"The effect of noise variation over time and between populations on the fine spectrotemporal characteristics of different vocalization types","type":"article-journal","volume":"182"},"uris":["http://www.mendeley.com/documents/?uuid=fb056c7e-475e-4dea-b46a-a47325ec95dd"]},{"id":"ITEM-2","itemData":{"DOI":"10.1111/eth.12206","ISSN":"01791613","abstract":"Communication between social animals is often more effective when signals facilitate individual recognition. Two critical requirements for individual recognition are the occurrence of characteristics that are unique to each individual, and the consistency of these characteristics through time. In some animals, characteristics of acoustic signals are known to vary over time due to changes in a variety of factors, including physiological and environmental features. Such temporal variation requires careful evaluation when exploring the individual distinctiveness of animal signals. In this study, we evaluate individual distinctiveness in the songs of male white-eared ground-sparrows Melozone leucotis and the persistence of distinctive characteristics over time. We collected focal recordings from populations of banded ground-sparrows during two consecutive breeding seasons, including multiple recording sessions within each breeding season. We evaluated individual distinctiveness in fine structural acoustic features of songs. We also extended our analysis to repertoire characteristics, focusing on whether the relative frequency of song type use may provide cues to individual identity. We found that each male white-eared ground-sparrow sang individually distinctive songs, although their fine structural features varied between recording sessions. We found the frequency with which males sang different song types was also individually distinctive, and this feature varied little between recording sessions. Receivers may be able to use these distinctive characteristics to differentiate individuals over extended time periods; this may be especially important for species that engage in long-term social interactions, such as tropical birds that defend territories against rival conspecific animals throughout the year. © 2014 Blackwell Verlag GmbH.","author":[{"dropping-particle":"","family":"Sandoval","given":"Luis","non-dropping-particle":"","parse-names":false,"suffix":""},{"dropping-particle":"","family":"Méndez","given":"Carolina","non-dropping-particle":"","parse-names":false,"suffix":""},{"dropping-particle":"","family":"Mennill","given":"Daniel J.","non-dropping-particle":"","parse-names":false,"suffix":""}],"container-title":"Ethology","id":"ITEM-2","issue":"3","issued":{"date-parts":[["2014"]]},"page":"275-286","title":"Individual distinctiveness in the fine structural features and repertoire characteristics of the songs of white-eared ground-sparrows","type":"article-journal","volume":"120"},"uris":["http://www.mendeley.com/documents/?uuid=e4dcdc3d-deae-41b1-8bc9-3884e2fb93c1"]},{"id":"ITEM-3","itemData":{"DOI":"10.1007/s10336-015-1237-y","ISSN":"21937206","abstract":"There are relatively few quantitative descriptive studies of the vocalisations and vocal behaviour of tropical bird species, in spite of the tropic’s rich avian biodiversity and the extensive variety of vocalisations produced by tropical birds. This lack of information inhibits our understanding of tropical animals, including our ability to perform comparative analyses on vocal behaviours from an evolutionary perspective. In this study, we present the first quantitative description of the vocal repertoire and daily vocal activity of White-eared Ground-sparrows (Melozone leuco-tis), using focal and autonomous recordings collected during two consecutive breeding seasons in Costa Rica. We classified vocalisations into categories based on their visual appearance on sound spectrograms to create a library of vocalisations for this species. We found that White-eared Ground-sparrows produce three main categories of vocalisations: solo songs, calls, and duets. Solo songs were produced only by males. Each male sang a repertoire of solo song types, which all shared the same general structure with short introductory notes, a frequency-modulated middle section, and a terminal trill. Both sexes produce calls and coordinated vocal duets. We quantified patterns of diel variation in each category of vocalisation, and found that the Ground-sparrows produced all three vocalisations at higher output at dawn (between 0500 and 0600 hours) compared to the rest of the day. This study allowed us to conduct the first comparisons of vocalisations between White-eared Ground-sparrows and North American species in the genus Melozone, and revealed both similarities and differences between the species groups. Our investigation also showed that vocalisations related to communication within pairs and to territory defence (calls and duets) exhibited lower levels of individual distinctiveness than vocalisations related mainly to female attraction (male solo songs). Our observations suggest that each of the three types of vocalisations have multiple functions in White-eared Ground-sparrows, revealing diverse communication functions with a small vocal repertoire in this tropical songbird.","author":[{"dropping-particle":"","family":"Sandoval","given":"Luis","non-dropping-particle":"","parse-names":false,"suffix":""},{"dropping-particle":"","family":"Méndez","given":"Carolina","non-dropping-particle":"","parse-names":false,"suffix":""},{"dropping-particle":"","family":"Mennill","given":"Daniel J.","non-dropping-particle":"","parse-names":false,"suffix":""}],"container-title":"Journal of Ornithology","id":"ITEM-3","issue":"1","issued":{"date-parts":[["2016"]]},"page":"1-12","title":"Vocal behaviour of white-eared ground-sparrows (Melozone leucotis) during the breeding season: Repertoires, diel variation, behavioural contexts, and individual distinctiveness","type":"article-journal","volume":"157"},"uris":["http://www.mendeley.com/documents/?uuid=a1e24b29-ddc4-4a7f-be09-cfafb82a815f"]},{"id":"ITEM-4","itemData":{"DOI":"10.1038/s41598-022-09961-9","ISBN":"4159802209961","ISSN":"2045-2322","abstract":"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Reports","id":"ITEM-4","issue":"1","issued":{"date-parts":[["2022"]]},"page":"1-11","publisher":"Nature Publishing Group UK","title":"Genetic structure in neotropical birds with different tolerance to urbanization","type":"article-journal","volume":"12"},"uris":["http://www.mendeley.com/documents/?uuid=ea8693a5-5706-4033-812a-ef038f7523c8"]},{"id":"ITEM-5","itemData":{"DOI":"10.1186/s40657-020-00198-6","ISBN":"4065702000198","ISSN":"20537166","abstract":"Background: Urban expansion has been identified as one of the leading drivers of biodiversity change or loss. For birds, urbanization is specifically related to survival, breeding success, and territory size. Understanding how different birds adjust territory size in response to urbanization is essential for their conservation in urban environments and to better understand why some species are lost and others persist under this condition. We evaluated the effect of urbanization on the territory size of an urban avoider species, White-eared Ground-Sparrow (Melozone leucotis), and an urban adapter species, House Wren (Troglodytes aedon), at five Costa Rican sites. Methods: We measured the size of 30 ground-sparrow and 28 wren territories using a total of 296 h of observation. We followed each individual for at least 1 h per day for at least 2 days of two consecutive years, and geo-referenced their locations. Territory size was estimated using the minimum convex polygon method. We measured the urban surfaces (roads, buildings, any other paved area, soccer fields, lawns, and gardens with short grass) within territories. Results: Ground-sparrow territories were larger at the highly urbanized site than at the non-urbanized site. Wren territories were larger at the low urbanized site than at the highly urbanized site. We found a positive relationship between urban surface and territory size for the ground-sparrow, but not for the wren. Conclusions: Our results showed that not all birds adjust territory size in the same way in response to urbanization. We showed that urban avoiders probably need to defend larger territories in urban environments to find all the resources required to survive because urban environments may provide insufficient resources such as food or shelter. Urban adapters on the other hand defend smaller territories in urban environments because even small territories may provide sufficient resources. These results suggest specific behavioral adaptations developed by Neotropical birds inhabiting urban environments.","author":[{"dropping-particle":"","family":"Juárez","given":"Roselvy","non-dropping-particle":"","parse-names":false,"suffix":""},{"dropping-particle":"","family":"Chacón-Madrigal","given":"Eduardo","non-dropping-particle":"","parse-names":false,"suffix":""},{"dropping-particle":"","family":"Sandoval","given":"Luis","non-dropping-particle":"","parse-names":false,"suffix":""}],"container-title":"Avian Research","id":"ITEM-5","issue":"1","issued":{"date-parts":[["2020"]]},"page":"1-9","publisher":"BioMed Central","title":"Urbanization has opposite effects on the territory size of two passerine birds","type":"article-journal","volume":"11"},"uris":["http://www.mendeley.com/documents/?uuid=c857e4f4-a155-4b1b-b130-51ef9ffcd409"]},{"id":"ITEM-6","itemData":{"DOI":"10.1080/09524622.2015.1076346","ISSN":"21650586","abstract":"The Acoustic Adaptation Hypothesis posits that habitat characteristics influence the structure of animal vocalizations and that animals will vocalize and display behaviours optimized for sound transmission. White-eared ground-sparrows Melozone leucotis live in habitats with dense vegetation where vocal communication is an ideal mode of communication for territory defence and mate attraction. On the basis of the Acoustic Adaptation Hypothesis, if solos and duets of these ground-sparrows are used in long-distance communication, we should expect that these vocalizations will exhibit structures that enhance sound transmission. We conducted a sound transmission experiment where we broadcast and re-recorded solo songs and duets to study their transmission properties. We used two speaker heights and two microphone heights to simulate different perch heights of signallers and receivers and four distances between the speakers and microphones to simulate variable distances of separation. We found that solo and duet songs show similar patterns of degradation and attenuation with distance and proximity to the ground. These results suggest that solo and duet songs facilitate communication with receivers at similar distances. The highest perches, for both signallers and receivers, maximized acoustic transmission. This is the first study that evaluates the transmission properties of songs and duets in birds, despite the fact that many bird species in tropical forests produce both types of vocalizations. To our surprise, we found that solo and duet songs degraded to below-detectable levels in less than a typical territory's diameter, suggesting that this species has not experienced strong selection for long-distance communication.","author":[{"dropping-particle":"","family":"Sandoval","given":"Luis","non-dropping-particle":"","parse-names":false,"suffix":""},{"dropping-particle":"","family":"Dabelsteen","given":"Torben","non-dropping-particle":"","parse-names":false,"suffix":""},{"dropping-particle":"","family":"Mennill","given":"Daniel J.","non-dropping-particle":"","parse-names":false,"suffix":""}],"container-title":"Bioacoustics","id":"ITEM-6","issue":"3","issued":{"date-parts":[["2015"]]},"page":"289-306","title":"Transmission characteristics of solo songs and duets in a neotropical thicket habitat specialist bird","type":"article-journal","volume":"24"},"uris":["http://www.mendeley.com/documents/?uuid=ad457795-cb23-4e35-8c1c-a445e21b996d"]}],"mendeley":{"formattedCitation":"(Juárez et al., 2020; Méndez et al., 2020; Rodríguez-Bardía et al., 2022; Sandoval et al., 2014, 2015, 2016)","manualFormatting":"(Sandoval et al., 2014, 2015, 2016; Juárez et al., 2020; Méndez et al., 2021)","plainTextFormattedCitation":"(Juárez et al., 2020; Méndez et al., 2020; Rodríguez-Bardía et al., 2022; Sandoval et al., 2014, 2015, 2016)","previouslyFormattedCitation":"(Juárez et al., 2020; Méndez et al., 2020; Rodríguez-Bardía et al., 2022; Sandoval et al., 2014, 2015, 2016)"},"properties":{"noteIndex":0},"schema":"https://github.com/citation-style-language/schema/raw/master/csl-citation.json"}</w:instrText>
      </w:r>
      <w:r w:rsidR="00052BDD" w:rsidRPr="001830F3">
        <w:rPr>
          <w:rFonts w:cstheme="minorHAnsi"/>
          <w:lang w:val="en-US"/>
        </w:rPr>
        <w:fldChar w:fldCharType="separate"/>
      </w:r>
      <w:r w:rsidR="00052BDD" w:rsidRPr="00157603">
        <w:rPr>
          <w:rFonts w:cstheme="minorHAnsi"/>
          <w:noProof/>
          <w:lang w:val="en-US"/>
        </w:rPr>
        <w:t>(Sandoval et al., 2014, 2015, 2016; Juárez et al., 2020; Méndez et al., 2021)</w:t>
      </w:r>
      <w:r w:rsidR="00052BDD" w:rsidRPr="001830F3">
        <w:rPr>
          <w:rFonts w:cstheme="minorHAnsi"/>
          <w:lang w:val="en-US"/>
        </w:rPr>
        <w:fldChar w:fldCharType="end"/>
      </w:r>
      <w:r w:rsidR="0098165E" w:rsidRPr="00DB005B">
        <w:rPr>
          <w:rFonts w:eastAsiaTheme="minorEastAsia"/>
          <w:lang w:val="en-US"/>
        </w:rPr>
        <w:t xml:space="preserve">. </w:t>
      </w:r>
      <w:r w:rsidR="0098165E" w:rsidRPr="0098165E">
        <w:rPr>
          <w:rFonts w:eastAsiaTheme="minorEastAsia"/>
          <w:lang w:val="en-US"/>
        </w:rPr>
        <w:t>Th</w:t>
      </w:r>
      <w:r w:rsidR="00052BDD">
        <w:rPr>
          <w:rFonts w:eastAsiaTheme="minorEastAsia"/>
          <w:lang w:val="en-US"/>
        </w:rPr>
        <w:t>ese adaptations could</w:t>
      </w:r>
      <w:r w:rsidR="0098165E" w:rsidRPr="0098165E">
        <w:rPr>
          <w:rFonts w:eastAsiaTheme="minorEastAsia"/>
          <w:lang w:val="en-US"/>
        </w:rPr>
        <w:t xml:space="preserve"> </w:t>
      </w:r>
      <w:r w:rsidR="000220C6">
        <w:rPr>
          <w:rFonts w:eastAsiaTheme="minorEastAsia"/>
          <w:lang w:val="en-US"/>
        </w:rPr>
        <w:t xml:space="preserve">further </w:t>
      </w:r>
      <w:r w:rsidR="0098165E" w:rsidRPr="0098165E">
        <w:rPr>
          <w:rFonts w:eastAsiaTheme="minorEastAsia"/>
          <w:lang w:val="en-US"/>
        </w:rPr>
        <w:t xml:space="preserve">reduce </w:t>
      </w:r>
      <w:r w:rsidR="000220C6">
        <w:rPr>
          <w:rFonts w:eastAsiaTheme="minorEastAsia"/>
          <w:lang w:val="en-US"/>
        </w:rPr>
        <w:t>individual dispersal between</w:t>
      </w:r>
      <w:r>
        <w:rPr>
          <w:rFonts w:eastAsiaTheme="minorEastAsia"/>
          <w:lang w:val="en-US"/>
        </w:rPr>
        <w:t xml:space="preserve"> populations</w:t>
      </w:r>
      <w:r w:rsidR="0098165E" w:rsidRPr="0098165E">
        <w:rPr>
          <w:rFonts w:eastAsiaTheme="minorEastAsia"/>
          <w:lang w:val="en-US"/>
        </w:rPr>
        <w:t xml:space="preserve">, thus contributing </w:t>
      </w:r>
      <w:r>
        <w:rPr>
          <w:rFonts w:eastAsiaTheme="minorEastAsia"/>
          <w:lang w:val="en-US"/>
        </w:rPr>
        <w:t xml:space="preserve">to increase </w:t>
      </w:r>
      <w:r w:rsidR="0098165E" w:rsidRPr="0098165E">
        <w:rPr>
          <w:rFonts w:eastAsiaTheme="minorEastAsia"/>
          <w:lang w:val="en-US"/>
        </w:rPr>
        <w:t xml:space="preserve">genetic </w:t>
      </w:r>
      <w:r>
        <w:rPr>
          <w:rFonts w:eastAsiaTheme="minorEastAsia"/>
          <w:lang w:val="en-US"/>
        </w:rPr>
        <w:t xml:space="preserve">differences among remaining populations </w:t>
      </w:r>
      <w:r w:rsidR="00B97118">
        <w:rPr>
          <w:rFonts w:eastAsiaTheme="minorEastAsia"/>
          <w:lang w:val="en-US"/>
        </w:rPr>
        <w:fldChar w:fldCharType="begin" w:fldLock="1"/>
      </w:r>
      <w:r w:rsidR="004A6938">
        <w:rPr>
          <w:rFonts w:eastAsiaTheme="minorEastAsia"/>
          <w:lang w:val="en-US"/>
        </w:rPr>
        <w:instrText>ADDIN CSL_CITATION {"citationItems":[{"id":"ITEM-1","itemData":{"DOI":"10.1111/ijlh.12426","ISBN":"0000000264","ISSN":"1751553X","PMID":"26362346","abstract":"Introduction: D-dimer assay, generally evaluated according to cutoff points calibrated for VTE exclusion, is used to estimate the individual risk of recurrence after a first idiopathic event of venous thromboembolism (VTE). Methods: Commercial D-dimer assays, evaluated according to predetermined cutoff levels for each assay, specific for age (lower in subjects &lt;70 years) and gender (lower in males), were used in the recent DULCIS study. The present analysis compared the results obtained in the DULCIS with those that might have been had using the following different cutoff criteria: traditional cutoff for VTE exclusion, higher levels in subjects aged ≥60 years, or age multiplied by 10. Results: In young subjects, the DULCIS low cutoff levels resulted in half the recurrent events that would have occurred using the other criteria. In elderly patients, the DULCIS results were similar to those calculated for the two age-adjusted criteria. The adoption of traditional VTE exclusion criteria would have led to positive results in the large majority of elderly subjects, without a significant reduction in the rate of recurrent event. Conclusion: The results confirm the usefulness of the cutoff levels used in DULCIS.","author":[{"dropping-particle":"","family":"Morhina","given":"Francisco","non-dropping-particle":"","parse-names":false,"suffix":""},{"dropping-particle":"","family":"Dávila","given":"José","non-dropping-particle":"","parse-names":false,"suffix":""},{"dropping-particle":"","family":"Bastos","given":"Estela","non-dropping-particle":"","parse-names":false,"suffix":""},{"dropping-particle":"","family":"Cabral","given":"Joao","non-dropping-particle":"","parse-names":false,"suffix":""},{"dropping-particle":"","family":"Frías","given":"Oscar","non-dropping-particle":"","parse-names":false,"suffix":""},{"dropping-particle":"","family":"González","given":"José","non-dropping-particle":"","parse-names":false,"suffix":""},{"dropping-particle":"","family":"Travassos","given":"Paulo","non-dropping-particle":"","parse-names":false,"suffix":""},{"dropping-particle":"","family":"Carvalho","given":"Diogo","non-dropping-particle":"","parse-names":false,"suffix":""},{"dropping-particle":"","family":"Milá","given":"Borja","non-dropping-particle":"","parse-names":false,"suffix":""},{"dropping-particle":"","family":"Blanco","given":"Guillermo","non-dropping-particle":"","parse-names":false,"suffix":""}],"container-title":"Molecular Ecology","id":"ITEM-1","issue":"10","issued":{"date-parts":[["2017"]]},"page":"2812-2825","title":"Extreme genetic structure in a social bird species despite high dispersal capacity","type":"article-journal","volume":"26"},"uris":["http://www.mendeley.com/documents/?uuid=acb9465c-5221-4dfa-9060-fd4487ba4e8a"]}],"mendeley":{"formattedCitation":"(Morhina et al., 2017)","plainTextFormattedCitation":"(Morhina et al., 2017)","previouslyFormattedCitation":"(Morhina et al., 2017)"},"properties":{"noteIndex":0},"schema":"https://github.com/citation-style-language/schema/raw/master/csl-citation.json"}</w:instrText>
      </w:r>
      <w:r w:rsidR="00B97118">
        <w:rPr>
          <w:rFonts w:eastAsiaTheme="minorEastAsia"/>
          <w:lang w:val="en-US"/>
        </w:rPr>
        <w:fldChar w:fldCharType="separate"/>
      </w:r>
      <w:r w:rsidR="00B97118" w:rsidRPr="00B97118">
        <w:rPr>
          <w:rFonts w:eastAsiaTheme="minorEastAsia"/>
          <w:noProof/>
          <w:lang w:val="en-US"/>
        </w:rPr>
        <w:t>(Morhina et al., 2017)</w:t>
      </w:r>
      <w:r w:rsidR="00B97118">
        <w:rPr>
          <w:rFonts w:eastAsiaTheme="minorEastAsia"/>
          <w:lang w:val="en-US"/>
        </w:rPr>
        <w:fldChar w:fldCharType="end"/>
      </w:r>
      <w:r w:rsidR="0098165E" w:rsidRPr="0098165E">
        <w:rPr>
          <w:rFonts w:eastAsiaTheme="minorEastAsia"/>
          <w:lang w:val="en-US"/>
        </w:rPr>
        <w:t xml:space="preserve">. </w:t>
      </w:r>
      <w:r w:rsidR="00DB005B">
        <w:rPr>
          <w:rFonts w:eastAsiaTheme="minorEastAsia"/>
          <w:lang w:val="en-US"/>
        </w:rPr>
        <w:t xml:space="preserve">For example, </w:t>
      </w:r>
      <w:r w:rsidR="00803CE3">
        <w:rPr>
          <w:rFonts w:eastAsiaTheme="minorEastAsia"/>
          <w:lang w:val="en-US"/>
        </w:rPr>
        <w:t xml:space="preserve">in white-crowned sparrows  </w:t>
      </w:r>
      <w:proofErr w:type="spellStart"/>
      <w:r w:rsidR="00803CE3" w:rsidRPr="00157603">
        <w:rPr>
          <w:rFonts w:eastAsiaTheme="minorEastAsia"/>
          <w:i/>
          <w:iCs/>
          <w:lang w:val="en-US"/>
        </w:rPr>
        <w:t>Zonotrichia</w:t>
      </w:r>
      <w:proofErr w:type="spellEnd"/>
      <w:r w:rsidR="00803CE3" w:rsidRPr="00157603">
        <w:rPr>
          <w:rFonts w:eastAsiaTheme="minorEastAsia"/>
          <w:i/>
          <w:iCs/>
          <w:lang w:val="en-US"/>
        </w:rPr>
        <w:t xml:space="preserve"> </w:t>
      </w:r>
      <w:proofErr w:type="spellStart"/>
      <w:r w:rsidR="00803CE3" w:rsidRPr="00157603">
        <w:rPr>
          <w:rFonts w:eastAsiaTheme="minorEastAsia"/>
          <w:i/>
          <w:iCs/>
          <w:lang w:val="en-US"/>
        </w:rPr>
        <w:t>leucophrys</w:t>
      </w:r>
      <w:proofErr w:type="spellEnd"/>
      <w:r w:rsidR="000220C6">
        <w:rPr>
          <w:rFonts w:eastAsiaTheme="minorEastAsia"/>
          <w:lang w:val="en-US"/>
        </w:rPr>
        <w:t xml:space="preserve">, </w:t>
      </w:r>
      <w:r w:rsidR="007E47B6">
        <w:rPr>
          <w:rFonts w:eastAsiaTheme="minorEastAsia"/>
          <w:lang w:val="en-US"/>
        </w:rPr>
        <w:t xml:space="preserve">spatial </w:t>
      </w:r>
      <w:r w:rsidR="00754226">
        <w:rPr>
          <w:rFonts w:eastAsiaTheme="minorEastAsia"/>
          <w:lang w:val="en-US"/>
        </w:rPr>
        <w:t xml:space="preserve">genetic structure </w:t>
      </w:r>
      <w:r w:rsidR="00803CE3">
        <w:rPr>
          <w:rFonts w:eastAsiaTheme="minorEastAsia"/>
          <w:lang w:val="en-US"/>
        </w:rPr>
        <w:t xml:space="preserve">was </w:t>
      </w:r>
      <w:r w:rsidR="000220C6">
        <w:rPr>
          <w:rFonts w:eastAsiaTheme="minorEastAsia"/>
          <w:lang w:val="en-US"/>
        </w:rPr>
        <w:t xml:space="preserve">correlated </w:t>
      </w:r>
      <w:r w:rsidR="00754226">
        <w:rPr>
          <w:rFonts w:eastAsiaTheme="minorEastAsia"/>
          <w:lang w:val="en-US"/>
        </w:rPr>
        <w:t>with song dialects</w:t>
      </w:r>
      <w:r w:rsidR="00623F46">
        <w:rPr>
          <w:rFonts w:eastAsiaTheme="minorEastAsia"/>
          <w:lang w:val="en-US"/>
        </w:rPr>
        <w:t xml:space="preserve">, </w:t>
      </w:r>
      <w:r w:rsidR="009F188D">
        <w:rPr>
          <w:rFonts w:eastAsiaTheme="minorEastAsia"/>
          <w:lang w:val="en-US"/>
        </w:rPr>
        <w:t xml:space="preserve">because </w:t>
      </w:r>
      <w:r w:rsidR="00623F46">
        <w:rPr>
          <w:rFonts w:eastAsiaTheme="minorEastAsia"/>
          <w:lang w:val="en-US"/>
        </w:rPr>
        <w:t xml:space="preserve">song dialects act as barriers </w:t>
      </w:r>
      <w:r w:rsidR="00E13C0C">
        <w:rPr>
          <w:rFonts w:eastAsiaTheme="minorEastAsia"/>
          <w:lang w:val="en-US"/>
        </w:rPr>
        <w:t>for migrant males</w:t>
      </w:r>
      <w:r w:rsidR="009F188D">
        <w:rPr>
          <w:rFonts w:eastAsiaTheme="minorEastAsia"/>
          <w:lang w:val="en-US"/>
        </w:rPr>
        <w:t>, increasing</w:t>
      </w:r>
      <w:r w:rsidR="00623F46">
        <w:rPr>
          <w:rFonts w:eastAsiaTheme="minorEastAsia"/>
          <w:lang w:val="en-US"/>
        </w:rPr>
        <w:t xml:space="preserve"> </w:t>
      </w:r>
      <w:r w:rsidR="007E47B6">
        <w:rPr>
          <w:rFonts w:eastAsiaTheme="minorEastAsia"/>
          <w:lang w:val="en-US"/>
        </w:rPr>
        <w:t xml:space="preserve">differences in allele frequencies among </w:t>
      </w:r>
      <w:r w:rsidR="00623F46">
        <w:rPr>
          <w:rFonts w:eastAsiaTheme="minorEastAsia"/>
          <w:lang w:val="en-US"/>
        </w:rPr>
        <w:t xml:space="preserve">populations </w:t>
      </w:r>
      <w:r w:rsidR="00623F46">
        <w:rPr>
          <w:rFonts w:eastAsiaTheme="minorEastAsia"/>
          <w:lang w:val="en-US"/>
        </w:rPr>
        <w:fldChar w:fldCharType="begin" w:fldLock="1"/>
      </w:r>
      <w:r w:rsidR="00B97118">
        <w:rPr>
          <w:rFonts w:eastAsiaTheme="minorEastAsia"/>
          <w:lang w:val="en-US"/>
        </w:rPr>
        <w:instrText>ADDIN CSL_CITATION {"citationItems":[{"id":"ITEM-1","itemData":{"DOI":"10.1111/j.0014-3820.2001.tb00769.x","ISSN":"00143820","PMID":"11831670","abstract":"Bird song often varies geographically within a species; when this geographic variation has distinct boundaries, the shared song types are referred to as song dialects. How dialects are produced and their adaptive significance are longstanding problems in biology, with implications for the role of culture in the evolution and ecology of diverse organisms, including humans. Here we test the hypothesis that song dialect, a culturally transmitted trait, is related to the population genetic structure of mountain white-crowned sparrows (Zonotrichia leucophrys oriantha). To address this, we compared microsatellite allele frequencies from 18 sample sites representing eight dialect regions in the Sierra Nevada. Pairwise genetic distances were not significantly correlated with geographic distances either within or between dialects, nor did dialect groups form distinct genetic groups according to neighbor-joining or UPGMA analysis, and most variation in allele frequencies occurred among individuals rather than at higher levels. However, most of the remaining variation was attributable to differences among, rather than within, dialect regions, and this among-dialect component of variance was statistically significant. Moreover, when controlling for the effect of geographic distance, song dissimilarity and genetic distance between site pairs were significantly correlated. Thus, song dialects appear to be associated with reductions in, but not strict barriers to, gene flow among dialect regions.","author":[{"dropping-particle":"","family":"MacDougall-Shackleton","given":"Elizabeth A.","non-dropping-particle":"","parse-names":false,"suffix":""},{"dropping-particle":"","family":"MacDougall-Shackleton","given":"Scott A.","non-dropping-particle":"","parse-names":false,"suffix":""}],"container-title":"Evolution","id":"ITEM-1","issue":"12","issued":{"date-parts":[["2001"]]},"page":"2568-2575","title":"Cultural and genetic evolution in mountain white-crowned sparrows: Song dialects are associated with population structure","type":"article-journal","volume":"55"},"uris":["http://www.mendeley.com/documents/?uuid=32c6ba8e-990a-4d5d-a919-c29ddca3c4f6"]}],"mendeley":{"formattedCitation":"(MacDougall-Shackleton &amp; MacDougall-Shackleton, 2001)","plainTextFormattedCitation":"(MacDougall-Shackleton &amp; MacDougall-Shackleton, 2001)","previouslyFormattedCitation":"(MacDougall-Shackleton &amp; MacDougall-Shackleton, 2001)"},"properties":{"noteIndex":0},"schema":"https://github.com/citation-style-language/schema/raw/master/csl-citation.json"}</w:instrText>
      </w:r>
      <w:r w:rsidR="00623F46">
        <w:rPr>
          <w:rFonts w:eastAsiaTheme="minorEastAsia"/>
          <w:lang w:val="en-US"/>
        </w:rPr>
        <w:fldChar w:fldCharType="separate"/>
      </w:r>
      <w:r w:rsidR="00623F46" w:rsidRPr="00623F46">
        <w:rPr>
          <w:rFonts w:eastAsiaTheme="minorEastAsia"/>
          <w:noProof/>
          <w:lang w:val="en-US"/>
        </w:rPr>
        <w:t>(MacDougall-Shackleton &amp; MacDougall-Shackleton, 2001)</w:t>
      </w:r>
      <w:r w:rsidR="00623F46">
        <w:rPr>
          <w:rFonts w:eastAsiaTheme="minorEastAsia"/>
          <w:lang w:val="en-US"/>
        </w:rPr>
        <w:fldChar w:fldCharType="end"/>
      </w:r>
      <w:r w:rsidR="00623F46">
        <w:rPr>
          <w:rFonts w:eastAsiaTheme="minorEastAsia"/>
          <w:lang w:val="en-US"/>
        </w:rPr>
        <w:t>.</w:t>
      </w:r>
    </w:p>
    <w:p w14:paraId="752A7E74" w14:textId="7EEA39DE" w:rsidR="00945906" w:rsidRPr="007B4BB3" w:rsidRDefault="008D52EE" w:rsidP="004C77B5">
      <w:pPr>
        <w:spacing w:line="480" w:lineRule="auto"/>
        <w:ind w:firstLine="709"/>
        <w:rPr>
          <w:rFonts w:eastAsiaTheme="minorEastAsia"/>
          <w:lang w:val="en-US"/>
        </w:rPr>
      </w:pPr>
      <w:r>
        <w:rPr>
          <w:rFonts w:eastAsiaTheme="minorEastAsia"/>
          <w:lang w:val="en-US"/>
        </w:rPr>
        <w:lastRenderedPageBreak/>
        <w:t xml:space="preserve">We only observed </w:t>
      </w:r>
      <w:r w:rsidR="00511ED2">
        <w:rPr>
          <w:rFonts w:eastAsiaTheme="minorEastAsia"/>
          <w:lang w:val="en-US"/>
        </w:rPr>
        <w:t xml:space="preserve">a significant </w:t>
      </w:r>
      <w:r>
        <w:rPr>
          <w:rFonts w:eastAsiaTheme="minorEastAsia"/>
          <w:lang w:val="en-US"/>
        </w:rPr>
        <w:t xml:space="preserve">decline in genetic diversity </w:t>
      </w:r>
      <w:r w:rsidR="00AE00FB">
        <w:rPr>
          <w:rFonts w:eastAsiaTheme="minorEastAsia"/>
          <w:lang w:val="en-US"/>
        </w:rPr>
        <w:t xml:space="preserve">between time periods in </w:t>
      </w:r>
      <w:r>
        <w:rPr>
          <w:rFonts w:eastAsiaTheme="minorEastAsia"/>
          <w:lang w:val="en-US"/>
        </w:rPr>
        <w:t>the most urbanized location</w:t>
      </w:r>
      <w:r w:rsidR="0098165E" w:rsidRPr="0098165E">
        <w:rPr>
          <w:rFonts w:eastAsiaTheme="minorEastAsia"/>
          <w:lang w:val="en-US"/>
        </w:rPr>
        <w:t xml:space="preserve"> (</w:t>
      </w:r>
      <m:oMath>
        <m:sSub>
          <m:sSubPr>
            <m:ctrlPr>
              <w:rPr>
                <w:rFonts w:ascii="Cambria Math" w:hAnsi="Cambria Math" w:cstheme="minorHAnsi"/>
                <w:i/>
                <w:lang w:val="en-US"/>
              </w:rPr>
            </m:ctrlPr>
          </m:sSubPr>
          <m:e>
            <m:r>
              <w:rPr>
                <w:rFonts w:ascii="Cambria Math" w:hAnsi="Cambria Math" w:cstheme="minorHAnsi"/>
                <w:lang w:val="en-US"/>
              </w:rPr>
              <m:t>H</m:t>
            </m:r>
          </m:e>
          <m:sub>
            <m:r>
              <w:rPr>
                <w:rFonts w:ascii="Cambria Math" w:hAnsi="Cambria Math" w:cstheme="minorHAnsi"/>
                <w:lang w:val="en-US"/>
              </w:rPr>
              <m:t xml:space="preserve">o </m:t>
            </m:r>
          </m:sub>
        </m:sSub>
      </m:oMath>
      <w:r w:rsidR="00C123D7">
        <w:rPr>
          <w:rFonts w:eastAsiaTheme="minorEastAsia"/>
          <w:lang w:val="en-US"/>
        </w:rPr>
        <w:t xml:space="preserve"> </w:t>
      </w:r>
      <w:r w:rsidR="0098165E" w:rsidRPr="0098165E">
        <w:rPr>
          <w:rFonts w:eastAsiaTheme="minorEastAsia"/>
          <w:lang w:val="en-US"/>
        </w:rPr>
        <w:t>UCR</w:t>
      </w:r>
      <w:r w:rsidR="00C123D7">
        <w:rPr>
          <w:rFonts w:eastAsiaTheme="minorEastAsia"/>
          <w:lang w:val="en-US"/>
        </w:rPr>
        <w:t xml:space="preserve"> period 1: 0.62</w:t>
      </w:r>
      <w:r w:rsidR="00913604">
        <w:rPr>
          <w:rFonts w:eastAsiaTheme="minorEastAsia"/>
          <w:lang w:val="en-US"/>
        </w:rPr>
        <w:t xml:space="preserve"> vs</w:t>
      </w:r>
      <w:r w:rsidR="00C123D7">
        <w:rPr>
          <w:rFonts w:eastAsiaTheme="minorEastAsia"/>
          <w:lang w:val="en-US"/>
        </w:rPr>
        <w:t xml:space="preserve"> </w:t>
      </w:r>
      <m:oMath>
        <m:sSub>
          <m:sSubPr>
            <m:ctrlPr>
              <w:rPr>
                <w:rFonts w:ascii="Cambria Math" w:hAnsi="Cambria Math" w:cstheme="minorHAnsi"/>
                <w:i/>
                <w:lang w:val="en-US"/>
              </w:rPr>
            </m:ctrlPr>
          </m:sSubPr>
          <m:e>
            <m:r>
              <w:rPr>
                <w:rFonts w:ascii="Cambria Math" w:hAnsi="Cambria Math" w:cstheme="minorHAnsi"/>
                <w:lang w:val="en-US"/>
              </w:rPr>
              <m:t>H</m:t>
            </m:r>
          </m:e>
          <m:sub>
            <m:r>
              <w:rPr>
                <w:rFonts w:ascii="Cambria Math" w:hAnsi="Cambria Math" w:cstheme="minorHAnsi"/>
                <w:lang w:val="en-US"/>
              </w:rPr>
              <m:t xml:space="preserve">o </m:t>
            </m:r>
          </m:sub>
        </m:sSub>
      </m:oMath>
      <w:r w:rsidR="00C123D7">
        <w:rPr>
          <w:rFonts w:eastAsiaTheme="minorEastAsia"/>
          <w:lang w:val="en-US"/>
        </w:rPr>
        <w:t xml:space="preserve"> UCR period 2: 0.32</w:t>
      </w:r>
      <w:r w:rsidR="00421AD2">
        <w:rPr>
          <w:rFonts w:eastAsiaTheme="minorEastAsia"/>
          <w:lang w:val="en-US"/>
        </w:rPr>
        <w:t>)</w:t>
      </w:r>
      <w:r w:rsidR="00EB74C7">
        <w:rPr>
          <w:rFonts w:eastAsiaTheme="minorEastAsia"/>
          <w:lang w:val="en-US"/>
        </w:rPr>
        <w:t xml:space="preserve">. </w:t>
      </w:r>
      <w:r>
        <w:rPr>
          <w:rFonts w:eastAsiaTheme="minorEastAsia"/>
          <w:lang w:val="en-US"/>
        </w:rPr>
        <w:t xml:space="preserve">This result is consistent with previous research indicating that urbanization reduces genetic diversity in wren-tits </w:t>
      </w:r>
      <w:proofErr w:type="spellStart"/>
      <w:r w:rsidRPr="009F7297">
        <w:rPr>
          <w:rFonts w:eastAsiaTheme="minorEastAsia"/>
          <w:i/>
          <w:iCs/>
          <w:lang w:val="en-US"/>
        </w:rPr>
        <w:t>Chamaea</w:t>
      </w:r>
      <w:proofErr w:type="spellEnd"/>
      <w:r w:rsidRPr="009F7297">
        <w:rPr>
          <w:rFonts w:eastAsiaTheme="minorEastAsia"/>
          <w:i/>
          <w:iCs/>
          <w:lang w:val="en-US"/>
        </w:rPr>
        <w:t xml:space="preserve"> </w:t>
      </w:r>
      <w:proofErr w:type="spellStart"/>
      <w:r w:rsidRPr="009F7297">
        <w:rPr>
          <w:rFonts w:eastAsiaTheme="minorEastAsia"/>
          <w:i/>
          <w:iCs/>
          <w:lang w:val="en-US"/>
        </w:rPr>
        <w:t>fasciata</w:t>
      </w:r>
      <w:proofErr w:type="spellEnd"/>
      <w:r>
        <w:rPr>
          <w:rFonts w:eastAsiaTheme="minorEastAsia"/>
          <w:lang w:val="en-US"/>
        </w:rPr>
        <w:t xml:space="preserve">, side-blotched lizards </w:t>
      </w:r>
      <w:r w:rsidRPr="009F7297">
        <w:rPr>
          <w:rFonts w:eastAsiaTheme="minorEastAsia"/>
          <w:i/>
          <w:iCs/>
          <w:lang w:val="en-US"/>
        </w:rPr>
        <w:t xml:space="preserve">Uta </w:t>
      </w:r>
      <w:proofErr w:type="spellStart"/>
      <w:r w:rsidRPr="009F7297">
        <w:rPr>
          <w:rFonts w:eastAsiaTheme="minorEastAsia"/>
          <w:i/>
          <w:iCs/>
          <w:lang w:val="en-US"/>
        </w:rPr>
        <w:t>stansburiana</w:t>
      </w:r>
      <w:proofErr w:type="spellEnd"/>
      <w:r>
        <w:rPr>
          <w:rFonts w:eastAsiaTheme="minorEastAsia"/>
          <w:lang w:val="en-US"/>
        </w:rPr>
        <w:t xml:space="preserve">, western skinks </w:t>
      </w:r>
      <w:proofErr w:type="spellStart"/>
      <w:r w:rsidRPr="009F7297">
        <w:rPr>
          <w:rFonts w:eastAsiaTheme="minorEastAsia"/>
          <w:i/>
          <w:iCs/>
          <w:lang w:val="en-US"/>
        </w:rPr>
        <w:t>Plestiodon</w:t>
      </w:r>
      <w:proofErr w:type="spellEnd"/>
      <w:r w:rsidRPr="009F7297">
        <w:rPr>
          <w:rFonts w:eastAsiaTheme="minorEastAsia"/>
          <w:i/>
          <w:iCs/>
          <w:lang w:val="en-US"/>
        </w:rPr>
        <w:t xml:space="preserve"> </w:t>
      </w:r>
      <w:proofErr w:type="spellStart"/>
      <w:r w:rsidRPr="009F7297">
        <w:rPr>
          <w:rFonts w:eastAsiaTheme="minorEastAsia"/>
          <w:i/>
          <w:iCs/>
          <w:lang w:val="en-US"/>
        </w:rPr>
        <w:t>skiltonianus</w:t>
      </w:r>
      <w:proofErr w:type="spellEnd"/>
      <w:r>
        <w:rPr>
          <w:rFonts w:eastAsiaTheme="minorEastAsia"/>
          <w:lang w:val="en-US"/>
        </w:rPr>
        <w:t xml:space="preserve">, and western fence lizards </w:t>
      </w:r>
      <w:r w:rsidRPr="009F7297">
        <w:rPr>
          <w:rFonts w:eastAsiaTheme="minorEastAsia"/>
          <w:i/>
          <w:iCs/>
          <w:lang w:val="en-US"/>
        </w:rPr>
        <w:t>Sceloporus occidentalis</w:t>
      </w:r>
      <w:r>
        <w:rPr>
          <w:rFonts w:eastAsiaTheme="minorEastAsia"/>
          <w:lang w:val="en-US"/>
        </w:rPr>
        <w:t xml:space="preserve"> inhabiting more isolated habitat patches</w:t>
      </w:r>
      <w:r w:rsidR="009F7297">
        <w:rPr>
          <w:rFonts w:eastAsiaTheme="minorEastAsia"/>
          <w:lang w:val="en-US"/>
        </w:rPr>
        <w:t xml:space="preserve"> </w:t>
      </w:r>
      <w:r w:rsidR="00421AD2">
        <w:rPr>
          <w:i/>
          <w:iCs/>
        </w:rPr>
        <w:fldChar w:fldCharType="begin" w:fldLock="1"/>
      </w:r>
      <w:r w:rsidR="005E02BF">
        <w:rPr>
          <w:i/>
          <w:iCs/>
          <w:lang w:val="en-US"/>
        </w:rPr>
        <w:instrText>ADDIN CSL_CITATION {"citationItems":[{"id":"ITEM-1","itemData":{"DOI":"10.1371/journal.pone.0012767","author":[{"dropping-particle":"","family":"Delaney","given":"Kathleen Semple","non-dropping-particle":"","parse-names":false,"suffix":""},{"dropping-particle":"","family":"Riley","given":"Seth P D","non-dropping-particle":"","parse-names":false,"suffix":""},{"dropping-particle":"","family":"Fisher","given":"Robert N","non-dropping-particle":"","parse-names":false,"suffix":""}],"container-title":"PLoS ONE","id":"ITEM-1","issue":"9","issued":{"date-parts":[["2010"]]},"title":"A Rapid , Strong , and Convergent Genetic Response to Urban Habitat Fragmentation in Four Divergent and Widespread Vertebrates","type":"article-journal","volume":"5"},"uris":["http://www.mendeley.com/documents/?uuid=4996e313-8fb2-443f-881b-f7fb2d33f756"]}],"mendeley":{"formattedCitation":"(Delaney et al., 2010)","plainTextFormattedCitation":"(Delaney et al., 2010)","previouslyFormattedCitation":"(Delaney et al., 2010)"},"properties":{"noteIndex":0},"schema":"https://github.com/citation-style-language/schema/raw/master/csl-citation.json"}</w:instrText>
      </w:r>
      <w:r w:rsidR="00421AD2">
        <w:rPr>
          <w:i/>
          <w:iCs/>
        </w:rPr>
        <w:fldChar w:fldCharType="separate"/>
      </w:r>
      <w:r w:rsidR="00493C4B" w:rsidRPr="00493C4B">
        <w:rPr>
          <w:iCs/>
          <w:noProof/>
          <w:lang w:val="en-US"/>
        </w:rPr>
        <w:t>(Delaney et al., 2010)</w:t>
      </w:r>
      <w:r w:rsidR="00421AD2">
        <w:rPr>
          <w:i/>
          <w:iCs/>
        </w:rPr>
        <w:fldChar w:fldCharType="end"/>
      </w:r>
      <w:r w:rsidR="00945906">
        <w:rPr>
          <w:rFonts w:eastAsiaTheme="minorEastAsia"/>
          <w:lang w:val="en-US"/>
        </w:rPr>
        <w:t xml:space="preserve">. </w:t>
      </w:r>
      <w:r w:rsidR="006B21DC">
        <w:rPr>
          <w:rFonts w:eastAsiaTheme="minorEastAsia"/>
          <w:lang w:val="en-US"/>
        </w:rPr>
        <w:t>Consequently</w:t>
      </w:r>
      <w:r w:rsidR="00945906">
        <w:rPr>
          <w:rFonts w:eastAsiaTheme="minorEastAsia"/>
          <w:lang w:val="en-US"/>
        </w:rPr>
        <w:t xml:space="preserve">, </w:t>
      </w:r>
      <w:r w:rsidR="00C123D7">
        <w:rPr>
          <w:rFonts w:eastAsiaTheme="minorEastAsia"/>
          <w:lang w:val="en-US"/>
        </w:rPr>
        <w:t xml:space="preserve">cities and human-made structures </w:t>
      </w:r>
      <w:r w:rsidR="007E47B6">
        <w:rPr>
          <w:rFonts w:eastAsiaTheme="minorEastAsia"/>
          <w:lang w:val="en-US"/>
        </w:rPr>
        <w:t xml:space="preserve">appear to act </w:t>
      </w:r>
      <w:r w:rsidR="00945906">
        <w:rPr>
          <w:rFonts w:eastAsiaTheme="minorEastAsia"/>
          <w:lang w:val="en-US"/>
        </w:rPr>
        <w:t>as  barrier</w:t>
      </w:r>
      <w:r>
        <w:rPr>
          <w:rFonts w:eastAsiaTheme="minorEastAsia"/>
          <w:lang w:val="en-US"/>
        </w:rPr>
        <w:t>s to gene flow</w:t>
      </w:r>
      <w:r w:rsidR="00945906">
        <w:rPr>
          <w:rFonts w:eastAsiaTheme="minorEastAsia"/>
          <w:lang w:val="en-US"/>
        </w:rPr>
        <w:t xml:space="preserve"> </w:t>
      </w:r>
      <w:r w:rsidR="00421AD2">
        <w:rPr>
          <w:rFonts w:eastAsiaTheme="minorEastAsia"/>
          <w:lang w:val="en-US"/>
        </w:rPr>
        <w:fldChar w:fldCharType="begin" w:fldLock="1"/>
      </w:r>
      <w:r w:rsidR="00B67F7D">
        <w:rPr>
          <w:rFonts w:eastAsiaTheme="minorEastAsia"/>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421AD2">
        <w:rPr>
          <w:rFonts w:eastAsiaTheme="minorEastAsia"/>
          <w:lang w:val="en-US"/>
        </w:rPr>
        <w:fldChar w:fldCharType="separate"/>
      </w:r>
      <w:r w:rsidR="00421AD2" w:rsidRPr="00421AD2">
        <w:rPr>
          <w:rFonts w:eastAsiaTheme="minorEastAsia"/>
          <w:noProof/>
          <w:lang w:val="en-US"/>
        </w:rPr>
        <w:t>(Rodríguez-Bardía et al., 2022)</w:t>
      </w:r>
      <w:r w:rsidR="00421AD2">
        <w:rPr>
          <w:rFonts w:eastAsiaTheme="minorEastAsia"/>
          <w:lang w:val="en-US"/>
        </w:rPr>
        <w:fldChar w:fldCharType="end"/>
      </w:r>
      <w:r w:rsidR="00C123D7">
        <w:rPr>
          <w:rFonts w:eastAsiaTheme="minorEastAsia"/>
          <w:lang w:val="en-US"/>
        </w:rPr>
        <w:t>, that</w:t>
      </w:r>
      <w:r w:rsidR="00421AD2">
        <w:rPr>
          <w:rFonts w:eastAsiaTheme="minorEastAsia"/>
          <w:lang w:val="en-US"/>
        </w:rPr>
        <w:t xml:space="preserve"> </w:t>
      </w:r>
      <w:r w:rsidR="0007593F">
        <w:rPr>
          <w:rFonts w:eastAsiaTheme="minorEastAsia"/>
          <w:lang w:val="en-US"/>
        </w:rPr>
        <w:t>limit the movement of individuals among vegetation remnants within cities</w:t>
      </w:r>
      <w:r w:rsidR="00945906">
        <w:rPr>
          <w:rFonts w:eastAsiaTheme="minorEastAsia"/>
          <w:lang w:val="en-US"/>
        </w:rPr>
        <w:t xml:space="preserve">. </w:t>
      </w:r>
      <w:r w:rsidR="00F73440">
        <w:rPr>
          <w:rFonts w:eastAsiaTheme="minorEastAsia"/>
          <w:lang w:val="en-US"/>
        </w:rPr>
        <w:t>Therefore</w:t>
      </w:r>
      <w:r w:rsidR="00945906">
        <w:rPr>
          <w:rFonts w:eastAsiaTheme="minorEastAsia"/>
          <w:lang w:val="en-US"/>
        </w:rPr>
        <w:t xml:space="preserve">, in </w:t>
      </w:r>
      <w:r w:rsidR="008D0078">
        <w:rPr>
          <w:rFonts w:eastAsiaTheme="minorEastAsia"/>
          <w:lang w:val="en-US"/>
        </w:rPr>
        <w:t xml:space="preserve">the span of a decade </w:t>
      </w:r>
      <w:r w:rsidR="00945906">
        <w:rPr>
          <w:rFonts w:eastAsiaTheme="minorEastAsia"/>
          <w:lang w:val="en-US"/>
        </w:rPr>
        <w:t xml:space="preserve">we </w:t>
      </w:r>
      <w:r w:rsidR="008D0078">
        <w:rPr>
          <w:rFonts w:eastAsiaTheme="minorEastAsia"/>
          <w:lang w:val="en-US"/>
        </w:rPr>
        <w:t xml:space="preserve">were able to document a </w:t>
      </w:r>
      <w:r w:rsidR="00421AD2">
        <w:rPr>
          <w:rFonts w:eastAsiaTheme="minorEastAsia"/>
          <w:lang w:val="en-US"/>
        </w:rPr>
        <w:t xml:space="preserve">decrease in genetic diversity </w:t>
      </w:r>
      <w:r w:rsidR="008D0078">
        <w:rPr>
          <w:rFonts w:eastAsiaTheme="minorEastAsia"/>
          <w:lang w:val="en-US"/>
        </w:rPr>
        <w:t>of thi</w:t>
      </w:r>
      <w:r w:rsidR="00FE5ECF">
        <w:rPr>
          <w:rFonts w:eastAsiaTheme="minorEastAsia"/>
          <w:lang w:val="en-US"/>
        </w:rPr>
        <w:t xml:space="preserve">s bird species </w:t>
      </w:r>
      <w:r w:rsidR="00421AD2">
        <w:rPr>
          <w:rFonts w:eastAsiaTheme="minorEastAsia"/>
          <w:lang w:val="en-US"/>
        </w:rPr>
        <w:t>in the most urbanized population.</w:t>
      </w:r>
      <w:r w:rsidR="00203A9D">
        <w:rPr>
          <w:rFonts w:eastAsiaTheme="minorEastAsia"/>
          <w:lang w:val="en-US"/>
        </w:rPr>
        <w:t xml:space="preserve"> </w:t>
      </w:r>
      <w:bookmarkStart w:id="36" w:name="_Hlk187913740"/>
      <w:r w:rsidR="00387F69" w:rsidRPr="00472F7A">
        <w:rPr>
          <w:rFonts w:eastAsiaTheme="minorEastAsia"/>
          <w:lang w:val="en-US"/>
        </w:rPr>
        <w:t xml:space="preserve">The presence of dialects and assortative mating within populations may also restrict the entry of new males, further limiting gene flow between populations and consequently reducing </w:t>
      </w:r>
      <w:r w:rsidR="00387F69">
        <w:rPr>
          <w:rFonts w:eastAsiaTheme="minorEastAsia"/>
          <w:lang w:val="en-US"/>
        </w:rPr>
        <w:t xml:space="preserve">population </w:t>
      </w:r>
      <w:r w:rsidR="00387F69" w:rsidRPr="00BB1701">
        <w:rPr>
          <w:rFonts w:eastAsiaTheme="minorEastAsia"/>
          <w:lang w:val="en-US"/>
        </w:rPr>
        <w:t>genetic diversity (Newton, 1992; Camacho-</w:t>
      </w:r>
      <w:proofErr w:type="spellStart"/>
      <w:r w:rsidR="00387F69" w:rsidRPr="00BB1701">
        <w:rPr>
          <w:rFonts w:eastAsiaTheme="minorEastAsia"/>
          <w:lang w:val="en-US"/>
        </w:rPr>
        <w:t>Alpízar</w:t>
      </w:r>
      <w:proofErr w:type="spellEnd"/>
      <w:r w:rsidR="00387F69" w:rsidRPr="00BB1701">
        <w:rPr>
          <w:rFonts w:eastAsiaTheme="minorEastAsia"/>
          <w:lang w:val="en-US"/>
        </w:rPr>
        <w:t xml:space="preserve"> et al., 2018)</w:t>
      </w:r>
      <w:bookmarkEnd w:id="36"/>
      <w:r w:rsidR="00203A9D">
        <w:rPr>
          <w:rFonts w:eastAsiaTheme="minorEastAsia"/>
          <w:lang w:val="en-US"/>
        </w:rPr>
        <w:t>.</w:t>
      </w:r>
      <w:r w:rsidR="00F529D7">
        <w:rPr>
          <w:rFonts w:eastAsiaTheme="minorEastAsia"/>
          <w:lang w:val="en-US"/>
        </w:rPr>
        <w:t xml:space="preserve"> </w:t>
      </w:r>
      <w:r w:rsidR="00FC0759" w:rsidRPr="00FC0759">
        <w:rPr>
          <w:rFonts w:eastAsiaTheme="minorEastAsia"/>
          <w:lang w:val="en-US"/>
        </w:rPr>
        <w:t xml:space="preserve">Our findings should be interpreted with caution due to the small number of individuals collected at UCR during period 2. Although our sample was fully random, discrepancies in population size could </w:t>
      </w:r>
      <w:r w:rsidR="00FC0759">
        <w:rPr>
          <w:rFonts w:eastAsiaTheme="minorEastAsia"/>
          <w:lang w:val="en-US"/>
        </w:rPr>
        <w:t xml:space="preserve">bias our </w:t>
      </w:r>
      <w:r w:rsidR="00FC0759" w:rsidRPr="00FC0759">
        <w:rPr>
          <w:rFonts w:eastAsiaTheme="minorEastAsia"/>
          <w:lang w:val="en-US"/>
        </w:rPr>
        <w:t xml:space="preserve">inbreeding </w:t>
      </w:r>
      <w:r w:rsidR="00FC0759">
        <w:rPr>
          <w:rFonts w:eastAsiaTheme="minorEastAsia"/>
          <w:lang w:val="en-US"/>
        </w:rPr>
        <w:t>estimates</w:t>
      </w:r>
      <w:r w:rsidR="00664C89">
        <w:rPr>
          <w:rFonts w:eastAsiaTheme="minorEastAsia"/>
          <w:lang w:val="en-US"/>
        </w:rPr>
        <w:t>. F</w:t>
      </w:r>
      <w:r w:rsidR="00D31F17">
        <w:rPr>
          <w:rFonts w:eastAsiaTheme="minorEastAsia"/>
          <w:lang w:val="en-US"/>
        </w:rPr>
        <w:t>or example</w:t>
      </w:r>
      <w:r w:rsidR="00664C89">
        <w:rPr>
          <w:rFonts w:eastAsiaTheme="minorEastAsia"/>
          <w:lang w:val="en-US"/>
        </w:rPr>
        <w:t>,</w:t>
      </w:r>
      <w:r w:rsidR="00D31F17">
        <w:rPr>
          <w:rFonts w:eastAsiaTheme="minorEastAsia"/>
          <w:lang w:val="en-US"/>
        </w:rPr>
        <w:t xml:space="preserve"> </w:t>
      </w:r>
      <w:r w:rsidR="004C4593">
        <w:rPr>
          <w:rFonts w:eastAsiaTheme="minorEastAsia"/>
          <w:lang w:val="en-US"/>
        </w:rPr>
        <w:t>we could</w:t>
      </w:r>
      <w:r w:rsidR="00511ED2">
        <w:rPr>
          <w:rFonts w:eastAsiaTheme="minorEastAsia"/>
          <w:lang w:val="en-US"/>
        </w:rPr>
        <w:t xml:space="preserve"> have randomly</w:t>
      </w:r>
      <w:r w:rsidR="004C4593">
        <w:rPr>
          <w:rFonts w:eastAsiaTheme="minorEastAsia"/>
          <w:lang w:val="en-US"/>
        </w:rPr>
        <w:t xml:space="preserve"> </w:t>
      </w:r>
      <w:r w:rsidR="00806BA8">
        <w:rPr>
          <w:rFonts w:eastAsiaTheme="minorEastAsia"/>
          <w:lang w:val="en-US"/>
        </w:rPr>
        <w:t>capture</w:t>
      </w:r>
      <w:r w:rsidR="00511ED2">
        <w:rPr>
          <w:rFonts w:eastAsiaTheme="minorEastAsia"/>
          <w:lang w:val="en-US"/>
        </w:rPr>
        <w:t>d</w:t>
      </w:r>
      <w:r w:rsidR="00806BA8">
        <w:rPr>
          <w:rFonts w:eastAsiaTheme="minorEastAsia"/>
          <w:lang w:val="en-US"/>
        </w:rPr>
        <w:t xml:space="preserve"> </w:t>
      </w:r>
      <w:r w:rsidR="004C4593">
        <w:rPr>
          <w:rFonts w:eastAsiaTheme="minorEastAsia"/>
          <w:lang w:val="en-US"/>
        </w:rPr>
        <w:t xml:space="preserve">individuals </w:t>
      </w:r>
      <w:r w:rsidR="00511ED2">
        <w:rPr>
          <w:rFonts w:eastAsiaTheme="minorEastAsia"/>
          <w:lang w:val="en-US"/>
        </w:rPr>
        <w:t xml:space="preserve">that were </w:t>
      </w:r>
      <w:r w:rsidR="004C4593">
        <w:rPr>
          <w:rFonts w:eastAsiaTheme="minorEastAsia"/>
          <w:lang w:val="en-US"/>
        </w:rPr>
        <w:t xml:space="preserve">closely related, which would </w:t>
      </w:r>
      <w:r w:rsidR="00511ED2">
        <w:rPr>
          <w:rFonts w:eastAsiaTheme="minorEastAsia"/>
          <w:lang w:val="en-US"/>
        </w:rPr>
        <w:t xml:space="preserve">result in an </w:t>
      </w:r>
      <w:r w:rsidR="004C4593">
        <w:rPr>
          <w:rFonts w:eastAsiaTheme="minorEastAsia"/>
          <w:lang w:val="en-US"/>
        </w:rPr>
        <w:t xml:space="preserve">increase </w:t>
      </w:r>
      <w:r w:rsidR="00511ED2">
        <w:rPr>
          <w:rFonts w:eastAsiaTheme="minorEastAsia"/>
          <w:lang w:val="en-US"/>
        </w:rPr>
        <w:t>in our estimates of the</w:t>
      </w:r>
      <w:r w:rsidR="00806BA8">
        <w:rPr>
          <w:rFonts w:eastAsiaTheme="minorEastAsia"/>
          <w:lang w:val="en-US"/>
        </w:rPr>
        <w:t xml:space="preserve"> </w:t>
      </w:r>
      <w:r w:rsidR="004C4593">
        <w:rPr>
          <w:rFonts w:eastAsiaTheme="minorEastAsia"/>
          <w:lang w:val="en-US"/>
        </w:rPr>
        <w:t>inbreeding coefficient</w:t>
      </w:r>
      <w:r w:rsidR="00806BA8">
        <w:rPr>
          <w:rFonts w:eastAsiaTheme="minorEastAsia"/>
          <w:lang w:val="en-US"/>
        </w:rPr>
        <w:t>.</w:t>
      </w:r>
      <w:r w:rsidR="004C4593">
        <w:rPr>
          <w:rFonts w:eastAsiaTheme="minorEastAsia"/>
          <w:lang w:val="en-US"/>
        </w:rPr>
        <w:t xml:space="preserve"> </w:t>
      </w:r>
    </w:p>
    <w:p w14:paraId="1EB012DF" w14:textId="16EF4B5A" w:rsidR="0098165E" w:rsidRPr="00D53F56" w:rsidRDefault="00DB005B" w:rsidP="00157603">
      <w:pPr>
        <w:spacing w:line="480" w:lineRule="auto"/>
        <w:rPr>
          <w:rFonts w:eastAsiaTheme="minorEastAsia"/>
          <w:lang w:val="en-US"/>
        </w:rPr>
      </w:pPr>
      <w:r w:rsidRPr="00157603">
        <w:rPr>
          <w:rFonts w:eastAsiaTheme="minorEastAsia"/>
          <w:lang w:val="en-US"/>
        </w:rPr>
        <w:t>Acoustics</w:t>
      </w:r>
    </w:p>
    <w:p w14:paraId="63D0A93C" w14:textId="734943C5" w:rsidR="0098165E" w:rsidRPr="00373288" w:rsidRDefault="0098165E" w:rsidP="00050D4A">
      <w:pPr>
        <w:spacing w:line="480" w:lineRule="auto"/>
        <w:ind w:firstLine="709"/>
        <w:rPr>
          <w:rFonts w:eastAsiaTheme="minorEastAsia"/>
          <w:lang w:val="en-US"/>
        </w:rPr>
      </w:pPr>
      <w:r w:rsidRPr="0098165E">
        <w:rPr>
          <w:rFonts w:eastAsiaTheme="minorEastAsia"/>
          <w:lang w:val="en-US"/>
        </w:rPr>
        <w:t xml:space="preserve">Differences in solo songs of white-eared ground-sparrows </w:t>
      </w:r>
      <w:r w:rsidR="005D6459">
        <w:rPr>
          <w:rFonts w:eastAsiaTheme="minorEastAsia"/>
          <w:lang w:val="en-US"/>
        </w:rPr>
        <w:t>are concordant</w:t>
      </w:r>
      <w:r w:rsidR="005D6459" w:rsidRPr="0098165E">
        <w:rPr>
          <w:rFonts w:eastAsiaTheme="minorEastAsia"/>
          <w:lang w:val="en-US"/>
        </w:rPr>
        <w:t xml:space="preserve"> </w:t>
      </w:r>
      <w:r w:rsidRPr="0098165E">
        <w:rPr>
          <w:rFonts w:eastAsiaTheme="minorEastAsia"/>
          <w:lang w:val="en-US"/>
        </w:rPr>
        <w:t xml:space="preserve">with previous studies which reported acoustic differences as a possible adaptation to urban noise </w:t>
      </w:r>
      <w:r w:rsidR="00733178">
        <w:rPr>
          <w:rFonts w:eastAsiaTheme="minorEastAsia"/>
          <w:lang w:val="en-US"/>
        </w:rPr>
        <w:fldChar w:fldCharType="begin" w:fldLock="1"/>
      </w:r>
      <w:r w:rsidR="000D22D3">
        <w:rPr>
          <w:rFonts w:eastAsiaTheme="minorEastAsia"/>
          <w:lang w:val="en-US"/>
        </w:rPr>
        <w:instrText>ADDIN CSL_CITATION {"citationItems":[{"id":"ITEM-1","itemData":{"ISSN":"10754377","abstract":"Many species of sparrows (Emberizidae) in the temperate zone provide model systems for understanding bird song and singing behaviour. In contrast, the vocal repertoire and vocal behaviour for most tropical sparrows is poorly understood, in spite of their impressive biodiversity. We present here the first detailed quantitative description of vocal repertoires and vocal behaviour of the Rusty-crowned Ground-sparrow (Melozone kieneri), an endemic Mexican sparrow. We provide information on the effect of territory spacing on song repertoire-use and details of the diel pattern of variation in vocal output, using focal, autonomous, and opportunistic recordings of birds in El Tuito, Jalisco, Mexico. Our results demonstrate that Rusty-crowned Ground-sparrows produce three distinct categories of vocalizations - calls, solo songs, and duets - as in other Melozone ground-sparrows. We found that solo songs and duets in this species showed an acoustic structure intermediate to other northern and southern Melozone groundsparrows. Patterns of repertoire-use in male solo songs were highly similar between males holding nearby territories, suggesting that song learning may occur after territory establishment. The diel pattern for output of calls and solo songs showed a pronounced peak early in the morning, indicative of dawnchorus singing behaviour. This study provides the first quantitative investigation of Rusty-crowned Ground-sparrow vocalizations, providing important descriptive information on this little-studied Neotropical Melozone species.","author":[{"dropping-particle":"","family":"Sandoval","given":"Luis","non-dropping-particle":"","parse-names":false,"suffix":""},{"dropping-particle":"","family":"Mennill","given":"Daniel J.","non-dropping-particle":"","parse-names":false,"suffix":""}],"container-title":"Ornitologia Neotropical","id":"ITEM-1","issue":"2","issued":{"date-parts":[["2014"]]},"page":"219-230","title":"A quantitative description of vocalizations and vocal behaviour of the Rusty-crowned Ground-sparrow (Melozone kieneri)","type":"article-journal","volume":"25"},"uris":["http://www.mendeley.com/documents/?uuid=168043c2-12db-4994-823a-620a05504c7a"]},{"id":"ITEM-2","itemData":{"DOI":"10.1007/s10336-015-1237-y","ISSN":"21937206","abstract":"There are relatively few quantitative descriptive studies of the vocalisations and vocal behaviour of tropical bird species, in spite of the tropic’s rich avian biodiversity and the extensive variety of vocalisations produced by tropical birds. This lack of information inhibits our understanding of tropical animals, including our ability to perform comparative analyses on vocal behaviours from an evolutionary perspective. In this study, we present the first quantitative description of the vocal repertoire and daily vocal activity of White-eared Ground-sparrows (Melozone leuco-tis), using focal and autonomous recordings collected during two consecutive breeding seasons in Costa Rica. We classified vocalisations into categories based on their visual appearance on sound spectrograms to create a library of vocalisations for this species. We found that White-eared Ground-sparrows produce three main categories of vocalisations: solo songs, calls, and duets. Solo songs were produced only by males. Each male sang a repertoire of solo song types, which all shared the same general structure with short introductory notes, a frequency-modulated middle section, and a terminal trill. Both sexes produce calls and coordinated vocal duets. We quantified patterns of diel variation in each category of vocalisation, and found that the Ground-sparrows produced all three vocalisations at higher output at dawn (between 0500 and 0600 hours) compared to the rest of the day. This study allowed us to conduct the first comparisons of vocalisations between White-eared Ground-sparrows and North American species in the genus Melozone, and revealed both similarities and differences between the species groups. Our investigation also showed that vocalisations related to communication within pairs and to territory defence (calls and duets) exhibited lower levels of individual distinctiveness than vocalisations related mainly to female attraction (male solo songs). Our observations suggest that each of the three types of vocalisations have multiple functions in White-eared Ground-sparrows, revealing diverse communication functions with a small vocal repertoire in this tropical songbird.","author":[{"dropping-particle":"","family":"Sandoval","given":"Luis","non-dropping-particle":"","parse-names":false,"suffix":""},{"dropping-particle":"","family":"Méndez","given":"Carolina","non-dropping-particle":"","parse-names":false,"suffix":""},{"dropping-particle":"","family":"Mennill","given":"Daniel J.","non-dropping-particle":"","parse-names":false,"suffix":""}],"container-title":"Journal of Ornithology","id":"ITEM-2","issue":"1","issued":{"date-parts":[["2016"]]},"page":"1-12","title":"Vocal behaviour of white-eared ground-sparrows (Melozone leucotis) during the breeding season: Repertoires, diel variation, behavioural contexts, and individual distinctiveness","type":"article-journal","volume":"157"},"uris":["http://www.mendeley.com/documents/?uuid=a1e24b29-ddc4-4a7f-be09-cfafb82a815f"]},{"id":"ITEM-3","itemData":{"DOI":"10.1016/j.beproc.2020.104282","ISSN":"18728308","PMID":"33217514","abstract":"Noise affects the recognition of acoustic signals by masking information. To compensate for increased noise, individuals often increase the minimum frequency of their vocalization to reduce noise interference. Our goal was to analyze the effect of noise on the characteristics of different bird vocalizations, through a comparative study of vocalizations on the same bird species. We analyzed the effects of noise variation on the fine spectrotemporal characteristics of calls, songs, and duets of White-eared Ground-sparrows (Melozone leucotis) across three populations over a three-year period. We recorded vocalizations and noise levels simultaneously from 41 territories between 2012 and 2014. We measured the duration, minimum, maximum, and maximum amplitude frequency, and counted the number of songs elements for each vocalization recorded. As we predicted, noise influences the minimum frequency of song, but did not have an effect on the fine spectrotemporal characteristics for calls and duets. We did, however, find that low and high frequency of calls and duets increased with noise-population-year interaction. Our results suggest that differences in noise values at each population were inadequate to observe changes in vocalization characteristics. In conclusion, evalua</w:instrText>
      </w:r>
      <w:r w:rsidR="000D22D3" w:rsidRPr="00003D14">
        <w:rPr>
          <w:rFonts w:eastAsiaTheme="minorEastAsia"/>
        </w:rPr>
        <w:instrText>ting responses to different noise levels on different vocalization types for the same species expands our understanding of the flexibility of birds to adjust vocalizations in response to anthropogenic noise.","author":[{"dropping-particle":"","family":"Méndez","given":"Carolina","non-dropping-particle":"","parse-names":false,"suffix":""},{"dropping-particle":"","family":"Barrantes","given":"Gilbert","non-dropping-particle":"","parse-names":false,"suffix":""},{"dropping-particle":"","family":"Sandoval","given":"Luis","non-dropping-particle":"","parse-names":false,"suffix":""}],"container-title":"Behavioural Processes","id":"ITEM-3","issued":{"date-parts":[["2020"]]},"title":"The effect of noise variation over time and between populations on the fine spectrotemporal characteristics of different vocalization types","type":"article-journal","volume":"182"},"uris":["http://www.mendeley.com/documents/?uuid=fb056c7e-475e-4dea-b46a-a47325ec95dd"]}],"mendeley":{"formattedCitation":"(Méndez et al., 2020; Sandoval et al., 2016; Sandoval &amp; Mennill, 2014)","manualFormatting":"(Méndez et al., 2020; Sandoval et al., 2016; Sandoval &amp; Mennill, 2014; Bonilla-Badilla 2021)","plainTextFormattedCitation":"(Méndez et al., 2020; Sandoval et al., 2016; Sandoval &amp; Mennill, 2014)","previouslyFormattedCitation":"(Méndez et al., 2020; Sandoval et al., 2016; Sandoval &amp; Mennill, 2014)"},"properties":{"noteIndex":0},"schema":"https://github.com/citation-style-language/schema/raw/master/csl-citation.json"}</w:instrText>
      </w:r>
      <w:r w:rsidR="00733178">
        <w:rPr>
          <w:rFonts w:eastAsiaTheme="minorEastAsia"/>
          <w:lang w:val="en-US"/>
        </w:rPr>
        <w:fldChar w:fldCharType="separate"/>
      </w:r>
      <w:r w:rsidR="00733178" w:rsidRPr="00157603">
        <w:rPr>
          <w:rFonts w:eastAsiaTheme="minorEastAsia"/>
          <w:noProof/>
        </w:rPr>
        <w:t>(Méndez et al., 2020; Sandoval et al., 2016; Sandoval &amp; Mennill, 2014</w:t>
      </w:r>
      <w:r w:rsidR="00733178">
        <w:rPr>
          <w:rFonts w:eastAsiaTheme="minorEastAsia"/>
          <w:noProof/>
        </w:rPr>
        <w:t xml:space="preserve">; </w:t>
      </w:r>
      <w:r w:rsidR="00733178" w:rsidRPr="0048053F">
        <w:rPr>
          <w:rFonts w:eastAsiaTheme="minorEastAsia"/>
          <w:noProof/>
        </w:rPr>
        <w:t>Bonilla-Badilla 2021</w:t>
      </w:r>
      <w:r w:rsidR="00733178" w:rsidRPr="00157603">
        <w:rPr>
          <w:rFonts w:eastAsiaTheme="minorEastAsia"/>
          <w:noProof/>
        </w:rPr>
        <w:t>)</w:t>
      </w:r>
      <w:r w:rsidR="00733178">
        <w:rPr>
          <w:rFonts w:eastAsiaTheme="minorEastAsia"/>
          <w:lang w:val="en-US"/>
        </w:rPr>
        <w:fldChar w:fldCharType="end"/>
      </w:r>
      <w:r w:rsidRPr="00157603">
        <w:rPr>
          <w:rFonts w:eastAsiaTheme="minorEastAsia"/>
        </w:rPr>
        <w:t xml:space="preserve">. </w:t>
      </w:r>
      <w:r w:rsidR="00050D4A">
        <w:rPr>
          <w:rFonts w:eastAsiaTheme="minorEastAsia"/>
          <w:lang w:val="en-US"/>
        </w:rPr>
        <w:t xml:space="preserve">However, </w:t>
      </w:r>
      <w:r w:rsidR="003D6C8A">
        <w:rPr>
          <w:rFonts w:eastAsiaTheme="minorEastAsia"/>
          <w:lang w:val="en-US"/>
        </w:rPr>
        <w:t>w</w:t>
      </w:r>
      <w:r w:rsidRPr="0098165E">
        <w:rPr>
          <w:rFonts w:eastAsiaTheme="minorEastAsia"/>
          <w:lang w:val="en-US"/>
        </w:rPr>
        <w:t xml:space="preserve">e additionally discovered a correlation between acoustic and genetic distances </w:t>
      </w:r>
      <w:r w:rsidR="00050D4A">
        <w:rPr>
          <w:rFonts w:eastAsiaTheme="minorEastAsia"/>
          <w:lang w:val="en-US"/>
        </w:rPr>
        <w:t xml:space="preserve">while </w:t>
      </w:r>
      <w:r w:rsidRPr="0098165E">
        <w:rPr>
          <w:rFonts w:eastAsiaTheme="minorEastAsia"/>
          <w:lang w:val="en-US"/>
        </w:rPr>
        <w:t>controlling for morpholog</w:t>
      </w:r>
      <w:r w:rsidR="005D6459">
        <w:rPr>
          <w:rFonts w:eastAsiaTheme="minorEastAsia"/>
          <w:lang w:val="en-US"/>
        </w:rPr>
        <w:t>y</w:t>
      </w:r>
      <w:r w:rsidRPr="0098165E">
        <w:rPr>
          <w:rFonts w:eastAsiaTheme="minorEastAsia"/>
          <w:lang w:val="en-US"/>
        </w:rPr>
        <w:t xml:space="preserve">. </w:t>
      </w:r>
      <w:r w:rsidR="00243BA8">
        <w:rPr>
          <w:rFonts w:eastAsiaTheme="minorEastAsia"/>
          <w:lang w:val="en-US"/>
        </w:rPr>
        <w:t xml:space="preserve">These results </w:t>
      </w:r>
      <w:r w:rsidR="005D6459">
        <w:rPr>
          <w:rFonts w:eastAsiaTheme="minorEastAsia"/>
          <w:lang w:val="en-US"/>
        </w:rPr>
        <w:t xml:space="preserve">reaffirmed </w:t>
      </w:r>
      <w:r w:rsidR="000C70FB">
        <w:rPr>
          <w:rFonts w:eastAsiaTheme="minorEastAsia"/>
          <w:lang w:val="en-US"/>
        </w:rPr>
        <w:t xml:space="preserve">that </w:t>
      </w:r>
      <w:r w:rsidR="00243BA8">
        <w:rPr>
          <w:rFonts w:eastAsiaTheme="minorEastAsia"/>
          <w:lang w:val="en-US"/>
        </w:rPr>
        <w:t xml:space="preserve">urban development </w:t>
      </w:r>
      <w:r w:rsidR="000C70FB">
        <w:rPr>
          <w:rFonts w:eastAsiaTheme="minorEastAsia"/>
          <w:lang w:val="en-US"/>
        </w:rPr>
        <w:t xml:space="preserve">could become </w:t>
      </w:r>
      <w:r w:rsidR="00243BA8">
        <w:rPr>
          <w:rFonts w:eastAsiaTheme="minorEastAsia"/>
          <w:lang w:val="en-US"/>
        </w:rPr>
        <w:t>an important barrier among populations</w:t>
      </w:r>
      <w:r w:rsidR="00913604">
        <w:rPr>
          <w:rFonts w:eastAsiaTheme="minorEastAsia"/>
          <w:lang w:val="en-US"/>
        </w:rPr>
        <w:t>,</w:t>
      </w:r>
      <w:r w:rsidR="00243BA8">
        <w:rPr>
          <w:rFonts w:eastAsiaTheme="minorEastAsia"/>
          <w:lang w:val="en-US"/>
        </w:rPr>
        <w:t xml:space="preserve"> that </w:t>
      </w:r>
      <w:r w:rsidR="00D24C7F">
        <w:rPr>
          <w:rFonts w:eastAsiaTheme="minorEastAsia"/>
          <w:lang w:val="en-US"/>
        </w:rPr>
        <w:t xml:space="preserve">isolate and </w:t>
      </w:r>
      <w:r w:rsidR="00243BA8">
        <w:rPr>
          <w:rFonts w:eastAsiaTheme="minorEastAsia"/>
          <w:lang w:val="en-US"/>
        </w:rPr>
        <w:t xml:space="preserve">limit the movements of individuals </w:t>
      </w:r>
      <w:r w:rsidR="000D22D3">
        <w:rPr>
          <w:rFonts w:eastAsiaTheme="minorEastAsia"/>
          <w:lang w:val="en-US"/>
        </w:rPr>
        <w:fldChar w:fldCharType="begin" w:fldLock="1"/>
      </w:r>
      <w:r w:rsidR="000D22D3">
        <w:rPr>
          <w:rFonts w:eastAsiaTheme="minorEastAsia"/>
          <w:lang w:val="en-US"/>
        </w:rPr>
        <w:instrText>ADDIN CSL_CITATION {"citationItems":[{"id":"ITEM-1","itemData":{"DOI":"10.1111/j.1600-048X.2012.05651.x","ISSN":"1600048X","abstract":"Speciation may be influenced by geographic variation in animal signals, particularly when those signals are important in reproductive decisions. Here, we describe patterns of geographic variation in the song of rufous-naped wrens Campylorhynchus rufinucha. This species complex is a morphologically variable taxon confined to tropical dry forest areas from Mexico to northwestern Costa Rica. Morphological and genetic analyses suggest that there are at least three partially isolated groups within the complex, including a secondary-contact zone in coastal western Chiapas between the subspecies C. r. humilus and C. r. nigricaudatus. Based on recordings throughout their geographic range, we investigate the effects of historical isolation on song structure and analyze whether genetic differences or climatic conditions explain observed patterns of variation. Our findings, based on a culturally-transmitted and sexually-selected trait, support the hypothesis that three evolutionary units exist within this taxon. Our results suggest that song differences between genetic groups were influenced by historical isolation. We report a strong relationship between vocal dissimilarity and genetic distance, suggesting that differences in vocal characteristics are probably affected by the same factors that drive genetic divergence. We argue that the evolution of song in this taxon is influenced by vicariant events, followed by accumulation of changes in song structure due to several possible factors: cultural drift in song structure; genetic drift in features related to song production; or natural selection acting on features that influence songs, such as body and beak size. © 2013 The Authors. Journal of Avian Biology © 2013 Nordic Society Oikos.","author":[{"dropping-particle":"","family":"Sosa-López","given":"J. Roberto","non-dropping-particle":"","parse-names":false,"suffix":""},{"dropping-particle":"","family":"Mennill","given":"Daniel J.","non-dropping-particle":"","parse-names":false,"suffix":""},{"dropping-particle":"","family":"Navarro-Sigüenza","given":"Adolfo G.","non-dropping-particle":"","parse-names":false,"suffix":""}],"container-title":"Journal of Avian Biology","id":"ITEM-1","issue":"1","issued":{"date-parts":[["2013"]]},"page":"027-038","title":"Geographic variation and the evolution of song in Mesoamerican rufous-naped wrens Campylorhynchus rufinucha","type":"article-journal","volume":"44"},"uris":["http://www.mendeley.com/documents/?uuid=d252ba26-ba52-4b14-80fb-08fdb94256b9"]},{"id":"ITEM-2","itemData":{"DOI":"10.1038/s41598-022-09961-9","ISBN":"4159802209961","ISSN":"2045-2322","abstract":"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Reports","id":"ITEM-2","issue":"1","issued":{"date-parts":[["2022"]]},"page":"1-11","publisher":"Nature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 Sosa-López et al., 2013)","plainTextFormattedCitation":"(Rodríguez-Bardía et al., 2022; Sosa-López et al., 2013)","previouslyFormattedCitation":"(Rodríguez-Bardía et al., 2022; Sosa-López et al., 2013)"},"properties":{"noteIndex":0},"schema":"https://github.com/citation-style-language/schema/raw/master/csl-citation.json"}</w:instrText>
      </w:r>
      <w:r w:rsidR="000D22D3">
        <w:rPr>
          <w:rFonts w:eastAsiaTheme="minorEastAsia"/>
          <w:lang w:val="en-US"/>
        </w:rPr>
        <w:fldChar w:fldCharType="separate"/>
      </w:r>
      <w:r w:rsidR="000D22D3" w:rsidRPr="00003D14">
        <w:rPr>
          <w:rFonts w:eastAsiaTheme="minorEastAsia"/>
          <w:noProof/>
          <w:lang w:val="en-US"/>
        </w:rPr>
        <w:t>(Rodríguez-Bardía et al., 2022; Sosa-López et al., 2013)</w:t>
      </w:r>
      <w:r w:rsidR="000D22D3">
        <w:rPr>
          <w:rFonts w:eastAsiaTheme="minorEastAsia"/>
          <w:lang w:val="en-US"/>
        </w:rPr>
        <w:fldChar w:fldCharType="end"/>
      </w:r>
      <w:r w:rsidR="00243BA8" w:rsidRPr="00003D14">
        <w:rPr>
          <w:rFonts w:eastAsiaTheme="minorEastAsia"/>
          <w:lang w:val="en-US"/>
        </w:rPr>
        <w:t xml:space="preserve">. </w:t>
      </w:r>
      <w:r w:rsidR="00243BA8">
        <w:rPr>
          <w:rFonts w:eastAsiaTheme="minorEastAsia"/>
          <w:lang w:val="en-US"/>
        </w:rPr>
        <w:t>The same relationship</w:t>
      </w:r>
      <w:r w:rsidR="00D24C7F">
        <w:rPr>
          <w:rFonts w:eastAsiaTheme="minorEastAsia"/>
          <w:lang w:val="en-US"/>
        </w:rPr>
        <w:t xml:space="preserve"> </w:t>
      </w:r>
      <w:r w:rsidR="00D24C7F">
        <w:rPr>
          <w:rFonts w:eastAsiaTheme="minorEastAsia"/>
          <w:lang w:val="en-US"/>
        </w:rPr>
        <w:lastRenderedPageBreak/>
        <w:t>between</w:t>
      </w:r>
      <w:r w:rsidR="00243BA8">
        <w:rPr>
          <w:rFonts w:eastAsiaTheme="minorEastAsia"/>
          <w:lang w:val="en-US"/>
        </w:rPr>
        <w:t xml:space="preserve"> </w:t>
      </w:r>
      <w:r w:rsidR="00D24C7F">
        <w:rPr>
          <w:rFonts w:eastAsiaTheme="minorEastAsia"/>
          <w:lang w:val="en-US"/>
        </w:rPr>
        <w:t xml:space="preserve">genetic and acoustic distances </w:t>
      </w:r>
      <w:r w:rsidR="00243BA8">
        <w:rPr>
          <w:rFonts w:eastAsiaTheme="minorEastAsia"/>
          <w:lang w:val="en-US"/>
        </w:rPr>
        <w:t xml:space="preserve">has been reported </w:t>
      </w:r>
      <w:r w:rsidR="007806AF">
        <w:rPr>
          <w:rFonts w:eastAsiaTheme="minorEastAsia"/>
          <w:lang w:val="en-US"/>
        </w:rPr>
        <w:t>in populations of rufous-</w:t>
      </w:r>
      <w:proofErr w:type="spellStart"/>
      <w:r w:rsidR="007806AF">
        <w:rPr>
          <w:rFonts w:eastAsiaTheme="minorEastAsia"/>
          <w:lang w:val="en-US"/>
        </w:rPr>
        <w:t>naped</w:t>
      </w:r>
      <w:proofErr w:type="spellEnd"/>
      <w:r w:rsidR="007806AF">
        <w:rPr>
          <w:rFonts w:eastAsiaTheme="minorEastAsia"/>
          <w:lang w:val="en-US"/>
        </w:rPr>
        <w:t xml:space="preserve"> wren </w:t>
      </w:r>
      <w:proofErr w:type="spellStart"/>
      <w:r w:rsidR="00913604" w:rsidRPr="0036507C">
        <w:rPr>
          <w:rFonts w:eastAsiaTheme="minorEastAsia"/>
          <w:i/>
          <w:iCs/>
          <w:lang w:val="en-US"/>
        </w:rPr>
        <w:t>Campylorhynchus</w:t>
      </w:r>
      <w:proofErr w:type="spellEnd"/>
      <w:r w:rsidR="00913604" w:rsidRPr="0036507C">
        <w:rPr>
          <w:rFonts w:eastAsiaTheme="minorEastAsia"/>
          <w:i/>
          <w:iCs/>
          <w:lang w:val="en-US"/>
        </w:rPr>
        <w:t xml:space="preserve"> </w:t>
      </w:r>
      <w:proofErr w:type="spellStart"/>
      <w:r w:rsidR="00913604" w:rsidRPr="0036507C">
        <w:rPr>
          <w:rFonts w:eastAsiaTheme="minorEastAsia"/>
          <w:i/>
          <w:iCs/>
          <w:lang w:val="en-US"/>
        </w:rPr>
        <w:t>rufinucha</w:t>
      </w:r>
      <w:proofErr w:type="spellEnd"/>
      <w:r w:rsidR="007E47B6">
        <w:rPr>
          <w:rFonts w:eastAsiaTheme="minorEastAsia"/>
          <w:i/>
          <w:iCs/>
          <w:lang w:val="en-US"/>
        </w:rPr>
        <w:t>,</w:t>
      </w:r>
      <w:r w:rsidR="00913604" w:rsidRPr="00913604">
        <w:rPr>
          <w:rFonts w:eastAsiaTheme="minorEastAsia"/>
          <w:lang w:val="en-US"/>
        </w:rPr>
        <w:t xml:space="preserve"> </w:t>
      </w:r>
      <w:r w:rsidR="00050D4A">
        <w:rPr>
          <w:rFonts w:eastAsiaTheme="minorEastAsia"/>
          <w:lang w:val="en-US"/>
        </w:rPr>
        <w:t xml:space="preserve">which </w:t>
      </w:r>
      <w:r w:rsidR="00D24C7F">
        <w:rPr>
          <w:rFonts w:eastAsiaTheme="minorEastAsia"/>
          <w:lang w:val="en-US"/>
        </w:rPr>
        <w:t xml:space="preserve">lost connectivity by  </w:t>
      </w:r>
      <w:r w:rsidR="007806AF">
        <w:rPr>
          <w:rFonts w:eastAsiaTheme="minorEastAsia"/>
          <w:lang w:val="en-US"/>
        </w:rPr>
        <w:t>historical</w:t>
      </w:r>
      <w:r w:rsidR="00F27C7C">
        <w:rPr>
          <w:rFonts w:eastAsiaTheme="minorEastAsia"/>
          <w:lang w:val="en-US"/>
        </w:rPr>
        <w:t xml:space="preserve"> isolat</w:t>
      </w:r>
      <w:r w:rsidR="00913604">
        <w:rPr>
          <w:rFonts w:eastAsiaTheme="minorEastAsia"/>
          <w:lang w:val="en-US"/>
        </w:rPr>
        <w:t>ion</w:t>
      </w:r>
      <w:r w:rsidR="00F27C7C">
        <w:rPr>
          <w:rFonts w:eastAsiaTheme="minorEastAsia"/>
          <w:lang w:val="en-US"/>
        </w:rPr>
        <w:t xml:space="preserve"> due to </w:t>
      </w:r>
      <w:r w:rsidR="000D4A70">
        <w:rPr>
          <w:rFonts w:eastAsiaTheme="minorEastAsia"/>
          <w:lang w:val="en-US"/>
        </w:rPr>
        <w:t xml:space="preserve">a </w:t>
      </w:r>
      <w:r w:rsidR="00086290">
        <w:rPr>
          <w:rFonts w:eastAsiaTheme="minorEastAsia"/>
          <w:lang w:val="en-US"/>
        </w:rPr>
        <w:t xml:space="preserve">marine barrier </w:t>
      </w:r>
      <w:r w:rsidR="00F27C7C" w:rsidRPr="00F27C7C">
        <w:rPr>
          <w:rFonts w:eastAsiaTheme="minorEastAsia"/>
          <w:lang w:val="en-US"/>
        </w:rPr>
        <w:t>during the formation of the Isthmus of Tehuantepec</w:t>
      </w:r>
      <w:r w:rsidR="00D24C7F">
        <w:rPr>
          <w:rFonts w:eastAsiaTheme="minorEastAsia"/>
          <w:lang w:val="en-US"/>
        </w:rPr>
        <w:t xml:space="preserve"> in </w:t>
      </w:r>
      <w:r w:rsidR="00050D4A">
        <w:rPr>
          <w:rFonts w:eastAsiaTheme="minorEastAsia"/>
          <w:lang w:val="en-US"/>
        </w:rPr>
        <w:t xml:space="preserve">the </w:t>
      </w:r>
      <w:r w:rsidR="00D24C7F">
        <w:rPr>
          <w:rFonts w:eastAsiaTheme="minorEastAsia"/>
          <w:lang w:val="en-US"/>
        </w:rPr>
        <w:t>late Pleistocene</w:t>
      </w:r>
      <w:r w:rsidR="00086290">
        <w:rPr>
          <w:rFonts w:eastAsiaTheme="minorEastAsia"/>
          <w:lang w:val="en-US"/>
        </w:rPr>
        <w:t xml:space="preserve"> </w:t>
      </w:r>
      <w:r w:rsidR="000D22D3">
        <w:rPr>
          <w:rFonts w:eastAsiaTheme="minorEastAsia"/>
          <w:lang w:val="en-US"/>
        </w:rPr>
        <w:fldChar w:fldCharType="begin" w:fldLock="1"/>
      </w:r>
      <w:r w:rsidR="000D22D3">
        <w:rPr>
          <w:rFonts w:eastAsiaTheme="minorEastAsia"/>
          <w:lang w:val="en-US"/>
        </w:rPr>
        <w:instrText>ADDIN CSL_CITATION {"citationItems":[{"id":"ITEM-1","itemData":{"DOI":"10.1525/auk.2009.07048","ISSN":"00048038","abstract":"The Rufous-naped Wren (Campylorhynchus rufinucha) is a sedentary, morphologically variable species distributed in the dry forests of Mesoamerica. It ranges from Colima, Mexico, south to Costa Rica along the Pacific slope, with a disjunct population in central Veracruz. Populations of two forms on the Pacific slope intergrade in Chiapas, Mexico, apparently as a result of secondary contact. We sequenced a mitochondrial DNA (mtDNA) gene to explore phylogeographic patterns and hybridization. We found three divergent lineages, two geographically spanning the Isthmus of Tehuantepec and a disjunct Veracruz population. Analyses of molecular variation and Φ statistics are consistent with genetically distinct populations. Morphological and behavioral evidence from other studies is consistent with the existence of these three independent evolutionary lineages. However, the geographic distribution of haplotypes suggests mtDNA introgression east of the isthmus. Our data suggest that this secondary contact could be explained by population expansions. We recommend recognizing three species, two of which hybridize in a narrow contact zone. © The American Ornithologists' Union, 2009.","author":[{"dropping-particle":"","family":"Vázquez-Miranda","given":"Hernán","non-dropping-particle":"","parse-names":false,"suffix":""},{"dropping-particle":"","family":"Navarro-Sigüenza","given":"Adolfo G.","non-dropping-particle":"","parse-names":false,"suffix":""},{"dropping-particle":"","family":"Omland","given":"Kevin E.","non-dropping-particle":"","parse-names":false,"suffix":""}],"container-title":"Auk","id":"ITEM-1","issue":"4","issued":{"date-parts":[["2009"]]},"page":"765-778","title":"Phylogeography of the rufous-naped wren (Campylorhynchus Rufinucha): Speciation and hybridization in Mesoamerica","type":"article-journal","volume":"126"},"uris":["http://www.mendeley.com/documents/?uuid=523270e3-4624-4f4f-8dd5-3563f485bcff"]}],"mendeley":{"formattedCitation":"(Vázquez-Miranda et al., 2009)","plainTextFormattedCitation":"(Vázquez-Miranda et al., 2009)","previouslyFormattedCitation":"(Vázquez-Miranda et al., 2009)"},"properties":{"noteIndex":0},"schema":"https://github.com/citation-style-language/schema/raw/master/csl-citation.json"}</w:instrText>
      </w:r>
      <w:r w:rsidR="000D22D3">
        <w:rPr>
          <w:rFonts w:eastAsiaTheme="minorEastAsia"/>
          <w:lang w:val="en-US"/>
        </w:rPr>
        <w:fldChar w:fldCharType="separate"/>
      </w:r>
      <w:r w:rsidR="000D22D3" w:rsidRPr="00003D14">
        <w:rPr>
          <w:rFonts w:eastAsiaTheme="minorEastAsia"/>
          <w:noProof/>
          <w:lang w:val="en-US"/>
        </w:rPr>
        <w:t>(Vázquez-Miranda et al., 2009)</w:t>
      </w:r>
      <w:r w:rsidR="000D22D3">
        <w:rPr>
          <w:rFonts w:eastAsiaTheme="minorEastAsia"/>
          <w:lang w:val="en-US"/>
        </w:rPr>
        <w:fldChar w:fldCharType="end"/>
      </w:r>
      <w:r w:rsidR="000D22D3">
        <w:rPr>
          <w:rFonts w:eastAsiaTheme="minorEastAsia"/>
          <w:lang w:val="en-US"/>
        </w:rPr>
        <w:t>.</w:t>
      </w:r>
      <w:r w:rsidR="001537A9">
        <w:rPr>
          <w:rFonts w:eastAsiaTheme="minorEastAsia"/>
          <w:lang w:val="en-US"/>
        </w:rPr>
        <w:t xml:space="preserve"> </w:t>
      </w:r>
      <w:bookmarkStart w:id="37" w:name="_Hlk182328828"/>
      <w:r w:rsidR="00243BA8" w:rsidRPr="0098165E">
        <w:rPr>
          <w:rFonts w:eastAsiaTheme="minorEastAsia"/>
          <w:lang w:val="en-US"/>
        </w:rPr>
        <w:t xml:space="preserve">The correlation </w:t>
      </w:r>
      <w:r w:rsidR="002671F3">
        <w:rPr>
          <w:rFonts w:eastAsiaTheme="minorEastAsia"/>
          <w:lang w:val="en-US"/>
        </w:rPr>
        <w:t>between genetic and acoustic dist</w:t>
      </w:r>
      <w:r w:rsidR="00AA4951">
        <w:rPr>
          <w:rFonts w:eastAsiaTheme="minorEastAsia"/>
          <w:lang w:val="en-US"/>
        </w:rPr>
        <w:t>a</w:t>
      </w:r>
      <w:r w:rsidR="002671F3">
        <w:rPr>
          <w:rFonts w:eastAsiaTheme="minorEastAsia"/>
          <w:lang w:val="en-US"/>
        </w:rPr>
        <w:t xml:space="preserve">nces, </w:t>
      </w:r>
      <w:r w:rsidR="005D6459">
        <w:rPr>
          <w:rFonts w:eastAsiaTheme="minorEastAsia"/>
          <w:lang w:val="en-US"/>
        </w:rPr>
        <w:t>and the</w:t>
      </w:r>
      <w:r w:rsidR="00243BA8" w:rsidRPr="0098165E">
        <w:rPr>
          <w:rFonts w:eastAsiaTheme="minorEastAsia"/>
          <w:lang w:val="en-US"/>
        </w:rPr>
        <w:t xml:space="preserve"> pattern of isolation by distance </w:t>
      </w:r>
      <w:r w:rsidR="005D6459">
        <w:rPr>
          <w:rFonts w:eastAsiaTheme="minorEastAsia"/>
          <w:lang w:val="en-US"/>
        </w:rPr>
        <w:t xml:space="preserve">previously reported </w:t>
      </w:r>
      <w:r w:rsidR="002671F3">
        <w:rPr>
          <w:rFonts w:eastAsiaTheme="minorEastAsia"/>
          <w:lang w:val="en-US"/>
        </w:rPr>
        <w:t xml:space="preserve">in </w:t>
      </w:r>
      <w:r w:rsidR="00796521">
        <w:rPr>
          <w:rFonts w:eastAsiaTheme="minorEastAsia"/>
          <w:lang w:val="en-US"/>
        </w:rPr>
        <w:t xml:space="preserve">the </w:t>
      </w:r>
      <w:r w:rsidR="00796521">
        <w:rPr>
          <w:rFonts w:cstheme="minorHAnsi"/>
          <w:lang w:val="en-US"/>
        </w:rPr>
        <w:t>w</w:t>
      </w:r>
      <w:r w:rsidR="00796521" w:rsidRPr="001830F3">
        <w:rPr>
          <w:rFonts w:cstheme="minorHAnsi"/>
          <w:lang w:val="en-US"/>
        </w:rPr>
        <w:t>hite-eared ground-sparrow</w:t>
      </w:r>
      <w:r w:rsidR="00243BA8" w:rsidRPr="0098165E">
        <w:rPr>
          <w:rFonts w:eastAsiaTheme="minorEastAsia"/>
          <w:lang w:val="en-US"/>
        </w:rPr>
        <w:t xml:space="preserve"> </w:t>
      </w:r>
      <w:r w:rsidR="000D22D3">
        <w:rPr>
          <w:rFonts w:eastAsiaTheme="minorEastAsia"/>
          <w:lang w:val="en-US"/>
        </w:rPr>
        <w:fldChar w:fldCharType="begin" w:fldLock="1"/>
      </w:r>
      <w:r w:rsidR="000D22D3">
        <w:rPr>
          <w:rFonts w:eastAsiaTheme="minorEastAsia"/>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0D22D3">
        <w:rPr>
          <w:rFonts w:eastAsiaTheme="minorEastAsia"/>
          <w:lang w:val="en-US"/>
        </w:rPr>
        <w:fldChar w:fldCharType="separate"/>
      </w:r>
      <w:r w:rsidR="000D22D3" w:rsidRPr="000D22D3">
        <w:rPr>
          <w:rFonts w:eastAsiaTheme="minorEastAsia"/>
          <w:noProof/>
          <w:lang w:val="en-US"/>
        </w:rPr>
        <w:t>(Rodríguez-Bardía et al., 2022)</w:t>
      </w:r>
      <w:r w:rsidR="000D22D3">
        <w:rPr>
          <w:rFonts w:eastAsiaTheme="minorEastAsia"/>
          <w:lang w:val="en-US"/>
        </w:rPr>
        <w:fldChar w:fldCharType="end"/>
      </w:r>
      <w:r w:rsidR="000D22D3">
        <w:rPr>
          <w:rFonts w:eastAsiaTheme="minorEastAsia"/>
          <w:lang w:val="en-US"/>
        </w:rPr>
        <w:t>,</w:t>
      </w:r>
      <w:r w:rsidR="00A379B6">
        <w:rPr>
          <w:rFonts w:eastAsiaTheme="minorEastAsia"/>
          <w:lang w:val="en-US"/>
        </w:rPr>
        <w:t xml:space="preserve"> </w:t>
      </w:r>
      <w:r w:rsidR="00243BA8">
        <w:rPr>
          <w:rFonts w:eastAsiaTheme="minorEastAsia"/>
          <w:lang w:val="en-US"/>
        </w:rPr>
        <w:t xml:space="preserve">suggest </w:t>
      </w:r>
      <w:r w:rsidRPr="0098165E">
        <w:rPr>
          <w:rFonts w:eastAsiaTheme="minorEastAsia"/>
          <w:lang w:val="en-US"/>
        </w:rPr>
        <w:t xml:space="preserve">an important role of cultural drift or sexual selection </w:t>
      </w:r>
      <w:r w:rsidR="000D22D3">
        <w:rPr>
          <w:rFonts w:eastAsiaTheme="minorEastAsia"/>
          <w:lang w:val="en-US"/>
        </w:rPr>
        <w:fldChar w:fldCharType="begin" w:fldLock="1"/>
      </w:r>
      <w:r w:rsidR="000D22D3">
        <w:rPr>
          <w:rFonts w:eastAsiaTheme="minorEastAsia"/>
          <w:lang w:val="en-US"/>
        </w:rPr>
        <w:instrText>ADDIN CSL_CITATION {"citationItems":[{"id":"ITEM-1","itemData":{"author":[{"dropping-particle":"","family":"West-Eberhard","given":"MJ","non-dropping-particle":"","parse-names":false,"suffix":""}],"container-title":"THE QUARTERLY of BIOLOGY","id":"ITEM-1","issue":"1","issued":{"date-parts":[["1983"]]},"page":"155 - 182","title":"Sexual selection, Social competition, and Speciation","type":"article-journal","volume":"59"},"uris":["http://www.mendeley.com/documents/?uuid=47b801a6-8e64-4d62-a28e-5b528c9f4bdd"]},{"id":"ITEM-2","itemData":{"DOI":"10.1111/j.1420-9101.2007.01499.x","ISSN":"1010061X","PMID":"18205774","abstract":"Divergence in signalling systems might play a central role in speciation. To assess the importance of possible causes of signal divergence, we examine two types of vocalizations within a geographically variable species complex, the greenish warblers (Phylloscopus trochiloides Sundevall). Calls, which are used by both sexes throughout the year, and songs, which are sung primarily by breeding males, differ distinctly between two distinct Siberian forms. Through a ring of southern populations that connect the northern forms, signal divergence is correlated with both geographic distance and genetic divergence. Calls and songs differ in their particular patterns of geographic variation, probably because of the larger influence of sexual selection on songs than on calls. These patterns are supportive of neither acoustic adaptation nor morphology being major drivers of divergence in vocalizations. Rather, these results support the importance of stochastic evolution of communication systems in the evolution of new species. © 2008 The Authors.","author":[{"dropping-particle":"","family":"Irwin","given":"D. E.","non-dropping-particle":"","parse-names":false,"suffix":""},{"dropping-particle":"","family":"Thimgan","given":"M. P.","non-dropping-particle":"","parse-names":false,"suffix":""},{"dropping-particle":"","family":"Irwin","given":"J. H.","non-dropping-particle":"","parse-names":false,"suffix":""}],"container-title":"Journal of Evolutionary Biology","id":"ITEM-2","issue":"2","issued":{"date-parts":[["2008"]]},"page":"435-448","title":"Call divergence is correlated with geographic and genetic distance in greenish warblers (Phylloscopus trochiloides): A strong role for stochasticity in signal evolution?","type":"article-journal","volume":"21"},"uris":["http://www.mendeley.com/documents/?uuid=a03eb94c-be64-4746-8fa9-62b4e9fce976"]},{"id":"ITEM-3","itemData":{"DOI":"10.1371/journal.pone.0209508","ISBN":"1111111111","ISSN":"19326203","PMID":"30571751","abstract":"Populations may become isolated by distance, geographic barriers or both. Isolated populations often diverge in behavioral, morphological and genetic traits as a result of reduced inter-population gene flow. Highland species commonly present naturally fragmented distributions that confine populations to the highest mountain peaks, isolated by mountain passes and distance. The endemic Timberline Wren (Thryorchilus browni) inhabits the highlands of the Talamanca mountain range, including western Panama, and the highest peak in the Central Volcanic mountain range of Costa Rica. Using microsatellites and song recordings we studied the effect of a geographic barrier and distance on song, genetic and morphological divergence among four populations in Costa Rica. A lowland mountain pass resulted in the largest genetic, vocal, and morphological (bill length) differences among populations, likely due to reduce the gene flow. Cultural drift and assortative mating by females selecting songs from their own population likely accentuates the effect of isolation and limited gene flow between populations. This pattern of population divergence has been found in other Neotropical highland birds, but over larger geographical scales. We conclude that mountain passes and distance both reduce gene flow between populations in recently-isolated highland species with restricted distributions.","author":[{"dropping-particle":"","family":"Camacho-Alpízar","given":"Andrés","non-dropping-particle":"","parse-names":false,"suffix":""},{"dropping-particle":"","family":"Fuchs","given":"Eric J.","non-dropping-particle":"","parse-names":false,"suffix":""},{"dropping-particle":"","family":"Barrantes","given":"Gilbert","non-dropping-particle":"","parse-names":false,"suffix":""}],"container-title":"PLoS ONE","id":"ITEM-3","issue":"12","issued":{"date-parts":[["2018"]]},"page":"1-17","title":"Effect of barriers and distance on song, genetic, and morphological divergence in the highland endemic Timberline Wren (Thryorchilus browni, Troglodytidae)","type":"article-journal","volume":"13"},"uris":["http://www.mendeley.com/documents/?uuid=8ab42ae5-e41e-4be9-8f9b-2b3502e2b549"]}],"mendeley":{"formattedCitation":"(Camacho-Alpízar et al., 2018; Irwin et al., 2008; West-Eberhard, 1983)","plainTextFormattedCitation":"(Camacho-Alpízar et al., 2018; Irwin et al., 2008; West-Eberhard, 1983)","previouslyFormattedCitation":"(Camacho-Alpízar et al., 2018; Irwin et al., 2008; West-Eberhard, 1983)"},"properties":{"noteIndex":0},"schema":"https://github.com/citation-style-language/schema/raw/master/csl-citation.json"}</w:instrText>
      </w:r>
      <w:r w:rsidR="000D22D3">
        <w:rPr>
          <w:rFonts w:eastAsiaTheme="minorEastAsia"/>
          <w:lang w:val="en-US"/>
        </w:rPr>
        <w:fldChar w:fldCharType="separate"/>
      </w:r>
      <w:r w:rsidR="000D22D3" w:rsidRPr="000D22D3">
        <w:rPr>
          <w:rFonts w:eastAsiaTheme="minorEastAsia"/>
          <w:noProof/>
          <w:lang w:val="en-US"/>
        </w:rPr>
        <w:t>(Camacho-Alpízar et al., 2018; Irwin et al., 2008; West-Eberhard, 1983)</w:t>
      </w:r>
      <w:r w:rsidR="000D22D3">
        <w:rPr>
          <w:rFonts w:eastAsiaTheme="minorEastAsia"/>
          <w:lang w:val="en-US"/>
        </w:rPr>
        <w:fldChar w:fldCharType="end"/>
      </w:r>
      <w:r w:rsidRPr="0098165E">
        <w:rPr>
          <w:rFonts w:eastAsiaTheme="minorEastAsia"/>
          <w:lang w:val="en-US"/>
        </w:rPr>
        <w:t xml:space="preserve">. </w:t>
      </w:r>
      <w:r w:rsidR="002671F3">
        <w:rPr>
          <w:rFonts w:eastAsiaTheme="minorEastAsia"/>
          <w:lang w:val="en-US"/>
        </w:rPr>
        <w:t>W</w:t>
      </w:r>
      <w:r w:rsidRPr="0098165E">
        <w:rPr>
          <w:rFonts w:eastAsiaTheme="minorEastAsia"/>
          <w:lang w:val="en-US"/>
        </w:rPr>
        <w:t xml:space="preserve">hite-eared </w:t>
      </w:r>
      <w:r w:rsidR="003D6C8A">
        <w:rPr>
          <w:rFonts w:eastAsiaTheme="minorEastAsia"/>
          <w:lang w:val="en-US"/>
        </w:rPr>
        <w:t>g</w:t>
      </w:r>
      <w:r w:rsidRPr="0098165E">
        <w:rPr>
          <w:rFonts w:eastAsiaTheme="minorEastAsia"/>
          <w:lang w:val="en-US"/>
        </w:rPr>
        <w:t>round-sparrow use</w:t>
      </w:r>
      <w:r w:rsidR="000D4A70">
        <w:rPr>
          <w:rFonts w:eastAsiaTheme="minorEastAsia"/>
          <w:lang w:val="en-US"/>
        </w:rPr>
        <w:t>s</w:t>
      </w:r>
      <w:r w:rsidRPr="0098165E">
        <w:rPr>
          <w:rFonts w:eastAsiaTheme="minorEastAsia"/>
          <w:lang w:val="en-US"/>
        </w:rPr>
        <w:t xml:space="preserve"> solo songs for female attraction</w:t>
      </w:r>
      <w:r w:rsidR="002671F3">
        <w:rPr>
          <w:rFonts w:eastAsiaTheme="minorEastAsia"/>
          <w:lang w:val="en-US"/>
        </w:rPr>
        <w:t>,</w:t>
      </w:r>
      <w:r w:rsidRPr="0098165E">
        <w:rPr>
          <w:rFonts w:eastAsiaTheme="minorEastAsia"/>
          <w:lang w:val="en-US"/>
        </w:rPr>
        <w:t xml:space="preserve"> </w:t>
      </w:r>
      <w:r w:rsidR="003D6C8A">
        <w:rPr>
          <w:rFonts w:eastAsiaTheme="minorEastAsia"/>
          <w:lang w:val="en-US"/>
        </w:rPr>
        <w:t xml:space="preserve">and </w:t>
      </w:r>
      <w:r w:rsidRPr="0098165E">
        <w:rPr>
          <w:rFonts w:eastAsiaTheme="minorEastAsia"/>
          <w:lang w:val="en-US"/>
        </w:rPr>
        <w:t>males</w:t>
      </w:r>
      <w:r w:rsidR="002671F3">
        <w:rPr>
          <w:rFonts w:eastAsiaTheme="minorEastAsia"/>
          <w:lang w:val="en-US"/>
        </w:rPr>
        <w:t>,</w:t>
      </w:r>
      <w:r w:rsidRPr="0098165E">
        <w:rPr>
          <w:rFonts w:eastAsiaTheme="minorEastAsia"/>
          <w:lang w:val="en-US"/>
        </w:rPr>
        <w:t xml:space="preserve"> after learning songs are not </w:t>
      </w:r>
      <w:r w:rsidR="002671F3">
        <w:rPr>
          <w:rFonts w:eastAsiaTheme="minorEastAsia"/>
          <w:lang w:val="en-US"/>
        </w:rPr>
        <w:t>able</w:t>
      </w:r>
      <w:r w:rsidR="002671F3" w:rsidRPr="0098165E">
        <w:rPr>
          <w:rFonts w:eastAsiaTheme="minorEastAsia"/>
          <w:lang w:val="en-US"/>
        </w:rPr>
        <w:t xml:space="preserve"> </w:t>
      </w:r>
      <w:r w:rsidRPr="0098165E">
        <w:rPr>
          <w:rFonts w:eastAsiaTheme="minorEastAsia"/>
          <w:lang w:val="en-US"/>
        </w:rPr>
        <w:t xml:space="preserve">to learn new songs </w:t>
      </w:r>
      <w:r w:rsidR="000D22D3">
        <w:rPr>
          <w:rFonts w:eastAsiaTheme="minorEastAsia"/>
          <w:lang w:val="en-US"/>
        </w:rPr>
        <w:fldChar w:fldCharType="begin" w:fldLock="1"/>
      </w:r>
      <w:r w:rsidR="009C30B2">
        <w:rPr>
          <w:rFonts w:eastAsiaTheme="minorEastAsia"/>
          <w:lang w:val="en-US"/>
        </w:rPr>
        <w:instrText>ADDIN CSL_CITATION {"citationItems":[{"id":"ITEM-1","itemData":{"DOI":"10.1007/s10336-015-1237-y","ISSN":"21937206","abstract":"There are relatively few quantitative descriptive studies of the vocalisations and vocal behaviour of tropical bird species, in spite of the tropic’s rich avian biodiversity and the extensive variety of vocalisations produced by tropical birds. This lack of information inhibits our understanding of tropical animals, including our ability to perform comparative analyses on vocal behaviours from an evolutionary perspective. In this study, we present the first quantitative description of the vocal repertoire and daily vocal activity of White-eared Ground-sparrows (Melozone leuco-tis), using focal and autonomous recordings collected during two consecutive breeding seasons in Costa Rica. We classified vocalisations into categories based on their visual appearance on sound spectrograms to create a library of vocalisations for this species. We found that White-eared Ground-sparrows produce three main categories of vocalisations: solo songs, calls, and duets. Solo songs were produced only by males. Each male sang a repertoire of solo song types, which all shared the same general structure with short introductory notes, a frequency-modulated middle section, and a terminal trill. Both sexes produce calls and coordinated vocal duets. We quantified patterns of diel variation in each category of vocalisation, and found that the Ground-sparrows produced all three vocalisations at higher output at dawn (between 0500 and 0600 hours) compared to the rest of the day. This study allowed us to conduct the first comparisons of vocalisations between White-eared Ground-sparrows and North American species in the genus Melozone, and revealed both similarities and differences between the species groups. Our investigation also showed that vocalisations related to communication within pairs and to territory defence (calls and duets) exhibited lower levels of individual distinctiveness than vocalisations related mainly to female attraction (male solo songs). Our observations suggest that each of the three types of vocalisations have multiple functions in White-eared Ground-sparrows, revealing diverse communication functions with a small vocal repertoire in this tropical songbird.","author":[{"dropping-particle":"","family":"Sandoval","given":"Luis","non-dropping-particle":"","parse-names":false,"suffix":""},{"dropping-particle":"","family":"Méndez","given":"Carolina","non-dropping-particle":"","parse-names":false,"suffix":""},{"dropping-particle":"","family":"Mennill","given":"Daniel J.","non-dropping-particle":"","parse-names":false,"suffix":""}],"container-title":"Journal of Ornithology","id":"ITEM-1","issue":"1","issued":{"date-parts":[["2016"]]},"page":"1-12","title":"Vocal behaviour of white-eared ground-sparrows (Melozone leucotis) during the breeding season: Repertoires, diel variation, behavioural contexts, and individual distinctiveness","type":"article-journal","volume":"157"},"uris":["http://www.mendeley.com/documents/?uuid=a1e24b29-ddc4-4a7f-be09-cfafb82a815f"]}],"mendeley":{"formattedCitation":"(Sandoval et al., 2016)","manualFormatting":"(Sandoval et al., 2016; Bonilla-Badilla 2021)","plainTextFormattedCitation":"(Sandoval et al., 2016)","previouslyFormattedCitation":"(Sandoval et al., 2016)"},"properties":{"noteIndex":0},"schema":"https://github.com/citation-style-language/schema/raw/master/csl-citation.json"}</w:instrText>
      </w:r>
      <w:r w:rsidR="000D22D3">
        <w:rPr>
          <w:rFonts w:eastAsiaTheme="minorEastAsia"/>
          <w:lang w:val="en-US"/>
        </w:rPr>
        <w:fldChar w:fldCharType="separate"/>
      </w:r>
      <w:r w:rsidR="000D22D3" w:rsidRPr="000D22D3">
        <w:rPr>
          <w:rFonts w:eastAsiaTheme="minorEastAsia"/>
          <w:noProof/>
          <w:lang w:val="en-US"/>
        </w:rPr>
        <w:t>(Sandoval et al., 2016</w:t>
      </w:r>
      <w:r w:rsidR="000D22D3">
        <w:rPr>
          <w:rFonts w:eastAsiaTheme="minorEastAsia"/>
          <w:noProof/>
          <w:lang w:val="en-US"/>
        </w:rPr>
        <w:t xml:space="preserve">; </w:t>
      </w:r>
      <w:r w:rsidR="000D22D3" w:rsidRPr="0098165E">
        <w:rPr>
          <w:rFonts w:eastAsiaTheme="minorEastAsia"/>
          <w:noProof/>
          <w:lang w:val="en-US"/>
        </w:rPr>
        <w:t>Bonilla-Badilla 2021</w:t>
      </w:r>
      <w:r w:rsidR="000D22D3" w:rsidRPr="000D22D3">
        <w:rPr>
          <w:rFonts w:eastAsiaTheme="minorEastAsia"/>
          <w:noProof/>
          <w:lang w:val="en-US"/>
        </w:rPr>
        <w:t>)</w:t>
      </w:r>
      <w:r w:rsidR="000D22D3">
        <w:rPr>
          <w:rFonts w:eastAsiaTheme="minorEastAsia"/>
          <w:lang w:val="en-US"/>
        </w:rPr>
        <w:fldChar w:fldCharType="end"/>
      </w:r>
      <w:r w:rsidRPr="0098165E">
        <w:rPr>
          <w:rFonts w:eastAsiaTheme="minorEastAsia"/>
          <w:lang w:val="en-US"/>
        </w:rPr>
        <w:t>.</w:t>
      </w:r>
      <w:r w:rsidR="003D6C8A">
        <w:rPr>
          <w:rFonts w:eastAsiaTheme="minorEastAsia"/>
          <w:lang w:val="en-US"/>
        </w:rPr>
        <w:t xml:space="preserve"> </w:t>
      </w:r>
      <w:r w:rsidR="001D043D">
        <w:rPr>
          <w:rFonts w:eastAsiaTheme="minorEastAsia"/>
          <w:lang w:val="en-US"/>
        </w:rPr>
        <w:t xml:space="preserve">Thus, if females choose specific acoustic traits, song types, or young males imitate specific songs in each </w:t>
      </w:r>
      <w:r w:rsidR="007143F3">
        <w:rPr>
          <w:rFonts w:eastAsiaTheme="minorEastAsia"/>
          <w:lang w:val="en-US"/>
        </w:rPr>
        <w:t>population</w:t>
      </w:r>
      <w:r w:rsidR="001D043D">
        <w:rPr>
          <w:rFonts w:eastAsiaTheme="minorEastAsia"/>
          <w:lang w:val="en-US"/>
        </w:rPr>
        <w:t xml:space="preserve">, a single phenotype will be selected across generations </w:t>
      </w:r>
      <w:r w:rsidRPr="0098165E">
        <w:rPr>
          <w:rFonts w:eastAsiaTheme="minorEastAsia"/>
          <w:lang w:val="en-US"/>
        </w:rPr>
        <w:t xml:space="preserve">(West-Eberhard, 1983). </w:t>
      </w:r>
      <w:r w:rsidR="00DF3008">
        <w:rPr>
          <w:rFonts w:eastAsiaTheme="minorEastAsia"/>
          <w:lang w:val="en-US"/>
        </w:rPr>
        <w:t xml:space="preserve">For example, </w:t>
      </w:r>
      <w:r w:rsidR="00B71873">
        <w:rPr>
          <w:rFonts w:eastAsiaTheme="minorEastAsia"/>
          <w:lang w:val="en-US"/>
        </w:rPr>
        <w:t xml:space="preserve">female </w:t>
      </w:r>
      <w:r w:rsidR="0020257F">
        <w:rPr>
          <w:rFonts w:eastAsiaTheme="minorEastAsia"/>
          <w:lang w:val="en-US"/>
        </w:rPr>
        <w:t>great tits</w:t>
      </w:r>
      <w:r w:rsidR="00B71873">
        <w:rPr>
          <w:rFonts w:eastAsiaTheme="minorEastAsia"/>
          <w:lang w:val="en-US"/>
        </w:rPr>
        <w:t>,</w:t>
      </w:r>
      <w:r w:rsidR="0020257F">
        <w:rPr>
          <w:rFonts w:eastAsiaTheme="minorEastAsia"/>
          <w:lang w:val="en-US"/>
        </w:rPr>
        <w:t xml:space="preserve"> </w:t>
      </w:r>
      <w:r w:rsidR="00A90537" w:rsidRPr="00157603">
        <w:rPr>
          <w:rFonts w:eastAsiaTheme="minorEastAsia"/>
          <w:i/>
          <w:iCs/>
          <w:lang w:val="en-US"/>
        </w:rPr>
        <w:t>Parus major</w:t>
      </w:r>
      <w:r w:rsidR="00B71873">
        <w:rPr>
          <w:rFonts w:eastAsiaTheme="minorEastAsia"/>
          <w:i/>
          <w:iCs/>
          <w:lang w:val="en-US"/>
        </w:rPr>
        <w:t>,</w:t>
      </w:r>
      <w:r w:rsidR="00A90537">
        <w:rPr>
          <w:rFonts w:eastAsiaTheme="minorEastAsia"/>
          <w:lang w:val="en-US"/>
        </w:rPr>
        <w:t xml:space="preserve"> </w:t>
      </w:r>
      <w:r w:rsidR="0020257F">
        <w:rPr>
          <w:rFonts w:eastAsiaTheme="minorEastAsia"/>
          <w:lang w:val="en-US"/>
        </w:rPr>
        <w:t xml:space="preserve">prefer males </w:t>
      </w:r>
      <w:r w:rsidR="00A90537">
        <w:rPr>
          <w:rFonts w:eastAsiaTheme="minorEastAsia"/>
          <w:lang w:val="en-US"/>
        </w:rPr>
        <w:t xml:space="preserve">that emit </w:t>
      </w:r>
      <w:r w:rsidR="0020257F">
        <w:rPr>
          <w:rFonts w:eastAsiaTheme="minorEastAsia"/>
          <w:lang w:val="en-US"/>
        </w:rPr>
        <w:t>song types with higher frequencies in noisy environments</w:t>
      </w:r>
      <w:r w:rsidR="00A90537">
        <w:rPr>
          <w:rFonts w:eastAsiaTheme="minorEastAsia"/>
          <w:lang w:val="en-US"/>
        </w:rPr>
        <w:t xml:space="preserve"> </w:t>
      </w:r>
      <w:r w:rsidR="009C30B2">
        <w:rPr>
          <w:rFonts w:eastAsiaTheme="minorEastAsia"/>
          <w:lang w:val="en-US"/>
        </w:rPr>
        <w:fldChar w:fldCharType="begin" w:fldLock="1"/>
      </w:r>
      <w:r w:rsidR="00F802B4">
        <w:rPr>
          <w:rFonts w:eastAsiaTheme="minorEastAsia"/>
          <w:lang w:val="en-US"/>
        </w:rPr>
        <w:instrText>ADDIN CSL_CITATION {"citationItems":[{"id":"ITEM-1","itemData":{"author":[{"dropping-particle":"","family":"Halfwerk","given":"W.","non-dropping-particle":"","parse-names":false,"suffix":""},{"dropping-particle":"","family":"Bot","given":"S","non-dropping-particle":"","parse-names":false,"suffix":""},{"dropping-particle":"","family":"Buikx","given":"J","non-dropping-particle":"","parse-names":false,"suffix":""},{"dropping-particle":"","family":"Velde","given":"M","non-dropping-particle":"van der","parse-names":false,"suffix":""},{"dropping-particle":"","family":"Komdeur","given":"J","non-dropping-particle":"","parse-names":false,"suffix":""},{"dropping-particle":"","family":"Cate","given":"C","non-dropping-particle":"ten","parse-names":false,"suffix":""},{"dropping-particle":"","family":"Slabbekoorn","given":"H","non-dropping-particle":"","parse-names":false,"suffix":""}],"container-title":"Proceedings of the National Academy of Sciences of the United States of America","id":"ITEM-1","issued":{"date-parts":[["2011"]]},"page":"14549 - 14554","title":"Low songs lose potency in urban noise conditions. Proceedings of the National Academy of Sciences","type":"article-journal","volume":"108"},"uris":["http://www.mendeley.com/documents/?uuid=6902577e-e633-47b3-97ae-d7a424c48159"]}],"mendeley":{"formattedCitation":"(Halfwerk et al., 2011)","plainTextFormattedCitation":"(Halfwerk et al., 2011)","previouslyFormattedCitation":"(Halfwerk et al., 2011)"},"properties":{"noteIndex":0},"schema":"https://github.com/citation-style-language/schema/raw/master/csl-citation.json"}</w:instrText>
      </w:r>
      <w:r w:rsidR="009C30B2">
        <w:rPr>
          <w:rFonts w:eastAsiaTheme="minorEastAsia"/>
          <w:lang w:val="en-US"/>
        </w:rPr>
        <w:fldChar w:fldCharType="separate"/>
      </w:r>
      <w:r w:rsidR="009C30B2" w:rsidRPr="009C30B2">
        <w:rPr>
          <w:rFonts w:eastAsiaTheme="minorEastAsia"/>
          <w:noProof/>
          <w:lang w:val="en-US"/>
        </w:rPr>
        <w:t>(Halfwerk et al., 2011)</w:t>
      </w:r>
      <w:r w:rsidR="009C30B2">
        <w:rPr>
          <w:rFonts w:eastAsiaTheme="minorEastAsia"/>
          <w:lang w:val="en-US"/>
        </w:rPr>
        <w:fldChar w:fldCharType="end"/>
      </w:r>
      <w:r w:rsidR="0020257F">
        <w:rPr>
          <w:rFonts w:eastAsiaTheme="minorEastAsia"/>
          <w:lang w:val="en-US"/>
        </w:rPr>
        <w:t xml:space="preserve">. </w:t>
      </w:r>
      <w:r w:rsidR="00A90537">
        <w:rPr>
          <w:rFonts w:eastAsiaTheme="minorEastAsia"/>
          <w:lang w:val="en-US"/>
        </w:rPr>
        <w:t xml:space="preserve">In this context the higher frequencies in urbanized populations and the different dialects among populations of white-eared ground-sparrows </w:t>
      </w:r>
      <w:r w:rsidR="009C30B2">
        <w:rPr>
          <w:rFonts w:eastAsiaTheme="minorEastAsia"/>
          <w:lang w:val="en-US"/>
        </w:rPr>
        <w:fldChar w:fldCharType="begin" w:fldLock="1"/>
      </w:r>
      <w:r w:rsidR="009C30B2">
        <w:rPr>
          <w:rFonts w:eastAsiaTheme="minorEastAsia"/>
          <w:lang w:val="en-US"/>
        </w:rPr>
        <w:instrText>ADDIN CSL_CITATION {"citationItems":[{"id":"ITEM-1","itemData":{"ISSN":"10754377","abstract":"Many species of sparrows (Emberizidae) in the temperate zone provide model systems for understanding bird song and singing behaviour. In contrast, the vocal repertoire and vocal behaviour for most tropical sparrows is poorly understood, in spite of their impressive biodiversity. We present here the first detailed quantitative description of vocal repertoires and vocal behaviour of the Rusty-crowned Ground-sparrow (Melozone kieneri), an endemic Mexican sparrow. We provide information on the effect of territory spacing on song repertoire-use and details of the diel pattern of variation in vocal output, using focal, autonomous, and opportunistic recordings of birds in El Tuito, Jalisco, Mexico. Our results demonstrate that Rusty-crowned Ground-sparrows produce three distinct categories of vocalizations - calls, solo songs, and duets - as in other Melozone ground-sparrows. We found that solo songs and duets in this species showed an acoustic structure intermediate to other northern and southern Melozone groundsparrows. Patterns of repertoire-use in male solo songs were highly similar between males holding nearby territories, suggesting that song learning may occur after territory establishment. The diel pattern for output of calls and solo songs showed a pronounced peak early in the morning, indicative of dawnchorus singing behaviour. This study provides the first quantitative investigation of Rusty-crowned Ground-sparrow vocalizations, providing important descriptive information on this little-studied Neotropical Melozone species.","author":[{"dropping-particle":"","family":"Sandoval","given":"Luis","non-dropping-particle":"","parse-names":false,"suffix":""},{"dropping-particle":"","family":"Mennill","given":"Daniel J.","non-dropping-particle":"","parse-names":false,"suffix":""}],"container-title":"Ornitologia Neotropical","id":"ITEM-1","issue":"2","issued":{"date-parts":[["2014"]]},"page":"219-230","title":"A quantitative description of vocalizations and vocal behaviour of the Rusty-crowned Ground-sparrow (Melozone kieneri)","type":"article-journal","volume":"25"},"uris":["http://www.mendeley.com/documents/?uuid=168043c2-12db-4994-823a-620a05504c7a"]},{"id":"ITEM-2","itemData":{"DOI":"10.1007/s10336-015-1237-y","ISSN":"21937206","abstract":"There are relatively few quantitative descriptive studies of the vocalisations and vocal behaviour of tropical bird species, in spite of the tropic’s rich avian biodiversity and the extensive variety of vocalisations produced by tropical birds. This lack of information inhibits our understanding of tropical animals, including our ability to perform comparative analyses on vocal behaviours from an evolutionary perspective. In this study, we present the first quantitative description of the vocal repertoire and daily vocal activity of White-eared Ground-sparrows (Melozone leuco-tis), using focal and autonomous recordings collected during two consecutive breeding seasons in Costa Rica. We classified vocalisations into categories based on their visual appearance on sound spectrograms to create a library of vocalisations for this species. We found that White-eared Ground-sparrows produce three main categories of vocalisations: solo songs, calls, and duets. Solo songs were produced only by males. Each male sang a repertoire of solo song types, which all shared the same general structure with short introductory notes, a frequency-modulated middle section, and a terminal trill. Both sexes produce calls and coordinated vocal duets. We quantified patterns of diel variation in each category of vocalisation, and found that the Ground-sparrows produced all three vocalisations at higher output at dawn (between 0500 and 0600 hours) compared to the rest of the day. This study allowed us to conduct the first comparisons of vocalisations between White-eared Ground-sparrows and North American species in the genus Melozone, and revealed both similarities and differences between the species groups. Our investigation also showed that vocalisations related to communication within pairs and to territory defence (calls and duets) exhibited lower levels of individual distinctiveness than vocalisations related mainly to female attraction (male solo songs). Our observations suggest that each of the three types of vocalisations have multiple functions in White-eared Ground-sparrows, revealing diverse communication functions with a small vocal repertoire in this tropical songbird.","author":[{"dropping-particle":"","family":"Sandoval","given":"Luis","non-dropping-particle":"","parse-names":false,"suffix":""},{"dropping-particle":"","family":"Méndez","given":"Carolina","non-dropping-particle":"","parse-names":false,"suffix":""},{"dropping-particle":"","family":"Mennill","given":"Daniel J.","non-dropping-particle":"","parse-names":false,"suffix":""}],"container-title":"Journal of Ornithology","id":"ITEM-2","issue":"1","issued":{"date-parts":[["2016"]]},"page":"1-12","title":"Vocal behaviour of white-eared ground-sparrows (Melozone leucotis) during the breeding season: Repertoires, diel variation, behavioural contexts, and individual distinctiveness","type":"article-journal","volume":"157"},"uris":["http://www.mendeley.com/documents/?uuid=a1e24b29-ddc4-4a7f-be09-cfafb82a815f"]},{"id":"ITEM-3","itemData":{"DOI":"10.1016/j.beproc.2020.104282","ISSN":"18728308","PMID":"33217514","abstract":"Noise affects the recognition of acoustic signals by masking information. To compensate for increased noise, individuals often increase the minimum frequency of their vocalization to reduce noise interference. Our goal was to analyze the effect of noise on the characteristics of different bird vocalizations, through a comparative study of vocalizations on the same bird species. We analyzed the effects of noise variation on the fine spectrotemporal characteristics of calls, songs, and duets of White-eared Ground-sparrows (Melozone leucotis) across three populations over a three-year period. We recorded vocalizations and noise levels simultaneously from 41 territories between 2012 and 2014. We measured the duration, minimum, maximum, and maximum amplitude frequency, and counted the number of songs elements for each vocalization recorded. As we predicted, noise influences the minimum frequency of song, but did not have an effect on the fine spectrotemporal characteristics for calls and duets. We did, however, find that low and high frequency of calls and duets increased with noise-population-year interaction. Our results suggest that differences in noise values at each population were inadequate to observe changes in vocalization characteristics. In conclusion, evaluating responses to different noise levels on different vocalization types for the same species expands our understanding of the flexibility of birds to adjust vocalizations in response to anthropogenic noise.","author":[{"dropping-particle":"","family":"Méndez","given":"Carolina","non-dropping-particle":"","parse-names":false,"suffix":""},{"dropping-particle":"","family":"Barrantes","given":"Gilbert","non-dropping-particle":"","parse-names":false,"suffix":""},{"dropping-particle":"","family":"Sandoval","given":"Luis","non-dropping-particle":"","parse-names":false,"suffix":""}],"container-title":"Behavioural Processes","id":"ITEM-3","issued":{"date-parts":[["2020"]]},"title":"The effect of noise variation over time and between populations on the fine spectrotemporal characteristics of different vocalization types","type":"article-journal","volume":"182"},"uris":["http://www.mendeley.com/documents/?uuid=fb056c7e-475e-4dea-b46a-a47325ec95dd"]}],"mendeley":{"formattedCitation":"(Méndez et al., 2020; Sandoval et al., 2016; Sandoval &amp; Mennill, 2014)","manualFormatting":"(Méndez et al., 2020; Sandoval et al., 2016; Sandoval &amp; Mennill, 2014; Bonilla-Badilla 2021)","plainTextFormattedCitation":"(Méndez et al., 2020; Sandoval et al., 2016; Sandoval &amp; Mennill, 2014)","previouslyFormattedCitation":"(Méndez et al., 2020; Sandoval et al., 2016; Sandoval &amp; Mennill, 2014)"},"properties":{"noteIndex":0},"schema":"https://github.com/citation-style-language/schema/raw/master/csl-citation.json"}</w:instrText>
      </w:r>
      <w:r w:rsidR="009C30B2">
        <w:rPr>
          <w:rFonts w:eastAsiaTheme="minorEastAsia"/>
          <w:lang w:val="en-US"/>
        </w:rPr>
        <w:fldChar w:fldCharType="separate"/>
      </w:r>
      <w:r w:rsidR="009C30B2" w:rsidRPr="00157603">
        <w:rPr>
          <w:rFonts w:eastAsiaTheme="minorEastAsia"/>
          <w:noProof/>
          <w:lang w:val="en-US"/>
        </w:rPr>
        <w:t>(Méndez et al., 2020; Sandoval et al., 2016; Sandoval &amp; Mennill, 2014; Bonilla-Badilla 2021)</w:t>
      </w:r>
      <w:r w:rsidR="009C30B2">
        <w:rPr>
          <w:rFonts w:eastAsiaTheme="minorEastAsia"/>
          <w:lang w:val="en-US"/>
        </w:rPr>
        <w:fldChar w:fldCharType="end"/>
      </w:r>
      <w:r w:rsidR="009C30B2">
        <w:rPr>
          <w:rFonts w:eastAsiaTheme="minorEastAsia"/>
          <w:lang w:val="en-US"/>
        </w:rPr>
        <w:t>,</w:t>
      </w:r>
      <w:r w:rsidR="00D24C7F">
        <w:rPr>
          <w:rFonts w:eastAsiaTheme="minorEastAsia"/>
          <w:lang w:val="en-US"/>
        </w:rPr>
        <w:t xml:space="preserve"> </w:t>
      </w:r>
      <w:r w:rsidR="007143F3">
        <w:rPr>
          <w:rFonts w:eastAsiaTheme="minorEastAsia"/>
          <w:lang w:val="en-US"/>
        </w:rPr>
        <w:t>may show the effect of</w:t>
      </w:r>
      <w:r w:rsidR="00A90537">
        <w:rPr>
          <w:rFonts w:eastAsiaTheme="minorEastAsia"/>
          <w:lang w:val="en-US"/>
        </w:rPr>
        <w:t xml:space="preserve"> sexual selection acting </w:t>
      </w:r>
      <w:r w:rsidR="007143F3">
        <w:rPr>
          <w:rFonts w:eastAsiaTheme="minorEastAsia"/>
          <w:lang w:val="en-US"/>
        </w:rPr>
        <w:t>differently in each</w:t>
      </w:r>
      <w:r w:rsidR="00A90537">
        <w:rPr>
          <w:rFonts w:eastAsiaTheme="minorEastAsia"/>
          <w:lang w:val="en-US"/>
        </w:rPr>
        <w:t xml:space="preserve"> population. </w:t>
      </w:r>
      <w:bookmarkEnd w:id="37"/>
    </w:p>
    <w:p w14:paraId="33B7A317" w14:textId="6910480B" w:rsidR="00DB005B" w:rsidRPr="0098165E" w:rsidRDefault="00DB005B" w:rsidP="00157603">
      <w:pPr>
        <w:spacing w:line="480" w:lineRule="auto"/>
        <w:rPr>
          <w:rFonts w:eastAsiaTheme="minorEastAsia"/>
          <w:lang w:val="en-US"/>
        </w:rPr>
      </w:pPr>
      <w:r>
        <w:rPr>
          <w:rFonts w:eastAsiaTheme="minorEastAsia"/>
          <w:lang w:val="en-US"/>
        </w:rPr>
        <w:t xml:space="preserve">Morphology </w:t>
      </w:r>
    </w:p>
    <w:p w14:paraId="2D6B69E8" w14:textId="19C7CA85" w:rsidR="000266A5" w:rsidRDefault="0098165E" w:rsidP="001630F8">
      <w:pPr>
        <w:spacing w:line="480" w:lineRule="auto"/>
        <w:ind w:firstLine="709"/>
        <w:rPr>
          <w:rFonts w:eastAsiaTheme="minorEastAsia"/>
          <w:lang w:val="en-US"/>
        </w:rPr>
      </w:pPr>
      <w:r w:rsidRPr="0098165E">
        <w:rPr>
          <w:rFonts w:eastAsiaTheme="minorEastAsia"/>
          <w:lang w:val="en-US"/>
        </w:rPr>
        <w:t>The female</w:t>
      </w:r>
      <w:r w:rsidR="004A374B">
        <w:rPr>
          <w:rFonts w:eastAsiaTheme="minorEastAsia"/>
          <w:lang w:val="en-US"/>
        </w:rPr>
        <w:t xml:space="preserve"> body size</w:t>
      </w:r>
      <w:r w:rsidRPr="0098165E">
        <w:rPr>
          <w:rFonts w:eastAsiaTheme="minorEastAsia"/>
          <w:lang w:val="en-US"/>
        </w:rPr>
        <w:t xml:space="preserve"> of </w:t>
      </w:r>
      <w:r w:rsidR="009837CE">
        <w:rPr>
          <w:rFonts w:eastAsiaTheme="minorEastAsia"/>
          <w:lang w:val="en-US"/>
        </w:rPr>
        <w:t>w</w:t>
      </w:r>
      <w:r w:rsidRPr="0098165E">
        <w:rPr>
          <w:rFonts w:eastAsiaTheme="minorEastAsia"/>
          <w:lang w:val="en-US"/>
        </w:rPr>
        <w:t xml:space="preserve">hite-eared </w:t>
      </w:r>
      <w:r w:rsidR="00913604">
        <w:rPr>
          <w:rFonts w:eastAsiaTheme="minorEastAsia"/>
          <w:lang w:val="en-US"/>
        </w:rPr>
        <w:t>g</w:t>
      </w:r>
      <w:r w:rsidRPr="0098165E">
        <w:rPr>
          <w:rFonts w:eastAsiaTheme="minorEastAsia"/>
          <w:lang w:val="en-US"/>
        </w:rPr>
        <w:t>round-sparrow</w:t>
      </w:r>
      <w:r w:rsidR="007E47B6">
        <w:rPr>
          <w:rFonts w:eastAsiaTheme="minorEastAsia"/>
          <w:lang w:val="en-US"/>
        </w:rPr>
        <w:t>s</w:t>
      </w:r>
      <w:r w:rsidRPr="0098165E">
        <w:rPr>
          <w:rFonts w:eastAsiaTheme="minorEastAsia"/>
          <w:lang w:val="en-US"/>
        </w:rPr>
        <w:t xml:space="preserve"> decreases in MTV and JBL </w:t>
      </w:r>
      <w:r w:rsidR="00D1119E">
        <w:rPr>
          <w:rFonts w:eastAsiaTheme="minorEastAsia"/>
          <w:lang w:val="en-US"/>
        </w:rPr>
        <w:t xml:space="preserve">as well as </w:t>
      </w:r>
      <w:r w:rsidR="007143F3">
        <w:rPr>
          <w:rFonts w:eastAsiaTheme="minorEastAsia"/>
          <w:lang w:val="en-US"/>
        </w:rPr>
        <w:t xml:space="preserve">in </w:t>
      </w:r>
      <w:r w:rsidR="00D1119E">
        <w:rPr>
          <w:rFonts w:eastAsiaTheme="minorEastAsia"/>
          <w:lang w:val="en-US"/>
        </w:rPr>
        <w:t>males of JBL</w:t>
      </w:r>
      <w:r w:rsidR="00D1119E" w:rsidRPr="0098165E">
        <w:rPr>
          <w:rFonts w:eastAsiaTheme="minorEastAsia"/>
          <w:lang w:val="en-US"/>
        </w:rPr>
        <w:t xml:space="preserve"> </w:t>
      </w:r>
      <w:r w:rsidRPr="0098165E">
        <w:rPr>
          <w:rFonts w:eastAsiaTheme="minorEastAsia"/>
          <w:lang w:val="en-US"/>
        </w:rPr>
        <w:t xml:space="preserve">population </w:t>
      </w:r>
      <w:r w:rsidR="007143F3">
        <w:rPr>
          <w:rFonts w:eastAsiaTheme="minorEastAsia"/>
          <w:lang w:val="en-US"/>
        </w:rPr>
        <w:t>between</w:t>
      </w:r>
      <w:r w:rsidRPr="0098165E">
        <w:rPr>
          <w:rFonts w:eastAsiaTheme="minorEastAsia"/>
          <w:lang w:val="en-US"/>
        </w:rPr>
        <w:t xml:space="preserve"> sampling periods. </w:t>
      </w:r>
      <w:r w:rsidR="00641D48">
        <w:rPr>
          <w:rFonts w:eastAsiaTheme="minorEastAsia"/>
          <w:lang w:val="en-US"/>
        </w:rPr>
        <w:t>B</w:t>
      </w:r>
      <w:r w:rsidRPr="0098165E">
        <w:rPr>
          <w:rFonts w:eastAsiaTheme="minorEastAsia"/>
          <w:lang w:val="en-US"/>
        </w:rPr>
        <w:t>ody size oft</w:t>
      </w:r>
      <w:r w:rsidR="00641D48">
        <w:rPr>
          <w:rFonts w:eastAsiaTheme="minorEastAsia"/>
          <w:lang w:val="en-US"/>
        </w:rPr>
        <w:t>en</w:t>
      </w:r>
      <w:r w:rsidRPr="0098165E">
        <w:rPr>
          <w:rFonts w:eastAsiaTheme="minorEastAsia"/>
          <w:lang w:val="en-US"/>
        </w:rPr>
        <w:t xml:space="preserve"> decrease</w:t>
      </w:r>
      <w:r w:rsidR="00641D48">
        <w:rPr>
          <w:rFonts w:eastAsiaTheme="minorEastAsia"/>
          <w:lang w:val="en-US"/>
        </w:rPr>
        <w:t>s</w:t>
      </w:r>
      <w:r w:rsidRPr="0098165E">
        <w:rPr>
          <w:rFonts w:eastAsiaTheme="minorEastAsia"/>
          <w:lang w:val="en-US"/>
        </w:rPr>
        <w:t xml:space="preserve"> in response to </w:t>
      </w:r>
      <w:r w:rsidR="00B3506A">
        <w:rPr>
          <w:rFonts w:eastAsiaTheme="minorEastAsia"/>
          <w:lang w:val="en-US"/>
        </w:rPr>
        <w:t xml:space="preserve">a decrease in </w:t>
      </w:r>
      <w:r w:rsidRPr="0098165E">
        <w:rPr>
          <w:rFonts w:eastAsiaTheme="minorEastAsia"/>
          <w:lang w:val="en-US"/>
        </w:rPr>
        <w:t xml:space="preserve">food availability and </w:t>
      </w:r>
      <w:r w:rsidR="00D1119E" w:rsidRPr="0098165E">
        <w:rPr>
          <w:rFonts w:eastAsiaTheme="minorEastAsia"/>
          <w:lang w:val="en-US"/>
        </w:rPr>
        <w:t xml:space="preserve">quality </w:t>
      </w:r>
      <w:r w:rsidR="00782A24">
        <w:rPr>
          <w:rFonts w:eastAsiaTheme="minorEastAsia"/>
          <w:lang w:val="en-US"/>
        </w:rPr>
        <w:fldChar w:fldCharType="begin" w:fldLock="1"/>
      </w:r>
      <w:r w:rsidR="00782A24">
        <w:rPr>
          <w:rFonts w:eastAsiaTheme="minorEastAsia"/>
          <w:lang w:val="en-US"/>
        </w:rPr>
        <w:instrText>ADDIN CSL_CITATION {"citationItems":[{"id":"ITEM-1","itemData":{"DOI":"10.1111/j.1469-185X.2010.00168.x","ISSN":"14647931","PMID":"21070587","abstract":"Geographical and temporal variations in body size are common phenomena among organisms and may evolve within a few years. We argue that body size acts much like a barometer, fluctuating in parallel with changes in the relevant key predictor(s), and that geographical and temporal changes in body size are actually manifestations of the same drivers. Frequently, the principal predictors of body size are food availability during the period of growth and ambient temperature, which often affects food availability. Food availability depends on net primary productivity that, in turn, is determined by climate and weather (mainly temperature and precipitation), and these depend mainly on solar radiation and other solar activities. When the above predictors are related to latitude the changes have often been interpreted as conforming to Bergmann's rule, but in many cases such interpretations should be viewed with caution due to the interrelationships among various environmental predictors. Recent temporal changes in body size have often been related to global warming. However, in many cases the above key predictors are not related to either latitude and/or year, and it is the task of the researcher to determine which particular environmental predictor is the one that determines food availability and, in turn, body size. The chance of discerning a significant change in body size depends to a large extent on sample size (specimens/year). The most recent changes in body size are probably phenotypic, but there are some cases in which they are partly genetic. © 2010 The Authors. Biological Reviews © 2010 Cambridge Philosophical Society.","author":[{"dropping-particle":"","family":"Yom-Tov","given":"Yoram","non-dropping-particle":"","parse-names":false,"suffix":""},{"dropping-particle":"","family":"Geffen","given":"Eli","non-dropping-particle":"","parse-names":false,"suffix":""}],"container-title":"Biological Reviews","id":"ITEM-1","issue":"2","issued":{"date-parts":[["2011"]]},"page":"531-541","title":"Recent spatial and temporal changes in body size of terrestrial vertebrates: Probable causes and pitfalls","type":"article-journal","volume":"86"},"uris":["http://www.mendeley.com/documents/?uuid=8da2d3ca-8a33-4bd5-a61b-eafd0b180ca5"]},{"id":"ITEM-2","itemData":{"DOI":"10.1111/j.1365-2486.2011.02538.x","ISSN":"13541013","abstract":"There has been a growing interest in whether established ecogeographical patterns, such as Bergmann's rule, explain changes in animal morphology related to climate change. Bergmann's rule has often been used to predict that body size will decrease as the climate warms, but the predictions about how body size will change are critically dependent on the mechanistic explanation behind the rule. To investigate change in avian body size in western North America, we used two long-term banding data sets from central California, USA; the data spanned 40 years (1971-2010) at one site and 27 years (1983-2009) at the other. We found that wing length of birds captured at both sites has been steadily increasing at a rate of 0.024-0.084% per year. Although changes in body mass were not always significant, when they were, the trend was positive and the magnitudes of significant trends were similar to those for wing length (0.040-0.112% per year). There was no clear difference between the rates of change of long-distance vs. short-distance migrants or between birds that bred locally compared to those that bred to the north of the sites. Previous studies from other regions of the world have documented decreases in avian body size and have used Bergmann's rule and increases in mean temperature to explain these shifts. Because our results do not support this pattern, we propose that rather than responding to increasing mean temperatures, avian body size in central California may be influenced by changing climatic variability or changes in primary productivity. More information on regional variation in the rates of avian body size change will be needed to test these hypotheses. © 2011 Blackwell Publishing Ltd.","author":[{"dropping-particle":"","family":"Goodman","given":"Rae E.","non-dropping-particle":"","parse-names":false,"suffix":""},{"dropping-particle":"","family":"Lebuhn","given":"Gretchen","non-dropping-particle":"","parse-names":false,"suffix":""},{"dropping-particle":"","family":"Seavy","given":"Nathaniel E.","non-dropping-particle":"","parse-names":false,"suffix":""},{"dropping-particle":"","family":"Gardali","given":"Thomas","non-dropping-particle":"","parse-names":false,"suffix":""},{"dropping-particle":"","family":"Bluso-Demers","given":"Jill D.","non-dropping-particle":"","parse-names":false,"suffix":""}],"container-title":"Global Change Biology","id":"ITEM-2","issue":"1","issued":{"date-parts":[["2012"]]},"page":"63-73","title":"Avian body size changes and climate change: Warming or increasing variability?","type":"article-journal","volume":"18"},"uris":["http://www.mendeley.com/documents/?uuid=6824a4c8-d6c0-491b-b876-a053388dc20f"]},{"id":"ITEM-3","itemData":{"DOI":"10.1371/journal.pone.0101927","ISSN":"19326203","PMID":"25019159","abstract":"Changes in morphology have been postulated as one of the responses of animals to global warming, with increasing ambient temperatures leading to decreasing body size. However, the results of previous studies are inconsistent. Problems related to the analyses of trends in body size may be related to the short-term nature of data sets, to the selection of surrogates for body size, to the appropriate models for data analyses, and to the interpretation as morphology may change in response to ecological drivers other than climate and irrespective of size. Using generalized additive models, we analysed trends in three morphological traits of 4529 specimens of eleven bird species collected between 1889 and 2010 in southern Germany and adjacent areas. Changes and trends in morphology over time were not consistent when all species and traits were considered. Six of the eleven species displayed a significant association of tarsus length with time but the direction of the association varied. Wing length decreased in the majority of species but there were few significant trends in wing pointedness. Few of the traits were significantly associated with mean ambient temperatures. We argue that although there are significant changes in morphology over time there is no consistent trend for decreasing body size and therefore no support for the hypothesis of decreasing body size because of climate change. Non-consistent trends of change in surrogates for size within species indicate that fluctuations are influenced by factors other than temperature, and that not all surrogates may represent size appropriately. Future analyses should carefully select measures of body size and consider alternative hypotheses for change. © 2014 Salewski et al.","author":[{"dropping-particle":"","family":"Salewski","given":"Volker","non-dropping-particle":"","parse-names":false,"suffix":""},{"dropping-particle":"","family":"Siebenrock","given":"Karl Heinz","non-dropping-particle":"","parse-names":false,"suffix":""},{"dropping-particle":"","family":"Hochachka","given":"Wesley M.","non-dropping-particle":"","parse-names":false,"suffix":""},{"dropping-particle":"","family":"Woog","given":"Friederike","non-dropping-particle":"","parse-names":false,"suffix":""},{"dropping-particle":"","family":"Fiedler","given":"Wolfgang","non-dropping-particle":"","parse-names":false,"suffix":""}],"container-title":"PLoS ONE","id":"ITEM-3","issue":"7","issued":{"date-parts":[["2014"]]},"page":"1-14","title":"Morphological change to birds over 120 Years is not explained by thermal adaptation to climate change","type":"article-journal","volume":"9"},"uris":["http://www.mendeley.com/documents/?uuid=89ac3224-8527-4c39-8adf-8c115b93e9dc"]}],"mendeley":{"formattedCitation":"(Goodman et al., 2012; Salewski et al., 2014; Yom-Tov &amp; Geffen, 2011)","plainTextFormattedCitation":"(Goodman et al., 2012; Salewski et al., 2014; Yom-Tov &amp; Geffen, 2011)","previouslyFormattedCitation":"(Goodman et al., 2012; Salewski et al., 2014; Yom-Tov &amp; Geffen, 2011)"},"properties":{"noteIndex":0},"schema":"https://github.com/citation-style-language/schema/raw/master/csl-citation.json"}</w:instrText>
      </w:r>
      <w:r w:rsidR="00782A24">
        <w:rPr>
          <w:rFonts w:eastAsiaTheme="minorEastAsia"/>
          <w:lang w:val="en-US"/>
        </w:rPr>
        <w:fldChar w:fldCharType="separate"/>
      </w:r>
      <w:r w:rsidR="00782A24" w:rsidRPr="00782A24">
        <w:rPr>
          <w:rFonts w:eastAsiaTheme="minorEastAsia"/>
          <w:noProof/>
          <w:lang w:val="en-US"/>
        </w:rPr>
        <w:t>(Goodman et al., 2012; Salewski et al., 2014; Yom-Tov &amp; Geffen, 2011)</w:t>
      </w:r>
      <w:r w:rsidR="00782A24">
        <w:rPr>
          <w:rFonts w:eastAsiaTheme="minorEastAsia"/>
          <w:lang w:val="en-US"/>
        </w:rPr>
        <w:fldChar w:fldCharType="end"/>
      </w:r>
      <w:r w:rsidRPr="0098165E">
        <w:rPr>
          <w:rFonts w:eastAsiaTheme="minorEastAsia"/>
          <w:lang w:val="en-US"/>
        </w:rPr>
        <w:t xml:space="preserve">. </w:t>
      </w:r>
      <w:r w:rsidR="00B3506A">
        <w:rPr>
          <w:rFonts w:eastAsiaTheme="minorEastAsia"/>
          <w:lang w:val="en-US"/>
        </w:rPr>
        <w:t>I</w:t>
      </w:r>
      <w:r w:rsidRPr="0098165E">
        <w:rPr>
          <w:rFonts w:eastAsiaTheme="minorEastAsia"/>
          <w:lang w:val="en-US"/>
        </w:rPr>
        <w:t xml:space="preserve">ntroduced species such as rats and mice </w:t>
      </w:r>
      <w:r w:rsidR="00B3506A">
        <w:rPr>
          <w:rFonts w:eastAsiaTheme="minorEastAsia"/>
          <w:lang w:val="en-US"/>
        </w:rPr>
        <w:t xml:space="preserve">may compete for </w:t>
      </w:r>
      <w:r w:rsidR="000266A5">
        <w:rPr>
          <w:rFonts w:eastAsiaTheme="minorEastAsia"/>
          <w:lang w:val="en-US"/>
        </w:rPr>
        <w:t xml:space="preserve">food </w:t>
      </w:r>
      <w:r w:rsidR="00B3506A">
        <w:rPr>
          <w:rFonts w:eastAsiaTheme="minorEastAsia"/>
          <w:lang w:val="en-US"/>
        </w:rPr>
        <w:t>re</w:t>
      </w:r>
      <w:r w:rsidR="000266A5">
        <w:rPr>
          <w:rFonts w:eastAsiaTheme="minorEastAsia"/>
          <w:lang w:val="en-US"/>
        </w:rPr>
        <w:t>sources</w:t>
      </w:r>
      <w:r w:rsidRPr="0098165E">
        <w:rPr>
          <w:rFonts w:eastAsiaTheme="minorEastAsia"/>
          <w:lang w:val="en-US"/>
        </w:rPr>
        <w:t xml:space="preserve"> </w:t>
      </w:r>
      <w:r w:rsidR="007143F3">
        <w:rPr>
          <w:rFonts w:eastAsiaTheme="minorEastAsia"/>
          <w:lang w:val="en-US"/>
        </w:rPr>
        <w:t>with w</w:t>
      </w:r>
      <w:r w:rsidR="007143F3" w:rsidRPr="0098165E">
        <w:rPr>
          <w:rFonts w:eastAsiaTheme="minorEastAsia"/>
          <w:lang w:val="en-US"/>
        </w:rPr>
        <w:t xml:space="preserve">hite-eared </w:t>
      </w:r>
      <w:r w:rsidR="007143F3">
        <w:rPr>
          <w:rFonts w:eastAsiaTheme="minorEastAsia"/>
          <w:lang w:val="en-US"/>
        </w:rPr>
        <w:t>g</w:t>
      </w:r>
      <w:r w:rsidR="007143F3" w:rsidRPr="0098165E">
        <w:rPr>
          <w:rFonts w:eastAsiaTheme="minorEastAsia"/>
          <w:lang w:val="en-US"/>
        </w:rPr>
        <w:t>round-sparrow</w:t>
      </w:r>
      <w:r w:rsidR="007143F3">
        <w:rPr>
          <w:rFonts w:eastAsiaTheme="minorEastAsia"/>
          <w:lang w:val="en-US"/>
        </w:rPr>
        <w:t>s</w:t>
      </w:r>
      <w:r w:rsidRPr="0098165E">
        <w:rPr>
          <w:rFonts w:eastAsiaTheme="minorEastAsia"/>
          <w:lang w:val="en-US"/>
        </w:rPr>
        <w:t xml:space="preserve">. </w:t>
      </w:r>
      <w:r w:rsidR="001630F8">
        <w:rPr>
          <w:rFonts w:eastAsiaTheme="minorEastAsia"/>
          <w:lang w:val="en-US"/>
        </w:rPr>
        <w:t xml:space="preserve">A similar reduction in body size was observed in the </w:t>
      </w:r>
      <w:r w:rsidRPr="0098165E">
        <w:rPr>
          <w:rFonts w:eastAsiaTheme="minorEastAsia"/>
          <w:lang w:val="en-US"/>
        </w:rPr>
        <w:t>lesser sheathbills</w:t>
      </w:r>
      <w:r w:rsidR="007E47B6">
        <w:rPr>
          <w:rFonts w:eastAsiaTheme="minorEastAsia"/>
          <w:lang w:val="en-US"/>
        </w:rPr>
        <w:t>,</w:t>
      </w:r>
      <w:r w:rsidRPr="0098165E">
        <w:rPr>
          <w:rFonts w:eastAsiaTheme="minorEastAsia"/>
          <w:lang w:val="en-US"/>
        </w:rPr>
        <w:t xml:space="preserve"> </w:t>
      </w:r>
      <w:proofErr w:type="spellStart"/>
      <w:r w:rsidRPr="00157603">
        <w:rPr>
          <w:rFonts w:eastAsiaTheme="minorEastAsia"/>
          <w:i/>
          <w:iCs/>
          <w:lang w:val="en-US"/>
        </w:rPr>
        <w:t>Chionis</w:t>
      </w:r>
      <w:proofErr w:type="spellEnd"/>
      <w:r w:rsidRPr="00157603">
        <w:rPr>
          <w:rFonts w:eastAsiaTheme="minorEastAsia"/>
          <w:i/>
          <w:iCs/>
          <w:lang w:val="en-US"/>
        </w:rPr>
        <w:t xml:space="preserve"> minor</w:t>
      </w:r>
      <w:r w:rsidR="001630F8">
        <w:rPr>
          <w:rFonts w:eastAsiaTheme="minorEastAsia"/>
          <w:i/>
          <w:iCs/>
          <w:lang w:val="en-US"/>
        </w:rPr>
        <w:t>,</w:t>
      </w:r>
      <w:r w:rsidRPr="0098165E">
        <w:rPr>
          <w:rFonts w:eastAsiaTheme="minorEastAsia"/>
          <w:lang w:val="en-US"/>
        </w:rPr>
        <w:t xml:space="preserve"> in Marion Island</w:t>
      </w:r>
      <w:r w:rsidR="001630F8">
        <w:rPr>
          <w:rFonts w:eastAsiaTheme="minorEastAsia"/>
          <w:lang w:val="en-US"/>
        </w:rPr>
        <w:t>,</w:t>
      </w:r>
      <w:r w:rsidRPr="0098165E">
        <w:rPr>
          <w:rFonts w:eastAsiaTheme="minorEastAsia"/>
          <w:lang w:val="en-US"/>
        </w:rPr>
        <w:t xml:space="preserve"> </w:t>
      </w:r>
      <w:r w:rsidR="001630F8">
        <w:rPr>
          <w:rFonts w:eastAsiaTheme="minorEastAsia"/>
          <w:lang w:val="en-US"/>
        </w:rPr>
        <w:t xml:space="preserve">due to the </w:t>
      </w:r>
      <w:r w:rsidRPr="0098165E">
        <w:rPr>
          <w:rFonts w:eastAsiaTheme="minorEastAsia"/>
          <w:lang w:val="en-US"/>
        </w:rPr>
        <w:t xml:space="preserve">introduction of rats and cats that </w:t>
      </w:r>
      <w:r w:rsidR="00C114E6">
        <w:rPr>
          <w:rFonts w:eastAsiaTheme="minorEastAsia"/>
          <w:lang w:val="en-US"/>
        </w:rPr>
        <w:t xml:space="preserve">eat </w:t>
      </w:r>
      <w:r w:rsidRPr="0098165E">
        <w:rPr>
          <w:rFonts w:eastAsiaTheme="minorEastAsia"/>
          <w:lang w:val="en-US"/>
        </w:rPr>
        <w:t xml:space="preserve">terrestrial macro-invertebrates, the </w:t>
      </w:r>
      <w:r w:rsidR="004A374B">
        <w:rPr>
          <w:rFonts w:eastAsiaTheme="minorEastAsia"/>
          <w:lang w:val="en-US"/>
        </w:rPr>
        <w:t>sheathbills</w:t>
      </w:r>
      <w:r w:rsidR="00C114E6">
        <w:rPr>
          <w:rFonts w:eastAsiaTheme="minorEastAsia"/>
          <w:lang w:val="en-US"/>
        </w:rPr>
        <w:t xml:space="preserve"> primary </w:t>
      </w:r>
      <w:r w:rsidRPr="0098165E">
        <w:rPr>
          <w:rFonts w:eastAsiaTheme="minorEastAsia"/>
          <w:lang w:val="en-US"/>
        </w:rPr>
        <w:t xml:space="preserve">food resource </w:t>
      </w:r>
      <w:r w:rsidR="00EB7917">
        <w:rPr>
          <w:rFonts w:eastAsiaTheme="minorEastAsia"/>
          <w:lang w:val="en-US"/>
        </w:rPr>
        <w:fldChar w:fldCharType="begin" w:fldLock="1"/>
      </w:r>
      <w:r w:rsidR="00EB7917">
        <w:rPr>
          <w:rFonts w:eastAsiaTheme="minorEastAsia"/>
          <w:lang w:val="en-US"/>
        </w:rPr>
        <w:instrText>ADDIN CSL_CITATION {"citationItems":[{"id":"ITEM-1","itemData":{"DOI":"10.1016/S0006-3207(99)00096-8","ISSN":"00063207","abstract":"Impacts on the native avifauna of sub-Antarctic islands by introduced vertebrates are well documented for species such as burrowing petrels (Procellariidae), but less is known about impacts on surface-nesting species. The sub-Antarctic Prince Edward Islands, comprising Marion and Prince Edward Islands, support an endemic form of lesser sheathbill (Chionis minor). Marked differences have developed over the last 20 years in winter habitat use and population trends of sheathbills between the two islands. Currently birds at Marion forage almost exclusively along the coastline and in penguin colonies during winter, but at Prince Edward they occur at higher densities and forage throughout the coastal plain. Compared to the 1970s, Sheathbills at Marion are now less abundant around most of the island, forage proportionally less in the vegetation of the coastal plain, commence breeding with a lower body mass and lay smaller clutches. These changes are likely a result of a decrease in terrestrial macro-invertebrate prey, formerly an important winter food resource for sheathbills at Marion Island. The main biological difference between the two islands is the presence of many more introduced species at Marion, including house mice (Mus musculus) and feral cats (Felis catus) (now eradicated). We suggest that house mice are impacting the sheathbill population by consuming terrestrial macro-invertebrates, and that this impact has been exacerbated by the removal of feral cats, by the massive reduction in burrowing petrels (which promote invertebrate populations through manuring), and by climatic warming (which may be promoting higher densities of mice). This proposed web of interactions between sheathbills, introduced species, invertebrates and burrowing petrels needs to be further investigated, given the likelihood of further climatic change. (C) 2000 Elsevier Science Ltd.","author":[{"dropping-particle":"","family":"Huyser","given":"Onno","non-dropping-particle":"","parse-names":false,"suffix":""},{"dropping-particle":"","family":"Ryan","given":"Peter G.","non-dropping-particle":"","parse-names":false,"suffix":""},{"dropping-particle":"","family":"Cooper","given":"John","non-dropping-particle":"","parse-names":false,"suffix":""}],"container-title":"Biological Conservation","id":"ITEM-1","issue":"3","issued":{"date-parts":[["2000"]]},"page":"299-310","title":"Changes in population size, habitat use and breeding biology of lesser sheathbills (Chionis minor) at Marion Island: Impacts of cats, mice and climate change?","type":"article-journal","volume":"92"},"uris":["http://www.mendeley.com/documents/?uuid=c532ec48-fa96-4b78-acfa-2d44bd101038"]}],"mendeley":{"formattedCitation":"(Huyser et al., 2000)","plainTextFormattedCitation":"(Huyser et al., 2000)","previouslyFormattedCitation":"(Huyser et al., 2000)"},"properties":{"noteIndex":0},"schema":"https://github.com/citation-style-language/schema/raw/master/csl-citation.json"}</w:instrText>
      </w:r>
      <w:r w:rsidR="00EB7917">
        <w:rPr>
          <w:rFonts w:eastAsiaTheme="minorEastAsia"/>
          <w:lang w:val="en-US"/>
        </w:rPr>
        <w:fldChar w:fldCharType="separate"/>
      </w:r>
      <w:r w:rsidR="00EB7917" w:rsidRPr="00EB7917">
        <w:rPr>
          <w:rFonts w:eastAsiaTheme="minorEastAsia"/>
          <w:noProof/>
          <w:lang w:val="en-US"/>
        </w:rPr>
        <w:t>(Huyser et al., 2000)</w:t>
      </w:r>
      <w:r w:rsidR="00EB7917">
        <w:rPr>
          <w:rFonts w:eastAsiaTheme="minorEastAsia"/>
          <w:lang w:val="en-US"/>
        </w:rPr>
        <w:fldChar w:fldCharType="end"/>
      </w:r>
      <w:r w:rsidRPr="0098165E">
        <w:rPr>
          <w:rFonts w:eastAsiaTheme="minorEastAsia"/>
          <w:lang w:val="en-US"/>
        </w:rPr>
        <w:t xml:space="preserve">. </w:t>
      </w:r>
      <w:r w:rsidR="00EF625F">
        <w:rPr>
          <w:rFonts w:eastAsiaTheme="minorEastAsia"/>
          <w:lang w:val="en-US"/>
        </w:rPr>
        <w:t>I</w:t>
      </w:r>
      <w:r w:rsidRPr="0098165E">
        <w:rPr>
          <w:rFonts w:eastAsiaTheme="minorEastAsia"/>
          <w:lang w:val="en-US"/>
        </w:rPr>
        <w:t xml:space="preserve">n white-eared ground-sparrows </w:t>
      </w:r>
      <w:r w:rsidR="00EF625F">
        <w:rPr>
          <w:rFonts w:eastAsiaTheme="minorEastAsia"/>
          <w:lang w:val="en-US"/>
        </w:rPr>
        <w:t>reduction in body size</w:t>
      </w:r>
      <w:r w:rsidRPr="0098165E">
        <w:rPr>
          <w:rFonts w:eastAsiaTheme="minorEastAsia"/>
          <w:lang w:val="en-US"/>
        </w:rPr>
        <w:t xml:space="preserve"> may </w:t>
      </w:r>
      <w:r w:rsidR="00EF625F">
        <w:rPr>
          <w:rFonts w:eastAsiaTheme="minorEastAsia"/>
          <w:lang w:val="en-US"/>
        </w:rPr>
        <w:t xml:space="preserve">also </w:t>
      </w:r>
      <w:r w:rsidRPr="0098165E">
        <w:rPr>
          <w:rFonts w:eastAsiaTheme="minorEastAsia"/>
          <w:lang w:val="en-US"/>
        </w:rPr>
        <w:t xml:space="preserve">be </w:t>
      </w:r>
      <w:r w:rsidRPr="0098165E">
        <w:rPr>
          <w:rFonts w:eastAsiaTheme="minorEastAsia"/>
          <w:lang w:val="en-US"/>
        </w:rPr>
        <w:lastRenderedPageBreak/>
        <w:t xml:space="preserve">caused by lower-quality food </w:t>
      </w:r>
      <w:r w:rsidR="00C114E6">
        <w:rPr>
          <w:rFonts w:eastAsiaTheme="minorEastAsia"/>
          <w:lang w:val="en-US"/>
        </w:rPr>
        <w:t xml:space="preserve">as a result of </w:t>
      </w:r>
      <w:r w:rsidRPr="0098165E">
        <w:rPr>
          <w:rFonts w:eastAsiaTheme="minorEastAsia"/>
          <w:lang w:val="en-US"/>
        </w:rPr>
        <w:t xml:space="preserve">urbanization </w:t>
      </w:r>
      <w:r w:rsidR="00782A24">
        <w:rPr>
          <w:rFonts w:eastAsiaTheme="minorEastAsia"/>
          <w:lang w:val="en-US"/>
        </w:rPr>
        <w:fldChar w:fldCharType="begin" w:fldLock="1"/>
      </w:r>
      <w:r w:rsidR="00EB7917">
        <w:rPr>
          <w:rFonts w:eastAsiaTheme="minorEastAsia"/>
          <w:lang w:val="en-US"/>
        </w:rPr>
        <w:instrText>ADDIN CSL_CITATION {"citationItems":[{"id":"ITEM-1","itemData":{"DOI":"10.1016/j.actao.2006.03.002","ISSN":"1146609X","abstract":"The small variability of habitat generalist abundances in relation to landscape changes has been related to their behavioural flexibility. We hypothesise that successful generalists, such as the starling, compensate for feeding resource difficulties (poor quality of food, accessibility) in habitats such as urban ecosystems and that its behavioural flexibility allows for similar breeding performance in rural and urban areas. Along an urbanisation gradient we compared simultaneously (1) success factors such as the abundance of breeding starlings, their breeding performance and the fitness of nestlings, and (2) possible flexibility quantified through the rate of parental food-provisioning, and the composition and the amount of food delivered to nestlings. Abundance of breeding starlings are similar throughout the urbanisation gradient, but urbanisation profoundly and negatively affects reproductive parameters of starlings. Differences in the amount of food delivered to nestlings by parents (less food in town centre), and the small masses of nestlings reared in the urban sectors support the idea that urban nestlings received insufficient food loads. Despite modifications to their diurnal food-provisioning rhythm and the incorporation of some human food refuse into their diet, starling parents have a significantly reduced production of young in the urban centre sector. We rebut the idea that the \"generalist\" starling is able to breed successfully anywhere: other more \"specialist\" species succeed in producing their young by innovating more in terms of diet resources. We suggest defining successful birds with respect to colonisation or invasion process through behavioural innovation rather than an ambiguous habitat generalist definition. © 2006 Elsevier Masson SAS. All rights reserved.","author":[{"dropping-particle":"","family":"Mennechez","given":"Gwénaëlle","non-dropping-particle":"","parse-names":false,"suffix":""},{"dropping-particle":"","family":"Clergeau","given":"Philippe","non-dropping-particle":"","parse-names":false,"suffix":""}],"container-title":"Acta Oecologica","id":"ITEM-1","issue":"2","issued":{"date-parts":[["2006"]]},"page":"182-191","title":"Effect of urbanisation on habitat generalists: starlings not so flexible?","type":"article-journal","volume":"30"},"uris":["http://www.mendeley.com/documents/?uuid=f0cf5b63-255f-40a9-83d4-05a7bdfb4d86"]}],"mendeley":{"formattedCitation":"(Mennechez &amp; Clergeau, 2006)","plainTextFormattedCitation":"(Mennechez &amp; Clergeau, 2006)","previouslyFormattedCitation":"(Mennechez &amp; Clergeau, 2006)"},"properties":{"noteIndex":0},"schema":"https://github.com/citation-style-language/schema/raw/master/csl-citation.json"}</w:instrText>
      </w:r>
      <w:r w:rsidR="00782A24">
        <w:rPr>
          <w:rFonts w:eastAsiaTheme="minorEastAsia"/>
          <w:lang w:val="en-US"/>
        </w:rPr>
        <w:fldChar w:fldCharType="separate"/>
      </w:r>
      <w:r w:rsidR="00782A24" w:rsidRPr="00782A24">
        <w:rPr>
          <w:rFonts w:eastAsiaTheme="minorEastAsia"/>
          <w:noProof/>
          <w:lang w:val="en-US"/>
        </w:rPr>
        <w:t>(Mennechez &amp; Clergeau, 2006)</w:t>
      </w:r>
      <w:r w:rsidR="00782A24">
        <w:rPr>
          <w:rFonts w:eastAsiaTheme="minorEastAsia"/>
          <w:lang w:val="en-US"/>
        </w:rPr>
        <w:fldChar w:fldCharType="end"/>
      </w:r>
      <w:r w:rsidRPr="0098165E">
        <w:rPr>
          <w:rFonts w:eastAsiaTheme="minorEastAsia"/>
          <w:lang w:val="en-US"/>
        </w:rPr>
        <w:t xml:space="preserve">. </w:t>
      </w:r>
      <w:r w:rsidR="00C114E6">
        <w:rPr>
          <w:rFonts w:eastAsiaTheme="minorEastAsia"/>
          <w:lang w:val="en-US"/>
        </w:rPr>
        <w:t xml:space="preserve">Higher </w:t>
      </w:r>
      <w:r w:rsidRPr="0098165E">
        <w:rPr>
          <w:rFonts w:eastAsiaTheme="minorEastAsia"/>
          <w:lang w:val="en-US"/>
        </w:rPr>
        <w:t>predation risk</w:t>
      </w:r>
      <w:r w:rsidR="00C114E6">
        <w:rPr>
          <w:rFonts w:eastAsiaTheme="minorEastAsia"/>
          <w:lang w:val="en-US"/>
        </w:rPr>
        <w:t>s</w:t>
      </w:r>
      <w:r w:rsidRPr="0098165E">
        <w:rPr>
          <w:rFonts w:eastAsiaTheme="minorEastAsia"/>
          <w:lang w:val="en-US"/>
        </w:rPr>
        <w:t xml:space="preserve"> could also play an important role in size reduction, </w:t>
      </w:r>
      <w:r w:rsidR="00CD3C04">
        <w:rPr>
          <w:rFonts w:eastAsiaTheme="minorEastAsia"/>
          <w:lang w:val="en-US"/>
        </w:rPr>
        <w:t>because smaller individuals may be better able to avoid cats and other predators</w:t>
      </w:r>
      <w:r w:rsidR="004A374B">
        <w:rPr>
          <w:rFonts w:eastAsiaTheme="minorEastAsia"/>
          <w:lang w:val="en-US"/>
        </w:rPr>
        <w:t xml:space="preserve"> </w:t>
      </w:r>
      <w:r w:rsidR="00EB7917">
        <w:rPr>
          <w:rFonts w:eastAsiaTheme="minorEastAsia"/>
          <w:lang w:val="en-US"/>
        </w:rPr>
        <w:fldChar w:fldCharType="begin" w:fldLock="1"/>
      </w:r>
      <w:r w:rsidR="00EB7917">
        <w:rPr>
          <w:rFonts w:eastAsiaTheme="minorEastAsia"/>
          <w:lang w:val="en-US"/>
        </w:rPr>
        <w:instrText>ADDIN CSL_CITATION {"citationItems":[{"id":"ITEM-1","itemData":{"DOI":"10.1111/j.1439-0310.2011.01944.x","ISSN":"01791613","abstract":"Habitat urbanization may change the density of predators, and it is often assumed that such changes lead to altered predation risk for urban populations of their prey. Although it is difficult to study predation hazard directly, behavior responses of prey species may be informative in inferring such habitat differences. In this study, we compared the risk-taking behavior of urban and rural house sparrows (Passer domesticus) after simulated attacks by two of their important predators (sparrowhawk Accipiter nisus and domestic cat Felis catus). The birds were startled by moving dummies of these predators and respective control objects, and their risk taking was estimated as their latency to feed after the startle. We found that sparrows responded more strongly (had longer post-startle feeding latencies) to sparrowhawk attacks than to the control object, and their responses differed between the habitats. First, risk taking of urban birds strongly decreased with age (older birds had longer latencies than young birds), while there was no such age difference in rural birds. Second, young urban birds responded less strongly, while older urban birds responded more strongly to the sparrowhawk than the same age groups of rural birds, respectively. We did not succeed in evoking antipredatory response by simulated cat attacks, because birds responded similarly to the dummy and the control object. Our results support that predation risk, posed at least by avian predators, is different in urban and rural habitats of house sparrows. The increased wariness of older, hence presumably more experienced, urban birds implies that sparrows may be more exposed to predation in cities. © 2011 Blackwell Verlag GmbH.","author":[{"dropping-particle":"","family":"Seress","given":"Gábor","non-dropping-particle":"","parse-names":false,"suffix":""},{"dropping-particle":"","family":"Bókony","given":"Veronika","non-dropping-particle":"","parse-names":false,"suffix":""},{"dropping-particle":"","family":"Heszberger","given":"János","non-dropping-particle":"","parse-names":false,"suffix":""},{"dropping-particle":"","family":"Liker","given":"András","non-dropping-particle":"","parse-names":false,"suffix":""}],"container-title":"Ethology","id":"ITEM-1","issue":"10","issued":{"date-parts":[["2011"]]},"page":"896-907","title":"Response to predation risk in urban and rural house sparrows","type":"article-journal","volume":"117"},"uris":["http://www.mendeley.com/documents/?uuid=4471dd18-cfa8-4869-8386-912f5736f21a"]}],"mendeley":{"formattedCitation":"(Seress et al., 2011)","plainTextFormattedCitation":"(Seress et al., 2011)","previouslyFormattedCitation":"(Seress et al., 2011)"},"properties":{"noteIndex":0},"schema":"https://github.com/citation-style-language/schema/raw/master/csl-citation.json"}</w:instrText>
      </w:r>
      <w:r w:rsidR="00EB7917">
        <w:rPr>
          <w:rFonts w:eastAsiaTheme="minorEastAsia"/>
          <w:lang w:val="en-US"/>
        </w:rPr>
        <w:fldChar w:fldCharType="separate"/>
      </w:r>
      <w:r w:rsidR="00EB7917" w:rsidRPr="00EB7917">
        <w:rPr>
          <w:rFonts w:eastAsiaTheme="minorEastAsia"/>
          <w:noProof/>
          <w:lang w:val="en-US"/>
        </w:rPr>
        <w:t>(Seress et al., 2011)</w:t>
      </w:r>
      <w:r w:rsidR="00EB7917">
        <w:rPr>
          <w:rFonts w:eastAsiaTheme="minorEastAsia"/>
          <w:lang w:val="en-US"/>
        </w:rPr>
        <w:fldChar w:fldCharType="end"/>
      </w:r>
      <w:r w:rsidR="00525446">
        <w:rPr>
          <w:rFonts w:eastAsiaTheme="minorEastAsia"/>
          <w:lang w:val="en-US"/>
        </w:rPr>
        <w:t xml:space="preserve">. </w:t>
      </w:r>
      <w:r w:rsidR="00C542A8">
        <w:rPr>
          <w:rFonts w:eastAsiaTheme="minorEastAsia"/>
          <w:lang w:val="en-US"/>
        </w:rPr>
        <w:t>Given that sparrows are a common prey of cats</w:t>
      </w:r>
      <w:r w:rsidR="004A374B">
        <w:rPr>
          <w:rFonts w:eastAsiaTheme="minorEastAsia"/>
          <w:lang w:val="en-US"/>
        </w:rPr>
        <w:t xml:space="preserve"> </w:t>
      </w:r>
      <w:r w:rsidR="004A374B">
        <w:rPr>
          <w:rFonts w:eastAsiaTheme="minorEastAsia"/>
          <w:lang w:val="en-US"/>
        </w:rPr>
        <w:fldChar w:fldCharType="begin" w:fldLock="1"/>
      </w:r>
      <w:r w:rsidR="004A374B">
        <w:rPr>
          <w:rFonts w:eastAsiaTheme="minorEastAsia"/>
          <w:lang w:val="en-US"/>
        </w:rPr>
        <w:instrText>ADDIN CSL_CITATION {"citationItems":[{"id":"ITEM-1","itemData":{"DOI":"10.1111/j.1439-0310.2011.01944.x","ISSN":"01791613","abstract":"Habitat urbanization may change the density of predators, and it is often assumed that such changes lead to altered predation risk for urban populations of their prey. Although it is difficult to study predation hazard directly, behavior responses of prey species may be informative in inferring such habitat differences. In this study, we compared the risk-taking behavior of urban and rural house sparrows (Passer domesticus) after simulated attacks by two of their important predators (sparrowhawk Accipiter nisus and domestic cat Felis catus). The birds were startled by moving dummies of these predators and respective control objects, and their risk taking was estimated as their latency to feed after the startle. We found that sparrows responded more strongly (had longer post-startle feeding latencies) to sparrowhawk attacks than to the control object, and their responses differed between the habitats. First, risk taking of urban birds strongly decreased with age (older birds had longer latencies than young birds), while there was no such age difference in rural birds. Second, young urban birds responded less strongly, while older urban birds responded more strongly to the sparrowhawk than the same age groups of rural birds, respectively. We did not succeed in evoking antipredatory response by simulated cat attacks, because birds responded similarly to the dummy and the control object. Our results support that predation risk, posed at least by avian predators, is different in urban and rural habitats of house sparrows. The increased wariness of older, hence presumably more experienced, urban birds implies that sparrows may be more exposed to predation in cities. © 2011 Blackwell Verlag GmbH.","author":[{"dropping-particle":"","family":"Seress","given":"Gábor","non-dropping-particle":"","parse-names":false,"suffix":""},{"dropping-particle":"","family":"Bókony","given":"Veronika","non-dropping-particle":"","parse-names":false,"suffix":""},{"dropping-particle":"","family":"Heszberger","given":"János","non-dropping-particle":"","parse-names":false,"suffix":""},{"dropping-particle":"","family":"Liker","given":"András","non-dropping-particle":"","parse-names":false,"suffix":""}],"container-title":"Ethology","id":"ITEM-1","issue":"10","issued":{"date-parts":[["2011"]]},"page":"896-907","title":"Response to predation risk in urban and rural house sparrows","type":"article-journal","volume":"117"},"uris":["http://www.mendeley.com/documents/?uuid=4471dd18-cfa8-4869-8386-912f5736f21a"]},{"id":"ITEM-2","itemData":{"DOI":"10.1111/j.1469-185X.2010.00168.x","ISSN":"14647931","PMID":"21070587","abstract":"Geographical and temporal variations in body size are common phenomena among organisms and may evolve within a few years. We argue that body size acts much like a barometer, fluctuating in parallel with changes in the relevant key predictor(s), and that geographical and temporal changes in body size are actually manifestations of the same drivers. Frequently, the principal predictors of body size are food availability during the period of growth and ambient temperature, which often affects food availability. Food availability depends on net primary productivity that, in turn, is determined by climate and weather (mainly temperature and precipitation), and these depend mainly on solar radiation and other solar activities. When the above predictors are related to latitude the changes have often been interpreted as conforming to Bergmann's rule, but in many cases such interpretations should be viewed with caution due to the interrelationships among various environmental predictors. Recent temporal changes in body size have often been related to global warming. However, in many cases the above key predictors are not related to either latitude and/or year, and it is the task of the researcher to determine which particular environmental predictor is the one that determines food availability and, in turn, body size. The chance of discerning a significant change in body size depends to a large extent on sample size (specimens/year). The most recent changes in body size are probably phenotypic, but there are some cases in which they are partly genetic. © 2010 The Authors. Biological Reviews © 2010 Cambridge Philosophical Society.","author":[{"dropping-particle":"","family":"Yom-Tov","given":"Yoram","non-dropping-particle":"","parse-names":false,"suffix":""},{"dropping-particle":"","family":"Geffen","given":"Eli","non-dropping-particle":"","parse-names":false,"suffix":""}],"container-title":"Biological Reviews","id":"ITEM-2","issue":"2","issued":{"date-parts":[["2011"]]},"page":"531-541","title":"Recent spatial and temporal changes in body size of terrestrial vertebrates: Probable causes and pitfalls","type":"article-journal","volume":"86"},"uris":["http://www.mendeley.com/documents/?uuid=8da2d3ca-8a33-4bd5-a61b-eafd0b180ca5"]}],"mendeley":{"formattedCitation":"(Seress et al., 2011; Yom-Tov &amp; Geffen, 2011)","plainTextFormattedCitation":"(Seress et al., 2011; Yom-Tov &amp; Geffen, 2011)","previouslyFormattedCitation":"(Seress et al., 2011; Yom-Tov &amp; Geffen, 2011)"},"properties":{"noteIndex":0},"schema":"https://github.com/citation-style-language/schema/raw/master/csl-citation.json"}</w:instrText>
      </w:r>
      <w:r w:rsidR="004A374B">
        <w:rPr>
          <w:rFonts w:eastAsiaTheme="minorEastAsia"/>
          <w:lang w:val="en-US"/>
        </w:rPr>
        <w:fldChar w:fldCharType="separate"/>
      </w:r>
      <w:r w:rsidR="004A374B" w:rsidRPr="00EB7917">
        <w:rPr>
          <w:rFonts w:eastAsiaTheme="minorEastAsia"/>
          <w:noProof/>
          <w:lang w:val="en-US"/>
        </w:rPr>
        <w:t>(Seress et al., 2011; Yom-Tov &amp; Geffen, 2011)</w:t>
      </w:r>
      <w:r w:rsidR="004A374B">
        <w:rPr>
          <w:rFonts w:eastAsiaTheme="minorEastAsia"/>
          <w:lang w:val="en-US"/>
        </w:rPr>
        <w:fldChar w:fldCharType="end"/>
      </w:r>
      <w:r w:rsidR="00C542A8">
        <w:rPr>
          <w:rFonts w:eastAsiaTheme="minorEastAsia"/>
          <w:lang w:val="en-US"/>
        </w:rPr>
        <w:t xml:space="preserve">, this would be an important adaptation </w:t>
      </w:r>
      <w:r w:rsidR="00EF625F">
        <w:rPr>
          <w:rFonts w:eastAsiaTheme="minorEastAsia"/>
          <w:lang w:val="en-US"/>
        </w:rPr>
        <w:t xml:space="preserve">(or selection </w:t>
      </w:r>
      <w:r w:rsidR="000C70FB">
        <w:rPr>
          <w:rFonts w:eastAsiaTheme="minorEastAsia"/>
          <w:lang w:val="en-US"/>
        </w:rPr>
        <w:t>pressure</w:t>
      </w:r>
      <w:r w:rsidR="00EF625F">
        <w:rPr>
          <w:rFonts w:eastAsiaTheme="minorEastAsia"/>
          <w:lang w:val="en-US"/>
        </w:rPr>
        <w:t xml:space="preserve">) </w:t>
      </w:r>
      <w:r w:rsidR="00C542A8">
        <w:rPr>
          <w:rFonts w:eastAsiaTheme="minorEastAsia"/>
          <w:lang w:val="en-US"/>
        </w:rPr>
        <w:t xml:space="preserve">for ground-sparrows </w:t>
      </w:r>
      <w:r w:rsidR="007143F3">
        <w:rPr>
          <w:rFonts w:eastAsiaTheme="minorEastAsia"/>
          <w:lang w:val="en-US"/>
        </w:rPr>
        <w:t>in highly urbanized sites</w:t>
      </w:r>
      <w:r w:rsidR="004A374B">
        <w:rPr>
          <w:rFonts w:eastAsiaTheme="minorEastAsia"/>
          <w:lang w:val="en-US"/>
        </w:rPr>
        <w:t>.</w:t>
      </w:r>
      <w:r w:rsidRPr="0098165E">
        <w:rPr>
          <w:rFonts w:eastAsiaTheme="minorEastAsia"/>
          <w:lang w:val="en-US"/>
        </w:rPr>
        <w:t xml:space="preserve"> </w:t>
      </w:r>
    </w:p>
    <w:p w14:paraId="2749B76A" w14:textId="244A9F21" w:rsidR="00151FA3" w:rsidRDefault="00151FA3" w:rsidP="00433792">
      <w:pPr>
        <w:spacing w:line="480" w:lineRule="auto"/>
        <w:ind w:firstLine="709"/>
        <w:rPr>
          <w:rFonts w:eastAsiaTheme="minorEastAsia"/>
          <w:lang w:val="en-US"/>
        </w:rPr>
      </w:pPr>
      <w:r>
        <w:rPr>
          <w:rFonts w:eastAsiaTheme="minorEastAsia"/>
          <w:lang w:val="en-US"/>
        </w:rPr>
        <w:t>In JBL males increase</w:t>
      </w:r>
      <w:r w:rsidR="00433792">
        <w:rPr>
          <w:rFonts w:eastAsiaTheme="minorEastAsia"/>
          <w:lang w:val="en-US"/>
        </w:rPr>
        <w:t>d</w:t>
      </w:r>
      <w:r>
        <w:rPr>
          <w:rFonts w:eastAsiaTheme="minorEastAsia"/>
          <w:lang w:val="en-US"/>
        </w:rPr>
        <w:t xml:space="preserve"> the exposed culmen length and decrease</w:t>
      </w:r>
      <w:r w:rsidR="00433792">
        <w:rPr>
          <w:rFonts w:eastAsiaTheme="minorEastAsia"/>
          <w:lang w:val="en-US"/>
        </w:rPr>
        <w:t>d</w:t>
      </w:r>
      <w:r>
        <w:rPr>
          <w:rFonts w:eastAsiaTheme="minorEastAsia"/>
          <w:lang w:val="en-US"/>
        </w:rPr>
        <w:t xml:space="preserve"> beak width </w:t>
      </w:r>
      <w:r w:rsidR="007A567F">
        <w:rPr>
          <w:rFonts w:eastAsiaTheme="minorEastAsia"/>
          <w:lang w:val="en-US"/>
        </w:rPr>
        <w:t xml:space="preserve">between </w:t>
      </w:r>
      <w:r>
        <w:rPr>
          <w:rFonts w:eastAsiaTheme="minorEastAsia"/>
          <w:lang w:val="en-US"/>
        </w:rPr>
        <w:t xml:space="preserve">sampling periods. </w:t>
      </w:r>
      <w:r w:rsidR="006038C6">
        <w:rPr>
          <w:rFonts w:eastAsiaTheme="minorEastAsia"/>
          <w:lang w:val="en-US"/>
        </w:rPr>
        <w:t>Due to the widespread use of bird feeders, the trend toward longer beaks has been linked to the consumption of larger prey or generalized feeding</w:t>
      </w:r>
      <w:r w:rsidR="004A374B">
        <w:rPr>
          <w:rFonts w:eastAsiaTheme="minorEastAsia"/>
          <w:lang w:val="en-US"/>
        </w:rPr>
        <w:t xml:space="preserve"> </w:t>
      </w:r>
      <w:r w:rsidR="00685381">
        <w:rPr>
          <w:rFonts w:eastAsiaTheme="minorEastAsia"/>
          <w:lang w:val="en-US"/>
        </w:rPr>
        <w:fldChar w:fldCharType="begin" w:fldLock="1"/>
      </w:r>
      <w:r w:rsidR="00215410">
        <w:rPr>
          <w:rFonts w:eastAsiaTheme="minorEastAsia"/>
          <w:lang w:val="en-US"/>
        </w:rPr>
        <w:instrText>ADDIN CSL_CITATION {"citationItems":[{"id":"ITEM-1","itemData":{"DOI":"10.1126/science.aal3298","ISSN":"10959203","PMID":"29051380","abstract":"We used extensive data froma long-term study of great tits (Parusmajor) in theUnitedKingdom and Netherlands to better understand how genetic signatures of selection translate into variation in fitness and phenotypes.We found that genomic regions under differential selection contained candidate genes for bill morphology and used genetic architecture analyses to confirmthat these genes, especially the collagen gene COL4A5, explained variation in bill length. COL4A5 variation was associated with reproductive success, which, combined with spatiotemporal patterns of bill length, suggested ongoing selection for longer bills in the United Kingdom. Last, bill length and COL4A5 variation were associated with usage of feeders, suggesting that longer bills may have evolved in the United Kingdom as a response to supplementary feeding.","author":[{"dropping-particle":"","family":"Bosse","given":"Mirte","non-dropping-particle":"","parse-names":false,"suffix":""},{"dropping-particle":"","family":"Spurgin","given":"Lewis G.","non-dropping-particle":"","parse-names":false,"suffix":""},{"dropping-particle":"","family":"Laine","given":"Veronika N.","non-dropping-particle":"","parse-names":false,"suffix":""},{"dropping-particle":"","family":"Cole","given":"Ella F.","non-dropping-particle":"","parse-names":false,"suffix":""},{"dropping-particle":"","family":"Firth","given":"Josh A.","non-dropping-particle":"","parse-names":false,"suffix":""},{"dropping-particle":"","family":"Gienapp","given":"Phillip","non-dropping-particle":"","parse-names":false,"suffix":""},{"dropping-particle":"","family":"Gosler","given":"Andrew G.","non-dropping-particle":"","parse-names":false,"suffix":""},{"dropping-particle":"","family":"McMahon","given":"Keith","non-dropping-particle":"","parse-names":false,"suffix":""},{"dropping-particle":"","family":"Poissant","given":"Jocelyn","non-dropping-particle":"","parse-names":false,"suffix":""},{"dropping-particle":"","family":"Verhagen","given":"Irene","non-dropping-particle":"","parse-names":false,"suffix":""},{"dropping-particle":"","family":"Groenen","given":"Martien A.M.","non-dropping-particle":"","parse-names":false,"suffix":""},{"dropping-particle":"","family":"Oers","given":"Kees","non-dropping-particle":"Van","parse-names":false,"suffix":""},{"dropping-particle":"","family":"Sheldon","given":"Ben C.","non-dropping-particle":"","parse-names":false,"suffix":""},{"dropping-particle":"","family":"Visser","given":"Marcel E.","non-dropping-particle":"","parse-names":false,"suffix":""},{"dropping-particle":"","family":"Slate","given":"Jon","non-dropping-particle":"","parse-names":false,"suffix":""}],"container-title":"Science","id":"ITEM-1","issue":"6361","issued":{"date-parts":[["2017"]]},"page":"365-368","title":"Recent natural selection causes adaptive evolution of an avian polygenic trait","type":"article-journal","volume":"358"},"uris":["http://www.mendeley.com/documents/?uuid=4a22637e-6f9e-47bc-8409-e301247566f2"]},{"id":"ITEM-2","itemData":{"DOI":"10.1016/j.cub.2009.10.061","ISSN":"09609822","PMID":"19962309","abstract":"Understanding the influence of human-induced changes on the evolutionary trajectories of populations is a fundamental problem [1, 2]. The evolution of reproductive isolation in sympatry is rare, relying on strong selection along steep ecological gradients [3-7]. Improved wintering conditions owing to human activities promoted the recent establishment of a migratory divide in Central European blackcaps (Sylvia atricapilla) [8, 9]. Here, we show that differential migratory orientation facilitated reproductive isolation of sympatric populations within &lt;30 generations. The genetic divergence in sympatry exceeds that of allopatric blackcaps separated by 800 km and is associated with diverse phenotypic divergence. Blackcaps migrating along the shorter northwestern route have rounder wings and narrower beaks and differ in beak and plumage color from sympatric southwest-migrating birds. We suggest that distinct wing and beak morphologies are ecomorphological adaptations resulting from divergent, multifarious selection regimes during migration. We hypothesize that restricted gene flow accelerates the evolution of adaptive phenotypic divergence toward the contrasting selection regimes. Similar adaptive processes can occur in more than 50 bird species that recently changed their migratory behavior [10, 11] or in species with low migratory connectivity. Our study thus illustrates how ecological changes can rapidly drive the contemporary evolution of ecotypes. © 2009 Elsevier Ltd. All rights reserved.","author":[{"dropping-particle":"","family":"Rolshausen","given":"Gregor","non-dropping-particle":"","parse-names":false,"suffix":""},{"dropping-particle":"","family":"Segelbacher","given":"Gernot","non-dropping-particle":"","parse-names":false,"suffix":""},{"dropping-particle":"","family":"Hobson","given":"Keith A.","non-dropping-particle":"","parse-names":false,"suffix":""},{"dropping-particle":"","family":"Schaefer","given":"H. Martin","non-dropping-particle":"","parse-names":false,"suffix":""}],"container-title":"Current Biology","id":"ITEM-2","issue":"24","issued":{"date-parts":[["2009"]]},"page":"2097-2101","publisher":"Elsevier Ltd","title":"Contemporary Evolution of Reproductive Isolation and Phenotypic Divergence in Sympatry along a Migratory Divide","type":"article-journal","volume":"19"},"uris":["http://www.mendeley.com/documents/?uuid=65c19c5d-bbec-4411-8dc9-883f38b7e86d"]},{"id":"ITEM-3","itemData":{"DOI":"10.1002/ece3.9217","ISSN":"20457758","abstract":"Humans' large influence on the environment has constructed many new ecological niches, such as in urban areas. Phenotypic changes, including morphological ones related to human influence, are known from a small number of bird species. The amount of change in a given time period, that is, the rate of change, may vary. Rates of change (both evolutionary and through phenotypic plasticity) are reportedly rapid in human-influenced settings, although this is disputed. We present new data on changes in beak dimensions and rates of change over historical time periods in four urban bird species (Common Chaffinch, European Greenfinch, Eurasian Blackbird, House Sparrow) from three Swiss cities (Basel, Bern, Geneva). Our study shows that beak dimensions have changed little in most investigated urban bird populations over the past century. Only in Genevan Blackbirds there was evidence for an increase in beak length over the past 65 years; Bernese Chaffinches appear to be trending toward a decrease in beak width over the past 55 years. Rates of change in our sample in comparison with literature records showed that compared to populations less influenced by humans, urban evolutionary rates appear to be similar. Although in accordance with previous findings about other urban bird species, our study exemplifies the difficulty to find universal patterns in tempo and mode of phenotypic evolution in urban areas, even when considering the same taxa. Our data contribute to the expanding field of urban evolutionary biology, which is particularly important regarding the growing urban habitats worldwide.","author":[{"dropping-particle":"","family":"Hüppi","given":"Evelyn","non-dropping-particle":"","parse-names":false,"suffix":""},{"dropping-particle":"","family":"Geiger","given":"Madeleine","non-dropping-particle":"","parse-names":false,"suffix":""}],"container-title":"Ecology and Evolution","id":"ITEM-3","issue":"8","issued":{"date-parts":[["2022"]]},"page":"1-16","title":"Fast-paced city life? Tempo and mode of phenotypic changes in urban birds from Switzerland","type":"article-journal","volume":"12"},"uris":["http://www.mendeley.com/documents/?uuid=89d5a70b-5aef-4a2d-95c8-33b6329f0579"]}],"mendeley":{"formattedCitation":"(Bosse et al., 2017; Hüppi &amp; Geiger, 2022; Rolshausen et al., 2009)","plainTextFormattedCitation":"(Bosse et al., 2017; Hüppi &amp; Geiger, 2022; Rolshausen et al., 2009)","previouslyFormattedCitation":"(Bosse et al., 2017; Hüppi &amp; Geiger, 2022; Rolshausen et al., 2009)"},"properties":{"noteIndex":0},"schema":"https://github.com/citation-style-language/schema/raw/master/csl-citation.json"}</w:instrText>
      </w:r>
      <w:r w:rsidR="00685381">
        <w:rPr>
          <w:rFonts w:eastAsiaTheme="minorEastAsia"/>
          <w:lang w:val="en-US"/>
        </w:rPr>
        <w:fldChar w:fldCharType="separate"/>
      </w:r>
      <w:r w:rsidR="00685381" w:rsidRPr="00685381">
        <w:rPr>
          <w:rFonts w:eastAsiaTheme="minorEastAsia"/>
          <w:noProof/>
          <w:lang w:val="en-US"/>
        </w:rPr>
        <w:t>(Bosse et al., 2017; Hüppi &amp; Geiger, 2022; Rolshausen et al., 2009)</w:t>
      </w:r>
      <w:r w:rsidR="00685381">
        <w:rPr>
          <w:rFonts w:eastAsiaTheme="minorEastAsia"/>
          <w:lang w:val="en-US"/>
        </w:rPr>
        <w:fldChar w:fldCharType="end"/>
      </w:r>
      <w:r w:rsidR="00983B02">
        <w:rPr>
          <w:rFonts w:eastAsiaTheme="minorEastAsia"/>
          <w:lang w:val="en-US"/>
        </w:rPr>
        <w:t>.</w:t>
      </w:r>
      <w:r w:rsidR="00A83DEE">
        <w:rPr>
          <w:rFonts w:eastAsiaTheme="minorEastAsia"/>
          <w:lang w:val="en-US"/>
        </w:rPr>
        <w:t xml:space="preserve"> </w:t>
      </w:r>
      <w:r w:rsidR="00FE679D">
        <w:rPr>
          <w:rFonts w:eastAsiaTheme="minorEastAsia"/>
          <w:lang w:val="en-US"/>
        </w:rPr>
        <w:t>In great tits</w:t>
      </w:r>
      <w:r w:rsidR="006038C6">
        <w:rPr>
          <w:rFonts w:eastAsiaTheme="minorEastAsia"/>
          <w:lang w:val="en-US"/>
        </w:rPr>
        <w:t>,</w:t>
      </w:r>
      <w:r w:rsidR="00FE679D">
        <w:rPr>
          <w:rFonts w:eastAsiaTheme="minorEastAsia"/>
          <w:lang w:val="en-US"/>
        </w:rPr>
        <w:t xml:space="preserve"> </w:t>
      </w:r>
      <w:r w:rsidR="00FE679D" w:rsidRPr="00A80468">
        <w:rPr>
          <w:rFonts w:eastAsiaTheme="minorEastAsia"/>
          <w:i/>
          <w:iCs/>
          <w:lang w:val="en-US"/>
        </w:rPr>
        <w:t>Parus major</w:t>
      </w:r>
      <w:r w:rsidR="006038C6">
        <w:rPr>
          <w:rFonts w:eastAsiaTheme="minorEastAsia"/>
          <w:i/>
          <w:iCs/>
          <w:lang w:val="en-US"/>
        </w:rPr>
        <w:t>,</w:t>
      </w:r>
      <w:r w:rsidR="00FE679D">
        <w:rPr>
          <w:rFonts w:eastAsiaTheme="minorEastAsia"/>
          <w:lang w:val="en-US"/>
        </w:rPr>
        <w:t xml:space="preserve"> </w:t>
      </w:r>
      <w:r w:rsidR="00541DF5">
        <w:rPr>
          <w:rFonts w:eastAsiaTheme="minorEastAsia"/>
          <w:lang w:val="en-US"/>
        </w:rPr>
        <w:t xml:space="preserve">longer beaks correlated with </w:t>
      </w:r>
      <w:r w:rsidR="00FE679D">
        <w:rPr>
          <w:rFonts w:eastAsiaTheme="minorEastAsia"/>
          <w:lang w:val="en-US"/>
        </w:rPr>
        <w:t xml:space="preserve">fitness, </w:t>
      </w:r>
      <w:r w:rsidR="007D29FB">
        <w:rPr>
          <w:rFonts w:eastAsiaTheme="minorEastAsia"/>
          <w:lang w:val="en-US"/>
        </w:rPr>
        <w:t xml:space="preserve">because birds </w:t>
      </w:r>
      <w:r w:rsidR="00541DF5">
        <w:rPr>
          <w:rFonts w:eastAsiaTheme="minorEastAsia"/>
          <w:lang w:val="en-US"/>
        </w:rPr>
        <w:t>with longer beaks are</w:t>
      </w:r>
      <w:r w:rsidR="007D29FB">
        <w:rPr>
          <w:rFonts w:eastAsiaTheme="minorEastAsia"/>
          <w:lang w:val="en-US"/>
        </w:rPr>
        <w:t xml:space="preserve"> able to feed </w:t>
      </w:r>
      <w:r w:rsidR="00541DF5">
        <w:rPr>
          <w:rFonts w:eastAsiaTheme="minorEastAsia"/>
          <w:lang w:val="en-US"/>
        </w:rPr>
        <w:t xml:space="preserve">more efficiently </w:t>
      </w:r>
      <w:r w:rsidR="007D29FB">
        <w:rPr>
          <w:rFonts w:eastAsiaTheme="minorEastAsia"/>
          <w:lang w:val="en-US"/>
        </w:rPr>
        <w:t xml:space="preserve">from </w:t>
      </w:r>
      <w:r w:rsidR="00983B02">
        <w:rPr>
          <w:rFonts w:eastAsiaTheme="minorEastAsia"/>
          <w:lang w:val="en-US"/>
        </w:rPr>
        <w:t xml:space="preserve">bird feeders </w:t>
      </w:r>
      <w:r w:rsidR="00983B02">
        <w:rPr>
          <w:rFonts w:eastAsiaTheme="minorEastAsia"/>
          <w:lang w:val="en-US"/>
        </w:rPr>
        <w:fldChar w:fldCharType="begin" w:fldLock="1"/>
      </w:r>
      <w:r w:rsidR="00733178">
        <w:rPr>
          <w:rFonts w:eastAsiaTheme="minorEastAsia"/>
          <w:lang w:val="en-US"/>
        </w:rPr>
        <w:instrText>ADDIN CSL_CITATION {"citationItems":[{"id":"ITEM-1","itemData":{"DOI":"10.1126/science.aal3298","ISSN":"10959203","PMID":"29051380","abstract":"We used extensive data froma long-term study of great tits (Parusmajor) in theUnitedKingdom and Netherlands to better understand how genetic signatures of selection translate into variation in fitness and phenotypes.We found that genomic regions under differential selection contained candidate genes for bill morphology and used genetic architecture analyses to confirmthat these genes, especially the collagen gene COL4A5, explained variation in bill length. COL4A5 variation was associated with reproductive success, which, combined with spatiotemporal patterns of bill length, suggested ongoing selection for longer bills in the United Kingdom. Last, bill length and COL4A5 variation were associated with usage of feeders, suggesting that longer bills may have evolved in the United Kingdom as a response to supplementary feeding.","author":[{"dropping-particle":"","family":"Bosse","given":"Mirte","non-dropping-particle":"","parse-names":false,"suffix":""},{"dropping-particle":"","family":"Spurgin","given":"Lewis G.","non-dropping-particle":"","parse-names":false,"suffix":""},{"dropping-particle":"","family":"Laine","given":"Veronika N.","non-dropping-particle":"","parse-names":false,"suffix":""},{"dropping-particle":"","family":"Cole","given":"Ella F.","non-dropping-particle":"","parse-names":false,"suffix":""},{"dropping-particle":"","family":"Firth","given":"Josh A.","non-dropping-particle":"","parse-names":false,"suffix":""},{"dropping-particle":"","family":"Gienapp","given":"Phillip","non-dropping-particle":"","parse-names":false,"suffix":""},{"dropping-particle":"","family":"Gosler","given":"Andrew G.","non-dropping-particle":"","parse-names":false,"suffix":""},{"dropping-particle":"","family":"McMahon","given":"Keith","non-dropping-particle":"","parse-names":false,"suffix":""},{"dropping-particle":"","family":"Poissant","given":"Jocelyn","non-dropping-particle":"","parse-names":false,"suffix":""},{"dropping-particle":"","family":"Verhagen","given":"Irene","non-dropping-particle":"","parse-names":false,"suffix":""},{"dropping-particle":"","family":"Groenen","given":"Martien A.M.","non-dropping-particle":"","parse-names":false,"suffix":""},{"dropping-particle":"","family":"Oers","given":"Kees","non-dropping-particle":"Van","parse-names":false,"suffix":""},{"dropping-particle":"","family":"Sheldon","given":"Ben C.","non-dropping-particle":"","parse-names":false,"suffix":""},{"dropping-particle":"","family":"Visser","given":"Marcel E.","non-dropping-particle":"","parse-names":false,"suffix":""},{"dropping-particle":"","family":"Slate","given":"Jon","non-dropping-particle":"","parse-names":false,"suffix":""}],"container-title":"Science","id":"ITEM-1","issue":"6361","issued":{"date-parts":[["2017"]]},"page":"365-368","title":"Recent natural selection causes adaptive evolution of an avian polygenic trait","type":"article-journal","volume":"358"},"uris":["http://www.mendeley.com/documents/?uuid=4a22637e-6f9e-47bc-8409-e301247566f2"]}],"mendeley":{"formattedCitation":"(Bosse et al., 2017)","plainTextFormattedCitation":"(Bosse et al., 2017)","previouslyFormattedCitation":"(Bosse et al., 2017)"},"properties":{"noteIndex":0},"schema":"https://github.com/citation-style-language/schema/raw/master/csl-citation.json"}</w:instrText>
      </w:r>
      <w:r w:rsidR="00983B02">
        <w:rPr>
          <w:rFonts w:eastAsiaTheme="minorEastAsia"/>
          <w:lang w:val="en-US"/>
        </w:rPr>
        <w:fldChar w:fldCharType="separate"/>
      </w:r>
      <w:r w:rsidR="00983B02" w:rsidRPr="00983B02">
        <w:rPr>
          <w:rFonts w:eastAsiaTheme="minorEastAsia"/>
          <w:noProof/>
          <w:lang w:val="en-US"/>
        </w:rPr>
        <w:t>(Bosse et al., 2017)</w:t>
      </w:r>
      <w:r w:rsidR="00983B02">
        <w:rPr>
          <w:rFonts w:eastAsiaTheme="minorEastAsia"/>
          <w:lang w:val="en-US"/>
        </w:rPr>
        <w:fldChar w:fldCharType="end"/>
      </w:r>
      <w:r w:rsidR="00A83DEE">
        <w:rPr>
          <w:rFonts w:eastAsiaTheme="minorEastAsia"/>
          <w:lang w:val="en-US"/>
        </w:rPr>
        <w:t xml:space="preserve">. </w:t>
      </w:r>
      <w:r w:rsidR="00541DF5">
        <w:rPr>
          <w:rFonts w:eastAsiaTheme="minorEastAsia"/>
          <w:lang w:val="en-US"/>
        </w:rPr>
        <w:t xml:space="preserve">The width </w:t>
      </w:r>
      <w:r w:rsidR="00113CDA">
        <w:rPr>
          <w:rFonts w:eastAsiaTheme="minorEastAsia"/>
          <w:lang w:val="en-US"/>
        </w:rPr>
        <w:t xml:space="preserve">is another characteristic of the </w:t>
      </w:r>
      <w:r w:rsidR="00541DF5">
        <w:rPr>
          <w:rFonts w:eastAsiaTheme="minorEastAsia"/>
          <w:lang w:val="en-US"/>
        </w:rPr>
        <w:t xml:space="preserve">beak </w:t>
      </w:r>
      <w:r w:rsidR="00113CDA">
        <w:rPr>
          <w:rFonts w:eastAsiaTheme="minorEastAsia"/>
          <w:lang w:val="en-US"/>
        </w:rPr>
        <w:t xml:space="preserve">that is affected by the availability of some food types </w:t>
      </w:r>
      <w:r w:rsidR="00215410">
        <w:rPr>
          <w:rFonts w:eastAsiaTheme="minorEastAsia"/>
          <w:lang w:val="en-US"/>
        </w:rPr>
        <w:fldChar w:fldCharType="begin" w:fldLock="1"/>
      </w:r>
      <w:r w:rsidR="00157603">
        <w:rPr>
          <w:rFonts w:eastAsiaTheme="minorEastAsia"/>
          <w:lang w:val="en-US"/>
        </w:rPr>
        <w:instrText>ADDIN CSL_CITATION {"citationItems":[{"id":"ITEM-1","itemData":{"DOI":"10.1111/j.1558-5646.2008.00428.x","ISSN":"00143820","PMID":"18507745","abstract":"Divergent selection on traits involved in both local adaptation and the production of mating signals can strongly facilitate population differentiation. Because of its links to foraging morphologies and cultural inheritance song of birds can contribute particularly strongly to maintenance of local adaptations. In two adjacent habitats - native Sonoran desert and urban areas - house finches (Carpodacus mexicanus) forage on seeds that are highly distinct in size and shell hardness and require different bite forces and bill morphologies. Here, we first document strong and habitat-specific natural selection on bill traits linked to bite force and find adaptive modifications of bite force and bill morphology and associated divergence in courtship song between the two habitats. Second, we investigate the developmental basis of this divergence and find that early ontogenetic tissue transformation in bill, but not skeletal traits, is accelerated in the urban population and that the mandibular primordia of the large-beaked urban finches express bone morphogenetic proteins (BMP) earlier and at higher level than those of the desert finches. Further, we show that despite being geographically adjacent, urban and desert populations are nevertheless genetically distinct corroborating findings of early developmental divergence between them. Taken together, these results suggest that divergent selection on function and development of traits involved in production of mating signals, in combination with localized learning of such signals, can be very effective at maintaining local adaptations, even at small spatial scales and in highly mobile animals. © 2008 The Author(s).","author":[{"dropping-particle":"V.","family":"Badyaev","given":"Alexander","non-dropping-particle":"","parse-names":false,"suffix":""},{"dropping-particle":"","family":"Young","given":"Rebecca L.","non-dropping-particle":"","parse-names":false,"suffix":""},{"dropping-particle":"","family":"Oh","given":"Kevin P.","non-dropping-particle":"","parse-names":false,"suffix":""},{"dropping-particle":"","family":"Addison","given":"Clayton","non-dropping-particle":"","parse-names":false,"suffix":""}],"container-title":"Evolution","id":"ITEM-1","issue":"8","issued":{"date-parts":[["2008"]]},"page":"1951-1964","title":"Evolution on a local scale: Developmental, functional, and genetic bases of divergence in bill form and associated changes in song structure between adjacent habitats","type":"article-journal","volume":"62"},"uris":["http://www.mendeley.com/documents/?uuid=380942af-c4ca-45e7-8136-1ed174b1ce7c"]}],"mendeley":{"formattedCitation":"(Badyaev et al., 2008)","plainTextFormattedCitation":"(Badyaev et al., 2008)","previouslyFormattedCitation":"(Badyaev et al., 2008)"},"properties":{"noteIndex":0},"schema":"https://github.com/citation-style-language/schema/raw/master/csl-citation.json"}</w:instrText>
      </w:r>
      <w:r w:rsidR="00215410">
        <w:rPr>
          <w:rFonts w:eastAsiaTheme="minorEastAsia"/>
          <w:lang w:val="en-US"/>
        </w:rPr>
        <w:fldChar w:fldCharType="separate"/>
      </w:r>
      <w:r w:rsidR="00215410" w:rsidRPr="00215410">
        <w:rPr>
          <w:rFonts w:eastAsiaTheme="minorEastAsia"/>
          <w:noProof/>
          <w:lang w:val="en-US"/>
        </w:rPr>
        <w:t>(Badyaev et al., 2008)</w:t>
      </w:r>
      <w:r w:rsidR="00215410">
        <w:rPr>
          <w:rFonts w:eastAsiaTheme="minorEastAsia"/>
          <w:lang w:val="en-US"/>
        </w:rPr>
        <w:fldChar w:fldCharType="end"/>
      </w:r>
      <w:r w:rsidR="00A83DEE" w:rsidRPr="00003D14">
        <w:rPr>
          <w:rFonts w:eastAsiaTheme="minorEastAsia"/>
          <w:lang w:val="en-US"/>
        </w:rPr>
        <w:t xml:space="preserve">. </w:t>
      </w:r>
      <w:r w:rsidR="00772B5E">
        <w:rPr>
          <w:rFonts w:eastAsiaTheme="minorEastAsia"/>
          <w:lang w:val="en-US"/>
        </w:rPr>
        <w:t xml:space="preserve">For example, the house finches </w:t>
      </w:r>
      <w:proofErr w:type="spellStart"/>
      <w:r w:rsidR="00772B5E" w:rsidRPr="004A374B">
        <w:rPr>
          <w:rFonts w:eastAsiaTheme="minorEastAsia"/>
          <w:i/>
          <w:iCs/>
          <w:lang w:val="en-US"/>
        </w:rPr>
        <w:t>Haemorhous</w:t>
      </w:r>
      <w:proofErr w:type="spellEnd"/>
      <w:r w:rsidR="00772B5E" w:rsidRPr="004A374B">
        <w:rPr>
          <w:rFonts w:eastAsiaTheme="minorEastAsia"/>
          <w:i/>
          <w:iCs/>
          <w:lang w:val="en-US"/>
        </w:rPr>
        <w:t xml:space="preserve"> mexicanus</w:t>
      </w:r>
      <w:r w:rsidR="00772B5E">
        <w:rPr>
          <w:rFonts w:eastAsiaTheme="minorEastAsia"/>
          <w:lang w:val="en-US"/>
        </w:rPr>
        <w:t xml:space="preserve"> that inhabit urban populations in Arizona have a narrower beak, and </w:t>
      </w:r>
      <w:r w:rsidR="00113CDA">
        <w:rPr>
          <w:rFonts w:eastAsiaTheme="minorEastAsia"/>
          <w:lang w:val="en-US"/>
        </w:rPr>
        <w:t xml:space="preserve">thus </w:t>
      </w:r>
      <w:r w:rsidR="00772B5E">
        <w:rPr>
          <w:rFonts w:eastAsiaTheme="minorEastAsia"/>
          <w:lang w:val="en-US"/>
        </w:rPr>
        <w:t>less bite force, because they consume softer human food</w:t>
      </w:r>
      <w:r w:rsidR="00541DF5">
        <w:rPr>
          <w:rFonts w:eastAsiaTheme="minorEastAsia"/>
          <w:lang w:val="en-US"/>
        </w:rPr>
        <w:t xml:space="preserve"> </w:t>
      </w:r>
      <w:r w:rsidR="00215410">
        <w:rPr>
          <w:rFonts w:eastAsiaTheme="minorEastAsia"/>
          <w:lang w:val="en-US"/>
        </w:rPr>
        <w:fldChar w:fldCharType="begin" w:fldLock="1"/>
      </w:r>
      <w:r w:rsidR="00215410">
        <w:rPr>
          <w:rFonts w:eastAsiaTheme="minorEastAsia"/>
          <w:lang w:val="en-US"/>
        </w:rPr>
        <w:instrText>ADDIN CSL_CITATION {"citationItems":[{"id":"ITEM-1","itemData":{"DOI":"10.1111/j.1558-5646.2008.00428.x","ISSN":"00143820","PMID":"18507745","abstract":"Divergent selection on traits involved in both local adaptation and the production of mating signals can strongly facilitate population differentiation. Because of its links to foraging morphologies and cultural inheritance song of birds can contribute particularly strongly to maintenance of local adaptations. In two adjacent habitats - native Sonoran desert and urban areas - house finches (Carpodacus mexicanus) forage on seeds that are highly distinct in size and shell hardness and require different bite forces and bill morphologies. Here, we first document strong and habitat-specific natural selection on bill traits linked to bite force and find adaptive modifications of bite force and bill morphology and associated divergence in courtship song between the two habitats. Second, we investigate the developmental basis of this divergence and find that early ontogenetic tissue transformation in bill, but not skeletal traits, is accelerated in the urban population and that the mandibular primordia of the large-beaked urban finches express bone morphogenetic proteins (BMP) earlier and at higher level than those of the desert finches. Further, we show that despite being geographically adjacent, urban and desert populations are nevertheless genetically distinct corroborating findings of early developmental divergence between them. Taken together, these results suggest that divergent selection on function and development of traits involved in production of mating signals, in combination with localized learning of such signals, can be very effective at maintaining local adaptations, even at small spatial scales and in highly mobile animals. © 2008 The Author(s).","author":[{"dropping-particle":"V.","family":"Badyaev","given":"Alexander","non-dropping-particle":"","parse-names":false,"suffix":""},{"dropping-particle":"","family":"Young","given":"Rebecca L.","non-dropping-particle":"","parse-names":false,"suffix":""},{"dropping-particle":"","family":"Oh","given":"Kevin P.","non-dropping-particle":"","parse-names":false,"suffix":""},{"dropping-particle":"","family":"Addison","given":"Clayton","non-dropping-particle":"","parse-names":false,"suffix":""}],"container-title":"Evolution","id":"ITEM-1","issue":"8","issued":{"date-parts":[["2008"]]},"page":"1951-1964","title":"Evolution on a local scale: Developmental, functional, and genetic bases of divergence in bill form and associated changes in song structure between adjacent habitats","type":"article-journal","volume":"62"},"uris":["http://www.mendeley.com/documents/?uuid=380942af-c4ca-45e7-8136-1ed174b1ce7c"]},{"id":"ITEM-2","itemData":{"DOI":"10.1002/ece3.9217","ISSN":"20457758","abstract":"Humans' large influence on the environment has constructed many new ecological niches, such as in urban areas. Phenotypic changes, including morphological ones related to human influence, are known from a small number of bird species. The amount of change in a given time period, that is, the rate of change, may vary. Rates of change (both evolutionary and through phenotypic plasticity) are reportedly rapid in human-influenced settings, although this is disputed. We present new data on changes in beak dimensions and rates of change over historical time periods in four urban bird species (Common Chaffinch, European Greenfinch, Eurasian Blackbird, House Sparrow) from three Swiss cities (Basel, Bern, Geneva). Our study shows that beak dimensions have changed little in most investigated urban bird populations over the past century. Only in Genevan Blackbirds there was evidence for an increase in beak length over the past 65 years; Bernese Chaffinches appear to be trending toward a decrease in beak width over the past 55 years. Rates of change in our sample in comparison with literature records showed that compared to populations less influenced by humans, urban evolutionary rates appear to be similar. Although in accordance with previous findings about other urban bird species, our study exemplifies the difficulty to find universal patterns in tempo and mode of phenotypic evolution in urban areas, even when considering the same taxa. Our data contribute to the expanding field of urban evolutionary biology, which is particularly important regarding the growing urban habitats worldwide.","author":[{"dropping-particle":"","family":"Hüppi","given":"Evelyn","non-dropping-particle":"","parse-names":false,"suffix":""},{"dropping-particle":"","family":"Geiger","given":"Madeleine","non-dropping-particle":"","parse-names":false,"suffix":""}],"container-title":"Ecology and Evolution","id":"ITEM-2","issue":"8","issued":{"date-parts":[["2022"]]},"page":"1-16","title":"Fast-paced city life? Tempo and mode of phenotypic changes in urban birds from Switzerland","type":"article-journal","volume":"12"},"uris":["http://www.mendeley.com/documents/?uuid=89d5a70b-5aef-4a2d-95c8-33b6329f0579"]},{"id":"ITEM-3","itemData":{"DOI":"10.1111/j.1558-5646.2011.01297.x","ISSN":"00143820","PMID":"21790573","abstract":"Humans are an increasingly common influence on the evolution of natural populations. Potential arenas of influence include altered evolutionary trajectories within populations and modifications of the process of divergence among populations. We consider this second arena in the medium ground finch (Geospiza fortis) on Santa Cruz Island, Galápagos, Ecuador. Our study compared the G. fortis population at a relatively undisturbed site, El Garrapatero, to the population at a severely disturbed site, Academy Bay, which is immediately adjacent to the town of Puerto Ayora. The El Garrapatero population currently shows beak size bimodality that is tied to assortative mating and disruptive selection, whereas the Academy Bay population was historically bimodal but has lost this property in conjunction with a dramatic increase in local human population density. We here evaluate potential ecological-adaptive drivers of the differences in modality by quantifying relationships between morphology (beak and head dimensions), functional performance (bite force), and environmental characteristics (diet). Our main finding is that associations among these variables are generally weaker at Academy Bay than at El Garrapatero, possibly because novel foods are used at the former site irrespective of individual morphology and performance. These results are consistent with the hypothesis that the rugged adaptive landscapes promoting and maintaining diversification in nature can be smoothed by human activities, thus hindering ongoing adaptive radiation. © 2011 The Author(s). Evolution © 2011 The Society for the Study of Evolution.","author":[{"dropping-particle":"","family":"León","given":"Luis Fernando","non-dropping-particle":"de","parse-names":false,"suffix":""},{"dropping-particle":"","family":"Raeymaekers","given":"Joost A.M.","non-dropping-particle":"","parse-names":false,"suffix":""},{"dropping-particle":"","family":"Bermingham","given":"Eldredge","non-dropping-particle":"","parse-names":false,"suffix":""},{"dropping-particle":"","family":"Podos","given":"Jeffrey","non-dropping-particle":"","parse-names":false,"suffix":""},{"dropping-particle":"","family":"Herrel","given":"Anthony","non-dropping-particle":"","parse-names":false,"suffix":""},{"dropping-particle":"","family":"Hendry","given":"Andrew P.","non-dropping-particle":"","parse-names":false,"suffix":""}],"container-title":"Evolution","id":"ITEM-3","issue":"8","issued":{"date-parts":[["2011"]]},"page":"2258-2272","title":"Exploring possible human influences on the evolution of Darwin's finches","type":"article-journal","volume":"65"},"uris":["http://www.mendeley.com/documents/?uuid=89ebc3c4-ac20-44c0-9ff7-585af88b1066"]}],"mendeley":{"formattedCitation":"(Badyaev et al., 2008; de León et al., 2011; Hüppi &amp; Geiger, 2022)","plainTextFormattedCitation":"(Badyaev et al., 2008; de León et al., 2011; Hüppi &amp; Geiger, 2022)","previouslyFormattedCitation":"(Badyaev et al., 2008; de León et al., 2011; Hüppi &amp; Geiger, 2022)"},"properties":{"noteIndex":0},"schema":"https://github.com/citation-style-language/schema/raw/master/csl-citation.json"}</w:instrText>
      </w:r>
      <w:r w:rsidR="00215410">
        <w:rPr>
          <w:rFonts w:eastAsiaTheme="minorEastAsia"/>
          <w:lang w:val="en-US"/>
        </w:rPr>
        <w:fldChar w:fldCharType="separate"/>
      </w:r>
      <w:r w:rsidR="00215410" w:rsidRPr="00003D14">
        <w:rPr>
          <w:rFonts w:eastAsiaTheme="minorEastAsia"/>
          <w:noProof/>
          <w:lang w:val="en-US"/>
        </w:rPr>
        <w:t>(Badyaev et al., 2008; de León et al., 2011; Hüppi &amp; Geiger, 2022)</w:t>
      </w:r>
      <w:r w:rsidR="00215410">
        <w:rPr>
          <w:rFonts w:eastAsiaTheme="minorEastAsia"/>
          <w:lang w:val="en-US"/>
        </w:rPr>
        <w:fldChar w:fldCharType="end"/>
      </w:r>
      <w:r w:rsidR="00AF5803" w:rsidRPr="00003D14">
        <w:rPr>
          <w:rFonts w:eastAsiaTheme="minorEastAsia"/>
          <w:lang w:val="en-US"/>
        </w:rPr>
        <w:t xml:space="preserve">. </w:t>
      </w:r>
      <w:r w:rsidR="00772B5E">
        <w:rPr>
          <w:rFonts w:eastAsiaTheme="minorEastAsia"/>
          <w:lang w:val="en-US"/>
        </w:rPr>
        <w:t>In contrast</w:t>
      </w:r>
      <w:r w:rsidR="00AF5803">
        <w:rPr>
          <w:rFonts w:eastAsiaTheme="minorEastAsia"/>
          <w:lang w:val="en-US"/>
        </w:rPr>
        <w:t>, in MTV males decrease the</w:t>
      </w:r>
      <w:r w:rsidR="00772B5E">
        <w:rPr>
          <w:rFonts w:eastAsiaTheme="minorEastAsia"/>
          <w:lang w:val="en-US"/>
        </w:rPr>
        <w:t>ir</w:t>
      </w:r>
      <w:r w:rsidR="00AF5803">
        <w:rPr>
          <w:rFonts w:eastAsiaTheme="minorEastAsia"/>
          <w:lang w:val="en-US"/>
        </w:rPr>
        <w:t xml:space="preserve"> exposed culmen length and increase the</w:t>
      </w:r>
      <w:r w:rsidR="00772B5E">
        <w:rPr>
          <w:rFonts w:eastAsiaTheme="minorEastAsia"/>
          <w:lang w:val="en-US"/>
        </w:rPr>
        <w:t>ir</w:t>
      </w:r>
      <w:r w:rsidR="00AF5803">
        <w:rPr>
          <w:rFonts w:eastAsiaTheme="minorEastAsia"/>
          <w:lang w:val="en-US"/>
        </w:rPr>
        <w:t xml:space="preserve"> beak width</w:t>
      </w:r>
      <w:r w:rsidR="00EA58A0">
        <w:rPr>
          <w:rFonts w:eastAsiaTheme="minorEastAsia"/>
          <w:lang w:val="en-US"/>
        </w:rPr>
        <w:t xml:space="preserve">. The increase in beak width </w:t>
      </w:r>
      <w:r w:rsidR="00D268B3">
        <w:rPr>
          <w:rFonts w:eastAsiaTheme="minorEastAsia"/>
          <w:lang w:val="en-US"/>
        </w:rPr>
        <w:t xml:space="preserve">suggests </w:t>
      </w:r>
      <w:r w:rsidR="00547BDF">
        <w:rPr>
          <w:rFonts w:eastAsiaTheme="minorEastAsia"/>
          <w:lang w:val="en-US"/>
        </w:rPr>
        <w:t xml:space="preserve">that birds are </w:t>
      </w:r>
      <w:r w:rsidR="00D40B3B">
        <w:rPr>
          <w:rFonts w:eastAsiaTheme="minorEastAsia"/>
          <w:lang w:val="en-US"/>
        </w:rPr>
        <w:t xml:space="preserve">likely </w:t>
      </w:r>
      <w:r w:rsidR="00547BDF">
        <w:rPr>
          <w:rFonts w:eastAsiaTheme="minorEastAsia"/>
          <w:lang w:val="en-US"/>
        </w:rPr>
        <w:t xml:space="preserve">consuming </w:t>
      </w:r>
      <w:r w:rsidR="00EA58A0">
        <w:rPr>
          <w:rFonts w:eastAsiaTheme="minorEastAsia"/>
          <w:lang w:val="en-US"/>
        </w:rPr>
        <w:t xml:space="preserve">larger and </w:t>
      </w:r>
      <w:r w:rsidR="00D40B3B">
        <w:rPr>
          <w:rFonts w:eastAsiaTheme="minorEastAsia"/>
          <w:lang w:val="en-US"/>
        </w:rPr>
        <w:t xml:space="preserve">tougher </w:t>
      </w:r>
      <w:r w:rsidR="00EA58A0">
        <w:rPr>
          <w:rFonts w:eastAsiaTheme="minorEastAsia"/>
          <w:lang w:val="en-US"/>
        </w:rPr>
        <w:t xml:space="preserve">food, </w:t>
      </w:r>
      <w:r w:rsidR="00D40B3B">
        <w:rPr>
          <w:rFonts w:eastAsiaTheme="minorEastAsia"/>
          <w:lang w:val="en-US"/>
        </w:rPr>
        <w:t xml:space="preserve">which would require an increase in </w:t>
      </w:r>
      <w:r w:rsidR="00EA58A0">
        <w:rPr>
          <w:rFonts w:eastAsiaTheme="minorEastAsia"/>
          <w:lang w:val="en-US"/>
        </w:rPr>
        <w:t xml:space="preserve">bite force </w:t>
      </w:r>
      <w:r w:rsidR="00F802B4">
        <w:rPr>
          <w:rFonts w:eastAsiaTheme="minorEastAsia"/>
          <w:lang w:val="en-US"/>
        </w:rPr>
        <w:fldChar w:fldCharType="begin" w:fldLock="1"/>
      </w:r>
      <w:r w:rsidR="00782A24">
        <w:rPr>
          <w:rFonts w:eastAsiaTheme="minorEastAsia"/>
          <w:lang w:val="en-US"/>
        </w:rPr>
        <w:instrText>ADDIN CSL_CITATION {"citationItems":[{"id":"ITEM-1","itemData":{"DOI":"10.1111/j.1558-5646.2011.01297.x","ISSN":"00143820","PMID":"21790573","abstract":"Humans are an increasingly common influence on the evolution of natural populations. Potential arenas of influence include altered evolutionary trajectories within populations and modifications of the process of divergence among populations. We consider this second arena in the medium ground finch (Geospiza fortis) on Santa Cruz Island, Galápagos, Ecuador. Our study compared the G. fortis population at a relatively undisturbed site, El Garrapatero, to the population at a severely disturbed site, Academy Bay, which is immediately adjacent to the town of Puerto Ayora. The El Garrapatero population currently shows beak size bimodality that is tied to assortative mating and disruptive selection, whereas the Academy Bay population was historically bimodal but has lost this property in conjunction with a dramatic increase in local human population density. We here evaluate potential ecological-adaptive drivers of the differences in modality by quantifying relationships between morphology (beak and head dimensions), functional performance (bite force), and environmental characteristics (diet). Our main finding is that associations among these variables are generally weaker at Academy Bay than at El Garrapatero, possibly because novel foods are used at the former site irrespective of individual morphology and performance. These results are consistent with the hypothesis that the rugged adaptive landscapes promoting and maintaining diversification in nature can be smoothed by human activities, thus hindering ongoing adaptive radiation. © 2011 The Author(s). Evolution © 2011 The Society for the Study of Evolution.","author":[{"dropping-particle":"","family":"León","given":"Luis Fernando","non-dropping-particle":"de","parse-names":false,"suffix":""},{"dropping-particle":"","family":"Raeymaekers","given":"Joost A.M.","non-dropping-particle":"","parse-names":false,"suffix":""},{"dropping-particle":"","family":"Bermingham","given":"Eldredge","non-dropping-particle":"","parse-names":false,"suffix":""},{"dropping-particle":"","family":"Podos","given":"Jeffrey","non-dropping-particle":"","parse-names":false,"suffix":""},{"dropping-particle":"","family":"Herrel","given":"Anthony","non-dropping-particle":"","parse-names":false,"suffix":""},{"dropping-particle":"","family":"Hendry","given":"Andrew P.","non-dropping-particle":"","parse-names":false,"suffix":""}],"container-title":"Evolution","id":"ITEM-1","issue":"8","issued":{"date-parts":[["2011"]]},"page":"2258-2272","title":"Exploring possible human influences on the evolution of Darwin's finches","type":"article-journal","volume":"65"},"uris":["http://www.mendeley.com/documents/?uuid=89ebc3c4-ac20-44c0-9ff7-585af88b1066"]},{"id":"ITEM-2","itemData":{"DOI":"10.1002/ece3.9217","ISSN":"20457758","abstract":"Humans' large influence on the environment has constructed many new ecological niches, such as in urban areas. Phenotypic changes, including morphological ones related to human influence, are known from a small number of bird species. The amount of change in a given time period, that is, the rate of change, may vary. Rates of change (both evolutionary and through phenotypic plasticity) are reportedly rapid in human-influenced settings, although this is disputed. We present new data on changes in beak dimensions and rates of change over historical time periods in four urban bird species (Common Chaffinch, European Greenfinch, Eurasian Blackbird, House Sparrow) from three Swiss cities (Basel, Bern, Geneva). Our study shows that beak dimensions have changed little in most investigated urban bird populations over the past century. Only in Genevan Blackbirds there was evidence for an increase in beak length over the past 65 years; Bernese Chaffinches appear to be trending toward a decrease in beak width over the past 55 years. Rates of change in our sample in comparison with literature records showed that compared to populations less influenced by humans, urban evolutionary rates appear to be similar. Although in accordance with previous findings about other urban bird species, our study exemplifies the difficulty to find universal patterns in tempo and mode of phenotypic evolution in urban areas, even when considering the same taxa. Our data contribute to the expanding field of urban evolutionary biology, which is particularly important regarding the growing urban habitats worldwide.","author":[{"dropping-particle":"","family":"Hüppi","given":"Evelyn","non-dropping-particle":"","parse-names":false,"suffix":""},{"dropping-particle":"","family":"Geiger","given":"Madeleine","non-dropping-particle":"","parse-names":false,"suffix":""}],"container-title":"Ecology and Evolution","id":"ITEM-2","issue":"8","issued":{"date-parts":[["2022"]]},"page":"1-16","title":"Fast-paced city life? Tempo and mode of phenotypic changes in urban birds from Switzerland","type":"article-journal","volume":"12"},"uris":["http://www.mendeley.com/documents/?uuid=89d5a70b-5aef-4a2d-95c8-33b6329f0579"]}],"mendeley":{"formattedCitation":"(de León et al., 2011; Hüppi &amp; Geiger, 2022)","plainTextFormattedCitation":"(de León et al., 2011; Hüppi &amp; Geiger, 2022)","previouslyFormattedCitation":"(de León et al., 2011; Hüppi &amp; Geiger, 2022)"},"properties":{"noteIndex":0},"schema":"https://github.com/citation-style-language/schema/raw/master/csl-citation.json"}</w:instrText>
      </w:r>
      <w:r w:rsidR="00F802B4">
        <w:rPr>
          <w:rFonts w:eastAsiaTheme="minorEastAsia"/>
          <w:lang w:val="en-US"/>
        </w:rPr>
        <w:fldChar w:fldCharType="separate"/>
      </w:r>
      <w:r w:rsidR="00F802B4" w:rsidRPr="00F802B4">
        <w:rPr>
          <w:rFonts w:eastAsiaTheme="minorEastAsia"/>
          <w:noProof/>
          <w:lang w:val="en-US"/>
        </w:rPr>
        <w:t>(de León et al., 2011; Hüppi &amp; Geiger, 2022)</w:t>
      </w:r>
      <w:r w:rsidR="00F802B4">
        <w:rPr>
          <w:rFonts w:eastAsiaTheme="minorEastAsia"/>
          <w:lang w:val="en-US"/>
        </w:rPr>
        <w:fldChar w:fldCharType="end"/>
      </w:r>
      <w:r w:rsidR="00205747">
        <w:rPr>
          <w:rFonts w:eastAsiaTheme="minorEastAsia"/>
          <w:lang w:val="en-US"/>
        </w:rPr>
        <w:t xml:space="preserve">. </w:t>
      </w:r>
      <w:r w:rsidR="00AC4BEF">
        <w:rPr>
          <w:rFonts w:eastAsiaTheme="minorEastAsia"/>
          <w:lang w:val="en-US"/>
        </w:rPr>
        <w:t>Differences in beak lengths between populations may also be the result of individuals consuming novel foods</w:t>
      </w:r>
      <w:r w:rsidR="005A00F8">
        <w:rPr>
          <w:rFonts w:eastAsiaTheme="minorEastAsia"/>
          <w:lang w:val="en-US"/>
        </w:rPr>
        <w:t>,</w:t>
      </w:r>
      <w:r w:rsidR="00AC4BEF">
        <w:rPr>
          <w:rFonts w:eastAsiaTheme="minorEastAsia"/>
          <w:lang w:val="en-US"/>
        </w:rPr>
        <w:t xml:space="preserve"> regardless of the morphology of the species</w:t>
      </w:r>
      <w:r w:rsidR="005A00F8">
        <w:rPr>
          <w:rFonts w:eastAsiaTheme="minorEastAsia"/>
          <w:lang w:val="en-US"/>
        </w:rPr>
        <w:t>;</w:t>
      </w:r>
      <w:r w:rsidR="00AC4BEF">
        <w:rPr>
          <w:rFonts w:eastAsiaTheme="minorEastAsia"/>
          <w:lang w:val="en-US"/>
        </w:rPr>
        <w:t xml:space="preserve"> indicating adaptation toward exploiting different food resources</w:t>
      </w:r>
      <w:r w:rsidR="00157603">
        <w:rPr>
          <w:rFonts w:eastAsiaTheme="minorEastAsia"/>
          <w:lang w:val="en-US"/>
        </w:rPr>
        <w:t xml:space="preserve"> </w:t>
      </w:r>
      <w:r w:rsidR="00157603">
        <w:rPr>
          <w:rFonts w:eastAsiaTheme="minorEastAsia"/>
          <w:lang w:val="en-US"/>
        </w:rPr>
        <w:fldChar w:fldCharType="begin" w:fldLock="1"/>
      </w:r>
      <w:r w:rsidR="00493C4B">
        <w:rPr>
          <w:rFonts w:eastAsiaTheme="minorEastAsia"/>
          <w:lang w:val="en-US"/>
        </w:rPr>
        <w:instrText>ADDIN CSL_CITATION {"citationItems":[{"id":"ITEM-1","itemData":{"DOI":"10.1111/j.1558-5646.2011.01297.x","ISSN":"00143820","PMID":"21790573","abstract":"Humans are an increasingly common influence on the evolution of natural populations. Potential arenas of influence include altered evolutionary trajectories within populations and modifications of the process of divergence among populations. We consider this second arena in the medium ground finch (Geospiza fortis) on Santa Cruz Island, Galápagos, Ecuador. Our study compared the G. fortis population at a relatively undisturbed site, El Garrapatero, to the population at a severely disturbed site, Academy Bay, which is immediately adjacent to the town of Puerto Ayora. The El Garrapatero population currently shows beak size bimodality that is tied to assortative mating and disruptive selection, whereas the Academy Bay population was historically bimodal but has lost this property in conjunction with a dramatic increase in local human population density. We here evaluate potential ecological-adaptive drivers of the differences in modality by quantifying relationships between morphology (beak and head dimensions), functional performance (bite force), and environmental characteristics (diet). Our main finding is that associations among these variables are generally weaker at Academy Bay than at El Garrapatero, possibly because novel foods are used at the former site irrespective of individual morphology and performance. These results are consistent with the hypothesis that the rugged adaptive landscapes promoting and maintaining diversification in nature can be smoothed by human activities, thus hindering ongoing adaptive radiation. © 2011 The Author(s). Evolution © 2011 The Society for the Study of Evolution.","author":[{"dropping-particle":"","family":"León","given":"Luis Fernando","non-dropping-particle":"de","parse-names":false,"suffix":""},{"dropping-particle":"","family":"Raeymaekers","given":"Joost A.M.","non-dropping-particle":"","parse-names":false,"suffix":""},{"dropping-particle":"","family":"Bermingham","given":"Eldredge","non-dropping-particle":"","parse-names":false,"suffix":""},{"dropping-particle":"","family":"Podos","given":"Jeffrey","non-dropping-particle":"","parse-names":false,"suffix":""},{"dropping-particle":"","family":"Herrel","given":"Anthony","non-dropping-particle":"","parse-names":false,"suffix":""},{"dropping-particle":"","family":"Hendry","given":"Andrew P.","non-dropping-particle":"","parse-names":false,"suffix":""}],"container-title":"Evolution","id":"ITEM-1","issue":"8","issued":{"date-parts":[["2011"]]},"page":"2258-2272","title":"Exploring possible human influences on the evolution of Darwin's finches","type":"article-journal","volume":"65"},"uris":["http://www.mendeley.com/documents/?uuid=89ebc3c4-ac20-44c0-9ff7-585af88b1066"]},{"id":"ITEM-2","itemData":{"DOI":"10.1126/science.1070315","ISSN":"00368075","PMID":"11976447","abstract":"Evolution can be predicted in the short term from a knowledge of selection and inheritance. However, in the long term evolution is unpredictable because environments, which determine the directions and magnitudes of selection coefficients, fluctuate unpredictably. These two features of evolution, the predictable and unpredictable, are demonstrated in a study of two populations of Darwin's finches on the Galápagos island of Daphne Major. From 1972 to 2001, Geospiza fortis (medium ground finch) and Geospiza scandens (cactus finch) changed several times in body size and two beak traits. Natural selection occurred frequently in both species and varied from unidirectional to oscillating, episodic to gradual. Hybridization occurred repeatedly though rarely, resulting in elevated phenotypic variances in G. scandens and a change in beak shape. The phenotypic states of both species at the end of the 30-year study could not have been predicted at the beginning. Continuous, long-term studies are needed to detect and interpret rare but important events and nonuniform evolutionary change.","author":[{"dropping-particle":"","family":"Grant","given":"Peter R.","non-dropping-particle":"","parse-names":false,"suffix":""},{"dropping-particle":"","family":"Grant","given":"B. Rosemary","non-dropping-particle":"","parse-names":false,"suffix":""}],"container-title":"Science","id":"ITEM-2","issue":"5568","issued":{"date-parts":[["2002"]]},"page":"707-711","title":"Unpredictable evolution in a 30-year study of Darwin's finches","type":"article-journal","volume":"296"},"uris":["http://www.mendeley.com/documents/?uuid=b7fb02de-2be6-48cc-a500-6cf616bd80d3"]}],"mendeley":{"formattedCitation":"(de León et al., 2011; Grant &amp; Grant, 2002)","plainTextFormattedCitation":"(de León et al., 2011; Grant &amp; Grant, 2002)","previouslyFormattedCitation":"(de León et al., 2011; Grant &amp; Grant, 2002)"},"properties":{"noteIndex":0},"schema":"https://github.com/citation-style-language/schema/raw/master/csl-citation.json"}</w:instrText>
      </w:r>
      <w:r w:rsidR="00157603">
        <w:rPr>
          <w:rFonts w:eastAsiaTheme="minorEastAsia"/>
          <w:lang w:val="en-US"/>
        </w:rPr>
        <w:fldChar w:fldCharType="separate"/>
      </w:r>
      <w:r w:rsidR="000725D2" w:rsidRPr="000725D2">
        <w:rPr>
          <w:rFonts w:eastAsiaTheme="minorEastAsia"/>
          <w:noProof/>
          <w:lang w:val="en-US"/>
        </w:rPr>
        <w:t>(de León et al., 2011; Grant &amp; Grant, 2002)</w:t>
      </w:r>
      <w:r w:rsidR="00157603">
        <w:rPr>
          <w:rFonts w:eastAsiaTheme="minorEastAsia"/>
          <w:lang w:val="en-US"/>
        </w:rPr>
        <w:fldChar w:fldCharType="end"/>
      </w:r>
      <w:r w:rsidR="00157603">
        <w:rPr>
          <w:rFonts w:eastAsiaTheme="minorEastAsia"/>
          <w:lang w:val="en-US"/>
        </w:rPr>
        <w:t>.</w:t>
      </w:r>
    </w:p>
    <w:p w14:paraId="0C343A83" w14:textId="77777777" w:rsidR="007F2653" w:rsidRPr="00675F8D" w:rsidRDefault="004F344D" w:rsidP="00E10B6F">
      <w:pPr>
        <w:spacing w:line="480" w:lineRule="auto"/>
        <w:rPr>
          <w:lang w:val="en-US"/>
        </w:rPr>
      </w:pPr>
      <w:r>
        <w:rPr>
          <w:lang w:val="en-US"/>
        </w:rPr>
        <w:t xml:space="preserve">Comparing four populations of white-eared ground-sparrows over a decade revealed changes in levels of inbreeding, </w:t>
      </w:r>
      <w:proofErr w:type="spellStart"/>
      <w:r>
        <w:rPr>
          <w:lang w:val="en-US"/>
        </w:rPr>
        <w:t>spectro</w:t>
      </w:r>
      <w:proofErr w:type="spellEnd"/>
      <w:r w:rsidR="005F0F76">
        <w:rPr>
          <w:lang w:val="en-US"/>
        </w:rPr>
        <w:t>-</w:t>
      </w:r>
      <w:r>
        <w:rPr>
          <w:lang w:val="en-US"/>
        </w:rPr>
        <w:t>temporal song characteristics, and morphological traits.</w:t>
      </w:r>
      <w:r w:rsidR="003745DF">
        <w:rPr>
          <w:lang w:val="en-US"/>
        </w:rPr>
        <w:t xml:space="preserve"> </w:t>
      </w:r>
      <w:bookmarkStart w:id="38" w:name="_Hlk184922173"/>
    </w:p>
    <w:p w14:paraId="39B8066C" w14:textId="5CB9C132" w:rsidR="0098165E" w:rsidRPr="00EE783E" w:rsidRDefault="007F2653" w:rsidP="00675F8D">
      <w:pPr>
        <w:spacing w:line="480" w:lineRule="auto"/>
        <w:rPr>
          <w:rFonts w:eastAsiaTheme="minorEastAsia"/>
          <w:lang w:val="en-US"/>
        </w:rPr>
      </w:pPr>
      <w:r w:rsidRPr="00675F8D">
        <w:rPr>
          <w:lang w:val="en-US"/>
        </w:rPr>
        <w:t>Interestingly, we found a positive relationship between genetic divergence among populations and song divergence. This correlation suggests that urbanization may act as a barrier for white-</w:t>
      </w:r>
      <w:r w:rsidRPr="00675F8D">
        <w:rPr>
          <w:lang w:val="en-US"/>
        </w:rPr>
        <w:lastRenderedPageBreak/>
        <w:t xml:space="preserve">eared ground sparrows. Alternatively, it may be explained by cultural drift or sexual selection, as changes in acoustic signals associated with genetic divergence can occur if selection for song preferences persists within populations (Irwin et al., 2008; </w:t>
      </w:r>
      <w:proofErr w:type="spellStart"/>
      <w:r w:rsidRPr="00675F8D">
        <w:rPr>
          <w:lang w:val="en-US"/>
        </w:rPr>
        <w:t>Sathyan</w:t>
      </w:r>
      <w:proofErr w:type="spellEnd"/>
      <w:r w:rsidRPr="00675F8D">
        <w:rPr>
          <w:lang w:val="en-US"/>
        </w:rPr>
        <w:t xml:space="preserve"> et al., 2017).</w:t>
      </w:r>
      <w:r>
        <w:rPr>
          <w:lang w:val="en-US"/>
        </w:rPr>
        <w:t xml:space="preserve"> </w:t>
      </w:r>
      <w:bookmarkStart w:id="39" w:name="_Hlk184922657"/>
      <w:bookmarkEnd w:id="38"/>
      <w:r w:rsidR="00A4298A" w:rsidRPr="00675F8D">
        <w:rPr>
          <w:lang w:val="en-US"/>
        </w:rPr>
        <w:t xml:space="preserve">The relationship between genetic and phenotypic traits is often slow and complex due to the simultaneous action of various forces (Irwin et al., 2008; </w:t>
      </w:r>
      <w:proofErr w:type="spellStart"/>
      <w:r w:rsidR="00A4298A" w:rsidRPr="00675F8D">
        <w:rPr>
          <w:lang w:val="en-US"/>
        </w:rPr>
        <w:t>Carnicer</w:t>
      </w:r>
      <w:proofErr w:type="spellEnd"/>
      <w:r w:rsidR="00A4298A" w:rsidRPr="00675F8D">
        <w:rPr>
          <w:lang w:val="en-US"/>
        </w:rPr>
        <w:t xml:space="preserve"> et al., 2009; </w:t>
      </w:r>
      <w:proofErr w:type="spellStart"/>
      <w:r w:rsidR="00A4298A" w:rsidRPr="00675F8D">
        <w:rPr>
          <w:lang w:val="en-US"/>
        </w:rPr>
        <w:t>Sathyan</w:t>
      </w:r>
      <w:proofErr w:type="spellEnd"/>
      <w:r w:rsidR="00A4298A" w:rsidRPr="00675F8D">
        <w:rPr>
          <w:lang w:val="en-US"/>
        </w:rPr>
        <w:t xml:space="preserve"> et al., 2017).</w:t>
      </w:r>
      <w:r w:rsidR="003745DF">
        <w:rPr>
          <w:rFonts w:eastAsiaTheme="minorEastAsia"/>
          <w:lang w:val="en-US"/>
        </w:rPr>
        <w:t xml:space="preserve"> </w:t>
      </w:r>
      <w:r w:rsidR="00D8368B">
        <w:rPr>
          <w:rFonts w:eastAsiaTheme="minorEastAsia"/>
          <w:lang w:val="en-US"/>
        </w:rPr>
        <w:t>O</w:t>
      </w:r>
      <w:r w:rsidR="003745DF">
        <w:rPr>
          <w:rFonts w:eastAsiaTheme="minorEastAsia"/>
          <w:lang w:val="en-US"/>
        </w:rPr>
        <w:t xml:space="preserve">nly long-term studies in urban environments shed light on the processes of adaptation of different species to the drastic changes imposed by urbanization, since species with different life history traits may response and adapt in different </w:t>
      </w:r>
      <w:r w:rsidR="0061768D">
        <w:rPr>
          <w:rFonts w:eastAsiaTheme="minorEastAsia"/>
          <w:lang w:val="en-US"/>
        </w:rPr>
        <w:t xml:space="preserve">ways </w:t>
      </w:r>
      <w:r w:rsidR="003745DF">
        <w:rPr>
          <w:rFonts w:eastAsiaTheme="minorEastAsia"/>
          <w:lang w:val="en-US"/>
        </w:rPr>
        <w:t xml:space="preserve">to the same environmental changes </w:t>
      </w:r>
      <w:r w:rsidR="003745DF">
        <w:rPr>
          <w:rFonts w:eastAsiaTheme="minorEastAsia"/>
          <w:lang w:val="en-US"/>
        </w:rPr>
        <w:fldChar w:fldCharType="begin" w:fldLock="1"/>
      </w:r>
      <w:r w:rsidR="003745DF">
        <w:rPr>
          <w:rFonts w:eastAsiaTheme="minorEastAsia"/>
          <w:lang w:val="en-US"/>
        </w:rPr>
        <w:instrText>ADDIN CSL_CITATION {"citationItems":[{"id":"ITEM-1","itemData":{"DOI":"10.1038/s41598-022-09961-9","ISBN":"4159802209961","ISSN":"2045-2322","abstract":" Gene flow in birds can be affected by urbanization depending on natural history traits and adaptability to habitat change. Contrasting results can be expected when comparing species with opposite resilience to urbanization. In this study, we assessed genetic diversity and structure for two bird species, the urban avoider white-eared ground-sparrow, Melozone leucotis, and the urban dweller house wren Troglodytes aedon . We used seven microsatellite loci and sampled five locations with differing levels of urbanization in Costa Rica. We found considerably higher genetic structure in white-eared ground-sparrows than in house wrens. Circuit theory analyses proved a higher isolation from urban resistance for the white-eared ground-sparrow than for house wrens. These results support that urbanization is a significant barrier for gene flow in urban avoiders, in contrast to urban dweller species that showed little to no impact. Differences could be attributed to a higher plasticity in habitat and nesting site preferences in the house wren, and significant dispersal limitation for the white-eared ground-sparrow. These results emphasize the n</w:instrText>
      </w:r>
      <w:r w:rsidR="003745DF" w:rsidRPr="00EE783E">
        <w:rPr>
          <w:rFonts w:eastAsiaTheme="minorEastAsia"/>
          <w:lang w:val="en-US"/>
        </w:rPr>
        <w:instrText>eed for conservation strategies towards white-eared ground-sparrows and other urban avoider species whose habitat and connectivity have been reduced by the recent urban expansion. ","author":[{"dropping-particle":"","family":"Rodríguez-Bardía","given":"Mauricio","non-dropping-particle":"","parse-names":false,"suffix":""},{"dropping-particle":"","family":"Fuchs","given":"Eric J.","non-dropping-particle":"","parse-names":false,"suffix":""},{"dropping-particle":"","family":"Barrantes","given":"Gilbert","non-dropping-particle":"","parse-names":false,"suffix":""},{"dropping-particle":"","family":"Madrigal-Brenes","given":"Ruth","non-dropping-particle":"","parse-names":false,"suffix":""},{"dropping-particle":"","family":"Sandoval","given":"Luis","non-dropping-particle":"","parse-names":false,"suffix":""}],"container-title":"Scientific Reports","id":"ITEM-1","issue":"1","issued":{"date-parts":[["2022"]]},"page":"1-11","publisher":"Nature Publishing Group UK","title":"Genetic structure in neotropical birds with different tolerance to urbanization","type":"article-journal","volume":"12"},"uris":["http://www.mendeley.com/documents/?uuid=ea8693a5-5706-4033-812a-ef038f7523c8"]}],"mendeley":{"formattedCitation":"(Rodríguez-Bardía et al., 2022)","plainTextFormattedCitation":"(Rodríguez-Bardía et al., 2022)","previouslyFormattedCitation":"(Rodríguez-Bardía et al., 2022)"},"properties":{"noteIndex":0},"schema":"https://github.com/citation-style-language/schema/raw/master/csl-citation.json"}</w:instrText>
      </w:r>
      <w:r w:rsidR="003745DF">
        <w:rPr>
          <w:rFonts w:eastAsiaTheme="minorEastAsia"/>
          <w:lang w:val="en-US"/>
        </w:rPr>
        <w:fldChar w:fldCharType="separate"/>
      </w:r>
      <w:r w:rsidR="003745DF" w:rsidRPr="00EE783E">
        <w:rPr>
          <w:rFonts w:eastAsiaTheme="minorEastAsia"/>
          <w:noProof/>
          <w:lang w:val="en-US"/>
        </w:rPr>
        <w:t>(Rodríguez-Bardía et al., 2022)</w:t>
      </w:r>
      <w:r w:rsidR="003745DF">
        <w:rPr>
          <w:rFonts w:eastAsiaTheme="minorEastAsia"/>
          <w:lang w:val="en-US"/>
        </w:rPr>
        <w:fldChar w:fldCharType="end"/>
      </w:r>
      <w:r w:rsidR="003745DF" w:rsidRPr="00EE783E">
        <w:rPr>
          <w:rFonts w:eastAsiaTheme="minorEastAsia"/>
          <w:lang w:val="en-US"/>
        </w:rPr>
        <w:t>.</w:t>
      </w:r>
      <w:bookmarkEnd w:id="39"/>
      <w:r w:rsidR="003745DF" w:rsidRPr="00EE783E">
        <w:rPr>
          <w:rFonts w:eastAsiaTheme="minorEastAsia"/>
          <w:lang w:val="en-US"/>
        </w:rPr>
        <w:t xml:space="preserve">  </w:t>
      </w:r>
    </w:p>
    <w:p w14:paraId="1A563600" w14:textId="77777777" w:rsidR="00B775FD" w:rsidRPr="00EE783E" w:rsidRDefault="00B775FD">
      <w:pPr>
        <w:rPr>
          <w:rFonts w:eastAsiaTheme="minorEastAsia"/>
          <w:lang w:val="en-US"/>
        </w:rPr>
      </w:pPr>
      <w:r w:rsidRPr="00EE783E">
        <w:rPr>
          <w:rFonts w:eastAsiaTheme="minorEastAsia"/>
          <w:lang w:val="en-US"/>
        </w:rPr>
        <w:br w:type="page"/>
      </w:r>
    </w:p>
    <w:p w14:paraId="139997B4" w14:textId="5BE032BD" w:rsidR="00E63FF1" w:rsidRPr="00EE783E" w:rsidRDefault="00A77742" w:rsidP="005408F9">
      <w:pPr>
        <w:rPr>
          <w:rFonts w:eastAsiaTheme="minorEastAsia"/>
          <w:lang w:val="en-US"/>
        </w:rPr>
      </w:pPr>
      <w:bookmarkStart w:id="40" w:name="_Hlk125624240"/>
      <w:r w:rsidRPr="00EE783E">
        <w:rPr>
          <w:rFonts w:eastAsiaTheme="minorEastAsia"/>
          <w:lang w:val="en-US"/>
        </w:rPr>
        <w:lastRenderedPageBreak/>
        <w:t>References</w:t>
      </w:r>
    </w:p>
    <w:p w14:paraId="1C59AC45" w14:textId="33F25786" w:rsidR="005E02BF" w:rsidRPr="007F3E3A" w:rsidRDefault="00D22709" w:rsidP="005E02BF">
      <w:pPr>
        <w:widowControl w:val="0"/>
        <w:autoSpaceDE w:val="0"/>
        <w:autoSpaceDN w:val="0"/>
        <w:adjustRightInd w:val="0"/>
        <w:spacing w:line="480" w:lineRule="auto"/>
        <w:ind w:left="480" w:hanging="480"/>
        <w:rPr>
          <w:rFonts w:ascii="Calibri" w:hAnsi="Calibri" w:cs="Calibri"/>
          <w:noProof/>
          <w:szCs w:val="24"/>
          <w:lang w:val="en-US"/>
        </w:rPr>
      </w:pPr>
      <w:r>
        <w:rPr>
          <w:rFonts w:eastAsiaTheme="minorEastAsia"/>
          <w:lang w:val="en-US"/>
        </w:rPr>
        <w:fldChar w:fldCharType="begin" w:fldLock="1"/>
      </w:r>
      <w:r w:rsidR="00C95472" w:rsidRPr="00EE783E">
        <w:rPr>
          <w:rFonts w:eastAsiaTheme="minorEastAsia"/>
          <w:lang w:val="en-US"/>
        </w:rPr>
        <w:instrText xml:space="preserve">ADDIN Mendeley Bibliography CSL_BIBLIOGRAPHY </w:instrText>
      </w:r>
      <w:r>
        <w:rPr>
          <w:rFonts w:eastAsiaTheme="minorEastAsia"/>
          <w:lang w:val="en-US"/>
        </w:rPr>
        <w:fldChar w:fldCharType="separate"/>
      </w:r>
      <w:r w:rsidR="005E02BF" w:rsidRPr="007F3E3A">
        <w:rPr>
          <w:rFonts w:ascii="Calibri" w:hAnsi="Calibri" w:cs="Calibri"/>
          <w:noProof/>
          <w:szCs w:val="24"/>
          <w:lang w:val="en-US"/>
        </w:rPr>
        <w:t xml:space="preserve">Badyaev, A. V., Young, R. L., Oh, K. P., &amp; Addison, C. (2008). Evolution on a local scale: Developmental, functional, and genetic bases of divergence in bill form and associated changes in song structure between adjacent habitats. </w:t>
      </w:r>
      <w:r w:rsidR="005E02BF" w:rsidRPr="007F3E3A">
        <w:rPr>
          <w:rFonts w:ascii="Calibri" w:hAnsi="Calibri" w:cs="Calibri"/>
          <w:i/>
          <w:iCs/>
          <w:noProof/>
          <w:szCs w:val="24"/>
          <w:lang w:val="en-US"/>
        </w:rPr>
        <w:t>Evolution</w:t>
      </w:r>
      <w:r w:rsidR="005E02BF" w:rsidRPr="007F3E3A">
        <w:rPr>
          <w:rFonts w:ascii="Calibri" w:hAnsi="Calibri" w:cs="Calibri"/>
          <w:noProof/>
          <w:szCs w:val="24"/>
          <w:lang w:val="en-US"/>
        </w:rPr>
        <w:t xml:space="preserve">, </w:t>
      </w:r>
      <w:r w:rsidR="005E02BF" w:rsidRPr="007F3E3A">
        <w:rPr>
          <w:rFonts w:ascii="Calibri" w:hAnsi="Calibri" w:cs="Calibri"/>
          <w:i/>
          <w:iCs/>
          <w:noProof/>
          <w:szCs w:val="24"/>
          <w:lang w:val="en-US"/>
        </w:rPr>
        <w:t>62</w:t>
      </w:r>
      <w:r w:rsidR="005E02BF" w:rsidRPr="007F3E3A">
        <w:rPr>
          <w:rFonts w:ascii="Calibri" w:hAnsi="Calibri" w:cs="Calibri"/>
          <w:noProof/>
          <w:szCs w:val="24"/>
          <w:lang w:val="en-US"/>
        </w:rPr>
        <w:t>(8), 1951–1964. https://doi.org/10.1111/j.1558-5646.2008.00428.x</w:t>
      </w:r>
    </w:p>
    <w:p w14:paraId="3732996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Bates, D., Mächler, M., Bolker, B. M., &amp; Walker, S. C. (2015). Fitting linear mixed-effects models using lme4. </w:t>
      </w:r>
      <w:r w:rsidRPr="007F3E3A">
        <w:rPr>
          <w:rFonts w:ascii="Calibri" w:hAnsi="Calibri" w:cs="Calibri"/>
          <w:i/>
          <w:iCs/>
          <w:noProof/>
          <w:szCs w:val="24"/>
          <w:lang w:val="en-US"/>
        </w:rPr>
        <w:t>Journal of Statistical Software</w:t>
      </w:r>
      <w:r w:rsidRPr="007F3E3A">
        <w:rPr>
          <w:rFonts w:ascii="Calibri" w:hAnsi="Calibri" w:cs="Calibri"/>
          <w:noProof/>
          <w:szCs w:val="24"/>
          <w:lang w:val="en-US"/>
        </w:rPr>
        <w:t xml:space="preserve">, </w:t>
      </w:r>
      <w:r w:rsidRPr="007F3E3A">
        <w:rPr>
          <w:rFonts w:ascii="Calibri" w:hAnsi="Calibri" w:cs="Calibri"/>
          <w:i/>
          <w:iCs/>
          <w:noProof/>
          <w:szCs w:val="24"/>
          <w:lang w:val="en-US"/>
        </w:rPr>
        <w:t>67</w:t>
      </w:r>
      <w:r w:rsidRPr="007F3E3A">
        <w:rPr>
          <w:rFonts w:ascii="Calibri" w:hAnsi="Calibri" w:cs="Calibri"/>
          <w:noProof/>
          <w:szCs w:val="24"/>
          <w:lang w:val="en-US"/>
        </w:rPr>
        <w:t>(1). https://doi.org/10.18637/jss.v067.i01</w:t>
      </w:r>
    </w:p>
    <w:p w14:paraId="2B34B394"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Biamonte, E., Sandoval, L., Chacón, E., &amp; Barrantes, G. (2011). Effect of urbanization on the avifauna in a tropical metropolitan area. </w:t>
      </w:r>
      <w:r w:rsidRPr="007F3E3A">
        <w:rPr>
          <w:rFonts w:ascii="Calibri" w:hAnsi="Calibri" w:cs="Calibri"/>
          <w:i/>
          <w:iCs/>
          <w:noProof/>
          <w:szCs w:val="24"/>
          <w:lang w:val="en-US"/>
        </w:rPr>
        <w:t>Landscape Ecology</w:t>
      </w:r>
      <w:r w:rsidRPr="007F3E3A">
        <w:rPr>
          <w:rFonts w:ascii="Calibri" w:hAnsi="Calibri" w:cs="Calibri"/>
          <w:noProof/>
          <w:szCs w:val="24"/>
          <w:lang w:val="en-US"/>
        </w:rPr>
        <w:t xml:space="preserve">, </w:t>
      </w:r>
      <w:r w:rsidRPr="007F3E3A">
        <w:rPr>
          <w:rFonts w:ascii="Calibri" w:hAnsi="Calibri" w:cs="Calibri"/>
          <w:i/>
          <w:iCs/>
          <w:noProof/>
          <w:szCs w:val="24"/>
          <w:lang w:val="en-US"/>
        </w:rPr>
        <w:t>26</w:t>
      </w:r>
      <w:r w:rsidRPr="007F3E3A">
        <w:rPr>
          <w:rFonts w:ascii="Calibri" w:hAnsi="Calibri" w:cs="Calibri"/>
          <w:noProof/>
          <w:szCs w:val="24"/>
          <w:lang w:val="en-US"/>
        </w:rPr>
        <w:t>(2), 183–194. https://doi.org/10.1007/s10980-010-9564-0</w:t>
      </w:r>
    </w:p>
    <w:p w14:paraId="1FDA0B76"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Boncoraglio, G., &amp; Saino, N. (2007). Habitat structure and the evolution of bird song: A meta-analysis of the evidence for the acoustic adaptation hypothesis. </w:t>
      </w:r>
      <w:r w:rsidRPr="007F3E3A">
        <w:rPr>
          <w:rFonts w:ascii="Calibri" w:hAnsi="Calibri" w:cs="Calibri"/>
          <w:i/>
          <w:iCs/>
          <w:noProof/>
          <w:szCs w:val="24"/>
          <w:lang w:val="en-US"/>
        </w:rPr>
        <w:t>Functional Ecology</w:t>
      </w:r>
      <w:r w:rsidRPr="007F3E3A">
        <w:rPr>
          <w:rFonts w:ascii="Calibri" w:hAnsi="Calibri" w:cs="Calibri"/>
          <w:noProof/>
          <w:szCs w:val="24"/>
          <w:lang w:val="en-US"/>
        </w:rPr>
        <w:t xml:space="preserve">, </w:t>
      </w:r>
      <w:r w:rsidRPr="007F3E3A">
        <w:rPr>
          <w:rFonts w:ascii="Calibri" w:hAnsi="Calibri" w:cs="Calibri"/>
          <w:i/>
          <w:iCs/>
          <w:noProof/>
          <w:szCs w:val="24"/>
          <w:lang w:val="en-US"/>
        </w:rPr>
        <w:t>21</w:t>
      </w:r>
      <w:r w:rsidRPr="007F3E3A">
        <w:rPr>
          <w:rFonts w:ascii="Calibri" w:hAnsi="Calibri" w:cs="Calibri"/>
          <w:noProof/>
          <w:szCs w:val="24"/>
          <w:lang w:val="en-US"/>
        </w:rPr>
        <w:t>(1), 134–142. https://doi.org/10.1111/j.1365-2435.2006.01207.x</w:t>
      </w:r>
    </w:p>
    <w:p w14:paraId="0AF6676A"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Bosse, M., Spurgin, L. G., Laine, V. N., Cole, E. F., Firth, J. A., Gienapp, P., Gosler, A. G., McMahon, K., Poissant, J., Verhagen, I., Groenen, M. A. M., Van Oers, K., Sheldon, B. C., Visser, M. E., &amp; Slate, J. (2017). Recent natural selection causes adaptive evolution of an avian polygenic trait. </w:t>
      </w:r>
      <w:r w:rsidRPr="007F3E3A">
        <w:rPr>
          <w:rFonts w:ascii="Calibri" w:hAnsi="Calibri" w:cs="Calibri"/>
          <w:i/>
          <w:iCs/>
          <w:noProof/>
          <w:szCs w:val="24"/>
          <w:lang w:val="en-US"/>
        </w:rPr>
        <w:t>Science</w:t>
      </w:r>
      <w:r w:rsidRPr="007F3E3A">
        <w:rPr>
          <w:rFonts w:ascii="Calibri" w:hAnsi="Calibri" w:cs="Calibri"/>
          <w:noProof/>
          <w:szCs w:val="24"/>
          <w:lang w:val="en-US"/>
        </w:rPr>
        <w:t xml:space="preserve">, </w:t>
      </w:r>
      <w:r w:rsidRPr="007F3E3A">
        <w:rPr>
          <w:rFonts w:ascii="Calibri" w:hAnsi="Calibri" w:cs="Calibri"/>
          <w:i/>
          <w:iCs/>
          <w:noProof/>
          <w:szCs w:val="24"/>
          <w:lang w:val="en-US"/>
        </w:rPr>
        <w:t>358</w:t>
      </w:r>
      <w:r w:rsidRPr="007F3E3A">
        <w:rPr>
          <w:rFonts w:ascii="Calibri" w:hAnsi="Calibri" w:cs="Calibri"/>
          <w:noProof/>
          <w:szCs w:val="24"/>
          <w:lang w:val="en-US"/>
        </w:rPr>
        <w:t>(6361), 365–368. https://doi.org/10.1126/science.aal3298</w:t>
      </w:r>
    </w:p>
    <w:p w14:paraId="29EA142B"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Bounas, A., Tsaparis, D., Efrat, R., Gradev, G., Gustin, M., Mikulic, K., Rodríguez, A., Sarà, M., Kotoulas, G., &amp; Sotiropoulos, K. (2018). Genetic structure of a patchily distributed philopatric migrant: Implications for management and conservation. </w:t>
      </w:r>
      <w:r w:rsidRPr="007F3E3A">
        <w:rPr>
          <w:rFonts w:ascii="Calibri" w:hAnsi="Calibri" w:cs="Calibri"/>
          <w:i/>
          <w:iCs/>
          <w:noProof/>
          <w:szCs w:val="24"/>
          <w:lang w:val="en-US"/>
        </w:rPr>
        <w:t>Biological Journal of the Linnean Society</w:t>
      </w:r>
      <w:r w:rsidRPr="007F3E3A">
        <w:rPr>
          <w:rFonts w:ascii="Calibri" w:hAnsi="Calibri" w:cs="Calibri"/>
          <w:noProof/>
          <w:szCs w:val="24"/>
          <w:lang w:val="en-US"/>
        </w:rPr>
        <w:t xml:space="preserve">, </w:t>
      </w:r>
      <w:r w:rsidRPr="007F3E3A">
        <w:rPr>
          <w:rFonts w:ascii="Calibri" w:hAnsi="Calibri" w:cs="Calibri"/>
          <w:i/>
          <w:iCs/>
          <w:noProof/>
          <w:szCs w:val="24"/>
          <w:lang w:val="en-US"/>
        </w:rPr>
        <w:t>124</w:t>
      </w:r>
      <w:r w:rsidRPr="007F3E3A">
        <w:rPr>
          <w:rFonts w:ascii="Calibri" w:hAnsi="Calibri" w:cs="Calibri"/>
          <w:noProof/>
          <w:szCs w:val="24"/>
          <w:lang w:val="en-US"/>
        </w:rPr>
        <w:t>(4), 633–644. https://doi.org/10.1093/biolinnean/bly073</w:t>
      </w:r>
    </w:p>
    <w:p w14:paraId="1414741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Brenowitz, E. A., Margoliash, D., &amp; Nordeen, K. W. (1997). An introduction to birdsong and the avian song system. </w:t>
      </w:r>
      <w:r w:rsidRPr="007F3E3A">
        <w:rPr>
          <w:rFonts w:ascii="Calibri" w:hAnsi="Calibri" w:cs="Calibri"/>
          <w:i/>
          <w:iCs/>
          <w:noProof/>
          <w:szCs w:val="24"/>
          <w:lang w:val="en-US"/>
        </w:rPr>
        <w:t>Journal of Neurobiology</w:t>
      </w:r>
      <w:r w:rsidRPr="007F3E3A">
        <w:rPr>
          <w:rFonts w:ascii="Calibri" w:hAnsi="Calibri" w:cs="Calibri"/>
          <w:noProof/>
          <w:szCs w:val="24"/>
          <w:lang w:val="en-US"/>
        </w:rPr>
        <w:t xml:space="preserve">, </w:t>
      </w:r>
      <w:r w:rsidRPr="007F3E3A">
        <w:rPr>
          <w:rFonts w:ascii="Calibri" w:hAnsi="Calibri" w:cs="Calibri"/>
          <w:i/>
          <w:iCs/>
          <w:noProof/>
          <w:szCs w:val="24"/>
          <w:lang w:val="en-US"/>
        </w:rPr>
        <w:t>33</w:t>
      </w:r>
      <w:r w:rsidRPr="007F3E3A">
        <w:rPr>
          <w:rFonts w:ascii="Calibri" w:hAnsi="Calibri" w:cs="Calibri"/>
          <w:noProof/>
          <w:szCs w:val="24"/>
          <w:lang w:val="en-US"/>
        </w:rPr>
        <w:t>(5), 495–500.</w:t>
      </w:r>
    </w:p>
    <w:p w14:paraId="6FB742BE"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lastRenderedPageBreak/>
        <w:t xml:space="preserve">Brumm, H. (2004). The impact of environmental noise on song amplitude in a territorial bird. </w:t>
      </w:r>
      <w:r w:rsidRPr="007F3E3A">
        <w:rPr>
          <w:rFonts w:ascii="Calibri" w:hAnsi="Calibri" w:cs="Calibri"/>
          <w:i/>
          <w:iCs/>
          <w:noProof/>
          <w:szCs w:val="24"/>
          <w:lang w:val="en-US"/>
        </w:rPr>
        <w:t>Journal of Animal Ecology</w:t>
      </w:r>
      <w:r w:rsidRPr="007F3E3A">
        <w:rPr>
          <w:rFonts w:ascii="Calibri" w:hAnsi="Calibri" w:cs="Calibri"/>
          <w:noProof/>
          <w:szCs w:val="24"/>
          <w:lang w:val="en-US"/>
        </w:rPr>
        <w:t xml:space="preserve">, </w:t>
      </w:r>
      <w:r w:rsidRPr="007F3E3A">
        <w:rPr>
          <w:rFonts w:ascii="Calibri" w:hAnsi="Calibri" w:cs="Calibri"/>
          <w:i/>
          <w:iCs/>
          <w:noProof/>
          <w:szCs w:val="24"/>
          <w:lang w:val="en-US"/>
        </w:rPr>
        <w:t>73</w:t>
      </w:r>
      <w:r w:rsidRPr="007F3E3A">
        <w:rPr>
          <w:rFonts w:ascii="Calibri" w:hAnsi="Calibri" w:cs="Calibri"/>
          <w:noProof/>
          <w:szCs w:val="24"/>
          <w:lang w:val="en-US"/>
        </w:rPr>
        <w:t>(3), 434–440. https://doi.org/10.1111/j.0021-8790.2004.00814.x</w:t>
      </w:r>
    </w:p>
    <w:p w14:paraId="6488546E"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Brumm, H. (2009). Song amplitude and body size in birds. </w:t>
      </w:r>
      <w:r w:rsidRPr="007F3E3A">
        <w:rPr>
          <w:rFonts w:ascii="Calibri" w:hAnsi="Calibri" w:cs="Calibri"/>
          <w:i/>
          <w:iCs/>
          <w:noProof/>
          <w:szCs w:val="24"/>
          <w:lang w:val="en-US"/>
        </w:rPr>
        <w:t>Behavioral Ecology and Sociobiology</w:t>
      </w:r>
      <w:r w:rsidRPr="007F3E3A">
        <w:rPr>
          <w:rFonts w:ascii="Calibri" w:hAnsi="Calibri" w:cs="Calibri"/>
          <w:noProof/>
          <w:szCs w:val="24"/>
          <w:lang w:val="en-US"/>
        </w:rPr>
        <w:t xml:space="preserve">, </w:t>
      </w:r>
      <w:r w:rsidRPr="007F3E3A">
        <w:rPr>
          <w:rFonts w:ascii="Calibri" w:hAnsi="Calibri" w:cs="Calibri"/>
          <w:i/>
          <w:iCs/>
          <w:noProof/>
          <w:szCs w:val="24"/>
          <w:lang w:val="en-US"/>
        </w:rPr>
        <w:t>63</w:t>
      </w:r>
      <w:r w:rsidRPr="007F3E3A">
        <w:rPr>
          <w:rFonts w:ascii="Calibri" w:hAnsi="Calibri" w:cs="Calibri"/>
          <w:noProof/>
          <w:szCs w:val="24"/>
          <w:lang w:val="en-US"/>
        </w:rPr>
        <w:t>(8), 1157–1165. https://doi.org/10.1007/s00265-009-0743-4</w:t>
      </w:r>
    </w:p>
    <w:p w14:paraId="5D1BDEE5" w14:textId="77777777" w:rsidR="005E02BF" w:rsidRPr="005E02BF" w:rsidRDefault="005E02BF" w:rsidP="005E02BF">
      <w:pPr>
        <w:widowControl w:val="0"/>
        <w:autoSpaceDE w:val="0"/>
        <w:autoSpaceDN w:val="0"/>
        <w:adjustRightInd w:val="0"/>
        <w:spacing w:line="480" w:lineRule="auto"/>
        <w:ind w:left="480" w:hanging="480"/>
        <w:rPr>
          <w:rFonts w:ascii="Calibri" w:hAnsi="Calibri" w:cs="Calibri"/>
          <w:noProof/>
          <w:szCs w:val="24"/>
        </w:rPr>
      </w:pPr>
      <w:r w:rsidRPr="007F3E3A">
        <w:rPr>
          <w:rFonts w:ascii="Calibri" w:hAnsi="Calibri" w:cs="Calibri"/>
          <w:noProof/>
          <w:szCs w:val="24"/>
          <w:lang w:val="en-US"/>
        </w:rPr>
        <w:t xml:space="preserve">Bulgin, N. L., Gibbs, H. L., Vickery, P., &amp; Baker, A. J. (2003). Ancestral polymorphisms in genetic markers obscure detection of evolutionarily distinct populations in the endangered Florida grasshopper sparrow (Ammodramus savannarum floridanus). </w:t>
      </w:r>
      <w:r w:rsidRPr="005E02BF">
        <w:rPr>
          <w:rFonts w:ascii="Calibri" w:hAnsi="Calibri" w:cs="Calibri"/>
          <w:i/>
          <w:iCs/>
          <w:noProof/>
          <w:szCs w:val="24"/>
        </w:rPr>
        <w:t>Molecular Ecology</w:t>
      </w:r>
      <w:r w:rsidRPr="005E02BF">
        <w:rPr>
          <w:rFonts w:ascii="Calibri" w:hAnsi="Calibri" w:cs="Calibri"/>
          <w:noProof/>
          <w:szCs w:val="24"/>
        </w:rPr>
        <w:t xml:space="preserve">, </w:t>
      </w:r>
      <w:r w:rsidRPr="005E02BF">
        <w:rPr>
          <w:rFonts w:ascii="Calibri" w:hAnsi="Calibri" w:cs="Calibri"/>
          <w:i/>
          <w:iCs/>
          <w:noProof/>
          <w:szCs w:val="24"/>
        </w:rPr>
        <w:t>12</w:t>
      </w:r>
      <w:r w:rsidRPr="005E02BF">
        <w:rPr>
          <w:rFonts w:ascii="Calibri" w:hAnsi="Calibri" w:cs="Calibri"/>
          <w:noProof/>
          <w:szCs w:val="24"/>
        </w:rPr>
        <w:t>(4), 831–844. https://doi.org/10.1046/j.1365-294X.2003.01774.x</w:t>
      </w:r>
    </w:p>
    <w:p w14:paraId="1142D65A"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5E02BF">
        <w:rPr>
          <w:rFonts w:ascii="Calibri" w:hAnsi="Calibri" w:cs="Calibri"/>
          <w:noProof/>
          <w:szCs w:val="24"/>
        </w:rPr>
        <w:t xml:space="preserve">Camacho-Alpízar, A., Fuchs, E. J., &amp; Barrantes, G. (2018). </w:t>
      </w:r>
      <w:r w:rsidRPr="007F3E3A">
        <w:rPr>
          <w:rFonts w:ascii="Calibri" w:hAnsi="Calibri" w:cs="Calibri"/>
          <w:noProof/>
          <w:szCs w:val="24"/>
          <w:lang w:val="en-US"/>
        </w:rPr>
        <w:t xml:space="preserve">Effect of barriers and distance on song, genetic, and morphological divergence in the highland endemic Timberline Wren (Thryorchilus browni, Troglodytidae). </w:t>
      </w:r>
      <w:r w:rsidRPr="007F3E3A">
        <w:rPr>
          <w:rFonts w:ascii="Calibri" w:hAnsi="Calibri" w:cs="Calibri"/>
          <w:i/>
          <w:iCs/>
          <w:noProof/>
          <w:szCs w:val="24"/>
          <w:lang w:val="en-US"/>
        </w:rPr>
        <w:t>PLoS ONE</w:t>
      </w:r>
      <w:r w:rsidRPr="007F3E3A">
        <w:rPr>
          <w:rFonts w:ascii="Calibri" w:hAnsi="Calibri" w:cs="Calibri"/>
          <w:noProof/>
          <w:szCs w:val="24"/>
          <w:lang w:val="en-US"/>
        </w:rPr>
        <w:t xml:space="preserve">, </w:t>
      </w:r>
      <w:r w:rsidRPr="007F3E3A">
        <w:rPr>
          <w:rFonts w:ascii="Calibri" w:hAnsi="Calibri" w:cs="Calibri"/>
          <w:i/>
          <w:iCs/>
          <w:noProof/>
          <w:szCs w:val="24"/>
          <w:lang w:val="en-US"/>
        </w:rPr>
        <w:t>13</w:t>
      </w:r>
      <w:r w:rsidRPr="007F3E3A">
        <w:rPr>
          <w:rFonts w:ascii="Calibri" w:hAnsi="Calibri" w:cs="Calibri"/>
          <w:noProof/>
          <w:szCs w:val="24"/>
          <w:lang w:val="en-US"/>
        </w:rPr>
        <w:t>(12), 1–17. https://doi.org/10.1371/journal.pone.0209508</w:t>
      </w:r>
    </w:p>
    <w:p w14:paraId="4C260865"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Crooks, K. R., Suarez, A. V., &amp; Bolger, D. T. (2004). Avian assemblages along a gradient of urbanization in a highly fragmented landscape. </w:t>
      </w:r>
      <w:r w:rsidRPr="007F3E3A">
        <w:rPr>
          <w:rFonts w:ascii="Calibri" w:hAnsi="Calibri" w:cs="Calibri"/>
          <w:i/>
          <w:iCs/>
          <w:noProof/>
          <w:szCs w:val="24"/>
          <w:lang w:val="en-US"/>
        </w:rPr>
        <w:t>Biological Conservation</w:t>
      </w:r>
      <w:r w:rsidRPr="007F3E3A">
        <w:rPr>
          <w:rFonts w:ascii="Calibri" w:hAnsi="Calibri" w:cs="Calibri"/>
          <w:noProof/>
          <w:szCs w:val="24"/>
          <w:lang w:val="en-US"/>
        </w:rPr>
        <w:t xml:space="preserve">, </w:t>
      </w:r>
      <w:r w:rsidRPr="007F3E3A">
        <w:rPr>
          <w:rFonts w:ascii="Calibri" w:hAnsi="Calibri" w:cs="Calibri"/>
          <w:i/>
          <w:iCs/>
          <w:noProof/>
          <w:szCs w:val="24"/>
          <w:lang w:val="en-US"/>
        </w:rPr>
        <w:t>115</w:t>
      </w:r>
      <w:r w:rsidRPr="007F3E3A">
        <w:rPr>
          <w:rFonts w:ascii="Calibri" w:hAnsi="Calibri" w:cs="Calibri"/>
          <w:noProof/>
          <w:szCs w:val="24"/>
          <w:lang w:val="en-US"/>
        </w:rPr>
        <w:t>(3), 451–462. https://doi.org/10.1016/S0006-3207(03)00162-9</w:t>
      </w:r>
    </w:p>
    <w:p w14:paraId="6A1CF264"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Danielson-François, A. M., Kelly, J. K., &amp; Greenfield, M. D. (2006). Genotype x environment interaction for male attractiveness in an acoustic moth: Evidence for plasticity and canalization. </w:t>
      </w:r>
      <w:r w:rsidRPr="007F3E3A">
        <w:rPr>
          <w:rFonts w:ascii="Calibri" w:hAnsi="Calibri" w:cs="Calibri"/>
          <w:i/>
          <w:iCs/>
          <w:noProof/>
          <w:szCs w:val="24"/>
          <w:lang w:val="en-US"/>
        </w:rPr>
        <w:t>Journal of Evolutionary Biology</w:t>
      </w:r>
      <w:r w:rsidRPr="007F3E3A">
        <w:rPr>
          <w:rFonts w:ascii="Calibri" w:hAnsi="Calibri" w:cs="Calibri"/>
          <w:noProof/>
          <w:szCs w:val="24"/>
          <w:lang w:val="en-US"/>
        </w:rPr>
        <w:t xml:space="preserve">, </w:t>
      </w:r>
      <w:r w:rsidRPr="007F3E3A">
        <w:rPr>
          <w:rFonts w:ascii="Calibri" w:hAnsi="Calibri" w:cs="Calibri"/>
          <w:i/>
          <w:iCs/>
          <w:noProof/>
          <w:szCs w:val="24"/>
          <w:lang w:val="en-US"/>
        </w:rPr>
        <w:t>19</w:t>
      </w:r>
      <w:r w:rsidRPr="007F3E3A">
        <w:rPr>
          <w:rFonts w:ascii="Calibri" w:hAnsi="Calibri" w:cs="Calibri"/>
          <w:noProof/>
          <w:szCs w:val="24"/>
          <w:lang w:val="en-US"/>
        </w:rPr>
        <w:t>(2), 532–542. https://doi.org/10.1111/j.1420-9101.2005.01006.x</w:t>
      </w:r>
    </w:p>
    <w:p w14:paraId="738BCF26"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de León, L. F., Raeymaekers, J. A. M., Bermingham, E., Podos, J., Herrel, A., &amp; Hendry, A. P. (2011). Exploring possible human influences on the evolution of Darwin’s finches. </w:t>
      </w:r>
      <w:r w:rsidRPr="007F3E3A">
        <w:rPr>
          <w:rFonts w:ascii="Calibri" w:hAnsi="Calibri" w:cs="Calibri"/>
          <w:i/>
          <w:iCs/>
          <w:noProof/>
          <w:szCs w:val="24"/>
          <w:lang w:val="en-US"/>
        </w:rPr>
        <w:t>Evolution</w:t>
      </w:r>
      <w:r w:rsidRPr="007F3E3A">
        <w:rPr>
          <w:rFonts w:ascii="Calibri" w:hAnsi="Calibri" w:cs="Calibri"/>
          <w:noProof/>
          <w:szCs w:val="24"/>
          <w:lang w:val="en-US"/>
        </w:rPr>
        <w:t xml:space="preserve">, </w:t>
      </w:r>
      <w:r w:rsidRPr="007F3E3A">
        <w:rPr>
          <w:rFonts w:ascii="Calibri" w:hAnsi="Calibri" w:cs="Calibri"/>
          <w:i/>
          <w:iCs/>
          <w:noProof/>
          <w:szCs w:val="24"/>
          <w:lang w:val="en-US"/>
        </w:rPr>
        <w:t>65</w:t>
      </w:r>
      <w:r w:rsidRPr="007F3E3A">
        <w:rPr>
          <w:rFonts w:ascii="Calibri" w:hAnsi="Calibri" w:cs="Calibri"/>
          <w:noProof/>
          <w:szCs w:val="24"/>
          <w:lang w:val="en-US"/>
        </w:rPr>
        <w:t>(8), 2258–2272. https://doi.org/10.1111/j.1558-5646.2011.01297.x</w:t>
      </w:r>
    </w:p>
    <w:p w14:paraId="5596E96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Delaney, K. S., Riley, S. P. D., &amp; Fisher, R. N. (2010). A Rapid , Strong , and Convergent Genetic </w:t>
      </w:r>
      <w:r w:rsidRPr="007F3E3A">
        <w:rPr>
          <w:rFonts w:ascii="Calibri" w:hAnsi="Calibri" w:cs="Calibri"/>
          <w:noProof/>
          <w:szCs w:val="24"/>
          <w:lang w:val="en-US"/>
        </w:rPr>
        <w:lastRenderedPageBreak/>
        <w:t xml:space="preserve">Response to Urban Habitat Fragmentation in Four Divergent and Widespread Vertebrates. </w:t>
      </w:r>
      <w:r w:rsidRPr="007F3E3A">
        <w:rPr>
          <w:rFonts w:ascii="Calibri" w:hAnsi="Calibri" w:cs="Calibri"/>
          <w:i/>
          <w:iCs/>
          <w:noProof/>
          <w:szCs w:val="24"/>
          <w:lang w:val="en-US"/>
        </w:rPr>
        <w:t>PLoS ONE</w:t>
      </w:r>
      <w:r w:rsidRPr="007F3E3A">
        <w:rPr>
          <w:rFonts w:ascii="Calibri" w:hAnsi="Calibri" w:cs="Calibri"/>
          <w:noProof/>
          <w:szCs w:val="24"/>
          <w:lang w:val="en-US"/>
        </w:rPr>
        <w:t xml:space="preserve">, </w:t>
      </w:r>
      <w:r w:rsidRPr="007F3E3A">
        <w:rPr>
          <w:rFonts w:ascii="Calibri" w:hAnsi="Calibri" w:cs="Calibri"/>
          <w:i/>
          <w:iCs/>
          <w:noProof/>
          <w:szCs w:val="24"/>
          <w:lang w:val="en-US"/>
        </w:rPr>
        <w:t>5</w:t>
      </w:r>
      <w:r w:rsidRPr="007F3E3A">
        <w:rPr>
          <w:rFonts w:ascii="Calibri" w:hAnsi="Calibri" w:cs="Calibri"/>
          <w:noProof/>
          <w:szCs w:val="24"/>
          <w:lang w:val="en-US"/>
        </w:rPr>
        <w:t>(9). https://doi.org/10.1371/journal.pone.0012767</w:t>
      </w:r>
    </w:p>
    <w:p w14:paraId="1985E7EC"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Evanno, G., Regnaut, S., &amp; Goudet, J. (2005). Detecting the number of clusters of individuals using the software STRUCTURE: A simulation study. </w:t>
      </w:r>
      <w:r w:rsidRPr="007F3E3A">
        <w:rPr>
          <w:rFonts w:ascii="Calibri" w:hAnsi="Calibri" w:cs="Calibri"/>
          <w:i/>
          <w:iCs/>
          <w:noProof/>
          <w:szCs w:val="24"/>
          <w:lang w:val="en-US"/>
        </w:rPr>
        <w:t>Molecular Ecology</w:t>
      </w:r>
      <w:r w:rsidRPr="007F3E3A">
        <w:rPr>
          <w:rFonts w:ascii="Calibri" w:hAnsi="Calibri" w:cs="Calibri"/>
          <w:noProof/>
          <w:szCs w:val="24"/>
          <w:lang w:val="en-US"/>
        </w:rPr>
        <w:t xml:space="preserve">, </w:t>
      </w:r>
      <w:r w:rsidRPr="007F3E3A">
        <w:rPr>
          <w:rFonts w:ascii="Calibri" w:hAnsi="Calibri" w:cs="Calibri"/>
          <w:i/>
          <w:iCs/>
          <w:noProof/>
          <w:szCs w:val="24"/>
          <w:lang w:val="en-US"/>
        </w:rPr>
        <w:t>14</w:t>
      </w:r>
      <w:r w:rsidRPr="007F3E3A">
        <w:rPr>
          <w:rFonts w:ascii="Calibri" w:hAnsi="Calibri" w:cs="Calibri"/>
          <w:noProof/>
          <w:szCs w:val="24"/>
          <w:lang w:val="en-US"/>
        </w:rPr>
        <w:t>(8), 2611–2620. https://doi.org/10.1111/j.1365-294X.2005.02553.x</w:t>
      </w:r>
    </w:p>
    <w:p w14:paraId="411EFCBC"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Ey, E., &amp; Fischer, J. (2009). Bioacoustics : The International Journal of Animal Sound and its Recording THE “ ACOUSTIC ADAPTATION HYPOTHESIS ”— A REVIEW OF THE EVIDENCE FROM BIRDS , ANURANS AND MAMMALS. </w:t>
      </w:r>
      <w:r w:rsidRPr="007F3E3A">
        <w:rPr>
          <w:rFonts w:ascii="Calibri" w:hAnsi="Calibri" w:cs="Calibri"/>
          <w:i/>
          <w:iCs/>
          <w:noProof/>
          <w:szCs w:val="24"/>
          <w:lang w:val="en-US"/>
        </w:rPr>
        <w:t>Journal of Bioacoustics</w:t>
      </w:r>
      <w:r w:rsidRPr="007F3E3A">
        <w:rPr>
          <w:rFonts w:ascii="Calibri" w:hAnsi="Calibri" w:cs="Calibri"/>
          <w:noProof/>
          <w:szCs w:val="24"/>
          <w:lang w:val="en-US"/>
        </w:rPr>
        <w:t xml:space="preserve">, </w:t>
      </w:r>
      <w:r w:rsidRPr="007F3E3A">
        <w:rPr>
          <w:rFonts w:ascii="Calibri" w:hAnsi="Calibri" w:cs="Calibri"/>
          <w:i/>
          <w:iCs/>
          <w:noProof/>
          <w:szCs w:val="24"/>
          <w:lang w:val="en-US"/>
        </w:rPr>
        <w:t>February 2013</w:t>
      </w:r>
      <w:r w:rsidRPr="007F3E3A">
        <w:rPr>
          <w:rFonts w:ascii="Calibri" w:hAnsi="Calibri" w:cs="Calibri"/>
          <w:noProof/>
          <w:szCs w:val="24"/>
          <w:lang w:val="en-US"/>
        </w:rPr>
        <w:t>, 21–48.</w:t>
      </w:r>
    </w:p>
    <w:p w14:paraId="5CD29462"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Fahrig, L., &amp; Rytwinski, T. (2009). Effects of roads on animal abundance: An empirical review and synthesis. </w:t>
      </w:r>
      <w:r w:rsidRPr="007F3E3A">
        <w:rPr>
          <w:rFonts w:ascii="Calibri" w:hAnsi="Calibri" w:cs="Calibri"/>
          <w:i/>
          <w:iCs/>
          <w:noProof/>
          <w:szCs w:val="24"/>
          <w:lang w:val="en-US"/>
        </w:rPr>
        <w:t>Ecology and Society</w:t>
      </w:r>
      <w:r w:rsidRPr="007F3E3A">
        <w:rPr>
          <w:rFonts w:ascii="Calibri" w:hAnsi="Calibri" w:cs="Calibri"/>
          <w:noProof/>
          <w:szCs w:val="24"/>
          <w:lang w:val="en-US"/>
        </w:rPr>
        <w:t xml:space="preserve">, </w:t>
      </w:r>
      <w:r w:rsidRPr="007F3E3A">
        <w:rPr>
          <w:rFonts w:ascii="Calibri" w:hAnsi="Calibri" w:cs="Calibri"/>
          <w:i/>
          <w:iCs/>
          <w:noProof/>
          <w:szCs w:val="24"/>
          <w:lang w:val="en-US"/>
        </w:rPr>
        <w:t>14</w:t>
      </w:r>
      <w:r w:rsidRPr="007F3E3A">
        <w:rPr>
          <w:rFonts w:ascii="Calibri" w:hAnsi="Calibri" w:cs="Calibri"/>
          <w:noProof/>
          <w:szCs w:val="24"/>
          <w:lang w:val="en-US"/>
        </w:rPr>
        <w:t>(1). https://doi.org/10.5751/ES-02815-140121</w:t>
      </w:r>
    </w:p>
    <w:p w14:paraId="15935683"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Fletcher, N. H., &amp; Tarnopolsky, A. (1999). Acoustics of the avian vocal tract. </w:t>
      </w:r>
      <w:r w:rsidRPr="007F3E3A">
        <w:rPr>
          <w:rFonts w:ascii="Calibri" w:hAnsi="Calibri" w:cs="Calibri"/>
          <w:i/>
          <w:iCs/>
          <w:noProof/>
          <w:szCs w:val="24"/>
          <w:lang w:val="en-US"/>
        </w:rPr>
        <w:t>The Journal of the Acoustical Society of America</w:t>
      </w:r>
      <w:r w:rsidRPr="007F3E3A">
        <w:rPr>
          <w:rFonts w:ascii="Calibri" w:hAnsi="Calibri" w:cs="Calibri"/>
          <w:noProof/>
          <w:szCs w:val="24"/>
          <w:lang w:val="en-US"/>
        </w:rPr>
        <w:t xml:space="preserve">, </w:t>
      </w:r>
      <w:r w:rsidRPr="007F3E3A">
        <w:rPr>
          <w:rFonts w:ascii="Calibri" w:hAnsi="Calibri" w:cs="Calibri"/>
          <w:i/>
          <w:iCs/>
          <w:noProof/>
          <w:szCs w:val="24"/>
          <w:lang w:val="en-US"/>
        </w:rPr>
        <w:t>105</w:t>
      </w:r>
      <w:r w:rsidRPr="007F3E3A">
        <w:rPr>
          <w:rFonts w:ascii="Calibri" w:hAnsi="Calibri" w:cs="Calibri"/>
          <w:noProof/>
          <w:szCs w:val="24"/>
          <w:lang w:val="en-US"/>
        </w:rPr>
        <w:t>(1), 35–49. https://doi.org/10.1121/1.424620</w:t>
      </w:r>
    </w:p>
    <w:p w14:paraId="506A8A13"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5E02BF">
        <w:rPr>
          <w:rFonts w:ascii="Calibri" w:hAnsi="Calibri" w:cs="Calibri"/>
          <w:noProof/>
          <w:szCs w:val="24"/>
        </w:rPr>
        <w:t xml:space="preserve">Foster, D. J., Podos, J., &amp; Hendry, A. P. (2008). </w:t>
      </w:r>
      <w:r w:rsidRPr="007F3E3A">
        <w:rPr>
          <w:rFonts w:ascii="Calibri" w:hAnsi="Calibri" w:cs="Calibri"/>
          <w:noProof/>
          <w:szCs w:val="24"/>
          <w:lang w:val="en-US"/>
        </w:rPr>
        <w:t xml:space="preserve">A geometric morphometric appraisal of beak shape in Darwin’s finches. </w:t>
      </w:r>
      <w:r w:rsidRPr="007F3E3A">
        <w:rPr>
          <w:rFonts w:ascii="Calibri" w:hAnsi="Calibri" w:cs="Calibri"/>
          <w:i/>
          <w:iCs/>
          <w:noProof/>
          <w:szCs w:val="24"/>
          <w:lang w:val="en-US"/>
        </w:rPr>
        <w:t>Journal of Evolutionary Biology</w:t>
      </w:r>
      <w:r w:rsidRPr="007F3E3A">
        <w:rPr>
          <w:rFonts w:ascii="Calibri" w:hAnsi="Calibri" w:cs="Calibri"/>
          <w:noProof/>
          <w:szCs w:val="24"/>
          <w:lang w:val="en-US"/>
        </w:rPr>
        <w:t xml:space="preserve">, </w:t>
      </w:r>
      <w:r w:rsidRPr="007F3E3A">
        <w:rPr>
          <w:rFonts w:ascii="Calibri" w:hAnsi="Calibri" w:cs="Calibri"/>
          <w:i/>
          <w:iCs/>
          <w:noProof/>
          <w:szCs w:val="24"/>
          <w:lang w:val="en-US"/>
        </w:rPr>
        <w:t>21</w:t>
      </w:r>
      <w:r w:rsidRPr="007F3E3A">
        <w:rPr>
          <w:rFonts w:ascii="Calibri" w:hAnsi="Calibri" w:cs="Calibri"/>
          <w:noProof/>
          <w:szCs w:val="24"/>
          <w:lang w:val="en-US"/>
        </w:rPr>
        <w:t>(1), 263–275. https://doi.org/10.1111/j.1420-9101.2007.01449.x</w:t>
      </w:r>
    </w:p>
    <w:p w14:paraId="223FD45E"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Frankham, R., Ballou, J. D., &amp; Briscoe, D. (2002). </w:t>
      </w:r>
      <w:r w:rsidRPr="007F3E3A">
        <w:rPr>
          <w:rFonts w:ascii="Calibri" w:hAnsi="Calibri" w:cs="Calibri"/>
          <w:i/>
          <w:iCs/>
          <w:noProof/>
          <w:szCs w:val="24"/>
          <w:lang w:val="en-US"/>
        </w:rPr>
        <w:t>Introduction to conservation genetics</w:t>
      </w:r>
      <w:r w:rsidRPr="007F3E3A">
        <w:rPr>
          <w:rFonts w:ascii="Calibri" w:hAnsi="Calibri" w:cs="Calibri"/>
          <w:noProof/>
          <w:szCs w:val="24"/>
          <w:lang w:val="en-US"/>
        </w:rPr>
        <w:t xml:space="preserve"> (Cambridge, Issue 1).</w:t>
      </w:r>
    </w:p>
    <w:p w14:paraId="05C2EF59"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Galeotti, P., Saino, N., Sacchi, R., &amp; MØller, A. P. (1997). Song correlates with social context, testosterone and body condition in male barn swallows. </w:t>
      </w:r>
      <w:r w:rsidRPr="007F3E3A">
        <w:rPr>
          <w:rFonts w:ascii="Calibri" w:hAnsi="Calibri" w:cs="Calibri"/>
          <w:i/>
          <w:iCs/>
          <w:noProof/>
          <w:szCs w:val="24"/>
          <w:lang w:val="en-US"/>
        </w:rPr>
        <w:t>Animal Behaviour</w:t>
      </w:r>
      <w:r w:rsidRPr="007F3E3A">
        <w:rPr>
          <w:rFonts w:ascii="Calibri" w:hAnsi="Calibri" w:cs="Calibri"/>
          <w:noProof/>
          <w:szCs w:val="24"/>
          <w:lang w:val="en-US"/>
        </w:rPr>
        <w:t xml:space="preserve">, </w:t>
      </w:r>
      <w:r w:rsidRPr="007F3E3A">
        <w:rPr>
          <w:rFonts w:ascii="Calibri" w:hAnsi="Calibri" w:cs="Calibri"/>
          <w:i/>
          <w:iCs/>
          <w:noProof/>
          <w:szCs w:val="24"/>
          <w:lang w:val="en-US"/>
        </w:rPr>
        <w:t>53</w:t>
      </w:r>
      <w:r w:rsidRPr="007F3E3A">
        <w:rPr>
          <w:rFonts w:ascii="Calibri" w:hAnsi="Calibri" w:cs="Calibri"/>
          <w:noProof/>
          <w:szCs w:val="24"/>
          <w:lang w:val="en-US"/>
        </w:rPr>
        <w:t>(4), 687–700. https://doi.org/10.1006/anbe.1996.0304</w:t>
      </w:r>
    </w:p>
    <w:p w14:paraId="2264CA9A"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Goodman, R. E., Lebuhn, G., Seavy, N. E., Gardali, T., &amp; Bluso-Demers, J. D. (2012). Avian body size changes and climate change: Warming or increasing variability? </w:t>
      </w:r>
      <w:r w:rsidRPr="007F3E3A">
        <w:rPr>
          <w:rFonts w:ascii="Calibri" w:hAnsi="Calibri" w:cs="Calibri"/>
          <w:i/>
          <w:iCs/>
          <w:noProof/>
          <w:szCs w:val="24"/>
          <w:lang w:val="en-US"/>
        </w:rPr>
        <w:t>Global Change Biology</w:t>
      </w:r>
      <w:r w:rsidRPr="007F3E3A">
        <w:rPr>
          <w:rFonts w:ascii="Calibri" w:hAnsi="Calibri" w:cs="Calibri"/>
          <w:noProof/>
          <w:szCs w:val="24"/>
          <w:lang w:val="en-US"/>
        </w:rPr>
        <w:t xml:space="preserve">, </w:t>
      </w:r>
      <w:r w:rsidRPr="007F3E3A">
        <w:rPr>
          <w:rFonts w:ascii="Calibri" w:hAnsi="Calibri" w:cs="Calibri"/>
          <w:i/>
          <w:iCs/>
          <w:noProof/>
          <w:szCs w:val="24"/>
          <w:lang w:val="en-US"/>
        </w:rPr>
        <w:t>18</w:t>
      </w:r>
      <w:r w:rsidRPr="007F3E3A">
        <w:rPr>
          <w:rFonts w:ascii="Calibri" w:hAnsi="Calibri" w:cs="Calibri"/>
          <w:noProof/>
          <w:szCs w:val="24"/>
          <w:lang w:val="en-US"/>
        </w:rPr>
        <w:t>(1), 63–73. https://doi.org/10.1111/j.1365-2486.2011.02538.x</w:t>
      </w:r>
    </w:p>
    <w:p w14:paraId="0FBD424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lastRenderedPageBreak/>
        <w:t xml:space="preserve">Graham, B. A., Heath, D. D., &amp; Mennill, D. J. (2017). Dispersal influences genetic and acoustic spatial structure for both males and females in a tropical songbird. </w:t>
      </w:r>
      <w:r w:rsidRPr="007F3E3A">
        <w:rPr>
          <w:rFonts w:ascii="Calibri" w:hAnsi="Calibri" w:cs="Calibri"/>
          <w:i/>
          <w:iCs/>
          <w:noProof/>
          <w:szCs w:val="24"/>
          <w:lang w:val="en-US"/>
        </w:rPr>
        <w:t>Ecology and Evolution</w:t>
      </w:r>
      <w:r w:rsidRPr="007F3E3A">
        <w:rPr>
          <w:rFonts w:ascii="Calibri" w:hAnsi="Calibri" w:cs="Calibri"/>
          <w:noProof/>
          <w:szCs w:val="24"/>
          <w:lang w:val="en-US"/>
        </w:rPr>
        <w:t xml:space="preserve">, </w:t>
      </w:r>
      <w:r w:rsidRPr="007F3E3A">
        <w:rPr>
          <w:rFonts w:ascii="Calibri" w:hAnsi="Calibri" w:cs="Calibri"/>
          <w:i/>
          <w:iCs/>
          <w:noProof/>
          <w:szCs w:val="24"/>
          <w:lang w:val="en-US"/>
        </w:rPr>
        <w:t>7</w:t>
      </w:r>
      <w:r w:rsidRPr="007F3E3A">
        <w:rPr>
          <w:rFonts w:ascii="Calibri" w:hAnsi="Calibri" w:cs="Calibri"/>
          <w:noProof/>
          <w:szCs w:val="24"/>
          <w:lang w:val="en-US"/>
        </w:rPr>
        <w:t>(23), 10089–10102. https://doi.org/10.1002/ece3.3456</w:t>
      </w:r>
    </w:p>
    <w:p w14:paraId="6AA53AF8"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Grant, P. R., &amp; Grant, B. R. (2002). Unpredictable evolution in a 30-year study of Darwin’s finches. </w:t>
      </w:r>
      <w:r w:rsidRPr="007F3E3A">
        <w:rPr>
          <w:rFonts w:ascii="Calibri" w:hAnsi="Calibri" w:cs="Calibri"/>
          <w:i/>
          <w:iCs/>
          <w:noProof/>
          <w:szCs w:val="24"/>
          <w:lang w:val="en-US"/>
        </w:rPr>
        <w:t>Science</w:t>
      </w:r>
      <w:r w:rsidRPr="007F3E3A">
        <w:rPr>
          <w:rFonts w:ascii="Calibri" w:hAnsi="Calibri" w:cs="Calibri"/>
          <w:noProof/>
          <w:szCs w:val="24"/>
          <w:lang w:val="en-US"/>
        </w:rPr>
        <w:t xml:space="preserve">, </w:t>
      </w:r>
      <w:r w:rsidRPr="007F3E3A">
        <w:rPr>
          <w:rFonts w:ascii="Calibri" w:hAnsi="Calibri" w:cs="Calibri"/>
          <w:i/>
          <w:iCs/>
          <w:noProof/>
          <w:szCs w:val="24"/>
          <w:lang w:val="en-US"/>
        </w:rPr>
        <w:t>296</w:t>
      </w:r>
      <w:r w:rsidRPr="007F3E3A">
        <w:rPr>
          <w:rFonts w:ascii="Calibri" w:hAnsi="Calibri" w:cs="Calibri"/>
          <w:noProof/>
          <w:szCs w:val="24"/>
          <w:lang w:val="en-US"/>
        </w:rPr>
        <w:t>(5568), 707–711. https://doi.org/10.1126/science.1070315</w:t>
      </w:r>
    </w:p>
    <w:p w14:paraId="5FD4225F"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Grimm, N., Faeth, S., Golubiewsky, N., Redman, C., Wu, J., Bai, X., &amp; Briggs, J. (2008). Global change and the Ecology of cities. </w:t>
      </w:r>
      <w:r w:rsidRPr="007F3E3A">
        <w:rPr>
          <w:rFonts w:ascii="Calibri" w:hAnsi="Calibri" w:cs="Calibri"/>
          <w:i/>
          <w:iCs/>
          <w:noProof/>
          <w:szCs w:val="24"/>
          <w:lang w:val="en-US"/>
        </w:rPr>
        <w:t>Science</w:t>
      </w:r>
      <w:r w:rsidRPr="007F3E3A">
        <w:rPr>
          <w:rFonts w:ascii="Calibri" w:hAnsi="Calibri" w:cs="Calibri"/>
          <w:noProof/>
          <w:szCs w:val="24"/>
          <w:lang w:val="en-US"/>
        </w:rPr>
        <w:t xml:space="preserve">, </w:t>
      </w:r>
      <w:r w:rsidRPr="007F3E3A">
        <w:rPr>
          <w:rFonts w:ascii="Calibri" w:hAnsi="Calibri" w:cs="Calibri"/>
          <w:i/>
          <w:iCs/>
          <w:noProof/>
          <w:szCs w:val="24"/>
          <w:lang w:val="en-US"/>
        </w:rPr>
        <w:t>319</w:t>
      </w:r>
      <w:r w:rsidRPr="007F3E3A">
        <w:rPr>
          <w:rFonts w:ascii="Calibri" w:hAnsi="Calibri" w:cs="Calibri"/>
          <w:noProof/>
          <w:szCs w:val="24"/>
          <w:lang w:val="en-US"/>
        </w:rPr>
        <w:t>(5864), 756–760. https://doi.org/DOI: 10.1126 / science.1150195</w:t>
      </w:r>
    </w:p>
    <w:p w14:paraId="68376E07"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Halfwerk, W., Bot, S., Buikx, J., van der Velde, M., Komdeur, J., ten Cate, C., &amp; Slabbekoorn, H. (2011). Low songs lose potency in urban noise conditions. Proceedings of the National Academy of Sciences. </w:t>
      </w:r>
      <w:r w:rsidRPr="007F3E3A">
        <w:rPr>
          <w:rFonts w:ascii="Calibri" w:hAnsi="Calibri" w:cs="Calibri"/>
          <w:i/>
          <w:iCs/>
          <w:noProof/>
          <w:szCs w:val="24"/>
          <w:lang w:val="en-US"/>
        </w:rPr>
        <w:t>Proceedings of the National Academy of Sciences of the United States of America</w:t>
      </w:r>
      <w:r w:rsidRPr="007F3E3A">
        <w:rPr>
          <w:rFonts w:ascii="Calibri" w:hAnsi="Calibri" w:cs="Calibri"/>
          <w:noProof/>
          <w:szCs w:val="24"/>
          <w:lang w:val="en-US"/>
        </w:rPr>
        <w:t xml:space="preserve">, </w:t>
      </w:r>
      <w:r w:rsidRPr="007F3E3A">
        <w:rPr>
          <w:rFonts w:ascii="Calibri" w:hAnsi="Calibri" w:cs="Calibri"/>
          <w:i/>
          <w:iCs/>
          <w:noProof/>
          <w:szCs w:val="24"/>
          <w:lang w:val="en-US"/>
        </w:rPr>
        <w:t>108</w:t>
      </w:r>
      <w:r w:rsidRPr="007F3E3A">
        <w:rPr>
          <w:rFonts w:ascii="Calibri" w:hAnsi="Calibri" w:cs="Calibri"/>
          <w:noProof/>
          <w:szCs w:val="24"/>
          <w:lang w:val="en-US"/>
        </w:rPr>
        <w:t>, 14549–14554.</w:t>
      </w:r>
    </w:p>
    <w:p w14:paraId="3184E261"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Hall, M. L., Kingma, S. A., &amp; Peters, A. (2013). Male Songbird Indicates Body Size with Low-Pitched Advertising Songs. </w:t>
      </w:r>
      <w:r w:rsidRPr="007F3E3A">
        <w:rPr>
          <w:rFonts w:ascii="Calibri" w:hAnsi="Calibri" w:cs="Calibri"/>
          <w:i/>
          <w:iCs/>
          <w:noProof/>
          <w:szCs w:val="24"/>
          <w:lang w:val="en-US"/>
        </w:rPr>
        <w:t>PLoS ONE</w:t>
      </w:r>
      <w:r w:rsidRPr="007F3E3A">
        <w:rPr>
          <w:rFonts w:ascii="Calibri" w:hAnsi="Calibri" w:cs="Calibri"/>
          <w:noProof/>
          <w:szCs w:val="24"/>
          <w:lang w:val="en-US"/>
        </w:rPr>
        <w:t xml:space="preserve">, </w:t>
      </w:r>
      <w:r w:rsidRPr="007F3E3A">
        <w:rPr>
          <w:rFonts w:ascii="Calibri" w:hAnsi="Calibri" w:cs="Calibri"/>
          <w:i/>
          <w:iCs/>
          <w:noProof/>
          <w:szCs w:val="24"/>
          <w:lang w:val="en-US"/>
        </w:rPr>
        <w:t>8</w:t>
      </w:r>
      <w:r w:rsidRPr="007F3E3A">
        <w:rPr>
          <w:rFonts w:ascii="Calibri" w:hAnsi="Calibri" w:cs="Calibri"/>
          <w:noProof/>
          <w:szCs w:val="24"/>
          <w:lang w:val="en-US"/>
        </w:rPr>
        <w:t>(2), 1–5. https://doi.org/10.1371/journal.pone.0056717</w:t>
      </w:r>
    </w:p>
    <w:p w14:paraId="51ED62E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Hardt, B., &amp; Benedict, L. (2021). Can you hear me now? A review of signal transmission and experimental evidence for the acoustic adaptation hypothesis. </w:t>
      </w:r>
      <w:r w:rsidRPr="007F3E3A">
        <w:rPr>
          <w:rFonts w:ascii="Calibri" w:hAnsi="Calibri" w:cs="Calibri"/>
          <w:i/>
          <w:iCs/>
          <w:noProof/>
          <w:szCs w:val="24"/>
          <w:lang w:val="en-US"/>
        </w:rPr>
        <w:t>Bioacoustics</w:t>
      </w:r>
      <w:r w:rsidRPr="007F3E3A">
        <w:rPr>
          <w:rFonts w:ascii="Calibri" w:hAnsi="Calibri" w:cs="Calibri"/>
          <w:noProof/>
          <w:szCs w:val="24"/>
          <w:lang w:val="en-US"/>
        </w:rPr>
        <w:t xml:space="preserve">, </w:t>
      </w:r>
      <w:r w:rsidRPr="007F3E3A">
        <w:rPr>
          <w:rFonts w:ascii="Calibri" w:hAnsi="Calibri" w:cs="Calibri"/>
          <w:i/>
          <w:iCs/>
          <w:noProof/>
          <w:szCs w:val="24"/>
          <w:lang w:val="en-US"/>
        </w:rPr>
        <w:t>30</w:t>
      </w:r>
      <w:r w:rsidRPr="007F3E3A">
        <w:rPr>
          <w:rFonts w:ascii="Calibri" w:hAnsi="Calibri" w:cs="Calibri"/>
          <w:noProof/>
          <w:szCs w:val="24"/>
          <w:lang w:val="en-US"/>
        </w:rPr>
        <w:t>(6), 716–742. https://doi.org/10.1080/09524622.2020.1858448</w:t>
      </w:r>
    </w:p>
    <w:p w14:paraId="1AF90713"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Hüppi, E., &amp; Geiger, M. (2022). Fast-paced city life? Tempo and mode of phenotypic changes in urban birds from Switzerland. </w:t>
      </w:r>
      <w:r w:rsidRPr="007F3E3A">
        <w:rPr>
          <w:rFonts w:ascii="Calibri" w:hAnsi="Calibri" w:cs="Calibri"/>
          <w:i/>
          <w:iCs/>
          <w:noProof/>
          <w:szCs w:val="24"/>
          <w:lang w:val="en-US"/>
        </w:rPr>
        <w:t>Ecology and Evolution</w:t>
      </w:r>
      <w:r w:rsidRPr="007F3E3A">
        <w:rPr>
          <w:rFonts w:ascii="Calibri" w:hAnsi="Calibri" w:cs="Calibri"/>
          <w:noProof/>
          <w:szCs w:val="24"/>
          <w:lang w:val="en-US"/>
        </w:rPr>
        <w:t xml:space="preserve">, </w:t>
      </w:r>
      <w:r w:rsidRPr="007F3E3A">
        <w:rPr>
          <w:rFonts w:ascii="Calibri" w:hAnsi="Calibri" w:cs="Calibri"/>
          <w:i/>
          <w:iCs/>
          <w:noProof/>
          <w:szCs w:val="24"/>
          <w:lang w:val="en-US"/>
        </w:rPr>
        <w:t>12</w:t>
      </w:r>
      <w:r w:rsidRPr="007F3E3A">
        <w:rPr>
          <w:rFonts w:ascii="Calibri" w:hAnsi="Calibri" w:cs="Calibri"/>
          <w:noProof/>
          <w:szCs w:val="24"/>
          <w:lang w:val="en-US"/>
        </w:rPr>
        <w:t>(8), 1–16. https://doi.org/10.1002/ece3.9217</w:t>
      </w:r>
    </w:p>
    <w:p w14:paraId="5E9129BC"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Huyser, O., Ryan, P. G., &amp; Cooper, J. (2000). Changes in population size, habitat use and breeding biology of lesser sheathbills (Chionis minor) at Marion Island: Impacts of cats, mice and climate change? </w:t>
      </w:r>
      <w:r w:rsidRPr="007F3E3A">
        <w:rPr>
          <w:rFonts w:ascii="Calibri" w:hAnsi="Calibri" w:cs="Calibri"/>
          <w:i/>
          <w:iCs/>
          <w:noProof/>
          <w:szCs w:val="24"/>
          <w:lang w:val="en-US"/>
        </w:rPr>
        <w:t>Biological Conservation</w:t>
      </w:r>
      <w:r w:rsidRPr="007F3E3A">
        <w:rPr>
          <w:rFonts w:ascii="Calibri" w:hAnsi="Calibri" w:cs="Calibri"/>
          <w:noProof/>
          <w:szCs w:val="24"/>
          <w:lang w:val="en-US"/>
        </w:rPr>
        <w:t xml:space="preserve">, </w:t>
      </w:r>
      <w:r w:rsidRPr="007F3E3A">
        <w:rPr>
          <w:rFonts w:ascii="Calibri" w:hAnsi="Calibri" w:cs="Calibri"/>
          <w:i/>
          <w:iCs/>
          <w:noProof/>
          <w:szCs w:val="24"/>
          <w:lang w:val="en-US"/>
        </w:rPr>
        <w:t>92</w:t>
      </w:r>
      <w:r w:rsidRPr="007F3E3A">
        <w:rPr>
          <w:rFonts w:ascii="Calibri" w:hAnsi="Calibri" w:cs="Calibri"/>
          <w:noProof/>
          <w:szCs w:val="24"/>
          <w:lang w:val="en-US"/>
        </w:rPr>
        <w:t xml:space="preserve">(3), 299–310. </w:t>
      </w:r>
      <w:r w:rsidRPr="007F3E3A">
        <w:rPr>
          <w:rFonts w:ascii="Calibri" w:hAnsi="Calibri" w:cs="Calibri"/>
          <w:noProof/>
          <w:szCs w:val="24"/>
          <w:lang w:val="en-US"/>
        </w:rPr>
        <w:lastRenderedPageBreak/>
        <w:t>https://doi.org/10.1016/S0006-3207(99)00096-8</w:t>
      </w:r>
    </w:p>
    <w:p w14:paraId="01FAF63B"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Irwin, D. E., Thimgan, M. P., &amp; Irwin, J. H. (2008). Call divergence is correlated with geographic and genetic distance in greenish warblers (Phylloscopus trochiloides): A strong role for stochasticity in signal evolution? </w:t>
      </w:r>
      <w:r w:rsidRPr="007F3E3A">
        <w:rPr>
          <w:rFonts w:ascii="Calibri" w:hAnsi="Calibri" w:cs="Calibri"/>
          <w:i/>
          <w:iCs/>
          <w:noProof/>
          <w:szCs w:val="24"/>
          <w:lang w:val="en-US"/>
        </w:rPr>
        <w:t>Journal of Evolutionary Biology</w:t>
      </w:r>
      <w:r w:rsidRPr="007F3E3A">
        <w:rPr>
          <w:rFonts w:ascii="Calibri" w:hAnsi="Calibri" w:cs="Calibri"/>
          <w:noProof/>
          <w:szCs w:val="24"/>
          <w:lang w:val="en-US"/>
        </w:rPr>
        <w:t xml:space="preserve">, </w:t>
      </w:r>
      <w:r w:rsidRPr="007F3E3A">
        <w:rPr>
          <w:rFonts w:ascii="Calibri" w:hAnsi="Calibri" w:cs="Calibri"/>
          <w:i/>
          <w:iCs/>
          <w:noProof/>
          <w:szCs w:val="24"/>
          <w:lang w:val="en-US"/>
        </w:rPr>
        <w:t>21</w:t>
      </w:r>
      <w:r w:rsidRPr="007F3E3A">
        <w:rPr>
          <w:rFonts w:ascii="Calibri" w:hAnsi="Calibri" w:cs="Calibri"/>
          <w:noProof/>
          <w:szCs w:val="24"/>
          <w:lang w:val="en-US"/>
        </w:rPr>
        <w:t>(2), 435–448. https://doi.org/10.1111/j.1420-9101.2007.01499.x</w:t>
      </w:r>
    </w:p>
    <w:p w14:paraId="13C4DC40"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Jeffery, K. J., Keller, L. F., Arcese, P., &amp; Bruford, M. W. (2001). The development of microsatellite loci in the song sparrow, Melospiza melodia (Aves) and genotyping errors associated with good quality DNA. </w:t>
      </w:r>
      <w:r w:rsidRPr="007F3E3A">
        <w:rPr>
          <w:rFonts w:ascii="Calibri" w:hAnsi="Calibri" w:cs="Calibri"/>
          <w:i/>
          <w:iCs/>
          <w:noProof/>
          <w:szCs w:val="24"/>
          <w:lang w:val="en-US"/>
        </w:rPr>
        <w:t>Molecular Ecology Notes</w:t>
      </w:r>
      <w:r w:rsidRPr="007F3E3A">
        <w:rPr>
          <w:rFonts w:ascii="Calibri" w:hAnsi="Calibri" w:cs="Calibri"/>
          <w:noProof/>
          <w:szCs w:val="24"/>
          <w:lang w:val="en-US"/>
        </w:rPr>
        <w:t xml:space="preserve">, </w:t>
      </w:r>
      <w:r w:rsidRPr="007F3E3A">
        <w:rPr>
          <w:rFonts w:ascii="Calibri" w:hAnsi="Calibri" w:cs="Calibri"/>
          <w:i/>
          <w:iCs/>
          <w:noProof/>
          <w:szCs w:val="24"/>
          <w:lang w:val="en-US"/>
        </w:rPr>
        <w:t>1</w:t>
      </w:r>
      <w:r w:rsidRPr="007F3E3A">
        <w:rPr>
          <w:rFonts w:ascii="Calibri" w:hAnsi="Calibri" w:cs="Calibri"/>
          <w:noProof/>
          <w:szCs w:val="24"/>
          <w:lang w:val="en-US"/>
        </w:rPr>
        <w:t>(1–2), 11–13. https://doi.org/10.1046/j.1471-8278.2000.00005.x</w:t>
      </w:r>
    </w:p>
    <w:p w14:paraId="02423A2E"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Johnson, M. T. J., &amp; Munshi-South, J. (2017). Evolution of life in urban environments. </w:t>
      </w:r>
      <w:r w:rsidRPr="007F3E3A">
        <w:rPr>
          <w:rFonts w:ascii="Calibri" w:hAnsi="Calibri" w:cs="Calibri"/>
          <w:i/>
          <w:iCs/>
          <w:noProof/>
          <w:szCs w:val="24"/>
          <w:lang w:val="en-US"/>
        </w:rPr>
        <w:t>Science</w:t>
      </w:r>
      <w:r w:rsidRPr="007F3E3A">
        <w:rPr>
          <w:rFonts w:ascii="Calibri" w:hAnsi="Calibri" w:cs="Calibri"/>
          <w:noProof/>
          <w:szCs w:val="24"/>
          <w:lang w:val="en-US"/>
        </w:rPr>
        <w:t xml:space="preserve">, </w:t>
      </w:r>
      <w:r w:rsidRPr="007F3E3A">
        <w:rPr>
          <w:rFonts w:ascii="Calibri" w:hAnsi="Calibri" w:cs="Calibri"/>
          <w:i/>
          <w:iCs/>
          <w:noProof/>
          <w:szCs w:val="24"/>
          <w:lang w:val="en-US"/>
        </w:rPr>
        <w:t>358</w:t>
      </w:r>
      <w:r w:rsidRPr="007F3E3A">
        <w:rPr>
          <w:rFonts w:ascii="Calibri" w:hAnsi="Calibri" w:cs="Calibri"/>
          <w:noProof/>
          <w:szCs w:val="24"/>
          <w:lang w:val="en-US"/>
        </w:rPr>
        <w:t>(6363). https://doi.org/10.1126/science.aam8327</w:t>
      </w:r>
    </w:p>
    <w:p w14:paraId="41BEA04C" w14:textId="77777777" w:rsidR="005E02BF" w:rsidRPr="005E02BF" w:rsidRDefault="005E02BF" w:rsidP="005E02BF">
      <w:pPr>
        <w:widowControl w:val="0"/>
        <w:autoSpaceDE w:val="0"/>
        <w:autoSpaceDN w:val="0"/>
        <w:adjustRightInd w:val="0"/>
        <w:spacing w:line="480" w:lineRule="auto"/>
        <w:ind w:left="480" w:hanging="480"/>
        <w:rPr>
          <w:rFonts w:ascii="Calibri" w:hAnsi="Calibri" w:cs="Calibri"/>
          <w:noProof/>
          <w:szCs w:val="24"/>
        </w:rPr>
      </w:pPr>
      <w:r w:rsidRPr="007F3E3A">
        <w:rPr>
          <w:rFonts w:ascii="Calibri" w:hAnsi="Calibri" w:cs="Calibri"/>
          <w:noProof/>
          <w:szCs w:val="24"/>
          <w:lang w:val="en-US"/>
        </w:rPr>
        <w:t xml:space="preserve">Joyce, A. (2006). </w:t>
      </w:r>
      <w:r w:rsidRPr="007F3E3A">
        <w:rPr>
          <w:rFonts w:ascii="Calibri" w:hAnsi="Calibri" w:cs="Calibri"/>
          <w:i/>
          <w:iCs/>
          <w:noProof/>
          <w:szCs w:val="24"/>
          <w:lang w:val="en-US"/>
        </w:rPr>
        <w:t>Land use change in Costa Rica: 1996–2006, as in</w:t>
      </w:r>
      <w:r w:rsidRPr="005E02BF">
        <w:rPr>
          <w:rFonts w:ascii="Calibri" w:hAnsi="Calibri" w:cs="Calibri"/>
          <w:i/>
          <w:iCs/>
          <w:noProof/>
          <w:szCs w:val="24"/>
        </w:rPr>
        <w:t>ﬂ</w:t>
      </w:r>
      <w:r w:rsidRPr="007F3E3A">
        <w:rPr>
          <w:rFonts w:ascii="Calibri" w:hAnsi="Calibri" w:cs="Calibri"/>
          <w:i/>
          <w:iCs/>
          <w:noProof/>
          <w:szCs w:val="24"/>
          <w:lang w:val="en-US"/>
        </w:rPr>
        <w:t>uenced by social, economic, political, and environmental factors</w:t>
      </w:r>
      <w:r w:rsidRPr="007F3E3A">
        <w:rPr>
          <w:rFonts w:ascii="Calibri" w:hAnsi="Calibri" w:cs="Calibri"/>
          <w:noProof/>
          <w:szCs w:val="24"/>
          <w:lang w:val="en-US"/>
        </w:rPr>
        <w:t xml:space="preserve">. </w:t>
      </w:r>
      <w:r w:rsidRPr="005E02BF">
        <w:rPr>
          <w:rFonts w:ascii="Calibri" w:hAnsi="Calibri" w:cs="Calibri"/>
          <w:noProof/>
          <w:szCs w:val="24"/>
        </w:rPr>
        <w:t>Litografía e imprenta LIL, S.A..</w:t>
      </w:r>
    </w:p>
    <w:p w14:paraId="4918562F"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5E02BF">
        <w:rPr>
          <w:rFonts w:ascii="Calibri" w:hAnsi="Calibri" w:cs="Calibri"/>
          <w:noProof/>
          <w:szCs w:val="24"/>
        </w:rPr>
        <w:t xml:space="preserve">Juárez, R., Chacón-Madrigal, E., &amp; Sandoval, L. (2020). </w:t>
      </w:r>
      <w:r w:rsidRPr="007F3E3A">
        <w:rPr>
          <w:rFonts w:ascii="Calibri" w:hAnsi="Calibri" w:cs="Calibri"/>
          <w:noProof/>
          <w:szCs w:val="24"/>
          <w:lang w:val="en-US"/>
        </w:rPr>
        <w:t xml:space="preserve">Urbanization has opposite effects on the territory size of two passerine birds. </w:t>
      </w:r>
      <w:r w:rsidRPr="007F3E3A">
        <w:rPr>
          <w:rFonts w:ascii="Calibri" w:hAnsi="Calibri" w:cs="Calibri"/>
          <w:i/>
          <w:iCs/>
          <w:noProof/>
          <w:szCs w:val="24"/>
          <w:lang w:val="en-US"/>
        </w:rPr>
        <w:t>Avian Research</w:t>
      </w:r>
      <w:r w:rsidRPr="007F3E3A">
        <w:rPr>
          <w:rFonts w:ascii="Calibri" w:hAnsi="Calibri" w:cs="Calibri"/>
          <w:noProof/>
          <w:szCs w:val="24"/>
          <w:lang w:val="en-US"/>
        </w:rPr>
        <w:t xml:space="preserve">, </w:t>
      </w:r>
      <w:r w:rsidRPr="007F3E3A">
        <w:rPr>
          <w:rFonts w:ascii="Calibri" w:hAnsi="Calibri" w:cs="Calibri"/>
          <w:i/>
          <w:iCs/>
          <w:noProof/>
          <w:szCs w:val="24"/>
          <w:lang w:val="en-US"/>
        </w:rPr>
        <w:t>11</w:t>
      </w:r>
      <w:r w:rsidRPr="007F3E3A">
        <w:rPr>
          <w:rFonts w:ascii="Calibri" w:hAnsi="Calibri" w:cs="Calibri"/>
          <w:noProof/>
          <w:szCs w:val="24"/>
          <w:lang w:val="en-US"/>
        </w:rPr>
        <w:t>(1), 1–9. https://doi.org/10.1186/s40657-020-00198-6</w:t>
      </w:r>
    </w:p>
    <w:p w14:paraId="45AF19FF"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Juárez, R., Ruiz-Gutiérrez, V., &amp; Sandoval, L. (2022). Surviving in cities: The case of a year-round territorial bird in the Neotropics. </w:t>
      </w:r>
      <w:r w:rsidRPr="007F3E3A">
        <w:rPr>
          <w:rFonts w:ascii="Calibri" w:hAnsi="Calibri" w:cs="Calibri"/>
          <w:i/>
          <w:iCs/>
          <w:noProof/>
          <w:szCs w:val="24"/>
          <w:lang w:val="en-US"/>
        </w:rPr>
        <w:t>Journal of Urban Ecology</w:t>
      </w:r>
      <w:r w:rsidRPr="007F3E3A">
        <w:rPr>
          <w:rFonts w:ascii="Calibri" w:hAnsi="Calibri" w:cs="Calibri"/>
          <w:noProof/>
          <w:szCs w:val="24"/>
          <w:lang w:val="en-US"/>
        </w:rPr>
        <w:t xml:space="preserve">, </w:t>
      </w:r>
      <w:r w:rsidRPr="007F3E3A">
        <w:rPr>
          <w:rFonts w:ascii="Calibri" w:hAnsi="Calibri" w:cs="Calibri"/>
          <w:i/>
          <w:iCs/>
          <w:noProof/>
          <w:szCs w:val="24"/>
          <w:lang w:val="en-US"/>
        </w:rPr>
        <w:t>8</w:t>
      </w:r>
      <w:r w:rsidRPr="007F3E3A">
        <w:rPr>
          <w:rFonts w:ascii="Calibri" w:hAnsi="Calibri" w:cs="Calibri"/>
          <w:noProof/>
          <w:szCs w:val="24"/>
          <w:lang w:val="en-US"/>
        </w:rPr>
        <w:t>(1), 1–7. https://doi.org/10.1093/jue/juac006</w:t>
      </w:r>
    </w:p>
    <w:p w14:paraId="69852C11"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Keller, L. F., &amp; Waller, D. M. (2002). Inbreeding effects in wild populations. </w:t>
      </w:r>
      <w:r w:rsidRPr="007F3E3A">
        <w:rPr>
          <w:rFonts w:ascii="Calibri" w:hAnsi="Calibri" w:cs="Calibri"/>
          <w:i/>
          <w:iCs/>
          <w:noProof/>
          <w:szCs w:val="24"/>
          <w:lang w:val="en-US"/>
        </w:rPr>
        <w:t>Trends in Ecology and Evolution</w:t>
      </w:r>
      <w:r w:rsidRPr="007F3E3A">
        <w:rPr>
          <w:rFonts w:ascii="Calibri" w:hAnsi="Calibri" w:cs="Calibri"/>
          <w:noProof/>
          <w:szCs w:val="24"/>
          <w:lang w:val="en-US"/>
        </w:rPr>
        <w:t xml:space="preserve">, </w:t>
      </w:r>
      <w:r w:rsidRPr="007F3E3A">
        <w:rPr>
          <w:rFonts w:ascii="Calibri" w:hAnsi="Calibri" w:cs="Calibri"/>
          <w:i/>
          <w:iCs/>
          <w:noProof/>
          <w:szCs w:val="24"/>
          <w:lang w:val="en-US"/>
        </w:rPr>
        <w:t>17</w:t>
      </w:r>
      <w:r w:rsidRPr="007F3E3A">
        <w:rPr>
          <w:rFonts w:ascii="Calibri" w:hAnsi="Calibri" w:cs="Calibri"/>
          <w:noProof/>
          <w:szCs w:val="24"/>
          <w:lang w:val="en-US"/>
        </w:rPr>
        <w:t>(5), 230–241. https://doi.org/10.1016/S0169-5347(02)02489-8</w:t>
      </w:r>
    </w:p>
    <w:p w14:paraId="34F87F9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Laiolo, P., &amp; Arroyo, A. (2011). </w:t>
      </w:r>
      <w:r w:rsidRPr="005E02BF">
        <w:rPr>
          <w:rFonts w:ascii="Calibri" w:hAnsi="Calibri" w:cs="Calibri"/>
          <w:noProof/>
          <w:szCs w:val="24"/>
        </w:rPr>
        <w:t xml:space="preserve">La fragmentación del hábitat como determinante de la diferenciación de los sistemas de comunicación animal. </w:t>
      </w:r>
      <w:r w:rsidRPr="007F3E3A">
        <w:rPr>
          <w:rFonts w:ascii="Calibri" w:hAnsi="Calibri" w:cs="Calibri"/>
          <w:i/>
          <w:iCs/>
          <w:noProof/>
          <w:szCs w:val="24"/>
          <w:lang w:val="en-US"/>
        </w:rPr>
        <w:t>Ecosistemas</w:t>
      </w:r>
      <w:r w:rsidRPr="007F3E3A">
        <w:rPr>
          <w:rFonts w:ascii="Calibri" w:hAnsi="Calibri" w:cs="Calibri"/>
          <w:noProof/>
          <w:szCs w:val="24"/>
          <w:lang w:val="en-US"/>
        </w:rPr>
        <w:t xml:space="preserve">, </w:t>
      </w:r>
      <w:r w:rsidRPr="007F3E3A">
        <w:rPr>
          <w:rFonts w:ascii="Calibri" w:hAnsi="Calibri" w:cs="Calibri"/>
          <w:i/>
          <w:iCs/>
          <w:noProof/>
          <w:szCs w:val="24"/>
          <w:lang w:val="en-US"/>
        </w:rPr>
        <w:t>20</w:t>
      </w:r>
      <w:r w:rsidRPr="007F3E3A">
        <w:rPr>
          <w:rFonts w:ascii="Calibri" w:hAnsi="Calibri" w:cs="Calibri"/>
          <w:noProof/>
          <w:szCs w:val="24"/>
          <w:lang w:val="en-US"/>
        </w:rPr>
        <w:t>(2), 46–53.</w:t>
      </w:r>
    </w:p>
    <w:p w14:paraId="3C44720B"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lastRenderedPageBreak/>
        <w:t xml:space="preserve">Lê, S., Josse, J., &amp; Husson, F. (2008). FactoMineR: An R Package for Multivariate Analysis. </w:t>
      </w:r>
      <w:r w:rsidRPr="007F3E3A">
        <w:rPr>
          <w:rFonts w:ascii="Calibri" w:hAnsi="Calibri" w:cs="Calibri"/>
          <w:i/>
          <w:iCs/>
          <w:noProof/>
          <w:szCs w:val="24"/>
          <w:lang w:val="en-US"/>
        </w:rPr>
        <w:t>JournalofStatisticalSoftware</w:t>
      </w:r>
      <w:r w:rsidRPr="007F3E3A">
        <w:rPr>
          <w:rFonts w:ascii="Calibri" w:hAnsi="Calibri" w:cs="Calibri"/>
          <w:noProof/>
          <w:szCs w:val="24"/>
          <w:lang w:val="en-US"/>
        </w:rPr>
        <w:t xml:space="preserve">, </w:t>
      </w:r>
      <w:r w:rsidRPr="007F3E3A">
        <w:rPr>
          <w:rFonts w:ascii="Calibri" w:hAnsi="Calibri" w:cs="Calibri"/>
          <w:i/>
          <w:iCs/>
          <w:noProof/>
          <w:szCs w:val="24"/>
          <w:lang w:val="en-US"/>
        </w:rPr>
        <w:t>25</w:t>
      </w:r>
      <w:r w:rsidRPr="007F3E3A">
        <w:rPr>
          <w:rFonts w:ascii="Calibri" w:hAnsi="Calibri" w:cs="Calibri"/>
          <w:noProof/>
          <w:szCs w:val="24"/>
          <w:lang w:val="en-US"/>
        </w:rPr>
        <w:t>(1), 253–258. https://doi.org/10.1016/j.envint.2008.06.007</w:t>
      </w:r>
    </w:p>
    <w:p w14:paraId="28D7D8D4"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Lens, L., Van Dongen, S., Galbusera, P., Schenck, T., Matthysen, E., &amp; Van De Casteele, T. (2000). Developmental instability and inbreeding in natural bird populations exposed to different levels of habitat disturbance. </w:t>
      </w:r>
      <w:r w:rsidRPr="007F3E3A">
        <w:rPr>
          <w:rFonts w:ascii="Calibri" w:hAnsi="Calibri" w:cs="Calibri"/>
          <w:i/>
          <w:iCs/>
          <w:noProof/>
          <w:szCs w:val="24"/>
          <w:lang w:val="en-US"/>
        </w:rPr>
        <w:t>Journal of Evolutionary Biology</w:t>
      </w:r>
      <w:r w:rsidRPr="007F3E3A">
        <w:rPr>
          <w:rFonts w:ascii="Calibri" w:hAnsi="Calibri" w:cs="Calibri"/>
          <w:noProof/>
          <w:szCs w:val="24"/>
          <w:lang w:val="en-US"/>
        </w:rPr>
        <w:t xml:space="preserve">, </w:t>
      </w:r>
      <w:r w:rsidRPr="007F3E3A">
        <w:rPr>
          <w:rFonts w:ascii="Calibri" w:hAnsi="Calibri" w:cs="Calibri"/>
          <w:i/>
          <w:iCs/>
          <w:noProof/>
          <w:szCs w:val="24"/>
          <w:lang w:val="en-US"/>
        </w:rPr>
        <w:t>13</w:t>
      </w:r>
      <w:r w:rsidRPr="007F3E3A">
        <w:rPr>
          <w:rFonts w:ascii="Calibri" w:hAnsi="Calibri" w:cs="Calibri"/>
          <w:noProof/>
          <w:szCs w:val="24"/>
          <w:lang w:val="en-US"/>
        </w:rPr>
        <w:t>(6), 889–896. https://doi.org/10.1046/j.1420-9101.2000.00232.x</w:t>
      </w:r>
    </w:p>
    <w:p w14:paraId="7BA605C5"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Luther, D. A., &amp; Derryberry, E. P. (2012). Birdsongs keep pace with city life: Changes in song over time in an urban songbird affects communication. </w:t>
      </w:r>
      <w:r w:rsidRPr="007F3E3A">
        <w:rPr>
          <w:rFonts w:ascii="Calibri" w:hAnsi="Calibri" w:cs="Calibri"/>
          <w:i/>
          <w:iCs/>
          <w:noProof/>
          <w:szCs w:val="24"/>
          <w:lang w:val="en-US"/>
        </w:rPr>
        <w:t>Animal Behaviour</w:t>
      </w:r>
      <w:r w:rsidRPr="007F3E3A">
        <w:rPr>
          <w:rFonts w:ascii="Calibri" w:hAnsi="Calibri" w:cs="Calibri"/>
          <w:noProof/>
          <w:szCs w:val="24"/>
          <w:lang w:val="en-US"/>
        </w:rPr>
        <w:t xml:space="preserve">, </w:t>
      </w:r>
      <w:r w:rsidRPr="007F3E3A">
        <w:rPr>
          <w:rFonts w:ascii="Calibri" w:hAnsi="Calibri" w:cs="Calibri"/>
          <w:i/>
          <w:iCs/>
          <w:noProof/>
          <w:szCs w:val="24"/>
          <w:lang w:val="en-US"/>
        </w:rPr>
        <w:t>83</w:t>
      </w:r>
      <w:r w:rsidRPr="007F3E3A">
        <w:rPr>
          <w:rFonts w:ascii="Calibri" w:hAnsi="Calibri" w:cs="Calibri"/>
          <w:noProof/>
          <w:szCs w:val="24"/>
          <w:lang w:val="en-US"/>
        </w:rPr>
        <w:t>(4), 1059–1066. https://doi.org/10.1016/j.anbehav.2012.01.034</w:t>
      </w:r>
    </w:p>
    <w:p w14:paraId="2B383EB8"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Lynch, A., &amp; Baker, A. J. (1994). A population memetics approach to cultural evolution in chaffinch song: Differentiation among populations. </w:t>
      </w:r>
      <w:r w:rsidRPr="007F3E3A">
        <w:rPr>
          <w:rFonts w:ascii="Calibri" w:hAnsi="Calibri" w:cs="Calibri"/>
          <w:i/>
          <w:iCs/>
          <w:noProof/>
          <w:szCs w:val="24"/>
          <w:lang w:val="en-US"/>
        </w:rPr>
        <w:t>Evolution</w:t>
      </w:r>
      <w:r w:rsidRPr="007F3E3A">
        <w:rPr>
          <w:rFonts w:ascii="Calibri" w:hAnsi="Calibri" w:cs="Calibri"/>
          <w:noProof/>
          <w:szCs w:val="24"/>
          <w:lang w:val="en-US"/>
        </w:rPr>
        <w:t xml:space="preserve">, </w:t>
      </w:r>
      <w:r w:rsidRPr="007F3E3A">
        <w:rPr>
          <w:rFonts w:ascii="Calibri" w:hAnsi="Calibri" w:cs="Calibri"/>
          <w:i/>
          <w:iCs/>
          <w:noProof/>
          <w:szCs w:val="24"/>
          <w:lang w:val="en-US"/>
        </w:rPr>
        <w:t>48</w:t>
      </w:r>
      <w:r w:rsidRPr="007F3E3A">
        <w:rPr>
          <w:rFonts w:ascii="Calibri" w:hAnsi="Calibri" w:cs="Calibri"/>
          <w:noProof/>
          <w:szCs w:val="24"/>
          <w:lang w:val="en-US"/>
        </w:rPr>
        <w:t>(2), 351–359. https://doi.org/10.1111/j.1558-5646.1994.tb01316.x</w:t>
      </w:r>
    </w:p>
    <w:p w14:paraId="27CADEE7"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MacDougall-Shackleton, E. A., &amp; MacDougall-Shackleton, S. A. (2001). Cultural and genetic evolution in mountain white-crowned sparrows: Song dialects are associated with population structure. </w:t>
      </w:r>
      <w:r w:rsidRPr="007F3E3A">
        <w:rPr>
          <w:rFonts w:ascii="Calibri" w:hAnsi="Calibri" w:cs="Calibri"/>
          <w:i/>
          <w:iCs/>
          <w:noProof/>
          <w:szCs w:val="24"/>
          <w:lang w:val="en-US"/>
        </w:rPr>
        <w:t>Evolution</w:t>
      </w:r>
      <w:r w:rsidRPr="007F3E3A">
        <w:rPr>
          <w:rFonts w:ascii="Calibri" w:hAnsi="Calibri" w:cs="Calibri"/>
          <w:noProof/>
          <w:szCs w:val="24"/>
          <w:lang w:val="en-US"/>
        </w:rPr>
        <w:t xml:space="preserve">, </w:t>
      </w:r>
      <w:r w:rsidRPr="007F3E3A">
        <w:rPr>
          <w:rFonts w:ascii="Calibri" w:hAnsi="Calibri" w:cs="Calibri"/>
          <w:i/>
          <w:iCs/>
          <w:noProof/>
          <w:szCs w:val="24"/>
          <w:lang w:val="en-US"/>
        </w:rPr>
        <w:t>55</w:t>
      </w:r>
      <w:r w:rsidRPr="007F3E3A">
        <w:rPr>
          <w:rFonts w:ascii="Calibri" w:hAnsi="Calibri" w:cs="Calibri"/>
          <w:noProof/>
          <w:szCs w:val="24"/>
          <w:lang w:val="en-US"/>
        </w:rPr>
        <w:t>(12), 2568–2575. https://doi.org/10.1111/j.0014-3820.2001.tb00769.x</w:t>
      </w:r>
    </w:p>
    <w:p w14:paraId="2CD61764"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Méndez, C., Barrantes, G., &amp; Sandoval, L. (2020). The effect of noise variation over time and between populations on the fine spectrotemporal characteristics of different vocalization types. </w:t>
      </w:r>
      <w:r w:rsidRPr="007F3E3A">
        <w:rPr>
          <w:rFonts w:ascii="Calibri" w:hAnsi="Calibri" w:cs="Calibri"/>
          <w:i/>
          <w:iCs/>
          <w:noProof/>
          <w:szCs w:val="24"/>
          <w:lang w:val="en-US"/>
        </w:rPr>
        <w:t>Behavioural Processes</w:t>
      </w:r>
      <w:r w:rsidRPr="007F3E3A">
        <w:rPr>
          <w:rFonts w:ascii="Calibri" w:hAnsi="Calibri" w:cs="Calibri"/>
          <w:noProof/>
          <w:szCs w:val="24"/>
          <w:lang w:val="en-US"/>
        </w:rPr>
        <w:t xml:space="preserve">, </w:t>
      </w:r>
      <w:r w:rsidRPr="007F3E3A">
        <w:rPr>
          <w:rFonts w:ascii="Calibri" w:hAnsi="Calibri" w:cs="Calibri"/>
          <w:i/>
          <w:iCs/>
          <w:noProof/>
          <w:szCs w:val="24"/>
          <w:lang w:val="en-US"/>
        </w:rPr>
        <w:t>182</w:t>
      </w:r>
      <w:r w:rsidRPr="007F3E3A">
        <w:rPr>
          <w:rFonts w:ascii="Calibri" w:hAnsi="Calibri" w:cs="Calibri"/>
          <w:noProof/>
          <w:szCs w:val="24"/>
          <w:lang w:val="en-US"/>
        </w:rPr>
        <w:t>. https://doi.org/10.1016/j.beproc.2020.104282</w:t>
      </w:r>
    </w:p>
    <w:p w14:paraId="2C4C1825"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Mennechez, G., &amp; Clergeau, P. (2006). Effect of urbanisation on habitat generalists: starlings not so flexible? </w:t>
      </w:r>
      <w:r w:rsidRPr="007F3E3A">
        <w:rPr>
          <w:rFonts w:ascii="Calibri" w:hAnsi="Calibri" w:cs="Calibri"/>
          <w:i/>
          <w:iCs/>
          <w:noProof/>
          <w:szCs w:val="24"/>
          <w:lang w:val="en-US"/>
        </w:rPr>
        <w:t>Acta Oecologica</w:t>
      </w:r>
      <w:r w:rsidRPr="007F3E3A">
        <w:rPr>
          <w:rFonts w:ascii="Calibri" w:hAnsi="Calibri" w:cs="Calibri"/>
          <w:noProof/>
          <w:szCs w:val="24"/>
          <w:lang w:val="en-US"/>
        </w:rPr>
        <w:t xml:space="preserve">, </w:t>
      </w:r>
      <w:r w:rsidRPr="007F3E3A">
        <w:rPr>
          <w:rFonts w:ascii="Calibri" w:hAnsi="Calibri" w:cs="Calibri"/>
          <w:i/>
          <w:iCs/>
          <w:noProof/>
          <w:szCs w:val="24"/>
          <w:lang w:val="en-US"/>
        </w:rPr>
        <w:t>30</w:t>
      </w:r>
      <w:r w:rsidRPr="007F3E3A">
        <w:rPr>
          <w:rFonts w:ascii="Calibri" w:hAnsi="Calibri" w:cs="Calibri"/>
          <w:noProof/>
          <w:szCs w:val="24"/>
          <w:lang w:val="en-US"/>
        </w:rPr>
        <w:t>(2), 182–191. https://doi.org/10.1016/j.actao.2006.03.002</w:t>
      </w:r>
    </w:p>
    <w:p w14:paraId="7E46FB7C"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Miles, L. S., Rivkin, L. R., Johnson, M. T. J., Munshi-South, J., &amp; Verrelli, B. C. (2019). Gene flow </w:t>
      </w:r>
      <w:r w:rsidRPr="007F3E3A">
        <w:rPr>
          <w:rFonts w:ascii="Calibri" w:hAnsi="Calibri" w:cs="Calibri"/>
          <w:noProof/>
          <w:szCs w:val="24"/>
          <w:lang w:val="en-US"/>
        </w:rPr>
        <w:lastRenderedPageBreak/>
        <w:t xml:space="preserve">and genetic drift in urban environments. </w:t>
      </w:r>
      <w:r w:rsidRPr="007F3E3A">
        <w:rPr>
          <w:rFonts w:ascii="Calibri" w:hAnsi="Calibri" w:cs="Calibri"/>
          <w:i/>
          <w:iCs/>
          <w:noProof/>
          <w:szCs w:val="24"/>
          <w:lang w:val="en-US"/>
        </w:rPr>
        <w:t>Molecular Ecology</w:t>
      </w:r>
      <w:r w:rsidRPr="007F3E3A">
        <w:rPr>
          <w:rFonts w:ascii="Calibri" w:hAnsi="Calibri" w:cs="Calibri"/>
          <w:noProof/>
          <w:szCs w:val="24"/>
          <w:lang w:val="en-US"/>
        </w:rPr>
        <w:t xml:space="preserve">, </w:t>
      </w:r>
      <w:r w:rsidRPr="007F3E3A">
        <w:rPr>
          <w:rFonts w:ascii="Calibri" w:hAnsi="Calibri" w:cs="Calibri"/>
          <w:i/>
          <w:iCs/>
          <w:noProof/>
          <w:szCs w:val="24"/>
          <w:lang w:val="en-US"/>
        </w:rPr>
        <w:t>28</w:t>
      </w:r>
      <w:r w:rsidRPr="007F3E3A">
        <w:rPr>
          <w:rFonts w:ascii="Calibri" w:hAnsi="Calibri" w:cs="Calibri"/>
          <w:noProof/>
          <w:szCs w:val="24"/>
          <w:lang w:val="en-US"/>
        </w:rPr>
        <w:t>(18), 4138–4151. https://doi.org/10.1111/mec.15221</w:t>
      </w:r>
    </w:p>
    <w:p w14:paraId="042ABF28"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5E02BF">
        <w:rPr>
          <w:rFonts w:ascii="Calibri" w:hAnsi="Calibri" w:cs="Calibri"/>
          <w:noProof/>
          <w:szCs w:val="24"/>
        </w:rPr>
        <w:t xml:space="preserve">Morhina, F., Dávila, J., Bastos, E., Cabral, J., Frías, O., González, J., Travassos, P., Carvalho, D., Milá, B., &amp; Blanco, G. (2017). </w:t>
      </w:r>
      <w:r w:rsidRPr="007F3E3A">
        <w:rPr>
          <w:rFonts w:ascii="Calibri" w:hAnsi="Calibri" w:cs="Calibri"/>
          <w:noProof/>
          <w:szCs w:val="24"/>
          <w:lang w:val="en-US"/>
        </w:rPr>
        <w:t xml:space="preserve">Extreme genetic structure in a social bird species despite high dispersal capacity. </w:t>
      </w:r>
      <w:r w:rsidRPr="007F3E3A">
        <w:rPr>
          <w:rFonts w:ascii="Calibri" w:hAnsi="Calibri" w:cs="Calibri"/>
          <w:i/>
          <w:iCs/>
          <w:noProof/>
          <w:szCs w:val="24"/>
          <w:lang w:val="en-US"/>
        </w:rPr>
        <w:t>Molecular Ecology</w:t>
      </w:r>
      <w:r w:rsidRPr="007F3E3A">
        <w:rPr>
          <w:rFonts w:ascii="Calibri" w:hAnsi="Calibri" w:cs="Calibri"/>
          <w:noProof/>
          <w:szCs w:val="24"/>
          <w:lang w:val="en-US"/>
        </w:rPr>
        <w:t xml:space="preserve">, </w:t>
      </w:r>
      <w:r w:rsidRPr="007F3E3A">
        <w:rPr>
          <w:rFonts w:ascii="Calibri" w:hAnsi="Calibri" w:cs="Calibri"/>
          <w:i/>
          <w:iCs/>
          <w:noProof/>
          <w:szCs w:val="24"/>
          <w:lang w:val="en-US"/>
        </w:rPr>
        <w:t>26</w:t>
      </w:r>
      <w:r w:rsidRPr="007F3E3A">
        <w:rPr>
          <w:rFonts w:ascii="Calibri" w:hAnsi="Calibri" w:cs="Calibri"/>
          <w:noProof/>
          <w:szCs w:val="24"/>
          <w:lang w:val="en-US"/>
        </w:rPr>
        <w:t>(10), 2812–2825. https://doi.org/10.1111/ijlh.12426</w:t>
      </w:r>
    </w:p>
    <w:p w14:paraId="76F425CA"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Morton, E. S. (1975). Ecological Sources of Selection on Avian Sounds. </w:t>
      </w:r>
      <w:r w:rsidRPr="007F3E3A">
        <w:rPr>
          <w:rFonts w:ascii="Calibri" w:hAnsi="Calibri" w:cs="Calibri"/>
          <w:i/>
          <w:iCs/>
          <w:noProof/>
          <w:szCs w:val="24"/>
          <w:lang w:val="en-US"/>
        </w:rPr>
        <w:t>The American Naturalist</w:t>
      </w:r>
      <w:r w:rsidRPr="007F3E3A">
        <w:rPr>
          <w:rFonts w:ascii="Calibri" w:hAnsi="Calibri" w:cs="Calibri"/>
          <w:noProof/>
          <w:szCs w:val="24"/>
          <w:lang w:val="en-US"/>
        </w:rPr>
        <w:t xml:space="preserve">, </w:t>
      </w:r>
      <w:r w:rsidRPr="007F3E3A">
        <w:rPr>
          <w:rFonts w:ascii="Calibri" w:hAnsi="Calibri" w:cs="Calibri"/>
          <w:i/>
          <w:iCs/>
          <w:noProof/>
          <w:szCs w:val="24"/>
          <w:lang w:val="en-US"/>
        </w:rPr>
        <w:t>109</w:t>
      </w:r>
      <w:r w:rsidRPr="007F3E3A">
        <w:rPr>
          <w:rFonts w:ascii="Calibri" w:hAnsi="Calibri" w:cs="Calibri"/>
          <w:noProof/>
          <w:szCs w:val="24"/>
          <w:lang w:val="en-US"/>
        </w:rPr>
        <w:t>(965), 17–34. https://doi.org/10.1086/282971</w:t>
      </w:r>
    </w:p>
    <w:p w14:paraId="0F5AA26F"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Oksanen,  r J., Simpson, G. L., Blanchet, F. G., Solymos, P., Stevens, M. H. H., Szoecs, E., Wagner, H., Barbour, M., Bedward, M., Bolker, B., Borcard, D., Carvalho, G., Chirico, M., Durand, S., Beatriz, H., Evangelista, A., Friendly, M., Hannigan, G., Hill, M. O., … Weedon, J. (2012). Vegan: Community Ecology Package. </w:t>
      </w:r>
      <w:r w:rsidRPr="007F3E3A">
        <w:rPr>
          <w:rFonts w:ascii="Calibri" w:hAnsi="Calibri" w:cs="Calibri"/>
          <w:i/>
          <w:iCs/>
          <w:noProof/>
          <w:szCs w:val="24"/>
          <w:lang w:val="en-US"/>
        </w:rPr>
        <w:t>Vegan: Community Ecol Package</w:t>
      </w:r>
      <w:r w:rsidRPr="007F3E3A">
        <w:rPr>
          <w:rFonts w:ascii="Calibri" w:hAnsi="Calibri" w:cs="Calibri"/>
          <w:noProof/>
          <w:szCs w:val="24"/>
          <w:lang w:val="en-US"/>
        </w:rPr>
        <w:t>.</w:t>
      </w:r>
    </w:p>
    <w:p w14:paraId="23162D1B"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Patel, R., Mulder, R. A., &amp; Cardoso, G. C. (2010). What makes vocalisation frequency an unreliable signal of body size in birds? A study on black swans. </w:t>
      </w:r>
      <w:r w:rsidRPr="007F3E3A">
        <w:rPr>
          <w:rFonts w:ascii="Calibri" w:hAnsi="Calibri" w:cs="Calibri"/>
          <w:i/>
          <w:iCs/>
          <w:noProof/>
          <w:szCs w:val="24"/>
          <w:lang w:val="en-US"/>
        </w:rPr>
        <w:t>Ethology</w:t>
      </w:r>
      <w:r w:rsidRPr="007F3E3A">
        <w:rPr>
          <w:rFonts w:ascii="Calibri" w:hAnsi="Calibri" w:cs="Calibri"/>
          <w:noProof/>
          <w:szCs w:val="24"/>
          <w:lang w:val="en-US"/>
        </w:rPr>
        <w:t xml:space="preserve">, </w:t>
      </w:r>
      <w:r w:rsidRPr="007F3E3A">
        <w:rPr>
          <w:rFonts w:ascii="Calibri" w:hAnsi="Calibri" w:cs="Calibri"/>
          <w:i/>
          <w:iCs/>
          <w:noProof/>
          <w:szCs w:val="24"/>
          <w:lang w:val="en-US"/>
        </w:rPr>
        <w:t>116</w:t>
      </w:r>
      <w:r w:rsidRPr="007F3E3A">
        <w:rPr>
          <w:rFonts w:ascii="Calibri" w:hAnsi="Calibri" w:cs="Calibri"/>
          <w:noProof/>
          <w:szCs w:val="24"/>
          <w:lang w:val="en-US"/>
        </w:rPr>
        <w:t>(6), 554–563. https://doi.org/10.1111/j.1439-0310.2010.01769.x</w:t>
      </w:r>
    </w:p>
    <w:p w14:paraId="24CD21CD" w14:textId="77777777" w:rsidR="005E02BF" w:rsidRPr="005E02BF" w:rsidRDefault="005E02BF" w:rsidP="005E02BF">
      <w:pPr>
        <w:widowControl w:val="0"/>
        <w:autoSpaceDE w:val="0"/>
        <w:autoSpaceDN w:val="0"/>
        <w:adjustRightInd w:val="0"/>
        <w:spacing w:line="480" w:lineRule="auto"/>
        <w:ind w:left="480" w:hanging="480"/>
        <w:rPr>
          <w:rFonts w:ascii="Calibri" w:hAnsi="Calibri" w:cs="Calibri"/>
          <w:noProof/>
          <w:szCs w:val="24"/>
        </w:rPr>
      </w:pPr>
      <w:r w:rsidRPr="007F3E3A">
        <w:rPr>
          <w:rFonts w:ascii="Calibri" w:hAnsi="Calibri" w:cs="Calibri"/>
          <w:noProof/>
          <w:szCs w:val="24"/>
          <w:lang w:val="en-US"/>
        </w:rPr>
        <w:t xml:space="preserve">Petren, K. (1998). Microsatellite primers from Geospiza fortis and cross-species amplification in Darwin’s finches. </w:t>
      </w:r>
      <w:r w:rsidRPr="005E02BF">
        <w:rPr>
          <w:rFonts w:ascii="Calibri" w:hAnsi="Calibri" w:cs="Calibri"/>
          <w:i/>
          <w:iCs/>
          <w:noProof/>
          <w:szCs w:val="24"/>
        </w:rPr>
        <w:t>Molecular Ecology</w:t>
      </w:r>
      <w:r w:rsidRPr="005E02BF">
        <w:rPr>
          <w:rFonts w:ascii="Calibri" w:hAnsi="Calibri" w:cs="Calibri"/>
          <w:noProof/>
          <w:szCs w:val="24"/>
        </w:rPr>
        <w:t xml:space="preserve">, </w:t>
      </w:r>
      <w:r w:rsidRPr="005E02BF">
        <w:rPr>
          <w:rFonts w:ascii="Calibri" w:hAnsi="Calibri" w:cs="Calibri"/>
          <w:i/>
          <w:iCs/>
          <w:noProof/>
          <w:szCs w:val="24"/>
        </w:rPr>
        <w:t>7</w:t>
      </w:r>
      <w:r w:rsidRPr="005E02BF">
        <w:rPr>
          <w:rFonts w:ascii="Calibri" w:hAnsi="Calibri" w:cs="Calibri"/>
          <w:noProof/>
          <w:szCs w:val="24"/>
        </w:rPr>
        <w:t>(12), 1782–1784. https://doi.org/10.1046/j.1365-294x.1998.00518.x</w:t>
      </w:r>
    </w:p>
    <w:p w14:paraId="6C9689C4"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5E02BF">
        <w:rPr>
          <w:rFonts w:ascii="Calibri" w:hAnsi="Calibri" w:cs="Calibri"/>
          <w:noProof/>
          <w:szCs w:val="24"/>
        </w:rPr>
        <w:t xml:space="preserve">Podos, J. (2001). </w:t>
      </w:r>
      <w:r w:rsidRPr="007F3E3A">
        <w:rPr>
          <w:rFonts w:ascii="Calibri" w:hAnsi="Calibri" w:cs="Calibri"/>
          <w:noProof/>
          <w:szCs w:val="24"/>
          <w:lang w:val="en-US"/>
        </w:rPr>
        <w:t xml:space="preserve">Correlated evolution of morphology and vocal signal structure in Darwin’s finches. </w:t>
      </w:r>
      <w:r w:rsidRPr="007F3E3A">
        <w:rPr>
          <w:rFonts w:ascii="Calibri" w:hAnsi="Calibri" w:cs="Calibri"/>
          <w:i/>
          <w:iCs/>
          <w:noProof/>
          <w:szCs w:val="24"/>
          <w:lang w:val="en-US"/>
        </w:rPr>
        <w:t>Nature</w:t>
      </w:r>
      <w:r w:rsidRPr="007F3E3A">
        <w:rPr>
          <w:rFonts w:ascii="Calibri" w:hAnsi="Calibri" w:cs="Calibri"/>
          <w:noProof/>
          <w:szCs w:val="24"/>
          <w:lang w:val="en-US"/>
        </w:rPr>
        <w:t xml:space="preserve">, </w:t>
      </w:r>
      <w:r w:rsidRPr="007F3E3A">
        <w:rPr>
          <w:rFonts w:ascii="Calibri" w:hAnsi="Calibri" w:cs="Calibri"/>
          <w:i/>
          <w:iCs/>
          <w:noProof/>
          <w:szCs w:val="24"/>
          <w:lang w:val="en-US"/>
        </w:rPr>
        <w:t>409</w:t>
      </w:r>
      <w:r w:rsidRPr="007F3E3A">
        <w:rPr>
          <w:rFonts w:ascii="Calibri" w:hAnsi="Calibri" w:cs="Calibri"/>
          <w:noProof/>
          <w:szCs w:val="24"/>
          <w:lang w:val="en-US"/>
        </w:rPr>
        <w:t>(6817), 185–188. https://doi.org/10.1038/35051570</w:t>
      </w:r>
    </w:p>
    <w:p w14:paraId="66300B4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Podos, J. (2010). Acoustic discrimination of sympatric morphs in Darwin’s finches: A behavioural mechanism for assortative mating? </w:t>
      </w:r>
      <w:r w:rsidRPr="007F3E3A">
        <w:rPr>
          <w:rFonts w:ascii="Calibri" w:hAnsi="Calibri" w:cs="Calibri"/>
          <w:i/>
          <w:iCs/>
          <w:noProof/>
          <w:szCs w:val="24"/>
          <w:lang w:val="en-US"/>
        </w:rPr>
        <w:t>Philosophical Transactions of the Royal Society B: Biological Sciences</w:t>
      </w:r>
      <w:r w:rsidRPr="007F3E3A">
        <w:rPr>
          <w:rFonts w:ascii="Calibri" w:hAnsi="Calibri" w:cs="Calibri"/>
          <w:noProof/>
          <w:szCs w:val="24"/>
          <w:lang w:val="en-US"/>
        </w:rPr>
        <w:t xml:space="preserve">, </w:t>
      </w:r>
      <w:r w:rsidRPr="007F3E3A">
        <w:rPr>
          <w:rFonts w:ascii="Calibri" w:hAnsi="Calibri" w:cs="Calibri"/>
          <w:i/>
          <w:iCs/>
          <w:noProof/>
          <w:szCs w:val="24"/>
          <w:lang w:val="en-US"/>
        </w:rPr>
        <w:t>365</w:t>
      </w:r>
      <w:r w:rsidRPr="007F3E3A">
        <w:rPr>
          <w:rFonts w:ascii="Calibri" w:hAnsi="Calibri" w:cs="Calibri"/>
          <w:noProof/>
          <w:szCs w:val="24"/>
          <w:lang w:val="en-US"/>
        </w:rPr>
        <w:t>(1543), 1031–1039. https://doi.org/10.1098/rstb.2009.0289</w:t>
      </w:r>
    </w:p>
    <w:p w14:paraId="5C2E86C7"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lastRenderedPageBreak/>
        <w:t xml:space="preserve">Pritchard, J. K., Stephens, M., &amp; Donnelly, P. (2000). Inference of population structure using multilocus genotype data. </w:t>
      </w:r>
      <w:r w:rsidRPr="007F3E3A">
        <w:rPr>
          <w:rFonts w:ascii="Calibri" w:hAnsi="Calibri" w:cs="Calibri"/>
          <w:i/>
          <w:iCs/>
          <w:noProof/>
          <w:szCs w:val="24"/>
          <w:lang w:val="en-US"/>
        </w:rPr>
        <w:t>Genetics</w:t>
      </w:r>
      <w:r w:rsidRPr="007F3E3A">
        <w:rPr>
          <w:rFonts w:ascii="Calibri" w:hAnsi="Calibri" w:cs="Calibri"/>
          <w:noProof/>
          <w:szCs w:val="24"/>
          <w:lang w:val="en-US"/>
        </w:rPr>
        <w:t xml:space="preserve">, </w:t>
      </w:r>
      <w:r w:rsidRPr="007F3E3A">
        <w:rPr>
          <w:rFonts w:ascii="Calibri" w:hAnsi="Calibri" w:cs="Calibri"/>
          <w:i/>
          <w:iCs/>
          <w:noProof/>
          <w:szCs w:val="24"/>
          <w:lang w:val="en-US"/>
        </w:rPr>
        <w:t>155</w:t>
      </w:r>
      <w:r w:rsidRPr="007F3E3A">
        <w:rPr>
          <w:rFonts w:ascii="Calibri" w:hAnsi="Calibri" w:cs="Calibri"/>
          <w:noProof/>
          <w:szCs w:val="24"/>
          <w:lang w:val="en-US"/>
        </w:rPr>
        <w:t>(2), 945–959. https://doi.org/10.1093/genetics/155.2.945</w:t>
      </w:r>
    </w:p>
    <w:p w14:paraId="7FF55928"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Purushotham, C. B., &amp; Robin, V. V. (2016). Sky island bird populations isolated by ancient genetic barriers are characterized by different song traits than those isolated by recent deforestation. </w:t>
      </w:r>
      <w:r w:rsidRPr="007F3E3A">
        <w:rPr>
          <w:rFonts w:ascii="Calibri" w:hAnsi="Calibri" w:cs="Calibri"/>
          <w:i/>
          <w:iCs/>
          <w:noProof/>
          <w:szCs w:val="24"/>
          <w:lang w:val="en-US"/>
        </w:rPr>
        <w:t>Ecology and Evolution</w:t>
      </w:r>
      <w:r w:rsidRPr="007F3E3A">
        <w:rPr>
          <w:rFonts w:ascii="Calibri" w:hAnsi="Calibri" w:cs="Calibri"/>
          <w:noProof/>
          <w:szCs w:val="24"/>
          <w:lang w:val="en-US"/>
        </w:rPr>
        <w:t xml:space="preserve">, </w:t>
      </w:r>
      <w:r w:rsidRPr="007F3E3A">
        <w:rPr>
          <w:rFonts w:ascii="Calibri" w:hAnsi="Calibri" w:cs="Calibri"/>
          <w:i/>
          <w:iCs/>
          <w:noProof/>
          <w:szCs w:val="24"/>
          <w:lang w:val="en-US"/>
        </w:rPr>
        <w:t>6</w:t>
      </w:r>
      <w:r w:rsidRPr="007F3E3A">
        <w:rPr>
          <w:rFonts w:ascii="Calibri" w:hAnsi="Calibri" w:cs="Calibri"/>
          <w:noProof/>
          <w:szCs w:val="24"/>
          <w:lang w:val="en-US"/>
        </w:rPr>
        <w:t>(20), 7334–7343. https://doi.org/10.1002/ece3.2475</w:t>
      </w:r>
    </w:p>
    <w:p w14:paraId="026A3DB5"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Rasner, C. A., Yeh, P., Eggert, L. S., Hunt, K. E., Woodruff, D. S., &amp; Price, T. D. (2004). Genetic and morphological evolution following a founder event in the dark-eyed junco, Junco hyemalis thurberi. </w:t>
      </w:r>
      <w:r w:rsidRPr="007F3E3A">
        <w:rPr>
          <w:rFonts w:ascii="Calibri" w:hAnsi="Calibri" w:cs="Calibri"/>
          <w:i/>
          <w:iCs/>
          <w:noProof/>
          <w:szCs w:val="24"/>
          <w:lang w:val="en-US"/>
        </w:rPr>
        <w:t>Molecular Ecology</w:t>
      </w:r>
      <w:r w:rsidRPr="007F3E3A">
        <w:rPr>
          <w:rFonts w:ascii="Calibri" w:hAnsi="Calibri" w:cs="Calibri"/>
          <w:noProof/>
          <w:szCs w:val="24"/>
          <w:lang w:val="en-US"/>
        </w:rPr>
        <w:t xml:space="preserve">, </w:t>
      </w:r>
      <w:r w:rsidRPr="007F3E3A">
        <w:rPr>
          <w:rFonts w:ascii="Calibri" w:hAnsi="Calibri" w:cs="Calibri"/>
          <w:i/>
          <w:iCs/>
          <w:noProof/>
          <w:szCs w:val="24"/>
          <w:lang w:val="en-US"/>
        </w:rPr>
        <w:t>13</w:t>
      </w:r>
      <w:r w:rsidRPr="007F3E3A">
        <w:rPr>
          <w:rFonts w:ascii="Calibri" w:hAnsi="Calibri" w:cs="Calibri"/>
          <w:noProof/>
          <w:szCs w:val="24"/>
          <w:lang w:val="en-US"/>
        </w:rPr>
        <w:t>(3), 671–681. https://doi.org/10.1046/j.1365-294X.2004.02104.x</w:t>
      </w:r>
    </w:p>
    <w:p w14:paraId="40CE0B11"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Riede, T., &amp; Goller, F. (2010). Functional morphology of the sound-generating labia in the syrinx of two songbird species. </w:t>
      </w:r>
      <w:r w:rsidRPr="007F3E3A">
        <w:rPr>
          <w:rFonts w:ascii="Calibri" w:hAnsi="Calibri" w:cs="Calibri"/>
          <w:i/>
          <w:iCs/>
          <w:noProof/>
          <w:szCs w:val="24"/>
          <w:lang w:val="en-US"/>
        </w:rPr>
        <w:t>Journal of Anatomy</w:t>
      </w:r>
      <w:r w:rsidRPr="007F3E3A">
        <w:rPr>
          <w:rFonts w:ascii="Calibri" w:hAnsi="Calibri" w:cs="Calibri"/>
          <w:noProof/>
          <w:szCs w:val="24"/>
          <w:lang w:val="en-US"/>
        </w:rPr>
        <w:t xml:space="preserve">, </w:t>
      </w:r>
      <w:r w:rsidRPr="007F3E3A">
        <w:rPr>
          <w:rFonts w:ascii="Calibri" w:hAnsi="Calibri" w:cs="Calibri"/>
          <w:i/>
          <w:iCs/>
          <w:noProof/>
          <w:szCs w:val="24"/>
          <w:lang w:val="en-US"/>
        </w:rPr>
        <w:t>216</w:t>
      </w:r>
      <w:r w:rsidRPr="007F3E3A">
        <w:rPr>
          <w:rFonts w:ascii="Calibri" w:hAnsi="Calibri" w:cs="Calibri"/>
          <w:noProof/>
          <w:szCs w:val="24"/>
          <w:lang w:val="en-US"/>
        </w:rPr>
        <w:t>(1), 23–36. https://doi.org/10.1111/j.1469-7580.2009.01161.x</w:t>
      </w:r>
    </w:p>
    <w:p w14:paraId="3B8B5B80"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Riede, T., Suthers, R. A., Fletcher, N. H., &amp; Blevins, W. E. (2006). Songbirds tune their vocal tract to the fundamental frequency of their song. </w:t>
      </w:r>
      <w:r w:rsidRPr="007F3E3A">
        <w:rPr>
          <w:rFonts w:ascii="Calibri" w:hAnsi="Calibri" w:cs="Calibri"/>
          <w:i/>
          <w:iCs/>
          <w:noProof/>
          <w:szCs w:val="24"/>
          <w:lang w:val="en-US"/>
        </w:rPr>
        <w:t>Proceedings of the National Academy of Sciences of the United States of America</w:t>
      </w:r>
      <w:r w:rsidRPr="007F3E3A">
        <w:rPr>
          <w:rFonts w:ascii="Calibri" w:hAnsi="Calibri" w:cs="Calibri"/>
          <w:noProof/>
          <w:szCs w:val="24"/>
          <w:lang w:val="en-US"/>
        </w:rPr>
        <w:t xml:space="preserve">, </w:t>
      </w:r>
      <w:r w:rsidRPr="007F3E3A">
        <w:rPr>
          <w:rFonts w:ascii="Calibri" w:hAnsi="Calibri" w:cs="Calibri"/>
          <w:i/>
          <w:iCs/>
          <w:noProof/>
          <w:szCs w:val="24"/>
          <w:lang w:val="en-US"/>
        </w:rPr>
        <w:t>103</w:t>
      </w:r>
      <w:r w:rsidRPr="007F3E3A">
        <w:rPr>
          <w:rFonts w:ascii="Calibri" w:hAnsi="Calibri" w:cs="Calibri"/>
          <w:noProof/>
          <w:szCs w:val="24"/>
          <w:lang w:val="en-US"/>
        </w:rPr>
        <w:t>(14), 5543–5548. https://doi.org/10.1073/pnas.0601262103</w:t>
      </w:r>
    </w:p>
    <w:p w14:paraId="6C42238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5E02BF">
        <w:rPr>
          <w:rFonts w:ascii="Calibri" w:hAnsi="Calibri" w:cs="Calibri"/>
          <w:noProof/>
          <w:szCs w:val="24"/>
        </w:rPr>
        <w:t xml:space="preserve">Rodríguez-Bardía, M., Fuchs, E. J., Barrantes, G., Madrigal-Brenes, R., &amp; Sandoval, L. (2022). </w:t>
      </w:r>
      <w:r w:rsidRPr="007F3E3A">
        <w:rPr>
          <w:rFonts w:ascii="Calibri" w:hAnsi="Calibri" w:cs="Calibri"/>
          <w:noProof/>
          <w:szCs w:val="24"/>
          <w:lang w:val="en-US"/>
        </w:rPr>
        <w:t xml:space="preserve">Genetic structure in neotropical birds with different tolerance to urbanization. </w:t>
      </w:r>
      <w:r w:rsidRPr="007F3E3A">
        <w:rPr>
          <w:rFonts w:ascii="Calibri" w:hAnsi="Calibri" w:cs="Calibri"/>
          <w:i/>
          <w:iCs/>
          <w:noProof/>
          <w:szCs w:val="24"/>
          <w:lang w:val="en-US"/>
        </w:rPr>
        <w:t>Scientific Reports</w:t>
      </w:r>
      <w:r w:rsidRPr="007F3E3A">
        <w:rPr>
          <w:rFonts w:ascii="Calibri" w:hAnsi="Calibri" w:cs="Calibri"/>
          <w:noProof/>
          <w:szCs w:val="24"/>
          <w:lang w:val="en-US"/>
        </w:rPr>
        <w:t xml:space="preserve">, </w:t>
      </w:r>
      <w:r w:rsidRPr="007F3E3A">
        <w:rPr>
          <w:rFonts w:ascii="Calibri" w:hAnsi="Calibri" w:cs="Calibri"/>
          <w:i/>
          <w:iCs/>
          <w:noProof/>
          <w:szCs w:val="24"/>
          <w:lang w:val="en-US"/>
        </w:rPr>
        <w:t>12</w:t>
      </w:r>
      <w:r w:rsidRPr="007F3E3A">
        <w:rPr>
          <w:rFonts w:ascii="Calibri" w:hAnsi="Calibri" w:cs="Calibri"/>
          <w:noProof/>
          <w:szCs w:val="24"/>
          <w:lang w:val="en-US"/>
        </w:rPr>
        <w:t>(1), 1–11. https://doi.org/10.1038/s41598-022-09961-9</w:t>
      </w:r>
    </w:p>
    <w:p w14:paraId="405AC133"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Rolshausen, G., Segelbacher, G., Hobson, K. A., &amp; Schaefer, H. M. (2009). Contemporary Evolution of Reproductive Isolation and Phenotypic Divergence in Sympatry along a Migratory Divide. </w:t>
      </w:r>
      <w:r w:rsidRPr="007F3E3A">
        <w:rPr>
          <w:rFonts w:ascii="Calibri" w:hAnsi="Calibri" w:cs="Calibri"/>
          <w:i/>
          <w:iCs/>
          <w:noProof/>
          <w:szCs w:val="24"/>
          <w:lang w:val="en-US"/>
        </w:rPr>
        <w:t>Current Biology</w:t>
      </w:r>
      <w:r w:rsidRPr="007F3E3A">
        <w:rPr>
          <w:rFonts w:ascii="Calibri" w:hAnsi="Calibri" w:cs="Calibri"/>
          <w:noProof/>
          <w:szCs w:val="24"/>
          <w:lang w:val="en-US"/>
        </w:rPr>
        <w:t xml:space="preserve">, </w:t>
      </w:r>
      <w:r w:rsidRPr="007F3E3A">
        <w:rPr>
          <w:rFonts w:ascii="Calibri" w:hAnsi="Calibri" w:cs="Calibri"/>
          <w:i/>
          <w:iCs/>
          <w:noProof/>
          <w:szCs w:val="24"/>
          <w:lang w:val="en-US"/>
        </w:rPr>
        <w:t>19</w:t>
      </w:r>
      <w:r w:rsidRPr="007F3E3A">
        <w:rPr>
          <w:rFonts w:ascii="Calibri" w:hAnsi="Calibri" w:cs="Calibri"/>
          <w:noProof/>
          <w:szCs w:val="24"/>
          <w:lang w:val="en-US"/>
        </w:rPr>
        <w:t xml:space="preserve">(24), 2097–2101. </w:t>
      </w:r>
      <w:r w:rsidRPr="007F3E3A">
        <w:rPr>
          <w:rFonts w:ascii="Calibri" w:hAnsi="Calibri" w:cs="Calibri"/>
          <w:noProof/>
          <w:szCs w:val="24"/>
          <w:lang w:val="en-US"/>
        </w:rPr>
        <w:lastRenderedPageBreak/>
        <w:t>https://doi.org/10.1016/j.cub.2009.10.061</w:t>
      </w:r>
    </w:p>
    <w:p w14:paraId="74B2876F"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Salewski, V., Siebenrock, K. H., Hochachka, W. M., Woog, F., &amp; Fiedler, W. (2014). Morphological change to birds over 120 Years is not explained by thermal adaptation to climate change. </w:t>
      </w:r>
      <w:r w:rsidRPr="007F3E3A">
        <w:rPr>
          <w:rFonts w:ascii="Calibri" w:hAnsi="Calibri" w:cs="Calibri"/>
          <w:i/>
          <w:iCs/>
          <w:noProof/>
          <w:szCs w:val="24"/>
          <w:lang w:val="en-US"/>
        </w:rPr>
        <w:t>PLoS ONE</w:t>
      </w:r>
      <w:r w:rsidRPr="007F3E3A">
        <w:rPr>
          <w:rFonts w:ascii="Calibri" w:hAnsi="Calibri" w:cs="Calibri"/>
          <w:noProof/>
          <w:szCs w:val="24"/>
          <w:lang w:val="en-US"/>
        </w:rPr>
        <w:t xml:space="preserve">, </w:t>
      </w:r>
      <w:r w:rsidRPr="007F3E3A">
        <w:rPr>
          <w:rFonts w:ascii="Calibri" w:hAnsi="Calibri" w:cs="Calibri"/>
          <w:i/>
          <w:iCs/>
          <w:noProof/>
          <w:szCs w:val="24"/>
          <w:lang w:val="en-US"/>
        </w:rPr>
        <w:t>9</w:t>
      </w:r>
      <w:r w:rsidRPr="007F3E3A">
        <w:rPr>
          <w:rFonts w:ascii="Calibri" w:hAnsi="Calibri" w:cs="Calibri"/>
          <w:noProof/>
          <w:szCs w:val="24"/>
          <w:lang w:val="en-US"/>
        </w:rPr>
        <w:t>(7), 1–14. https://doi.org/10.1371/journal.pone.0101927</w:t>
      </w:r>
    </w:p>
    <w:p w14:paraId="0002993A"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Sandoval, L., Dabelsteen, T., &amp; Mennill, D. J. (2015). Transmission characteristics of solo songs and duets in a neotropical thicket habitat specialist bird. </w:t>
      </w:r>
      <w:r w:rsidRPr="007F3E3A">
        <w:rPr>
          <w:rFonts w:ascii="Calibri" w:hAnsi="Calibri" w:cs="Calibri"/>
          <w:i/>
          <w:iCs/>
          <w:noProof/>
          <w:szCs w:val="24"/>
          <w:lang w:val="en-US"/>
        </w:rPr>
        <w:t>Bioacoustics</w:t>
      </w:r>
      <w:r w:rsidRPr="007F3E3A">
        <w:rPr>
          <w:rFonts w:ascii="Calibri" w:hAnsi="Calibri" w:cs="Calibri"/>
          <w:noProof/>
          <w:szCs w:val="24"/>
          <w:lang w:val="en-US"/>
        </w:rPr>
        <w:t xml:space="preserve">, </w:t>
      </w:r>
      <w:r w:rsidRPr="007F3E3A">
        <w:rPr>
          <w:rFonts w:ascii="Calibri" w:hAnsi="Calibri" w:cs="Calibri"/>
          <w:i/>
          <w:iCs/>
          <w:noProof/>
          <w:szCs w:val="24"/>
          <w:lang w:val="en-US"/>
        </w:rPr>
        <w:t>24</w:t>
      </w:r>
      <w:r w:rsidRPr="007F3E3A">
        <w:rPr>
          <w:rFonts w:ascii="Calibri" w:hAnsi="Calibri" w:cs="Calibri"/>
          <w:noProof/>
          <w:szCs w:val="24"/>
          <w:lang w:val="en-US"/>
        </w:rPr>
        <w:t>(3), 289–306. https://doi.org/10.1080/09524622.2015.1076346</w:t>
      </w:r>
    </w:p>
    <w:p w14:paraId="7EBCE8C2"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Sandoval, L., Méndez, C., &amp; Mennill, D. J. (2014). Individual distinctiveness in the fine structural features and repertoire characteristics of the songs of white-eared ground-sparrows. </w:t>
      </w:r>
      <w:r w:rsidRPr="007F3E3A">
        <w:rPr>
          <w:rFonts w:ascii="Calibri" w:hAnsi="Calibri" w:cs="Calibri"/>
          <w:i/>
          <w:iCs/>
          <w:noProof/>
          <w:szCs w:val="24"/>
          <w:lang w:val="en-US"/>
        </w:rPr>
        <w:t>Ethology</w:t>
      </w:r>
      <w:r w:rsidRPr="007F3E3A">
        <w:rPr>
          <w:rFonts w:ascii="Calibri" w:hAnsi="Calibri" w:cs="Calibri"/>
          <w:noProof/>
          <w:szCs w:val="24"/>
          <w:lang w:val="en-US"/>
        </w:rPr>
        <w:t xml:space="preserve">, </w:t>
      </w:r>
      <w:r w:rsidRPr="007F3E3A">
        <w:rPr>
          <w:rFonts w:ascii="Calibri" w:hAnsi="Calibri" w:cs="Calibri"/>
          <w:i/>
          <w:iCs/>
          <w:noProof/>
          <w:szCs w:val="24"/>
          <w:lang w:val="en-US"/>
        </w:rPr>
        <w:t>120</w:t>
      </w:r>
      <w:r w:rsidRPr="007F3E3A">
        <w:rPr>
          <w:rFonts w:ascii="Calibri" w:hAnsi="Calibri" w:cs="Calibri"/>
          <w:noProof/>
          <w:szCs w:val="24"/>
          <w:lang w:val="en-US"/>
        </w:rPr>
        <w:t>(3), 275–286. https://doi.org/10.1111/eth.12206</w:t>
      </w:r>
    </w:p>
    <w:p w14:paraId="303A5E81"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Sandoval, L., Méndez, C., &amp; Mennill, D. J. (2016). Vocal behaviour of white-eared ground-sparrows (Melozone leucotis) during the breeding season: Repertoires, diel variation, behavioural contexts, and individual distinctiveness. </w:t>
      </w:r>
      <w:r w:rsidRPr="007F3E3A">
        <w:rPr>
          <w:rFonts w:ascii="Calibri" w:hAnsi="Calibri" w:cs="Calibri"/>
          <w:i/>
          <w:iCs/>
          <w:noProof/>
          <w:szCs w:val="24"/>
          <w:lang w:val="en-US"/>
        </w:rPr>
        <w:t>Journal of Ornithology</w:t>
      </w:r>
      <w:r w:rsidRPr="007F3E3A">
        <w:rPr>
          <w:rFonts w:ascii="Calibri" w:hAnsi="Calibri" w:cs="Calibri"/>
          <w:noProof/>
          <w:szCs w:val="24"/>
          <w:lang w:val="en-US"/>
        </w:rPr>
        <w:t xml:space="preserve">, </w:t>
      </w:r>
      <w:r w:rsidRPr="007F3E3A">
        <w:rPr>
          <w:rFonts w:ascii="Calibri" w:hAnsi="Calibri" w:cs="Calibri"/>
          <w:i/>
          <w:iCs/>
          <w:noProof/>
          <w:szCs w:val="24"/>
          <w:lang w:val="en-US"/>
        </w:rPr>
        <w:t>157</w:t>
      </w:r>
      <w:r w:rsidRPr="007F3E3A">
        <w:rPr>
          <w:rFonts w:ascii="Calibri" w:hAnsi="Calibri" w:cs="Calibri"/>
          <w:noProof/>
          <w:szCs w:val="24"/>
          <w:lang w:val="en-US"/>
        </w:rPr>
        <w:t>(1), 1–12. https://doi.org/10.1007/s10336-015-1237-y</w:t>
      </w:r>
    </w:p>
    <w:p w14:paraId="4A483E39"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Sandoval, L., &amp; Mennill, D. J. (2013). Morphometric measurements permit accurate sexing of three species of Mesoamerican ground-sparrow (Genus: Melozone). </w:t>
      </w:r>
      <w:r w:rsidRPr="007F3E3A">
        <w:rPr>
          <w:rFonts w:ascii="Calibri" w:hAnsi="Calibri" w:cs="Calibri"/>
          <w:i/>
          <w:iCs/>
          <w:noProof/>
          <w:szCs w:val="24"/>
          <w:lang w:val="en-US"/>
        </w:rPr>
        <w:t>Wilson Journal of Ornithology</w:t>
      </w:r>
      <w:r w:rsidRPr="007F3E3A">
        <w:rPr>
          <w:rFonts w:ascii="Calibri" w:hAnsi="Calibri" w:cs="Calibri"/>
          <w:noProof/>
          <w:szCs w:val="24"/>
          <w:lang w:val="en-US"/>
        </w:rPr>
        <w:t xml:space="preserve">, </w:t>
      </w:r>
      <w:r w:rsidRPr="007F3E3A">
        <w:rPr>
          <w:rFonts w:ascii="Calibri" w:hAnsi="Calibri" w:cs="Calibri"/>
          <w:i/>
          <w:iCs/>
          <w:noProof/>
          <w:szCs w:val="24"/>
          <w:lang w:val="en-US"/>
        </w:rPr>
        <w:t>125</w:t>
      </w:r>
      <w:r w:rsidRPr="007F3E3A">
        <w:rPr>
          <w:rFonts w:ascii="Calibri" w:hAnsi="Calibri" w:cs="Calibri"/>
          <w:noProof/>
          <w:szCs w:val="24"/>
          <w:lang w:val="en-US"/>
        </w:rPr>
        <w:t>(3), 471–478. https://doi.org/10.1676/12-177.1</w:t>
      </w:r>
    </w:p>
    <w:p w14:paraId="5087F5DC"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Sandoval, L., &amp; Mennill, D. J. (2014). A quantitative description of vocalizations and vocal behaviour of the Rusty-crowned Ground-sparrow (Melozone kieneri). </w:t>
      </w:r>
      <w:r w:rsidRPr="007F3E3A">
        <w:rPr>
          <w:rFonts w:ascii="Calibri" w:hAnsi="Calibri" w:cs="Calibri"/>
          <w:i/>
          <w:iCs/>
          <w:noProof/>
          <w:szCs w:val="24"/>
          <w:lang w:val="en-US"/>
        </w:rPr>
        <w:t>Ornitologia Neotropical</w:t>
      </w:r>
      <w:r w:rsidRPr="007F3E3A">
        <w:rPr>
          <w:rFonts w:ascii="Calibri" w:hAnsi="Calibri" w:cs="Calibri"/>
          <w:noProof/>
          <w:szCs w:val="24"/>
          <w:lang w:val="en-US"/>
        </w:rPr>
        <w:t xml:space="preserve">, </w:t>
      </w:r>
      <w:r w:rsidRPr="007F3E3A">
        <w:rPr>
          <w:rFonts w:ascii="Calibri" w:hAnsi="Calibri" w:cs="Calibri"/>
          <w:i/>
          <w:iCs/>
          <w:noProof/>
          <w:szCs w:val="24"/>
          <w:lang w:val="en-US"/>
        </w:rPr>
        <w:t>25</w:t>
      </w:r>
      <w:r w:rsidRPr="007F3E3A">
        <w:rPr>
          <w:rFonts w:ascii="Calibri" w:hAnsi="Calibri" w:cs="Calibri"/>
          <w:noProof/>
          <w:szCs w:val="24"/>
          <w:lang w:val="en-US"/>
        </w:rPr>
        <w:t>(2), 219–230.</w:t>
      </w:r>
    </w:p>
    <w:p w14:paraId="0AEFDB02"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Seress, G., Bókony, V., Heszberger, J., &amp; Liker, A. (2011). Response to predation risk in urban and rural house sparrows. </w:t>
      </w:r>
      <w:r w:rsidRPr="007F3E3A">
        <w:rPr>
          <w:rFonts w:ascii="Calibri" w:hAnsi="Calibri" w:cs="Calibri"/>
          <w:i/>
          <w:iCs/>
          <w:noProof/>
          <w:szCs w:val="24"/>
          <w:lang w:val="en-US"/>
        </w:rPr>
        <w:t>Ethology</w:t>
      </w:r>
      <w:r w:rsidRPr="007F3E3A">
        <w:rPr>
          <w:rFonts w:ascii="Calibri" w:hAnsi="Calibri" w:cs="Calibri"/>
          <w:noProof/>
          <w:szCs w:val="24"/>
          <w:lang w:val="en-US"/>
        </w:rPr>
        <w:t xml:space="preserve">, </w:t>
      </w:r>
      <w:r w:rsidRPr="007F3E3A">
        <w:rPr>
          <w:rFonts w:ascii="Calibri" w:hAnsi="Calibri" w:cs="Calibri"/>
          <w:i/>
          <w:iCs/>
          <w:noProof/>
          <w:szCs w:val="24"/>
          <w:lang w:val="en-US"/>
        </w:rPr>
        <w:t>117</w:t>
      </w:r>
      <w:r w:rsidRPr="007F3E3A">
        <w:rPr>
          <w:rFonts w:ascii="Calibri" w:hAnsi="Calibri" w:cs="Calibri"/>
          <w:noProof/>
          <w:szCs w:val="24"/>
          <w:lang w:val="en-US"/>
        </w:rPr>
        <w:t>(10), 896–907. https://doi.org/10.1111/j.1439-0310.2011.01944.x</w:t>
      </w:r>
    </w:p>
    <w:p w14:paraId="2EB1864A"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Seutin, G., White, B. N., &amp; Boag, P. T. (1991). Preservation of avian blood and tissue samples </w:t>
      </w:r>
      <w:r w:rsidRPr="007F3E3A">
        <w:rPr>
          <w:rFonts w:ascii="Calibri" w:hAnsi="Calibri" w:cs="Calibri"/>
          <w:noProof/>
          <w:szCs w:val="24"/>
          <w:lang w:val="en-US"/>
        </w:rPr>
        <w:lastRenderedPageBreak/>
        <w:t xml:space="preserve">for DNA analyses. </w:t>
      </w:r>
      <w:r w:rsidRPr="007F3E3A">
        <w:rPr>
          <w:rFonts w:ascii="Calibri" w:hAnsi="Calibri" w:cs="Calibri"/>
          <w:i/>
          <w:iCs/>
          <w:noProof/>
          <w:szCs w:val="24"/>
          <w:lang w:val="en-US"/>
        </w:rPr>
        <w:t>Canadian Journal of Zoology</w:t>
      </w:r>
      <w:r w:rsidRPr="007F3E3A">
        <w:rPr>
          <w:rFonts w:ascii="Calibri" w:hAnsi="Calibri" w:cs="Calibri"/>
          <w:noProof/>
          <w:szCs w:val="24"/>
          <w:lang w:val="en-US"/>
        </w:rPr>
        <w:t xml:space="preserve">, </w:t>
      </w:r>
      <w:r w:rsidRPr="007F3E3A">
        <w:rPr>
          <w:rFonts w:ascii="Calibri" w:hAnsi="Calibri" w:cs="Calibri"/>
          <w:i/>
          <w:iCs/>
          <w:noProof/>
          <w:szCs w:val="24"/>
          <w:lang w:val="en-US"/>
        </w:rPr>
        <w:t>69</w:t>
      </w:r>
      <w:r w:rsidRPr="007F3E3A">
        <w:rPr>
          <w:rFonts w:ascii="Calibri" w:hAnsi="Calibri" w:cs="Calibri"/>
          <w:noProof/>
          <w:szCs w:val="24"/>
          <w:lang w:val="en-US"/>
        </w:rPr>
        <w:t>(1), 82–90. https://doi.org/10.1139/z91-013</w:t>
      </w:r>
    </w:p>
    <w:p w14:paraId="6B797EF3"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Shaw, K. L., &amp; Lesnick, S. C. (2009). Genomic linkage of male song and female acoustic preference QTL underlying a rapid species radiation. </w:t>
      </w:r>
      <w:r w:rsidRPr="007F3E3A">
        <w:rPr>
          <w:rFonts w:ascii="Calibri" w:hAnsi="Calibri" w:cs="Calibri"/>
          <w:i/>
          <w:iCs/>
          <w:noProof/>
          <w:szCs w:val="24"/>
          <w:lang w:val="en-US"/>
        </w:rPr>
        <w:t>Proceedings of the National Academy of Sciences of the United States of America</w:t>
      </w:r>
      <w:r w:rsidRPr="007F3E3A">
        <w:rPr>
          <w:rFonts w:ascii="Calibri" w:hAnsi="Calibri" w:cs="Calibri"/>
          <w:noProof/>
          <w:szCs w:val="24"/>
          <w:lang w:val="en-US"/>
        </w:rPr>
        <w:t xml:space="preserve">, </w:t>
      </w:r>
      <w:r w:rsidRPr="007F3E3A">
        <w:rPr>
          <w:rFonts w:ascii="Calibri" w:hAnsi="Calibri" w:cs="Calibri"/>
          <w:i/>
          <w:iCs/>
          <w:noProof/>
          <w:szCs w:val="24"/>
          <w:lang w:val="en-US"/>
        </w:rPr>
        <w:t>106</w:t>
      </w:r>
      <w:r w:rsidRPr="007F3E3A">
        <w:rPr>
          <w:rFonts w:ascii="Calibri" w:hAnsi="Calibri" w:cs="Calibri"/>
          <w:noProof/>
          <w:szCs w:val="24"/>
          <w:lang w:val="en-US"/>
        </w:rPr>
        <w:t>(24), 9737–9742. https://doi.org/10.1073/pnas.0900229106</w:t>
      </w:r>
    </w:p>
    <w:p w14:paraId="2F0827B7"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Slabbekoorn, H., &amp; Smith, T. B. (2002a). Bird song, ecology and speciation. </w:t>
      </w:r>
      <w:r w:rsidRPr="007F3E3A">
        <w:rPr>
          <w:rFonts w:ascii="Calibri" w:hAnsi="Calibri" w:cs="Calibri"/>
          <w:i/>
          <w:iCs/>
          <w:noProof/>
          <w:szCs w:val="24"/>
          <w:lang w:val="en-US"/>
        </w:rPr>
        <w:t>Philosophical Transactions of the Royal Society B: Biological Sciences</w:t>
      </w:r>
      <w:r w:rsidRPr="007F3E3A">
        <w:rPr>
          <w:rFonts w:ascii="Calibri" w:hAnsi="Calibri" w:cs="Calibri"/>
          <w:noProof/>
          <w:szCs w:val="24"/>
          <w:lang w:val="en-US"/>
        </w:rPr>
        <w:t xml:space="preserve">, </w:t>
      </w:r>
      <w:r w:rsidRPr="007F3E3A">
        <w:rPr>
          <w:rFonts w:ascii="Calibri" w:hAnsi="Calibri" w:cs="Calibri"/>
          <w:i/>
          <w:iCs/>
          <w:noProof/>
          <w:szCs w:val="24"/>
          <w:lang w:val="en-US"/>
        </w:rPr>
        <w:t>357</w:t>
      </w:r>
      <w:r w:rsidRPr="007F3E3A">
        <w:rPr>
          <w:rFonts w:ascii="Calibri" w:hAnsi="Calibri" w:cs="Calibri"/>
          <w:noProof/>
          <w:szCs w:val="24"/>
          <w:lang w:val="en-US"/>
        </w:rPr>
        <w:t>(1420), 493–503. https://doi.org/10.1098/rstb.2001.1056</w:t>
      </w:r>
    </w:p>
    <w:p w14:paraId="66E85FA2"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Slabbekoorn, H., &amp; Smith, T. B. (2002b). Habitat-dependent song divergence in the little greenbul: An analysis of environmental selection pressures on acoustic signals. </w:t>
      </w:r>
      <w:r w:rsidRPr="007F3E3A">
        <w:rPr>
          <w:rFonts w:ascii="Calibri" w:hAnsi="Calibri" w:cs="Calibri"/>
          <w:i/>
          <w:iCs/>
          <w:noProof/>
          <w:szCs w:val="24"/>
          <w:lang w:val="en-US"/>
        </w:rPr>
        <w:t>Evolution</w:t>
      </w:r>
      <w:r w:rsidRPr="007F3E3A">
        <w:rPr>
          <w:rFonts w:ascii="Calibri" w:hAnsi="Calibri" w:cs="Calibri"/>
          <w:noProof/>
          <w:szCs w:val="24"/>
          <w:lang w:val="en-US"/>
        </w:rPr>
        <w:t xml:space="preserve">, </w:t>
      </w:r>
      <w:r w:rsidRPr="007F3E3A">
        <w:rPr>
          <w:rFonts w:ascii="Calibri" w:hAnsi="Calibri" w:cs="Calibri"/>
          <w:i/>
          <w:iCs/>
          <w:noProof/>
          <w:szCs w:val="24"/>
          <w:lang w:val="en-US"/>
        </w:rPr>
        <w:t>56</w:t>
      </w:r>
      <w:r w:rsidRPr="007F3E3A">
        <w:rPr>
          <w:rFonts w:ascii="Calibri" w:hAnsi="Calibri" w:cs="Calibri"/>
          <w:noProof/>
          <w:szCs w:val="24"/>
          <w:lang w:val="en-US"/>
        </w:rPr>
        <w:t>(9), 1849–1858. https://doi.org/10.1111/j.0014-3820.2002.tb00199.x</w:t>
      </w:r>
    </w:p>
    <w:p w14:paraId="7BA9C6FA"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Sosa-López, J. R., Mennill, D. J., &amp; Navarro-Sigüenza, A. G. (2013). Geographic variation and the evolution of song in Mesoamerican rufous-naped wrens Campylorhynchus rufinucha. </w:t>
      </w:r>
      <w:r w:rsidRPr="007F3E3A">
        <w:rPr>
          <w:rFonts w:ascii="Calibri" w:hAnsi="Calibri" w:cs="Calibri"/>
          <w:i/>
          <w:iCs/>
          <w:noProof/>
          <w:szCs w:val="24"/>
          <w:lang w:val="en-US"/>
        </w:rPr>
        <w:t>Journal of Avian Biology</w:t>
      </w:r>
      <w:r w:rsidRPr="007F3E3A">
        <w:rPr>
          <w:rFonts w:ascii="Calibri" w:hAnsi="Calibri" w:cs="Calibri"/>
          <w:noProof/>
          <w:szCs w:val="24"/>
          <w:lang w:val="en-US"/>
        </w:rPr>
        <w:t xml:space="preserve">, </w:t>
      </w:r>
      <w:r w:rsidRPr="007F3E3A">
        <w:rPr>
          <w:rFonts w:ascii="Calibri" w:hAnsi="Calibri" w:cs="Calibri"/>
          <w:i/>
          <w:iCs/>
          <w:noProof/>
          <w:szCs w:val="24"/>
          <w:lang w:val="en-US"/>
        </w:rPr>
        <w:t>44</w:t>
      </w:r>
      <w:r w:rsidRPr="007F3E3A">
        <w:rPr>
          <w:rFonts w:ascii="Calibri" w:hAnsi="Calibri" w:cs="Calibri"/>
          <w:noProof/>
          <w:szCs w:val="24"/>
          <w:lang w:val="en-US"/>
        </w:rPr>
        <w:t>(1), 027–038. https://doi.org/10.1111/j.1600-048X.2012.05651.x</w:t>
      </w:r>
    </w:p>
    <w:p w14:paraId="3B437210"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Soulé, M. E., Bolger, D. T., Alberts, A. C., Wright, J., Sorice, M., &amp; Hill, S. (1988). Reconstructed Dynamics of Rapid Extinctions of Chaparral-Requiring Birds in Urban Habitat Islands. </w:t>
      </w:r>
      <w:r w:rsidRPr="007F3E3A">
        <w:rPr>
          <w:rFonts w:ascii="Calibri" w:hAnsi="Calibri" w:cs="Calibri"/>
          <w:i/>
          <w:iCs/>
          <w:noProof/>
          <w:szCs w:val="24"/>
          <w:lang w:val="en-US"/>
        </w:rPr>
        <w:t>Conservation Biology</w:t>
      </w:r>
      <w:r w:rsidRPr="007F3E3A">
        <w:rPr>
          <w:rFonts w:ascii="Calibri" w:hAnsi="Calibri" w:cs="Calibri"/>
          <w:noProof/>
          <w:szCs w:val="24"/>
          <w:lang w:val="en-US"/>
        </w:rPr>
        <w:t xml:space="preserve">, </w:t>
      </w:r>
      <w:r w:rsidRPr="007F3E3A">
        <w:rPr>
          <w:rFonts w:ascii="Calibri" w:hAnsi="Calibri" w:cs="Calibri"/>
          <w:i/>
          <w:iCs/>
          <w:noProof/>
          <w:szCs w:val="24"/>
          <w:lang w:val="en-US"/>
        </w:rPr>
        <w:t>2</w:t>
      </w:r>
      <w:r w:rsidRPr="007F3E3A">
        <w:rPr>
          <w:rFonts w:ascii="Calibri" w:hAnsi="Calibri" w:cs="Calibri"/>
          <w:noProof/>
          <w:szCs w:val="24"/>
          <w:lang w:val="en-US"/>
        </w:rPr>
        <w:t>(1), 1–10.</w:t>
      </w:r>
    </w:p>
    <w:p w14:paraId="257B926D"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Tan, D. J. X., Chattopadhyay, B., Garg, K. M., Cros, E., Ericson, P. G. P., Irestedt, M., &amp; Rheindt, F. E. (2018). Novel genome and genome-wide SNPs reveal early fragmentation effects in an edge-tolerant songbird population across an urbanized tropical metropolis. </w:t>
      </w:r>
      <w:r w:rsidRPr="007F3E3A">
        <w:rPr>
          <w:rFonts w:ascii="Calibri" w:hAnsi="Calibri" w:cs="Calibri"/>
          <w:i/>
          <w:iCs/>
          <w:noProof/>
          <w:szCs w:val="24"/>
          <w:lang w:val="en-US"/>
        </w:rPr>
        <w:t>Scientific Reports</w:t>
      </w:r>
      <w:r w:rsidRPr="007F3E3A">
        <w:rPr>
          <w:rFonts w:ascii="Calibri" w:hAnsi="Calibri" w:cs="Calibri"/>
          <w:noProof/>
          <w:szCs w:val="24"/>
          <w:lang w:val="en-US"/>
        </w:rPr>
        <w:t xml:space="preserve">, </w:t>
      </w:r>
      <w:r w:rsidRPr="007F3E3A">
        <w:rPr>
          <w:rFonts w:ascii="Calibri" w:hAnsi="Calibri" w:cs="Calibri"/>
          <w:i/>
          <w:iCs/>
          <w:noProof/>
          <w:szCs w:val="24"/>
          <w:lang w:val="en-US"/>
        </w:rPr>
        <w:t>8</w:t>
      </w:r>
      <w:r w:rsidRPr="007F3E3A">
        <w:rPr>
          <w:rFonts w:ascii="Calibri" w:hAnsi="Calibri" w:cs="Calibri"/>
          <w:noProof/>
          <w:szCs w:val="24"/>
          <w:lang w:val="en-US"/>
        </w:rPr>
        <w:t>(1), 1–12. https://doi.org/10.1038/s41598-018-31074-5</w:t>
      </w:r>
    </w:p>
    <w:p w14:paraId="10AD256F"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Unfried, T. M., Hauser, L., &amp; Marzluff, J. M. (2013). Effects of urbanization on Song Sparrow </w:t>
      </w:r>
      <w:r w:rsidRPr="007F3E3A">
        <w:rPr>
          <w:rFonts w:ascii="Calibri" w:hAnsi="Calibri" w:cs="Calibri"/>
          <w:noProof/>
          <w:szCs w:val="24"/>
          <w:lang w:val="en-US"/>
        </w:rPr>
        <w:lastRenderedPageBreak/>
        <w:t xml:space="preserve">(Melospiza melodia) population connectivity. </w:t>
      </w:r>
      <w:r w:rsidRPr="007F3E3A">
        <w:rPr>
          <w:rFonts w:ascii="Calibri" w:hAnsi="Calibri" w:cs="Calibri"/>
          <w:i/>
          <w:iCs/>
          <w:noProof/>
          <w:szCs w:val="24"/>
          <w:lang w:val="en-US"/>
        </w:rPr>
        <w:t>Conservation Genetics</w:t>
      </w:r>
      <w:r w:rsidRPr="007F3E3A">
        <w:rPr>
          <w:rFonts w:ascii="Calibri" w:hAnsi="Calibri" w:cs="Calibri"/>
          <w:noProof/>
          <w:szCs w:val="24"/>
          <w:lang w:val="en-US"/>
        </w:rPr>
        <w:t xml:space="preserve">, </w:t>
      </w:r>
      <w:r w:rsidRPr="007F3E3A">
        <w:rPr>
          <w:rFonts w:ascii="Calibri" w:hAnsi="Calibri" w:cs="Calibri"/>
          <w:i/>
          <w:iCs/>
          <w:noProof/>
          <w:szCs w:val="24"/>
          <w:lang w:val="en-US"/>
        </w:rPr>
        <w:t>14</w:t>
      </w:r>
      <w:r w:rsidRPr="007F3E3A">
        <w:rPr>
          <w:rFonts w:ascii="Calibri" w:hAnsi="Calibri" w:cs="Calibri"/>
          <w:noProof/>
          <w:szCs w:val="24"/>
          <w:lang w:val="en-US"/>
        </w:rPr>
        <w:t>(1), 41–53. https://doi.org/10.1007/s10592-012-0422-2</w:t>
      </w:r>
    </w:p>
    <w:p w14:paraId="5D81D1E3"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Vázquez-Miranda, H., Navarro-Sigüenza, A. G., &amp; Omland, K. E. (2009). Phylogeography of the rufous-naped wren (Campylorhynchus Rufinucha): Speciation and hybridization in Mesoamerica. </w:t>
      </w:r>
      <w:r w:rsidRPr="007F3E3A">
        <w:rPr>
          <w:rFonts w:ascii="Calibri" w:hAnsi="Calibri" w:cs="Calibri"/>
          <w:i/>
          <w:iCs/>
          <w:noProof/>
          <w:szCs w:val="24"/>
          <w:lang w:val="en-US"/>
        </w:rPr>
        <w:t>Auk</w:t>
      </w:r>
      <w:r w:rsidRPr="007F3E3A">
        <w:rPr>
          <w:rFonts w:ascii="Calibri" w:hAnsi="Calibri" w:cs="Calibri"/>
          <w:noProof/>
          <w:szCs w:val="24"/>
          <w:lang w:val="en-US"/>
        </w:rPr>
        <w:t xml:space="preserve">, </w:t>
      </w:r>
      <w:r w:rsidRPr="007F3E3A">
        <w:rPr>
          <w:rFonts w:ascii="Calibri" w:hAnsi="Calibri" w:cs="Calibri"/>
          <w:i/>
          <w:iCs/>
          <w:noProof/>
          <w:szCs w:val="24"/>
          <w:lang w:val="en-US"/>
        </w:rPr>
        <w:t>126</w:t>
      </w:r>
      <w:r w:rsidRPr="007F3E3A">
        <w:rPr>
          <w:rFonts w:ascii="Calibri" w:hAnsi="Calibri" w:cs="Calibri"/>
          <w:noProof/>
          <w:szCs w:val="24"/>
          <w:lang w:val="en-US"/>
        </w:rPr>
        <w:t>(4), 765–778. https://doi.org/10.1525/auk.2009.07048</w:t>
      </w:r>
    </w:p>
    <w:p w14:paraId="585DE501"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Wallschläger, D. (1980). Correlation of song frequency and body weight in passerine birds. </w:t>
      </w:r>
      <w:r w:rsidRPr="007F3E3A">
        <w:rPr>
          <w:rFonts w:ascii="Calibri" w:hAnsi="Calibri" w:cs="Calibri"/>
          <w:i/>
          <w:iCs/>
          <w:noProof/>
          <w:szCs w:val="24"/>
          <w:lang w:val="en-US"/>
        </w:rPr>
        <w:t>Experientia</w:t>
      </w:r>
      <w:r w:rsidRPr="007F3E3A">
        <w:rPr>
          <w:rFonts w:ascii="Calibri" w:hAnsi="Calibri" w:cs="Calibri"/>
          <w:noProof/>
          <w:szCs w:val="24"/>
          <w:lang w:val="en-US"/>
        </w:rPr>
        <w:t xml:space="preserve">, </w:t>
      </w:r>
      <w:r w:rsidRPr="007F3E3A">
        <w:rPr>
          <w:rFonts w:ascii="Calibri" w:hAnsi="Calibri" w:cs="Calibri"/>
          <w:i/>
          <w:iCs/>
          <w:noProof/>
          <w:szCs w:val="24"/>
          <w:lang w:val="en-US"/>
        </w:rPr>
        <w:t>36</w:t>
      </w:r>
      <w:r w:rsidRPr="007F3E3A">
        <w:rPr>
          <w:rFonts w:ascii="Calibri" w:hAnsi="Calibri" w:cs="Calibri"/>
          <w:noProof/>
          <w:szCs w:val="24"/>
          <w:lang w:val="en-US"/>
        </w:rPr>
        <w:t>(4), 412. https://doi.org/10.1007/BF01975119</w:t>
      </w:r>
    </w:p>
    <w:p w14:paraId="252734A7"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Warren, P. S., Katti, M., Ermann, M., &amp; Brazel, A. (2006). Urban bioacoustics: It’s not just noise. </w:t>
      </w:r>
      <w:r w:rsidRPr="007F3E3A">
        <w:rPr>
          <w:rFonts w:ascii="Calibri" w:hAnsi="Calibri" w:cs="Calibri"/>
          <w:i/>
          <w:iCs/>
          <w:noProof/>
          <w:szCs w:val="24"/>
          <w:lang w:val="en-US"/>
        </w:rPr>
        <w:t>Animal Behaviour</w:t>
      </w:r>
      <w:r w:rsidRPr="007F3E3A">
        <w:rPr>
          <w:rFonts w:ascii="Calibri" w:hAnsi="Calibri" w:cs="Calibri"/>
          <w:noProof/>
          <w:szCs w:val="24"/>
          <w:lang w:val="en-US"/>
        </w:rPr>
        <w:t xml:space="preserve">, </w:t>
      </w:r>
      <w:r w:rsidRPr="007F3E3A">
        <w:rPr>
          <w:rFonts w:ascii="Calibri" w:hAnsi="Calibri" w:cs="Calibri"/>
          <w:i/>
          <w:iCs/>
          <w:noProof/>
          <w:szCs w:val="24"/>
          <w:lang w:val="en-US"/>
        </w:rPr>
        <w:t>71</w:t>
      </w:r>
      <w:r w:rsidRPr="007F3E3A">
        <w:rPr>
          <w:rFonts w:ascii="Calibri" w:hAnsi="Calibri" w:cs="Calibri"/>
          <w:noProof/>
          <w:szCs w:val="24"/>
          <w:lang w:val="en-US"/>
        </w:rPr>
        <w:t>(3), 491–502. https://doi.org/10.1016/j.anbehav.2005.07.014</w:t>
      </w:r>
    </w:p>
    <w:p w14:paraId="6C1BA39C"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West-Eberhard, M. (1983). Sexual selection, Social competition, and Speciation. </w:t>
      </w:r>
      <w:r w:rsidRPr="007F3E3A">
        <w:rPr>
          <w:rFonts w:ascii="Calibri" w:hAnsi="Calibri" w:cs="Calibri"/>
          <w:i/>
          <w:iCs/>
          <w:noProof/>
          <w:szCs w:val="24"/>
          <w:lang w:val="en-US"/>
        </w:rPr>
        <w:t>THE QUARTERLY of BIOLOGY</w:t>
      </w:r>
      <w:r w:rsidRPr="007F3E3A">
        <w:rPr>
          <w:rFonts w:ascii="Calibri" w:hAnsi="Calibri" w:cs="Calibri"/>
          <w:noProof/>
          <w:szCs w:val="24"/>
          <w:lang w:val="en-US"/>
        </w:rPr>
        <w:t xml:space="preserve">, </w:t>
      </w:r>
      <w:r w:rsidRPr="007F3E3A">
        <w:rPr>
          <w:rFonts w:ascii="Calibri" w:hAnsi="Calibri" w:cs="Calibri"/>
          <w:i/>
          <w:iCs/>
          <w:noProof/>
          <w:szCs w:val="24"/>
          <w:lang w:val="en-US"/>
        </w:rPr>
        <w:t>59</w:t>
      </w:r>
      <w:r w:rsidRPr="007F3E3A">
        <w:rPr>
          <w:rFonts w:ascii="Calibri" w:hAnsi="Calibri" w:cs="Calibri"/>
          <w:noProof/>
          <w:szCs w:val="24"/>
          <w:lang w:val="en-US"/>
        </w:rPr>
        <w:t>(1), 155–182.</w:t>
      </w:r>
    </w:p>
    <w:p w14:paraId="7B6099AB"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World Population Review. (2024). </w:t>
      </w:r>
      <w:r w:rsidRPr="007F3E3A">
        <w:rPr>
          <w:rFonts w:ascii="Calibri" w:hAnsi="Calibri" w:cs="Calibri"/>
          <w:i/>
          <w:iCs/>
          <w:noProof/>
          <w:szCs w:val="24"/>
          <w:lang w:val="en-US"/>
        </w:rPr>
        <w:t>Costa Rica Population 2024</w:t>
      </w:r>
      <w:r w:rsidRPr="007F3E3A">
        <w:rPr>
          <w:rFonts w:ascii="Calibri" w:hAnsi="Calibri" w:cs="Calibri"/>
          <w:noProof/>
          <w:szCs w:val="24"/>
          <w:lang w:val="en-US"/>
        </w:rPr>
        <w:t>. https://worldpopulationreview.com</w:t>
      </w:r>
    </w:p>
    <w:p w14:paraId="43F43B05"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szCs w:val="24"/>
          <w:lang w:val="en-US"/>
        </w:rPr>
      </w:pPr>
      <w:r w:rsidRPr="007F3E3A">
        <w:rPr>
          <w:rFonts w:ascii="Calibri" w:hAnsi="Calibri" w:cs="Calibri"/>
          <w:noProof/>
          <w:szCs w:val="24"/>
          <w:lang w:val="en-US"/>
        </w:rPr>
        <w:t xml:space="preserve">Wright, L. I., Tregenza, T., &amp; Hosken, D. J. (2008). Inbreeding, inbreeding depression and extinction. </w:t>
      </w:r>
      <w:r w:rsidRPr="007F3E3A">
        <w:rPr>
          <w:rFonts w:ascii="Calibri" w:hAnsi="Calibri" w:cs="Calibri"/>
          <w:i/>
          <w:iCs/>
          <w:noProof/>
          <w:szCs w:val="24"/>
          <w:lang w:val="en-US"/>
        </w:rPr>
        <w:t>Conservation Genetics</w:t>
      </w:r>
      <w:r w:rsidRPr="007F3E3A">
        <w:rPr>
          <w:rFonts w:ascii="Calibri" w:hAnsi="Calibri" w:cs="Calibri"/>
          <w:noProof/>
          <w:szCs w:val="24"/>
          <w:lang w:val="en-US"/>
        </w:rPr>
        <w:t xml:space="preserve">, </w:t>
      </w:r>
      <w:r w:rsidRPr="007F3E3A">
        <w:rPr>
          <w:rFonts w:ascii="Calibri" w:hAnsi="Calibri" w:cs="Calibri"/>
          <w:i/>
          <w:iCs/>
          <w:noProof/>
          <w:szCs w:val="24"/>
          <w:lang w:val="en-US"/>
        </w:rPr>
        <w:t>9</w:t>
      </w:r>
      <w:r w:rsidRPr="007F3E3A">
        <w:rPr>
          <w:rFonts w:ascii="Calibri" w:hAnsi="Calibri" w:cs="Calibri"/>
          <w:noProof/>
          <w:szCs w:val="24"/>
          <w:lang w:val="en-US"/>
        </w:rPr>
        <w:t>(4), 833–843. https://doi.org/10.1007/s10592-007-9405-0</w:t>
      </w:r>
    </w:p>
    <w:p w14:paraId="0B88F913" w14:textId="77777777" w:rsidR="005E02BF" w:rsidRPr="007F3E3A" w:rsidRDefault="005E02BF" w:rsidP="005E02BF">
      <w:pPr>
        <w:widowControl w:val="0"/>
        <w:autoSpaceDE w:val="0"/>
        <w:autoSpaceDN w:val="0"/>
        <w:adjustRightInd w:val="0"/>
        <w:spacing w:line="480" w:lineRule="auto"/>
        <w:ind w:left="480" w:hanging="480"/>
        <w:rPr>
          <w:rFonts w:ascii="Calibri" w:hAnsi="Calibri" w:cs="Calibri"/>
          <w:noProof/>
          <w:lang w:val="en-US"/>
        </w:rPr>
      </w:pPr>
      <w:r w:rsidRPr="007F3E3A">
        <w:rPr>
          <w:rFonts w:ascii="Calibri" w:hAnsi="Calibri" w:cs="Calibri"/>
          <w:noProof/>
          <w:szCs w:val="24"/>
          <w:lang w:val="en-US"/>
        </w:rPr>
        <w:t xml:space="preserve">Yom-Tov, Y., &amp; Geffen, E. (2011). Recent spatial and temporal changes in body size of terrestrial vertebrates: Probable causes and pitfalls. </w:t>
      </w:r>
      <w:r w:rsidRPr="007F3E3A">
        <w:rPr>
          <w:rFonts w:ascii="Calibri" w:hAnsi="Calibri" w:cs="Calibri"/>
          <w:i/>
          <w:iCs/>
          <w:noProof/>
          <w:szCs w:val="24"/>
          <w:lang w:val="en-US"/>
        </w:rPr>
        <w:t>Biological Reviews</w:t>
      </w:r>
      <w:r w:rsidRPr="007F3E3A">
        <w:rPr>
          <w:rFonts w:ascii="Calibri" w:hAnsi="Calibri" w:cs="Calibri"/>
          <w:noProof/>
          <w:szCs w:val="24"/>
          <w:lang w:val="en-US"/>
        </w:rPr>
        <w:t xml:space="preserve">, </w:t>
      </w:r>
      <w:r w:rsidRPr="007F3E3A">
        <w:rPr>
          <w:rFonts w:ascii="Calibri" w:hAnsi="Calibri" w:cs="Calibri"/>
          <w:i/>
          <w:iCs/>
          <w:noProof/>
          <w:szCs w:val="24"/>
          <w:lang w:val="en-US"/>
        </w:rPr>
        <w:t>86</w:t>
      </w:r>
      <w:r w:rsidRPr="007F3E3A">
        <w:rPr>
          <w:rFonts w:ascii="Calibri" w:hAnsi="Calibri" w:cs="Calibri"/>
          <w:noProof/>
          <w:szCs w:val="24"/>
          <w:lang w:val="en-US"/>
        </w:rPr>
        <w:t>(2), 531–541. https://doi.org/10.1111/j.1469-185X.2010.00168.x</w:t>
      </w:r>
    </w:p>
    <w:p w14:paraId="0D1636E4" w14:textId="77777777" w:rsidR="0029591B" w:rsidRDefault="00D22709" w:rsidP="004B3B19">
      <w:pPr>
        <w:spacing w:line="480" w:lineRule="auto"/>
        <w:ind w:firstLine="709"/>
        <w:rPr>
          <w:rFonts w:eastAsiaTheme="minorEastAsia"/>
          <w:lang w:val="en-US"/>
        </w:rPr>
      </w:pPr>
      <w:r>
        <w:rPr>
          <w:rFonts w:eastAsiaTheme="minorEastAsia"/>
          <w:lang w:val="en-US"/>
        </w:rPr>
        <w:fldChar w:fldCharType="end"/>
      </w:r>
    </w:p>
    <w:bookmarkEnd w:id="40"/>
    <w:p w14:paraId="28446ED2" w14:textId="3C889B8C" w:rsidR="002F20FF" w:rsidRDefault="006C21E5" w:rsidP="00AA64AA">
      <w:pPr>
        <w:spacing w:line="480" w:lineRule="auto"/>
        <w:rPr>
          <w:lang w:val="en-US"/>
        </w:rPr>
      </w:pPr>
      <w:r>
        <w:rPr>
          <w:lang w:val="en-US"/>
        </w:rPr>
        <w:br w:type="page"/>
      </w:r>
      <w:r w:rsidR="00723649">
        <w:rPr>
          <w:lang w:val="en-US"/>
        </w:rPr>
        <w:lastRenderedPageBreak/>
        <w:t xml:space="preserve"> </w:t>
      </w:r>
      <w:r w:rsidR="000620C9">
        <w:rPr>
          <w:lang w:val="en-US"/>
        </w:rPr>
        <w:t xml:space="preserve">Table 1. </w:t>
      </w:r>
      <w:r w:rsidR="002F20FF">
        <w:rPr>
          <w:lang w:val="en-US"/>
        </w:rPr>
        <w:t>R</w:t>
      </w:r>
      <w:r w:rsidR="000620C9">
        <w:rPr>
          <w:lang w:val="en-US"/>
        </w:rPr>
        <w:t xml:space="preserve">esults of </w:t>
      </w:r>
      <w:r w:rsidR="002F20FF">
        <w:rPr>
          <w:lang w:val="en-US"/>
        </w:rPr>
        <w:t xml:space="preserve">principal component analysis of solo songs of </w:t>
      </w:r>
      <w:r w:rsidR="00400ED5">
        <w:rPr>
          <w:lang w:val="en-US"/>
        </w:rPr>
        <w:t xml:space="preserve">the </w:t>
      </w:r>
      <w:r w:rsidR="002F20FF">
        <w:rPr>
          <w:lang w:val="en-US"/>
        </w:rPr>
        <w:t xml:space="preserve">white-eared ground-sparrow </w:t>
      </w:r>
      <w:proofErr w:type="spellStart"/>
      <w:r w:rsidR="002F20FF" w:rsidRPr="00AA64AA">
        <w:rPr>
          <w:i/>
          <w:iCs/>
          <w:lang w:val="en-US"/>
        </w:rPr>
        <w:t>Melozone</w:t>
      </w:r>
      <w:proofErr w:type="spellEnd"/>
      <w:r w:rsidR="002F20FF" w:rsidRPr="00AA64AA">
        <w:rPr>
          <w:i/>
          <w:iCs/>
          <w:lang w:val="en-US"/>
        </w:rPr>
        <w:t xml:space="preserve"> </w:t>
      </w:r>
      <w:proofErr w:type="spellStart"/>
      <w:r w:rsidR="002F20FF" w:rsidRPr="00AA64AA">
        <w:rPr>
          <w:i/>
          <w:iCs/>
          <w:lang w:val="en-US"/>
        </w:rPr>
        <w:t>leucotis</w:t>
      </w:r>
      <w:proofErr w:type="spellEnd"/>
      <w:r w:rsidR="002F20FF">
        <w:rPr>
          <w:lang w:val="en-US"/>
        </w:rPr>
        <w:t xml:space="preserve">. </w:t>
      </w:r>
      <w:r w:rsidR="002F20FF" w:rsidRPr="002F20FF">
        <w:rPr>
          <w:lang w:val="en-US"/>
        </w:rPr>
        <w:t xml:space="preserve">The asterisk indicates the variables </w:t>
      </w:r>
      <w:r w:rsidR="00400ED5">
        <w:rPr>
          <w:lang w:val="en-US"/>
        </w:rPr>
        <w:t>that have a larger</w:t>
      </w:r>
      <w:r w:rsidR="002F20FF" w:rsidRPr="002F20FF">
        <w:rPr>
          <w:lang w:val="en-US"/>
        </w:rPr>
        <w:t xml:space="preserve"> contribution in each </w:t>
      </w:r>
      <w:r w:rsidR="002F20FF">
        <w:rPr>
          <w:lang w:val="en-US"/>
        </w:rPr>
        <w:t>component</w:t>
      </w:r>
      <w:r w:rsidR="002F20FF" w:rsidRPr="002F20FF">
        <w:rPr>
          <w:lang w:val="en-US"/>
        </w:rPr>
        <w:t>.</w:t>
      </w:r>
    </w:p>
    <w:tbl>
      <w:tblPr>
        <w:tblW w:w="7500" w:type="dxa"/>
        <w:jc w:val="center"/>
        <w:tblCellMar>
          <w:left w:w="70" w:type="dxa"/>
          <w:right w:w="70" w:type="dxa"/>
        </w:tblCellMar>
        <w:tblLook w:val="04A0" w:firstRow="1" w:lastRow="0" w:firstColumn="1" w:lastColumn="0" w:noHBand="0" w:noVBand="1"/>
      </w:tblPr>
      <w:tblGrid>
        <w:gridCol w:w="3900"/>
        <w:gridCol w:w="1200"/>
        <w:gridCol w:w="1200"/>
        <w:gridCol w:w="1200"/>
      </w:tblGrid>
      <w:tr w:rsidR="00D97F10" w:rsidRPr="00D97F10" w14:paraId="6B4234A0" w14:textId="77777777" w:rsidTr="00D97F10">
        <w:trPr>
          <w:trHeight w:val="300"/>
          <w:jc w:val="center"/>
        </w:trPr>
        <w:tc>
          <w:tcPr>
            <w:tcW w:w="3900" w:type="dxa"/>
            <w:vMerge w:val="restart"/>
            <w:tcBorders>
              <w:top w:val="single" w:sz="4" w:space="0" w:color="auto"/>
              <w:left w:val="nil"/>
              <w:bottom w:val="single" w:sz="4" w:space="0" w:color="000000"/>
              <w:right w:val="nil"/>
            </w:tcBorders>
            <w:shd w:val="clear" w:color="auto" w:fill="auto"/>
            <w:noWrap/>
            <w:vAlign w:val="center"/>
            <w:hideMark/>
          </w:tcPr>
          <w:p w14:paraId="645C2549"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Song measurements</w:t>
            </w:r>
          </w:p>
        </w:tc>
        <w:tc>
          <w:tcPr>
            <w:tcW w:w="3600" w:type="dxa"/>
            <w:gridSpan w:val="3"/>
            <w:tcBorders>
              <w:top w:val="single" w:sz="4" w:space="0" w:color="auto"/>
              <w:left w:val="nil"/>
              <w:bottom w:val="nil"/>
              <w:right w:val="nil"/>
            </w:tcBorders>
            <w:shd w:val="clear" w:color="auto" w:fill="auto"/>
            <w:noWrap/>
            <w:vAlign w:val="bottom"/>
            <w:hideMark/>
          </w:tcPr>
          <w:p w14:paraId="3E0F47CC"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 xml:space="preserve">Principal component </w:t>
            </w:r>
          </w:p>
        </w:tc>
      </w:tr>
      <w:tr w:rsidR="00D97F10" w:rsidRPr="00D97F10" w14:paraId="15177E27" w14:textId="77777777" w:rsidTr="00D97F10">
        <w:trPr>
          <w:trHeight w:val="300"/>
          <w:jc w:val="center"/>
        </w:trPr>
        <w:tc>
          <w:tcPr>
            <w:tcW w:w="3900" w:type="dxa"/>
            <w:vMerge/>
            <w:tcBorders>
              <w:top w:val="single" w:sz="4" w:space="0" w:color="auto"/>
              <w:left w:val="nil"/>
              <w:bottom w:val="single" w:sz="4" w:space="0" w:color="000000"/>
              <w:right w:val="nil"/>
            </w:tcBorders>
            <w:vAlign w:val="center"/>
            <w:hideMark/>
          </w:tcPr>
          <w:p w14:paraId="65E9BDF5" w14:textId="77777777" w:rsidR="00D97F10" w:rsidRPr="00D97F10" w:rsidRDefault="00D97F10" w:rsidP="00D97F10">
            <w:pPr>
              <w:spacing w:after="0" w:line="480" w:lineRule="auto"/>
              <w:rPr>
                <w:rFonts w:ascii="Calibri" w:eastAsia="Times New Roman" w:hAnsi="Calibri" w:cs="Calibri"/>
                <w:color w:val="000000"/>
                <w:lang w:eastAsia="es-EC"/>
              </w:rPr>
            </w:pPr>
          </w:p>
        </w:tc>
        <w:tc>
          <w:tcPr>
            <w:tcW w:w="1200" w:type="dxa"/>
            <w:tcBorders>
              <w:top w:val="single" w:sz="4" w:space="0" w:color="auto"/>
              <w:left w:val="nil"/>
              <w:bottom w:val="single" w:sz="4" w:space="0" w:color="auto"/>
              <w:right w:val="nil"/>
            </w:tcBorders>
            <w:shd w:val="clear" w:color="auto" w:fill="auto"/>
            <w:noWrap/>
            <w:vAlign w:val="center"/>
            <w:hideMark/>
          </w:tcPr>
          <w:p w14:paraId="53294621"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PC1</w:t>
            </w:r>
          </w:p>
        </w:tc>
        <w:tc>
          <w:tcPr>
            <w:tcW w:w="1200" w:type="dxa"/>
            <w:tcBorders>
              <w:top w:val="single" w:sz="4" w:space="0" w:color="auto"/>
              <w:left w:val="nil"/>
              <w:bottom w:val="single" w:sz="4" w:space="0" w:color="auto"/>
              <w:right w:val="nil"/>
            </w:tcBorders>
            <w:shd w:val="clear" w:color="auto" w:fill="auto"/>
            <w:noWrap/>
            <w:vAlign w:val="center"/>
            <w:hideMark/>
          </w:tcPr>
          <w:p w14:paraId="71744FEE"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PC2</w:t>
            </w:r>
          </w:p>
        </w:tc>
        <w:tc>
          <w:tcPr>
            <w:tcW w:w="1200" w:type="dxa"/>
            <w:tcBorders>
              <w:top w:val="single" w:sz="4" w:space="0" w:color="auto"/>
              <w:left w:val="nil"/>
              <w:bottom w:val="single" w:sz="4" w:space="0" w:color="auto"/>
              <w:right w:val="nil"/>
            </w:tcBorders>
            <w:shd w:val="clear" w:color="auto" w:fill="auto"/>
            <w:noWrap/>
            <w:vAlign w:val="center"/>
            <w:hideMark/>
          </w:tcPr>
          <w:p w14:paraId="162B458A"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PC3</w:t>
            </w:r>
          </w:p>
        </w:tc>
      </w:tr>
      <w:tr w:rsidR="00D97F10" w:rsidRPr="00D97F10" w14:paraId="2BC7DF05" w14:textId="77777777" w:rsidTr="00D97F10">
        <w:trPr>
          <w:trHeight w:val="300"/>
          <w:jc w:val="center"/>
        </w:trPr>
        <w:tc>
          <w:tcPr>
            <w:tcW w:w="3900" w:type="dxa"/>
            <w:tcBorders>
              <w:top w:val="nil"/>
              <w:left w:val="nil"/>
              <w:bottom w:val="nil"/>
              <w:right w:val="nil"/>
            </w:tcBorders>
            <w:shd w:val="clear" w:color="auto" w:fill="auto"/>
            <w:noWrap/>
            <w:vAlign w:val="center"/>
            <w:hideMark/>
          </w:tcPr>
          <w:p w14:paraId="414F486E"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Duration (s)</w:t>
            </w:r>
          </w:p>
        </w:tc>
        <w:tc>
          <w:tcPr>
            <w:tcW w:w="1200" w:type="dxa"/>
            <w:tcBorders>
              <w:top w:val="nil"/>
              <w:left w:val="nil"/>
              <w:bottom w:val="nil"/>
              <w:right w:val="nil"/>
            </w:tcBorders>
            <w:shd w:val="clear" w:color="auto" w:fill="auto"/>
            <w:noWrap/>
            <w:vAlign w:val="center"/>
            <w:hideMark/>
          </w:tcPr>
          <w:p w14:paraId="199A6886"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0.82*</w:t>
            </w:r>
          </w:p>
        </w:tc>
        <w:tc>
          <w:tcPr>
            <w:tcW w:w="1200" w:type="dxa"/>
            <w:tcBorders>
              <w:top w:val="nil"/>
              <w:left w:val="nil"/>
              <w:bottom w:val="nil"/>
              <w:right w:val="nil"/>
            </w:tcBorders>
            <w:shd w:val="clear" w:color="auto" w:fill="auto"/>
            <w:noWrap/>
            <w:vAlign w:val="center"/>
            <w:hideMark/>
          </w:tcPr>
          <w:p w14:paraId="53A897DF"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0.25</w:t>
            </w:r>
          </w:p>
        </w:tc>
        <w:tc>
          <w:tcPr>
            <w:tcW w:w="1200" w:type="dxa"/>
            <w:tcBorders>
              <w:top w:val="nil"/>
              <w:left w:val="nil"/>
              <w:bottom w:val="nil"/>
              <w:right w:val="nil"/>
            </w:tcBorders>
            <w:shd w:val="clear" w:color="auto" w:fill="auto"/>
            <w:noWrap/>
            <w:vAlign w:val="center"/>
            <w:hideMark/>
          </w:tcPr>
          <w:p w14:paraId="05D732E3"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-0.09</w:t>
            </w:r>
          </w:p>
        </w:tc>
      </w:tr>
      <w:tr w:rsidR="00D97F10" w:rsidRPr="00D97F10" w14:paraId="6A8EEBC4" w14:textId="77777777" w:rsidTr="00D97F10">
        <w:trPr>
          <w:trHeight w:val="300"/>
          <w:jc w:val="center"/>
        </w:trPr>
        <w:tc>
          <w:tcPr>
            <w:tcW w:w="3900" w:type="dxa"/>
            <w:tcBorders>
              <w:top w:val="nil"/>
              <w:left w:val="nil"/>
              <w:bottom w:val="nil"/>
              <w:right w:val="nil"/>
            </w:tcBorders>
            <w:shd w:val="clear" w:color="auto" w:fill="auto"/>
            <w:noWrap/>
            <w:vAlign w:val="center"/>
            <w:hideMark/>
          </w:tcPr>
          <w:p w14:paraId="2DC39145"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Minimum frequency (kHz)</w:t>
            </w:r>
          </w:p>
        </w:tc>
        <w:tc>
          <w:tcPr>
            <w:tcW w:w="1200" w:type="dxa"/>
            <w:tcBorders>
              <w:top w:val="nil"/>
              <w:left w:val="nil"/>
              <w:bottom w:val="nil"/>
              <w:right w:val="nil"/>
            </w:tcBorders>
            <w:shd w:val="clear" w:color="auto" w:fill="auto"/>
            <w:noWrap/>
            <w:vAlign w:val="center"/>
            <w:hideMark/>
          </w:tcPr>
          <w:p w14:paraId="42A8BE5C"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-0.26</w:t>
            </w:r>
          </w:p>
        </w:tc>
        <w:tc>
          <w:tcPr>
            <w:tcW w:w="1200" w:type="dxa"/>
            <w:tcBorders>
              <w:top w:val="nil"/>
              <w:left w:val="nil"/>
              <w:bottom w:val="nil"/>
              <w:right w:val="nil"/>
            </w:tcBorders>
            <w:shd w:val="clear" w:color="auto" w:fill="auto"/>
            <w:noWrap/>
            <w:vAlign w:val="center"/>
            <w:hideMark/>
          </w:tcPr>
          <w:p w14:paraId="5E9BB566"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0.78*</w:t>
            </w:r>
          </w:p>
        </w:tc>
        <w:tc>
          <w:tcPr>
            <w:tcW w:w="1200" w:type="dxa"/>
            <w:tcBorders>
              <w:top w:val="nil"/>
              <w:left w:val="nil"/>
              <w:bottom w:val="nil"/>
              <w:right w:val="nil"/>
            </w:tcBorders>
            <w:shd w:val="clear" w:color="auto" w:fill="auto"/>
            <w:noWrap/>
            <w:vAlign w:val="center"/>
            <w:hideMark/>
          </w:tcPr>
          <w:p w14:paraId="168AEC10"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0.24</w:t>
            </w:r>
          </w:p>
        </w:tc>
      </w:tr>
      <w:tr w:rsidR="00D97F10" w:rsidRPr="00D97F10" w14:paraId="025C2A73" w14:textId="77777777" w:rsidTr="00D97F10">
        <w:trPr>
          <w:trHeight w:val="300"/>
          <w:jc w:val="center"/>
        </w:trPr>
        <w:tc>
          <w:tcPr>
            <w:tcW w:w="3900" w:type="dxa"/>
            <w:tcBorders>
              <w:top w:val="nil"/>
              <w:left w:val="nil"/>
              <w:bottom w:val="nil"/>
              <w:right w:val="nil"/>
            </w:tcBorders>
            <w:shd w:val="clear" w:color="auto" w:fill="auto"/>
            <w:noWrap/>
            <w:vAlign w:val="center"/>
            <w:hideMark/>
          </w:tcPr>
          <w:p w14:paraId="07F7A2C3"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Maximum frequency (kHz)</w:t>
            </w:r>
          </w:p>
        </w:tc>
        <w:tc>
          <w:tcPr>
            <w:tcW w:w="1200" w:type="dxa"/>
            <w:tcBorders>
              <w:top w:val="nil"/>
              <w:left w:val="nil"/>
              <w:bottom w:val="nil"/>
              <w:right w:val="nil"/>
            </w:tcBorders>
            <w:shd w:val="clear" w:color="auto" w:fill="auto"/>
            <w:noWrap/>
            <w:vAlign w:val="center"/>
            <w:hideMark/>
          </w:tcPr>
          <w:p w14:paraId="422BBD2D"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0.55</w:t>
            </w:r>
          </w:p>
        </w:tc>
        <w:tc>
          <w:tcPr>
            <w:tcW w:w="1200" w:type="dxa"/>
            <w:tcBorders>
              <w:top w:val="nil"/>
              <w:left w:val="nil"/>
              <w:bottom w:val="nil"/>
              <w:right w:val="nil"/>
            </w:tcBorders>
            <w:shd w:val="clear" w:color="auto" w:fill="auto"/>
            <w:noWrap/>
            <w:vAlign w:val="center"/>
            <w:hideMark/>
          </w:tcPr>
          <w:p w14:paraId="230532E1"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-0.58*</w:t>
            </w:r>
          </w:p>
        </w:tc>
        <w:tc>
          <w:tcPr>
            <w:tcW w:w="1200" w:type="dxa"/>
            <w:tcBorders>
              <w:top w:val="nil"/>
              <w:left w:val="nil"/>
              <w:bottom w:val="nil"/>
              <w:right w:val="nil"/>
            </w:tcBorders>
            <w:shd w:val="clear" w:color="auto" w:fill="auto"/>
            <w:noWrap/>
            <w:vAlign w:val="center"/>
            <w:hideMark/>
          </w:tcPr>
          <w:p w14:paraId="197D98D0"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0.30</w:t>
            </w:r>
          </w:p>
        </w:tc>
      </w:tr>
      <w:tr w:rsidR="00D97F10" w:rsidRPr="00D97F10" w14:paraId="5E3B4E76" w14:textId="77777777" w:rsidTr="00D97F10">
        <w:trPr>
          <w:trHeight w:val="300"/>
          <w:jc w:val="center"/>
        </w:trPr>
        <w:tc>
          <w:tcPr>
            <w:tcW w:w="3900" w:type="dxa"/>
            <w:tcBorders>
              <w:top w:val="nil"/>
              <w:left w:val="nil"/>
              <w:bottom w:val="nil"/>
              <w:right w:val="nil"/>
            </w:tcBorders>
            <w:shd w:val="clear" w:color="auto" w:fill="auto"/>
            <w:noWrap/>
            <w:vAlign w:val="center"/>
            <w:hideMark/>
          </w:tcPr>
          <w:p w14:paraId="24D52AD0" w14:textId="77777777" w:rsidR="00D97F10" w:rsidRPr="00D97F10" w:rsidRDefault="00D97F10" w:rsidP="00D97F10">
            <w:pPr>
              <w:spacing w:after="0" w:line="480" w:lineRule="auto"/>
              <w:rPr>
                <w:rFonts w:ascii="Calibri" w:eastAsia="Times New Roman" w:hAnsi="Calibri" w:cs="Calibri"/>
                <w:color w:val="000000"/>
                <w:lang w:val="en-US" w:eastAsia="es-EC"/>
              </w:rPr>
            </w:pPr>
            <w:r w:rsidRPr="00D97F10">
              <w:rPr>
                <w:rFonts w:ascii="Calibri" w:eastAsia="Times New Roman" w:hAnsi="Calibri" w:cs="Calibri"/>
                <w:color w:val="000000"/>
                <w:lang w:val="en-US" w:eastAsia="es-EC"/>
              </w:rPr>
              <w:t>Frequency of maximum amplitude (kHz)</w:t>
            </w:r>
          </w:p>
        </w:tc>
        <w:tc>
          <w:tcPr>
            <w:tcW w:w="1200" w:type="dxa"/>
            <w:tcBorders>
              <w:top w:val="nil"/>
              <w:left w:val="nil"/>
              <w:bottom w:val="nil"/>
              <w:right w:val="nil"/>
            </w:tcBorders>
            <w:shd w:val="clear" w:color="auto" w:fill="auto"/>
            <w:noWrap/>
            <w:vAlign w:val="center"/>
            <w:hideMark/>
          </w:tcPr>
          <w:p w14:paraId="20D82769"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0.11</w:t>
            </w:r>
          </w:p>
        </w:tc>
        <w:tc>
          <w:tcPr>
            <w:tcW w:w="1200" w:type="dxa"/>
            <w:tcBorders>
              <w:top w:val="nil"/>
              <w:left w:val="nil"/>
              <w:bottom w:val="nil"/>
              <w:right w:val="nil"/>
            </w:tcBorders>
            <w:shd w:val="clear" w:color="auto" w:fill="auto"/>
            <w:noWrap/>
            <w:vAlign w:val="center"/>
            <w:hideMark/>
          </w:tcPr>
          <w:p w14:paraId="1F6CBA51"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0.09</w:t>
            </w:r>
          </w:p>
        </w:tc>
        <w:tc>
          <w:tcPr>
            <w:tcW w:w="1200" w:type="dxa"/>
            <w:tcBorders>
              <w:top w:val="nil"/>
              <w:left w:val="nil"/>
              <w:bottom w:val="nil"/>
              <w:right w:val="nil"/>
            </w:tcBorders>
            <w:shd w:val="clear" w:color="auto" w:fill="auto"/>
            <w:noWrap/>
            <w:vAlign w:val="center"/>
            <w:hideMark/>
          </w:tcPr>
          <w:p w14:paraId="293480BB"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0.93*</w:t>
            </w:r>
          </w:p>
        </w:tc>
      </w:tr>
      <w:tr w:rsidR="00D97F10" w:rsidRPr="00D97F10" w14:paraId="3EF987CB" w14:textId="77777777" w:rsidTr="00D97F10">
        <w:trPr>
          <w:trHeight w:val="300"/>
          <w:jc w:val="center"/>
        </w:trPr>
        <w:tc>
          <w:tcPr>
            <w:tcW w:w="3900" w:type="dxa"/>
            <w:tcBorders>
              <w:top w:val="nil"/>
              <w:left w:val="nil"/>
              <w:bottom w:val="single" w:sz="4" w:space="0" w:color="auto"/>
              <w:right w:val="nil"/>
            </w:tcBorders>
            <w:shd w:val="clear" w:color="auto" w:fill="auto"/>
            <w:noWrap/>
            <w:vAlign w:val="center"/>
            <w:hideMark/>
          </w:tcPr>
          <w:p w14:paraId="243DFE7A"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Number of elements (n)</w:t>
            </w:r>
          </w:p>
        </w:tc>
        <w:tc>
          <w:tcPr>
            <w:tcW w:w="1200" w:type="dxa"/>
            <w:tcBorders>
              <w:top w:val="nil"/>
              <w:left w:val="nil"/>
              <w:bottom w:val="single" w:sz="4" w:space="0" w:color="auto"/>
              <w:right w:val="nil"/>
            </w:tcBorders>
            <w:shd w:val="clear" w:color="auto" w:fill="auto"/>
            <w:noWrap/>
            <w:vAlign w:val="center"/>
            <w:hideMark/>
          </w:tcPr>
          <w:p w14:paraId="79586097"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0.71*</w:t>
            </w:r>
          </w:p>
        </w:tc>
        <w:tc>
          <w:tcPr>
            <w:tcW w:w="1200" w:type="dxa"/>
            <w:tcBorders>
              <w:top w:val="nil"/>
              <w:left w:val="nil"/>
              <w:bottom w:val="single" w:sz="4" w:space="0" w:color="auto"/>
              <w:right w:val="nil"/>
            </w:tcBorders>
            <w:shd w:val="clear" w:color="auto" w:fill="auto"/>
            <w:noWrap/>
            <w:vAlign w:val="center"/>
            <w:hideMark/>
          </w:tcPr>
          <w:p w14:paraId="4E7E6BA1"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0.43</w:t>
            </w:r>
          </w:p>
        </w:tc>
        <w:tc>
          <w:tcPr>
            <w:tcW w:w="1200" w:type="dxa"/>
            <w:tcBorders>
              <w:top w:val="nil"/>
              <w:left w:val="nil"/>
              <w:bottom w:val="single" w:sz="4" w:space="0" w:color="auto"/>
              <w:right w:val="nil"/>
            </w:tcBorders>
            <w:shd w:val="clear" w:color="auto" w:fill="auto"/>
            <w:noWrap/>
            <w:vAlign w:val="center"/>
            <w:hideMark/>
          </w:tcPr>
          <w:p w14:paraId="62F3D32E"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-0.18</w:t>
            </w:r>
          </w:p>
        </w:tc>
      </w:tr>
    </w:tbl>
    <w:p w14:paraId="05DB48CC" w14:textId="77777777" w:rsidR="000620C9" w:rsidRDefault="000620C9" w:rsidP="002F20FF">
      <w:pPr>
        <w:rPr>
          <w:lang w:val="en-US"/>
        </w:rPr>
      </w:pPr>
      <w:r>
        <w:rPr>
          <w:lang w:val="en-US"/>
        </w:rPr>
        <w:br w:type="page"/>
      </w:r>
    </w:p>
    <w:p w14:paraId="4884699D" w14:textId="5FC419BB" w:rsidR="006F308C" w:rsidRDefault="002F20FF" w:rsidP="00AA64AA">
      <w:pPr>
        <w:spacing w:line="480" w:lineRule="auto"/>
        <w:rPr>
          <w:lang w:val="en-US"/>
        </w:rPr>
      </w:pPr>
      <w:r>
        <w:rPr>
          <w:lang w:val="en-US"/>
        </w:rPr>
        <w:lastRenderedPageBreak/>
        <w:t xml:space="preserve">Table 2. Results of principal component analysis of </w:t>
      </w:r>
      <w:r w:rsidR="004C286A">
        <w:rPr>
          <w:lang w:val="en-US"/>
        </w:rPr>
        <w:t>body</w:t>
      </w:r>
      <w:r>
        <w:rPr>
          <w:lang w:val="en-US"/>
        </w:rPr>
        <w:t xml:space="preserve"> measurements of white-eared ground-sparrow </w:t>
      </w:r>
      <w:proofErr w:type="spellStart"/>
      <w:r w:rsidRPr="00BF135B">
        <w:rPr>
          <w:i/>
          <w:iCs/>
          <w:lang w:val="en-US"/>
        </w:rPr>
        <w:t>Melozone</w:t>
      </w:r>
      <w:proofErr w:type="spellEnd"/>
      <w:r w:rsidRPr="00BF135B">
        <w:rPr>
          <w:i/>
          <w:iCs/>
          <w:lang w:val="en-US"/>
        </w:rPr>
        <w:t xml:space="preserve"> </w:t>
      </w:r>
      <w:proofErr w:type="spellStart"/>
      <w:r w:rsidRPr="00BF135B">
        <w:rPr>
          <w:i/>
          <w:iCs/>
          <w:lang w:val="en-US"/>
        </w:rPr>
        <w:t>leucotis</w:t>
      </w:r>
      <w:proofErr w:type="spellEnd"/>
      <w:r>
        <w:rPr>
          <w:lang w:val="en-US"/>
        </w:rPr>
        <w:t xml:space="preserve">. </w:t>
      </w:r>
      <w:r w:rsidRPr="002F20FF">
        <w:rPr>
          <w:lang w:val="en-US"/>
        </w:rPr>
        <w:t xml:space="preserve">The asterisk indicates the variables </w:t>
      </w:r>
      <w:r w:rsidR="00400ED5">
        <w:rPr>
          <w:lang w:val="en-US"/>
        </w:rPr>
        <w:t>that have a larger</w:t>
      </w:r>
      <w:r w:rsidRPr="002F20FF">
        <w:rPr>
          <w:lang w:val="en-US"/>
        </w:rPr>
        <w:t xml:space="preserve"> contribution in each </w:t>
      </w:r>
      <w:r>
        <w:rPr>
          <w:lang w:val="en-US"/>
        </w:rPr>
        <w:t>component</w:t>
      </w:r>
      <w:r w:rsidRPr="002F20FF">
        <w:rPr>
          <w:lang w:val="en-US"/>
        </w:rPr>
        <w:t>.</w:t>
      </w:r>
    </w:p>
    <w:p w14:paraId="1AD48C05" w14:textId="77777777" w:rsidR="001D0E49" w:rsidRDefault="006F308C">
      <w:pPr>
        <w:rPr>
          <w:lang w:val="en-US"/>
        </w:rPr>
      </w:pPr>
      <w:r>
        <w:rPr>
          <w:lang w:val="en-US"/>
        </w:rPr>
        <w:t xml:space="preserve"> </w:t>
      </w:r>
    </w:p>
    <w:tbl>
      <w:tblPr>
        <w:tblW w:w="4962" w:type="dxa"/>
        <w:jc w:val="center"/>
        <w:tblCellMar>
          <w:left w:w="70" w:type="dxa"/>
          <w:right w:w="70" w:type="dxa"/>
        </w:tblCellMar>
        <w:tblLook w:val="04A0" w:firstRow="1" w:lastRow="0" w:firstColumn="1" w:lastColumn="0" w:noHBand="0" w:noVBand="1"/>
      </w:tblPr>
      <w:tblGrid>
        <w:gridCol w:w="2920"/>
        <w:gridCol w:w="908"/>
        <w:gridCol w:w="1134"/>
      </w:tblGrid>
      <w:tr w:rsidR="00D97F10" w:rsidRPr="00D97F10" w14:paraId="4AFC899A" w14:textId="77777777" w:rsidTr="005B5D4A">
        <w:trPr>
          <w:trHeight w:val="300"/>
          <w:jc w:val="center"/>
        </w:trPr>
        <w:tc>
          <w:tcPr>
            <w:tcW w:w="2920" w:type="dxa"/>
            <w:vMerge w:val="restart"/>
            <w:tcBorders>
              <w:top w:val="single" w:sz="4" w:space="0" w:color="auto"/>
              <w:left w:val="nil"/>
              <w:bottom w:val="single" w:sz="4" w:space="0" w:color="000000"/>
              <w:right w:val="nil"/>
            </w:tcBorders>
            <w:shd w:val="clear" w:color="auto" w:fill="auto"/>
            <w:vAlign w:val="center"/>
            <w:hideMark/>
          </w:tcPr>
          <w:p w14:paraId="670C6971"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 xml:space="preserve">Body measurements </w:t>
            </w:r>
          </w:p>
        </w:tc>
        <w:tc>
          <w:tcPr>
            <w:tcW w:w="2042" w:type="dxa"/>
            <w:gridSpan w:val="2"/>
            <w:tcBorders>
              <w:top w:val="single" w:sz="4" w:space="0" w:color="auto"/>
              <w:left w:val="nil"/>
              <w:bottom w:val="nil"/>
              <w:right w:val="nil"/>
            </w:tcBorders>
            <w:shd w:val="clear" w:color="auto" w:fill="auto"/>
            <w:noWrap/>
            <w:vAlign w:val="center"/>
            <w:hideMark/>
          </w:tcPr>
          <w:p w14:paraId="6235F4C8"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 xml:space="preserve">Principal component </w:t>
            </w:r>
          </w:p>
        </w:tc>
      </w:tr>
      <w:tr w:rsidR="00D97F10" w:rsidRPr="00D97F10" w14:paraId="7DB4AC79" w14:textId="77777777" w:rsidTr="005B5D4A">
        <w:trPr>
          <w:trHeight w:val="300"/>
          <w:jc w:val="center"/>
        </w:trPr>
        <w:tc>
          <w:tcPr>
            <w:tcW w:w="2920" w:type="dxa"/>
            <w:vMerge/>
            <w:tcBorders>
              <w:top w:val="single" w:sz="4" w:space="0" w:color="auto"/>
              <w:left w:val="nil"/>
              <w:bottom w:val="single" w:sz="4" w:space="0" w:color="000000"/>
              <w:right w:val="nil"/>
            </w:tcBorders>
            <w:vAlign w:val="center"/>
            <w:hideMark/>
          </w:tcPr>
          <w:p w14:paraId="5537B6D4" w14:textId="77777777" w:rsidR="00D97F10" w:rsidRPr="00D97F10" w:rsidRDefault="00D97F10" w:rsidP="00D97F10">
            <w:pPr>
              <w:spacing w:after="0" w:line="480" w:lineRule="auto"/>
              <w:rPr>
                <w:rFonts w:ascii="Calibri" w:eastAsia="Times New Roman" w:hAnsi="Calibri" w:cs="Calibri"/>
                <w:color w:val="000000"/>
                <w:lang w:eastAsia="es-EC"/>
              </w:rPr>
            </w:pPr>
          </w:p>
        </w:tc>
        <w:tc>
          <w:tcPr>
            <w:tcW w:w="908" w:type="dxa"/>
            <w:tcBorders>
              <w:top w:val="single" w:sz="4" w:space="0" w:color="auto"/>
              <w:left w:val="nil"/>
              <w:bottom w:val="single" w:sz="4" w:space="0" w:color="auto"/>
              <w:right w:val="nil"/>
            </w:tcBorders>
            <w:shd w:val="clear" w:color="auto" w:fill="auto"/>
            <w:noWrap/>
            <w:vAlign w:val="center"/>
            <w:hideMark/>
          </w:tcPr>
          <w:p w14:paraId="556DD3B5"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PC1</w:t>
            </w:r>
          </w:p>
        </w:tc>
        <w:tc>
          <w:tcPr>
            <w:tcW w:w="1134" w:type="dxa"/>
            <w:tcBorders>
              <w:top w:val="single" w:sz="4" w:space="0" w:color="auto"/>
              <w:left w:val="nil"/>
              <w:bottom w:val="single" w:sz="4" w:space="0" w:color="auto"/>
              <w:right w:val="nil"/>
            </w:tcBorders>
            <w:shd w:val="clear" w:color="auto" w:fill="auto"/>
            <w:noWrap/>
            <w:vAlign w:val="center"/>
            <w:hideMark/>
          </w:tcPr>
          <w:p w14:paraId="715FA7C9"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PC2</w:t>
            </w:r>
          </w:p>
        </w:tc>
      </w:tr>
      <w:tr w:rsidR="00D97F10" w:rsidRPr="00D97F10" w14:paraId="675B6330" w14:textId="77777777" w:rsidTr="005B5D4A">
        <w:trPr>
          <w:trHeight w:val="300"/>
          <w:jc w:val="center"/>
        </w:trPr>
        <w:tc>
          <w:tcPr>
            <w:tcW w:w="2920" w:type="dxa"/>
            <w:tcBorders>
              <w:top w:val="nil"/>
              <w:left w:val="nil"/>
              <w:bottom w:val="nil"/>
              <w:right w:val="nil"/>
            </w:tcBorders>
            <w:shd w:val="clear" w:color="auto" w:fill="auto"/>
            <w:noWrap/>
            <w:vAlign w:val="bottom"/>
            <w:hideMark/>
          </w:tcPr>
          <w:p w14:paraId="174991E0"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Tarsus length (mm)</w:t>
            </w:r>
          </w:p>
        </w:tc>
        <w:tc>
          <w:tcPr>
            <w:tcW w:w="908" w:type="dxa"/>
            <w:tcBorders>
              <w:top w:val="nil"/>
              <w:left w:val="nil"/>
              <w:bottom w:val="nil"/>
              <w:right w:val="nil"/>
            </w:tcBorders>
            <w:shd w:val="clear" w:color="auto" w:fill="auto"/>
            <w:noWrap/>
            <w:vAlign w:val="center"/>
            <w:hideMark/>
          </w:tcPr>
          <w:p w14:paraId="7C6DF1D9"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0.73</w:t>
            </w:r>
            <w:r>
              <w:rPr>
                <w:rFonts w:ascii="Calibri" w:eastAsia="Times New Roman" w:hAnsi="Calibri" w:cs="Calibri"/>
                <w:color w:val="000000"/>
                <w:lang w:eastAsia="es-EC"/>
              </w:rPr>
              <w:t>*</w:t>
            </w:r>
          </w:p>
        </w:tc>
        <w:tc>
          <w:tcPr>
            <w:tcW w:w="1134" w:type="dxa"/>
            <w:tcBorders>
              <w:top w:val="nil"/>
              <w:left w:val="nil"/>
              <w:bottom w:val="nil"/>
              <w:right w:val="nil"/>
            </w:tcBorders>
            <w:shd w:val="clear" w:color="auto" w:fill="auto"/>
            <w:noWrap/>
            <w:vAlign w:val="center"/>
            <w:hideMark/>
          </w:tcPr>
          <w:p w14:paraId="20E409DF"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0.28</w:t>
            </w:r>
          </w:p>
        </w:tc>
      </w:tr>
      <w:tr w:rsidR="00D97F10" w:rsidRPr="00D97F10" w14:paraId="12947547" w14:textId="77777777" w:rsidTr="005B5D4A">
        <w:trPr>
          <w:trHeight w:val="300"/>
          <w:jc w:val="center"/>
        </w:trPr>
        <w:tc>
          <w:tcPr>
            <w:tcW w:w="2920" w:type="dxa"/>
            <w:tcBorders>
              <w:top w:val="nil"/>
              <w:left w:val="nil"/>
              <w:bottom w:val="nil"/>
              <w:right w:val="nil"/>
            </w:tcBorders>
            <w:shd w:val="clear" w:color="auto" w:fill="auto"/>
            <w:noWrap/>
            <w:vAlign w:val="bottom"/>
            <w:hideMark/>
          </w:tcPr>
          <w:p w14:paraId="37F9049A"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Tail length (mm)</w:t>
            </w:r>
          </w:p>
        </w:tc>
        <w:tc>
          <w:tcPr>
            <w:tcW w:w="908" w:type="dxa"/>
            <w:tcBorders>
              <w:top w:val="nil"/>
              <w:left w:val="nil"/>
              <w:bottom w:val="nil"/>
              <w:right w:val="nil"/>
            </w:tcBorders>
            <w:shd w:val="clear" w:color="auto" w:fill="auto"/>
            <w:noWrap/>
            <w:vAlign w:val="center"/>
            <w:hideMark/>
          </w:tcPr>
          <w:p w14:paraId="67324B74"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0.77</w:t>
            </w:r>
            <w:r>
              <w:rPr>
                <w:rFonts w:ascii="Calibri" w:eastAsia="Times New Roman" w:hAnsi="Calibri" w:cs="Calibri"/>
                <w:color w:val="000000"/>
                <w:lang w:eastAsia="es-EC"/>
              </w:rPr>
              <w:t>*</w:t>
            </w:r>
          </w:p>
        </w:tc>
        <w:tc>
          <w:tcPr>
            <w:tcW w:w="1134" w:type="dxa"/>
            <w:tcBorders>
              <w:top w:val="nil"/>
              <w:left w:val="nil"/>
              <w:bottom w:val="nil"/>
              <w:right w:val="nil"/>
            </w:tcBorders>
            <w:shd w:val="clear" w:color="auto" w:fill="auto"/>
            <w:noWrap/>
            <w:vAlign w:val="center"/>
            <w:hideMark/>
          </w:tcPr>
          <w:p w14:paraId="0F85943C"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0.13</w:t>
            </w:r>
          </w:p>
        </w:tc>
      </w:tr>
      <w:tr w:rsidR="00D97F10" w:rsidRPr="00D97F10" w14:paraId="627736D8" w14:textId="77777777" w:rsidTr="005B5D4A">
        <w:trPr>
          <w:trHeight w:val="300"/>
          <w:jc w:val="center"/>
        </w:trPr>
        <w:tc>
          <w:tcPr>
            <w:tcW w:w="2920" w:type="dxa"/>
            <w:tcBorders>
              <w:top w:val="nil"/>
              <w:left w:val="nil"/>
              <w:bottom w:val="nil"/>
              <w:right w:val="nil"/>
            </w:tcBorders>
            <w:shd w:val="clear" w:color="auto" w:fill="auto"/>
            <w:noWrap/>
            <w:vAlign w:val="bottom"/>
            <w:hideMark/>
          </w:tcPr>
          <w:p w14:paraId="6463D01A"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Wing chord length (mm)</w:t>
            </w:r>
          </w:p>
        </w:tc>
        <w:tc>
          <w:tcPr>
            <w:tcW w:w="908" w:type="dxa"/>
            <w:tcBorders>
              <w:top w:val="nil"/>
              <w:left w:val="nil"/>
              <w:bottom w:val="nil"/>
              <w:right w:val="nil"/>
            </w:tcBorders>
            <w:shd w:val="clear" w:color="auto" w:fill="auto"/>
            <w:noWrap/>
            <w:vAlign w:val="center"/>
            <w:hideMark/>
          </w:tcPr>
          <w:p w14:paraId="64334ED5"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0.75</w:t>
            </w:r>
            <w:r>
              <w:rPr>
                <w:rFonts w:ascii="Calibri" w:eastAsia="Times New Roman" w:hAnsi="Calibri" w:cs="Calibri"/>
                <w:color w:val="000000"/>
                <w:lang w:eastAsia="es-EC"/>
              </w:rPr>
              <w:t>*</w:t>
            </w:r>
          </w:p>
        </w:tc>
        <w:tc>
          <w:tcPr>
            <w:tcW w:w="1134" w:type="dxa"/>
            <w:tcBorders>
              <w:top w:val="nil"/>
              <w:left w:val="nil"/>
              <w:bottom w:val="nil"/>
              <w:right w:val="nil"/>
            </w:tcBorders>
            <w:shd w:val="clear" w:color="auto" w:fill="auto"/>
            <w:noWrap/>
            <w:vAlign w:val="center"/>
            <w:hideMark/>
          </w:tcPr>
          <w:p w14:paraId="1F6435F8"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-0.15</w:t>
            </w:r>
          </w:p>
        </w:tc>
      </w:tr>
      <w:tr w:rsidR="00D97F10" w:rsidRPr="00D97F10" w14:paraId="1FB19573" w14:textId="77777777" w:rsidTr="005B5D4A">
        <w:trPr>
          <w:trHeight w:val="300"/>
          <w:jc w:val="center"/>
        </w:trPr>
        <w:tc>
          <w:tcPr>
            <w:tcW w:w="2920" w:type="dxa"/>
            <w:tcBorders>
              <w:top w:val="nil"/>
              <w:left w:val="nil"/>
              <w:bottom w:val="nil"/>
              <w:right w:val="nil"/>
            </w:tcBorders>
            <w:shd w:val="clear" w:color="auto" w:fill="auto"/>
            <w:noWrap/>
            <w:vAlign w:val="bottom"/>
            <w:hideMark/>
          </w:tcPr>
          <w:p w14:paraId="127FEED0"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Exposed culmen length (mm)</w:t>
            </w:r>
          </w:p>
        </w:tc>
        <w:tc>
          <w:tcPr>
            <w:tcW w:w="908" w:type="dxa"/>
            <w:tcBorders>
              <w:top w:val="nil"/>
              <w:left w:val="nil"/>
              <w:bottom w:val="nil"/>
              <w:right w:val="nil"/>
            </w:tcBorders>
            <w:shd w:val="clear" w:color="auto" w:fill="auto"/>
            <w:noWrap/>
            <w:vAlign w:val="center"/>
            <w:hideMark/>
          </w:tcPr>
          <w:p w14:paraId="50F95C15"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0.02</w:t>
            </w:r>
          </w:p>
        </w:tc>
        <w:tc>
          <w:tcPr>
            <w:tcW w:w="1134" w:type="dxa"/>
            <w:tcBorders>
              <w:top w:val="nil"/>
              <w:left w:val="nil"/>
              <w:bottom w:val="nil"/>
              <w:right w:val="nil"/>
            </w:tcBorders>
            <w:shd w:val="clear" w:color="auto" w:fill="auto"/>
            <w:noWrap/>
            <w:vAlign w:val="center"/>
            <w:hideMark/>
          </w:tcPr>
          <w:p w14:paraId="094E6627"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0.83</w:t>
            </w:r>
            <w:r>
              <w:rPr>
                <w:rFonts w:ascii="Calibri" w:eastAsia="Times New Roman" w:hAnsi="Calibri" w:cs="Calibri"/>
                <w:color w:val="000000"/>
                <w:lang w:eastAsia="es-EC"/>
              </w:rPr>
              <w:t>*</w:t>
            </w:r>
          </w:p>
        </w:tc>
      </w:tr>
      <w:tr w:rsidR="00D97F10" w:rsidRPr="00D97F10" w14:paraId="0117E49E" w14:textId="77777777" w:rsidTr="005B5D4A">
        <w:trPr>
          <w:trHeight w:val="300"/>
          <w:jc w:val="center"/>
        </w:trPr>
        <w:tc>
          <w:tcPr>
            <w:tcW w:w="2920" w:type="dxa"/>
            <w:tcBorders>
              <w:top w:val="nil"/>
              <w:left w:val="nil"/>
              <w:bottom w:val="nil"/>
              <w:right w:val="nil"/>
            </w:tcBorders>
            <w:shd w:val="clear" w:color="auto" w:fill="auto"/>
            <w:noWrap/>
            <w:vAlign w:val="bottom"/>
            <w:hideMark/>
          </w:tcPr>
          <w:p w14:paraId="7ABF27DA"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Beak width (mm)</w:t>
            </w:r>
          </w:p>
        </w:tc>
        <w:tc>
          <w:tcPr>
            <w:tcW w:w="908" w:type="dxa"/>
            <w:tcBorders>
              <w:top w:val="nil"/>
              <w:left w:val="nil"/>
              <w:bottom w:val="nil"/>
              <w:right w:val="nil"/>
            </w:tcBorders>
            <w:shd w:val="clear" w:color="auto" w:fill="auto"/>
            <w:noWrap/>
            <w:vAlign w:val="center"/>
            <w:hideMark/>
          </w:tcPr>
          <w:p w14:paraId="1268D68D"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0.38</w:t>
            </w:r>
          </w:p>
        </w:tc>
        <w:tc>
          <w:tcPr>
            <w:tcW w:w="1134" w:type="dxa"/>
            <w:tcBorders>
              <w:top w:val="nil"/>
              <w:left w:val="nil"/>
              <w:bottom w:val="nil"/>
              <w:right w:val="nil"/>
            </w:tcBorders>
            <w:shd w:val="clear" w:color="auto" w:fill="auto"/>
            <w:noWrap/>
            <w:vAlign w:val="center"/>
            <w:hideMark/>
          </w:tcPr>
          <w:p w14:paraId="5AFB988B"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-0.75</w:t>
            </w:r>
            <w:r>
              <w:rPr>
                <w:rFonts w:ascii="Calibri" w:eastAsia="Times New Roman" w:hAnsi="Calibri" w:cs="Calibri"/>
                <w:color w:val="000000"/>
                <w:lang w:eastAsia="es-EC"/>
              </w:rPr>
              <w:t>*</w:t>
            </w:r>
          </w:p>
        </w:tc>
      </w:tr>
      <w:tr w:rsidR="00D97F10" w:rsidRPr="00D97F10" w14:paraId="1189D7B0" w14:textId="77777777" w:rsidTr="005B5D4A">
        <w:trPr>
          <w:trHeight w:val="300"/>
          <w:jc w:val="center"/>
        </w:trPr>
        <w:tc>
          <w:tcPr>
            <w:tcW w:w="2920" w:type="dxa"/>
            <w:tcBorders>
              <w:top w:val="nil"/>
              <w:left w:val="nil"/>
              <w:bottom w:val="single" w:sz="4" w:space="0" w:color="auto"/>
              <w:right w:val="nil"/>
            </w:tcBorders>
            <w:shd w:val="clear" w:color="auto" w:fill="auto"/>
            <w:noWrap/>
            <w:vAlign w:val="bottom"/>
            <w:hideMark/>
          </w:tcPr>
          <w:p w14:paraId="0CAA25E4" w14:textId="77777777" w:rsidR="00D97F10" w:rsidRPr="00D97F10" w:rsidRDefault="00D97F10" w:rsidP="00D97F10">
            <w:pPr>
              <w:spacing w:after="0" w:line="480" w:lineRule="auto"/>
              <w:rPr>
                <w:rFonts w:ascii="Calibri" w:eastAsia="Times New Roman" w:hAnsi="Calibri" w:cs="Calibri"/>
                <w:color w:val="000000"/>
                <w:lang w:eastAsia="es-EC"/>
              </w:rPr>
            </w:pPr>
            <w:r w:rsidRPr="00D97F10">
              <w:rPr>
                <w:rFonts w:ascii="Calibri" w:eastAsia="Times New Roman" w:hAnsi="Calibri" w:cs="Calibri"/>
                <w:color w:val="000000"/>
                <w:lang w:eastAsia="es-EC"/>
              </w:rPr>
              <w:t>Beak depth (mm)</w:t>
            </w:r>
          </w:p>
        </w:tc>
        <w:tc>
          <w:tcPr>
            <w:tcW w:w="908" w:type="dxa"/>
            <w:tcBorders>
              <w:top w:val="nil"/>
              <w:left w:val="nil"/>
              <w:bottom w:val="single" w:sz="4" w:space="0" w:color="auto"/>
              <w:right w:val="nil"/>
            </w:tcBorders>
            <w:shd w:val="clear" w:color="auto" w:fill="auto"/>
            <w:noWrap/>
            <w:vAlign w:val="center"/>
            <w:hideMark/>
          </w:tcPr>
          <w:p w14:paraId="767C60E9"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0.65</w:t>
            </w:r>
            <w:r>
              <w:rPr>
                <w:rFonts w:ascii="Calibri" w:eastAsia="Times New Roman" w:hAnsi="Calibri" w:cs="Calibri"/>
                <w:color w:val="000000"/>
                <w:lang w:eastAsia="es-EC"/>
              </w:rPr>
              <w:t>*</w:t>
            </w:r>
          </w:p>
        </w:tc>
        <w:tc>
          <w:tcPr>
            <w:tcW w:w="1134" w:type="dxa"/>
            <w:tcBorders>
              <w:top w:val="nil"/>
              <w:left w:val="nil"/>
              <w:bottom w:val="single" w:sz="4" w:space="0" w:color="auto"/>
              <w:right w:val="nil"/>
            </w:tcBorders>
            <w:shd w:val="clear" w:color="auto" w:fill="auto"/>
            <w:noWrap/>
            <w:vAlign w:val="center"/>
            <w:hideMark/>
          </w:tcPr>
          <w:p w14:paraId="1C9EC21F" w14:textId="77777777" w:rsidR="00D97F10" w:rsidRPr="00D97F10" w:rsidRDefault="00D97F10" w:rsidP="00D97F10">
            <w:pPr>
              <w:spacing w:after="0" w:line="480" w:lineRule="auto"/>
              <w:jc w:val="center"/>
              <w:rPr>
                <w:rFonts w:ascii="Calibri" w:eastAsia="Times New Roman" w:hAnsi="Calibri" w:cs="Calibri"/>
                <w:color w:val="000000"/>
                <w:lang w:eastAsia="es-EC"/>
              </w:rPr>
            </w:pPr>
            <w:r w:rsidRPr="00D97F10">
              <w:rPr>
                <w:rFonts w:ascii="Calibri" w:eastAsia="Times New Roman" w:hAnsi="Calibri" w:cs="Calibri"/>
                <w:color w:val="000000"/>
                <w:lang w:eastAsia="es-EC"/>
              </w:rPr>
              <w:t>0.11</w:t>
            </w:r>
          </w:p>
        </w:tc>
      </w:tr>
    </w:tbl>
    <w:p w14:paraId="702425CB" w14:textId="77777777" w:rsidR="002F20FF" w:rsidRDefault="002F20FF">
      <w:pPr>
        <w:rPr>
          <w:lang w:val="en-US"/>
        </w:rPr>
      </w:pPr>
      <w:r>
        <w:rPr>
          <w:lang w:val="en-US"/>
        </w:rPr>
        <w:br w:type="page"/>
      </w:r>
    </w:p>
    <w:p w14:paraId="35CAD90E" w14:textId="1A70E1BA" w:rsidR="00E3782F" w:rsidRDefault="00E3782F" w:rsidP="00E3782F">
      <w:pPr>
        <w:spacing w:line="480" w:lineRule="auto"/>
        <w:rPr>
          <w:rFonts w:cstheme="minorHAnsi"/>
          <w:lang w:val="en-US"/>
        </w:rPr>
      </w:pPr>
      <w:r w:rsidRPr="007E4B01">
        <w:rPr>
          <w:lang w:val="en-US"/>
        </w:rPr>
        <w:lastRenderedPageBreak/>
        <w:t xml:space="preserve">Table </w:t>
      </w:r>
      <w:r w:rsidR="00D70F08">
        <w:rPr>
          <w:lang w:val="en-US"/>
        </w:rPr>
        <w:t>3</w:t>
      </w:r>
      <w:r w:rsidRPr="007E4B01">
        <w:rPr>
          <w:lang w:val="en-US"/>
        </w:rPr>
        <w:t xml:space="preserve">. </w:t>
      </w:r>
      <w:r w:rsidR="005F0F76">
        <w:rPr>
          <w:lang w:val="en-US"/>
        </w:rPr>
        <w:t xml:space="preserve">Genetic diversity estimates for </w:t>
      </w:r>
      <w:r w:rsidR="005F0F76">
        <w:rPr>
          <w:rFonts w:cstheme="minorHAnsi"/>
          <w:lang w:val="en-US"/>
        </w:rPr>
        <w:t>four</w:t>
      </w:r>
      <w:r w:rsidR="005F0F76" w:rsidRPr="001830F3">
        <w:rPr>
          <w:rFonts w:cstheme="minorHAnsi"/>
          <w:lang w:val="en-US"/>
        </w:rPr>
        <w:t xml:space="preserve"> population</w:t>
      </w:r>
      <w:r w:rsidR="005F0F76">
        <w:rPr>
          <w:rFonts w:cstheme="minorHAnsi"/>
          <w:lang w:val="en-US"/>
        </w:rPr>
        <w:t>s</w:t>
      </w:r>
      <w:r w:rsidR="005F0F76" w:rsidRPr="001830F3">
        <w:rPr>
          <w:rFonts w:cstheme="minorHAnsi"/>
          <w:lang w:val="en-US"/>
        </w:rPr>
        <w:t xml:space="preserve"> </w:t>
      </w:r>
      <w:r w:rsidR="005F0F76">
        <w:rPr>
          <w:rFonts w:cstheme="minorHAnsi"/>
          <w:lang w:val="en-US"/>
        </w:rPr>
        <w:t xml:space="preserve">studied </w:t>
      </w:r>
      <w:r w:rsidR="005F0F76" w:rsidRPr="001830F3">
        <w:rPr>
          <w:rFonts w:cstheme="minorHAnsi"/>
          <w:lang w:val="en-US"/>
        </w:rPr>
        <w:t xml:space="preserve">in two </w:t>
      </w:r>
      <w:r w:rsidR="005F0F76">
        <w:rPr>
          <w:rFonts w:cstheme="minorHAnsi"/>
          <w:lang w:val="en-US"/>
        </w:rPr>
        <w:t>time-</w:t>
      </w:r>
      <w:r w:rsidR="005F0F76" w:rsidRPr="001830F3">
        <w:rPr>
          <w:rFonts w:cstheme="minorHAnsi"/>
          <w:lang w:val="en-US"/>
        </w:rPr>
        <w:t>periods (2011-2012 and 2018-2022</w:t>
      </w:r>
      <w:r w:rsidR="005F0F76">
        <w:rPr>
          <w:rFonts w:cstheme="minorHAnsi"/>
          <w:lang w:val="en-US"/>
        </w:rPr>
        <w:t>)</w:t>
      </w:r>
      <w:r w:rsidR="005F0F76" w:rsidRPr="001830F3">
        <w:rPr>
          <w:rFonts w:cstheme="minorHAnsi"/>
          <w:lang w:val="en-US"/>
        </w:rPr>
        <w:t xml:space="preserve"> for white-eared ground-sparrow</w:t>
      </w:r>
      <w:r w:rsidR="005F0F76">
        <w:rPr>
          <w:rFonts w:cstheme="minorHAnsi"/>
          <w:lang w:val="en-US"/>
        </w:rPr>
        <w:t xml:space="preserve"> </w:t>
      </w:r>
      <w:proofErr w:type="spellStart"/>
      <w:r w:rsidR="005F0F76" w:rsidRPr="00716D57">
        <w:rPr>
          <w:rFonts w:cstheme="minorHAnsi"/>
          <w:i/>
          <w:iCs/>
          <w:lang w:val="en-US"/>
        </w:rPr>
        <w:t>Melozone</w:t>
      </w:r>
      <w:proofErr w:type="spellEnd"/>
      <w:r w:rsidR="005F0F76" w:rsidRPr="00716D57">
        <w:rPr>
          <w:rFonts w:cstheme="minorHAnsi"/>
          <w:i/>
          <w:iCs/>
          <w:lang w:val="en-US"/>
        </w:rPr>
        <w:t xml:space="preserve"> </w:t>
      </w:r>
      <w:proofErr w:type="spellStart"/>
      <w:r w:rsidR="005F0F76" w:rsidRPr="00716D57">
        <w:rPr>
          <w:rFonts w:cstheme="minorHAnsi"/>
          <w:i/>
          <w:iCs/>
          <w:lang w:val="en-US"/>
        </w:rPr>
        <w:t>leucotis</w:t>
      </w:r>
      <w:proofErr w:type="spellEnd"/>
      <w:r w:rsidR="005F0F76">
        <w:rPr>
          <w:rFonts w:cstheme="minorHAnsi"/>
          <w:lang w:val="en-US"/>
        </w:rPr>
        <w:t xml:space="preserve"> in Costa Rica</w:t>
      </w:r>
      <w:r w:rsidR="005F0F76" w:rsidRPr="001830F3">
        <w:rPr>
          <w:rFonts w:cstheme="minorHAnsi"/>
          <w:i/>
          <w:iCs/>
          <w:lang w:val="en-US"/>
        </w:rPr>
        <w:t>.</w:t>
      </w:r>
      <w:r w:rsidR="005F0F76">
        <w:rPr>
          <w:rFonts w:cstheme="minorHAnsi"/>
          <w:i/>
          <w:iCs/>
          <w:lang w:val="en-US"/>
        </w:rPr>
        <w:t xml:space="preserve"> </w:t>
      </w:r>
      <w:r w:rsidRPr="001830F3">
        <w:rPr>
          <w:rFonts w:cstheme="minorHAnsi"/>
          <w:lang w:val="en-US"/>
        </w:rPr>
        <w:t>Mean ± SD of observed heterozygosity (</w:t>
      </w:r>
      <m:oMath>
        <m:sSub>
          <m:sSubPr>
            <m:ctrlPr>
              <w:rPr>
                <w:rFonts w:ascii="Cambria Math" w:hAnsi="Cambria Math" w:cstheme="minorHAnsi"/>
                <w:i/>
                <w:lang w:val="en-US"/>
              </w:rPr>
            </m:ctrlPr>
          </m:sSubPr>
          <m:e>
            <m:r>
              <w:rPr>
                <w:rFonts w:ascii="Cambria Math" w:hAnsi="Cambria Math" w:cstheme="minorHAnsi"/>
                <w:lang w:val="en-US"/>
              </w:rPr>
              <m:t>H</m:t>
            </m:r>
          </m:e>
          <m:sub>
            <m:r>
              <w:rPr>
                <w:rFonts w:ascii="Cambria Math" w:hAnsi="Cambria Math" w:cstheme="minorHAnsi"/>
                <w:lang w:val="en-US"/>
              </w:rPr>
              <m:t>o</m:t>
            </m:r>
          </m:sub>
        </m:sSub>
      </m:oMath>
      <w:r w:rsidRPr="001830F3">
        <w:rPr>
          <w:rFonts w:cstheme="minorHAnsi"/>
          <w:lang w:val="en-US"/>
        </w:rPr>
        <w:t>), expected heterozygosity (</w:t>
      </w:r>
      <m:oMath>
        <m:sSub>
          <m:sSubPr>
            <m:ctrlPr>
              <w:rPr>
                <w:rFonts w:ascii="Cambria Math" w:hAnsi="Cambria Math" w:cstheme="minorHAnsi"/>
                <w:i/>
                <w:lang w:val="en-US"/>
              </w:rPr>
            </m:ctrlPr>
          </m:sSubPr>
          <m:e>
            <m:r>
              <w:rPr>
                <w:rFonts w:ascii="Cambria Math" w:hAnsi="Cambria Math" w:cstheme="minorHAnsi"/>
                <w:lang w:val="en-US"/>
              </w:rPr>
              <m:t>H</m:t>
            </m:r>
          </m:e>
          <m:sub>
            <m:r>
              <w:rPr>
                <w:rFonts w:ascii="Cambria Math" w:hAnsi="Cambria Math" w:cstheme="minorHAnsi"/>
                <w:lang w:val="en-US"/>
              </w:rPr>
              <m:t>e</m:t>
            </m:r>
          </m:sub>
        </m:sSub>
      </m:oMath>
      <w:r w:rsidRPr="001830F3">
        <w:rPr>
          <w:rFonts w:cstheme="minorHAnsi"/>
          <w:lang w:val="en-US"/>
        </w:rPr>
        <w:t xml:space="preserve">), </w:t>
      </w:r>
      <w:r>
        <w:rPr>
          <w:rFonts w:cstheme="minorHAnsi"/>
          <w:lang w:val="en-US"/>
        </w:rPr>
        <w:t>inbreeding coefficient (</w:t>
      </w:r>
      <m:oMath>
        <m:sSub>
          <m:sSubPr>
            <m:ctrlPr>
              <w:rPr>
                <w:rFonts w:ascii="Cambria Math" w:hAnsi="Cambria Math" w:cstheme="minorHAnsi"/>
                <w:i/>
                <w:lang w:val="en-US"/>
              </w:rPr>
            </m:ctrlPr>
          </m:sSubPr>
          <m:e>
            <m:r>
              <w:rPr>
                <w:rFonts w:ascii="Cambria Math" w:hAnsi="Cambria Math" w:cstheme="minorHAnsi"/>
                <w:lang w:val="en-US"/>
              </w:rPr>
              <m:t>F</m:t>
            </m:r>
          </m:e>
          <m:sub>
            <m:r>
              <w:rPr>
                <w:rFonts w:ascii="Cambria Math" w:hAnsi="Cambria Math" w:cstheme="minorHAnsi"/>
                <w:lang w:val="en-US"/>
              </w:rPr>
              <m:t>is</m:t>
            </m:r>
          </m:sub>
        </m:sSub>
      </m:oMath>
      <w:r>
        <w:rPr>
          <w:rFonts w:cstheme="minorHAnsi"/>
          <w:lang w:val="en-US"/>
        </w:rPr>
        <w:t xml:space="preserve">), </w:t>
      </w:r>
      <w:r w:rsidRPr="001830F3">
        <w:rPr>
          <w:rFonts w:cstheme="minorHAnsi"/>
          <w:lang w:val="en-US"/>
        </w:rPr>
        <w:t>and allelic richness (</w:t>
      </w:r>
      <m:oMath>
        <m:sSub>
          <m:sSubPr>
            <m:ctrlPr>
              <w:rPr>
                <w:rFonts w:ascii="Cambria Math" w:hAnsi="Cambria Math" w:cstheme="minorHAnsi"/>
                <w:i/>
                <w:lang w:val="en-US"/>
              </w:rPr>
            </m:ctrlPr>
          </m:sSubPr>
          <m:e>
            <m:r>
              <w:rPr>
                <w:rFonts w:ascii="Cambria Math" w:hAnsi="Cambria Math" w:cstheme="minorHAnsi"/>
                <w:lang w:val="en-US"/>
              </w:rPr>
              <m:t>A</m:t>
            </m:r>
          </m:e>
          <m:sub>
            <m:r>
              <w:rPr>
                <w:rFonts w:ascii="Cambria Math" w:hAnsi="Cambria Math" w:cstheme="minorHAnsi"/>
                <w:lang w:val="en-US"/>
              </w:rPr>
              <m:t>r</m:t>
            </m:r>
          </m:sub>
        </m:sSub>
      </m:oMath>
      <w:r w:rsidRPr="001830F3">
        <w:rPr>
          <w:rFonts w:cstheme="minorHAnsi"/>
          <w:lang w:val="en-US"/>
        </w:rPr>
        <w:t>)</w:t>
      </w:r>
      <w:r w:rsidR="005F0F76">
        <w:rPr>
          <w:rFonts w:cstheme="minorHAnsi"/>
          <w:lang w:val="en-US"/>
        </w:rPr>
        <w:t>.</w:t>
      </w:r>
      <w:r w:rsidRPr="001830F3">
        <w:rPr>
          <w:rFonts w:cstheme="minorHAnsi"/>
          <w:lang w:val="en-US"/>
        </w:rPr>
        <w:t xml:space="preserve"> </w:t>
      </w:r>
      <w:r w:rsidR="00400ED5">
        <w:rPr>
          <w:rFonts w:cstheme="minorHAnsi"/>
          <w:lang w:val="en-US"/>
        </w:rPr>
        <w:t>I</w:t>
      </w:r>
      <w:r w:rsidRPr="001830F3">
        <w:rPr>
          <w:rFonts w:cstheme="minorHAnsi"/>
          <w:lang w:val="en-US"/>
        </w:rPr>
        <w:t>n parenthes</w:t>
      </w:r>
      <w:r w:rsidR="00400ED5">
        <w:rPr>
          <w:rFonts w:cstheme="minorHAnsi"/>
          <w:lang w:val="en-US"/>
        </w:rPr>
        <w:t>e</w:t>
      </w:r>
      <w:r w:rsidRPr="001830F3">
        <w:rPr>
          <w:rFonts w:cstheme="minorHAnsi"/>
          <w:lang w:val="en-US"/>
        </w:rPr>
        <w:t>s the number of females in each population.</w:t>
      </w:r>
      <w:r w:rsidR="006F1DDE">
        <w:rPr>
          <w:rFonts w:cstheme="minorHAnsi"/>
          <w:lang w:val="en-US"/>
        </w:rPr>
        <w:t xml:space="preserve"> </w:t>
      </w:r>
      <w:r w:rsidR="007E01A5">
        <w:rPr>
          <w:rFonts w:cstheme="minorHAnsi"/>
          <w:lang w:val="en-US"/>
        </w:rPr>
        <w:t>The asterisk (</w:t>
      </w:r>
      <w:r w:rsidR="006F1DDE">
        <w:rPr>
          <w:rFonts w:cstheme="minorHAnsi"/>
          <w:lang w:val="en-US"/>
        </w:rPr>
        <w:t>*</w:t>
      </w:r>
      <w:r w:rsidR="007E01A5">
        <w:rPr>
          <w:rFonts w:cstheme="minorHAnsi"/>
          <w:lang w:val="en-US"/>
        </w:rPr>
        <w:t>)</w:t>
      </w:r>
      <w:r w:rsidR="006F1DDE">
        <w:rPr>
          <w:rFonts w:cstheme="minorHAnsi"/>
          <w:lang w:val="en-US"/>
        </w:rPr>
        <w:t xml:space="preserve"> </w:t>
      </w:r>
      <w:r w:rsidR="007E01A5">
        <w:rPr>
          <w:rFonts w:ascii="Calibri" w:hAnsi="Calibri" w:cs="Calibri"/>
          <w:color w:val="000000"/>
          <w:lang w:val="en-US"/>
        </w:rPr>
        <w:t>indicates statistical difference</w:t>
      </w:r>
      <w:r w:rsidR="006F1DDE" w:rsidRPr="000E66A7">
        <w:rPr>
          <w:rFonts w:ascii="Calibri" w:hAnsi="Calibri" w:cs="Calibri"/>
          <w:color w:val="000000"/>
          <w:lang w:val="en-US"/>
        </w:rPr>
        <w:t xml:space="preserve"> between time periods</w:t>
      </w:r>
      <w:r w:rsidR="007E01A5">
        <w:rPr>
          <w:rFonts w:ascii="Calibri" w:hAnsi="Calibri" w:cs="Calibri"/>
          <w:color w:val="000000"/>
          <w:lang w:val="en-US"/>
        </w:rPr>
        <w:t>, based</w:t>
      </w:r>
      <w:r w:rsidR="006F1DDE" w:rsidRPr="000E66A7">
        <w:rPr>
          <w:rFonts w:ascii="Calibri" w:hAnsi="Calibri" w:cs="Calibri"/>
          <w:color w:val="000000"/>
          <w:lang w:val="en-US"/>
        </w:rPr>
        <w:t xml:space="preserve"> </w:t>
      </w:r>
      <w:r w:rsidR="00822F1A">
        <w:rPr>
          <w:rFonts w:ascii="Calibri" w:hAnsi="Calibri" w:cs="Calibri"/>
          <w:color w:val="000000"/>
          <w:lang w:val="en-US"/>
        </w:rPr>
        <w:t>o</w:t>
      </w:r>
      <w:r w:rsidR="006F1DDE" w:rsidRPr="000E66A7">
        <w:rPr>
          <w:rFonts w:ascii="Calibri" w:hAnsi="Calibri" w:cs="Calibri"/>
          <w:color w:val="000000"/>
          <w:lang w:val="en-US"/>
        </w:rPr>
        <w:t xml:space="preserve">n z-scores from </w:t>
      </w:r>
      <w:r w:rsidR="00822F1A">
        <w:rPr>
          <w:rFonts w:ascii="Calibri" w:hAnsi="Calibri" w:cs="Calibri"/>
          <w:color w:val="000000"/>
          <w:lang w:val="en-US"/>
        </w:rPr>
        <w:t xml:space="preserve">a </w:t>
      </w:r>
      <w:r w:rsidR="006F1DDE" w:rsidRPr="000E66A7">
        <w:rPr>
          <w:rFonts w:ascii="Calibri" w:hAnsi="Calibri" w:cs="Calibri"/>
          <w:color w:val="000000"/>
          <w:lang w:val="en-US"/>
        </w:rPr>
        <w:t xml:space="preserve">Wilcoxon </w:t>
      </w:r>
      <w:r w:rsidR="006F1DDE">
        <w:rPr>
          <w:rFonts w:ascii="Calibri" w:hAnsi="Calibri" w:cs="Calibri"/>
          <w:color w:val="000000"/>
          <w:lang w:val="en-US"/>
        </w:rPr>
        <w:t>range</w:t>
      </w:r>
      <w:r w:rsidR="006F1DDE" w:rsidRPr="000E66A7">
        <w:rPr>
          <w:rFonts w:ascii="Calibri" w:hAnsi="Calibri" w:cs="Calibri"/>
          <w:color w:val="000000"/>
          <w:lang w:val="en-US"/>
        </w:rPr>
        <w:t xml:space="preserve"> test</w:t>
      </w:r>
      <w:r w:rsidR="007E01A5">
        <w:rPr>
          <w:rFonts w:ascii="Calibri" w:hAnsi="Calibri" w:cs="Calibri"/>
          <w:color w:val="000000"/>
          <w:lang w:val="en-US"/>
        </w:rPr>
        <w:t>.</w:t>
      </w:r>
    </w:p>
    <w:p w14:paraId="41F5AEC0" w14:textId="77777777" w:rsidR="00E3782F" w:rsidRDefault="00E3782F" w:rsidP="00E3782F">
      <w:pPr>
        <w:spacing w:line="480" w:lineRule="auto"/>
        <w:rPr>
          <w:rFonts w:cstheme="minorHAnsi"/>
          <w:lang w:val="en-US"/>
        </w:rPr>
      </w:pPr>
    </w:p>
    <w:tbl>
      <w:tblPr>
        <w:tblW w:w="9498" w:type="dxa"/>
        <w:tblCellMar>
          <w:left w:w="70" w:type="dxa"/>
          <w:right w:w="70" w:type="dxa"/>
        </w:tblCellMar>
        <w:tblLook w:val="04A0" w:firstRow="1" w:lastRow="0" w:firstColumn="1" w:lastColumn="0" w:noHBand="0" w:noVBand="1"/>
      </w:tblPr>
      <w:tblGrid>
        <w:gridCol w:w="1200"/>
        <w:gridCol w:w="1200"/>
        <w:gridCol w:w="1200"/>
        <w:gridCol w:w="936"/>
        <w:gridCol w:w="709"/>
        <w:gridCol w:w="1134"/>
        <w:gridCol w:w="709"/>
        <w:gridCol w:w="1134"/>
        <w:gridCol w:w="567"/>
        <w:gridCol w:w="709"/>
      </w:tblGrid>
      <w:tr w:rsidR="006F1DDE" w14:paraId="28589000" w14:textId="77777777" w:rsidTr="006F1DDE">
        <w:trPr>
          <w:trHeight w:val="300"/>
        </w:trPr>
        <w:tc>
          <w:tcPr>
            <w:tcW w:w="1200" w:type="dxa"/>
            <w:vMerge w:val="restart"/>
            <w:tcBorders>
              <w:top w:val="single" w:sz="4" w:space="0" w:color="auto"/>
              <w:left w:val="nil"/>
              <w:bottom w:val="single" w:sz="4" w:space="0" w:color="000000"/>
              <w:right w:val="nil"/>
            </w:tcBorders>
            <w:shd w:val="clear" w:color="auto" w:fill="auto"/>
            <w:noWrap/>
            <w:vAlign w:val="center"/>
            <w:hideMark/>
          </w:tcPr>
          <w:p w14:paraId="50F93744" w14:textId="77777777" w:rsidR="006F1DDE" w:rsidRDefault="006F1DDE">
            <w:pPr>
              <w:jc w:val="center"/>
              <w:rPr>
                <w:rFonts w:ascii="Calibri" w:hAnsi="Calibri" w:cs="Calibri"/>
                <w:color w:val="000000"/>
              </w:rPr>
            </w:pPr>
            <w:r>
              <w:rPr>
                <w:rFonts w:ascii="Calibri" w:hAnsi="Calibri" w:cs="Calibri"/>
                <w:color w:val="000000"/>
              </w:rPr>
              <w:t>Population</w:t>
            </w:r>
          </w:p>
        </w:tc>
        <w:tc>
          <w:tcPr>
            <w:tcW w:w="1200" w:type="dxa"/>
            <w:vMerge w:val="restart"/>
            <w:tcBorders>
              <w:top w:val="single" w:sz="4" w:space="0" w:color="auto"/>
              <w:left w:val="nil"/>
              <w:bottom w:val="single" w:sz="4" w:space="0" w:color="000000"/>
              <w:right w:val="nil"/>
            </w:tcBorders>
            <w:shd w:val="clear" w:color="auto" w:fill="auto"/>
            <w:noWrap/>
            <w:vAlign w:val="center"/>
            <w:hideMark/>
          </w:tcPr>
          <w:p w14:paraId="03CA0C11" w14:textId="77777777" w:rsidR="006F1DDE" w:rsidRDefault="006F1DDE">
            <w:pPr>
              <w:jc w:val="center"/>
              <w:rPr>
                <w:rFonts w:ascii="Calibri" w:hAnsi="Calibri" w:cs="Calibri"/>
                <w:color w:val="000000"/>
              </w:rPr>
            </w:pPr>
            <w:r>
              <w:rPr>
                <w:rFonts w:ascii="Calibri" w:hAnsi="Calibri" w:cs="Calibri"/>
                <w:color w:val="000000"/>
              </w:rPr>
              <w:t>Time period</w:t>
            </w:r>
          </w:p>
        </w:tc>
        <w:tc>
          <w:tcPr>
            <w:tcW w:w="1200" w:type="dxa"/>
            <w:vMerge w:val="restart"/>
            <w:tcBorders>
              <w:top w:val="single" w:sz="4" w:space="0" w:color="auto"/>
              <w:left w:val="nil"/>
              <w:bottom w:val="single" w:sz="4" w:space="0" w:color="000000"/>
              <w:right w:val="nil"/>
            </w:tcBorders>
            <w:shd w:val="clear" w:color="auto" w:fill="auto"/>
            <w:noWrap/>
            <w:vAlign w:val="center"/>
            <w:hideMark/>
          </w:tcPr>
          <w:p w14:paraId="793D8BEA" w14:textId="77777777" w:rsidR="006F1DDE" w:rsidRDefault="006F1DDE">
            <w:pPr>
              <w:jc w:val="center"/>
              <w:rPr>
                <w:rFonts w:ascii="Calibri" w:hAnsi="Calibri" w:cs="Calibri"/>
                <w:color w:val="000000"/>
              </w:rPr>
            </w:pPr>
            <w:r>
              <w:rPr>
                <w:rFonts w:ascii="Calibri" w:hAnsi="Calibri" w:cs="Calibri"/>
                <w:color w:val="000000"/>
              </w:rPr>
              <w:t>n</w:t>
            </w:r>
          </w:p>
        </w:tc>
        <w:tc>
          <w:tcPr>
            <w:tcW w:w="1645" w:type="dxa"/>
            <w:gridSpan w:val="2"/>
            <w:tcBorders>
              <w:top w:val="single" w:sz="4" w:space="0" w:color="auto"/>
              <w:left w:val="nil"/>
              <w:bottom w:val="nil"/>
              <w:right w:val="nil"/>
            </w:tcBorders>
            <w:shd w:val="clear" w:color="auto" w:fill="auto"/>
            <w:noWrap/>
            <w:vAlign w:val="bottom"/>
            <w:hideMark/>
          </w:tcPr>
          <w:p w14:paraId="492D827F" w14:textId="77777777" w:rsidR="006F1DDE" w:rsidRDefault="006F1DDE">
            <w:pPr>
              <w:jc w:val="center"/>
              <w:rPr>
                <w:rFonts w:ascii="Calibri" w:hAnsi="Calibri" w:cs="Calibri"/>
                <w:color w:val="000000"/>
              </w:rPr>
            </w:pPr>
            <w:r>
              <w:rPr>
                <w:rFonts w:ascii="Calibri" w:hAnsi="Calibri" w:cs="Calibri"/>
                <w:color w:val="000000"/>
              </w:rPr>
              <w:t>Ho</w:t>
            </w:r>
          </w:p>
        </w:tc>
        <w:tc>
          <w:tcPr>
            <w:tcW w:w="1843" w:type="dxa"/>
            <w:gridSpan w:val="2"/>
            <w:tcBorders>
              <w:top w:val="single" w:sz="4" w:space="0" w:color="auto"/>
              <w:left w:val="nil"/>
              <w:bottom w:val="nil"/>
              <w:right w:val="nil"/>
            </w:tcBorders>
            <w:shd w:val="clear" w:color="auto" w:fill="auto"/>
            <w:noWrap/>
            <w:vAlign w:val="bottom"/>
            <w:hideMark/>
          </w:tcPr>
          <w:p w14:paraId="71F430F4" w14:textId="77777777" w:rsidR="006F1DDE" w:rsidRDefault="006F1DDE">
            <w:pPr>
              <w:jc w:val="center"/>
              <w:rPr>
                <w:rFonts w:ascii="Calibri" w:hAnsi="Calibri" w:cs="Calibri"/>
                <w:color w:val="000000"/>
              </w:rPr>
            </w:pPr>
            <w:r>
              <w:rPr>
                <w:rFonts w:ascii="Calibri" w:hAnsi="Calibri" w:cs="Calibri"/>
                <w:color w:val="000000"/>
              </w:rPr>
              <w:t>He</w:t>
            </w:r>
          </w:p>
        </w:tc>
        <w:tc>
          <w:tcPr>
            <w:tcW w:w="1701" w:type="dxa"/>
            <w:gridSpan w:val="2"/>
            <w:tcBorders>
              <w:top w:val="single" w:sz="4" w:space="0" w:color="auto"/>
              <w:left w:val="nil"/>
              <w:bottom w:val="nil"/>
              <w:right w:val="nil"/>
            </w:tcBorders>
            <w:shd w:val="clear" w:color="auto" w:fill="auto"/>
            <w:noWrap/>
            <w:vAlign w:val="bottom"/>
            <w:hideMark/>
          </w:tcPr>
          <w:p w14:paraId="4006F348" w14:textId="77777777" w:rsidR="006F1DDE" w:rsidRDefault="006F1DDE">
            <w:pPr>
              <w:jc w:val="center"/>
              <w:rPr>
                <w:rFonts w:ascii="Calibri" w:hAnsi="Calibri" w:cs="Calibri"/>
                <w:color w:val="000000"/>
              </w:rPr>
            </w:pPr>
            <w:r>
              <w:rPr>
                <w:rFonts w:ascii="Calibri" w:hAnsi="Calibri" w:cs="Calibri"/>
                <w:color w:val="000000"/>
              </w:rPr>
              <w:t>Fis</w:t>
            </w:r>
          </w:p>
        </w:tc>
        <w:tc>
          <w:tcPr>
            <w:tcW w:w="709" w:type="dxa"/>
            <w:vMerge w:val="restart"/>
            <w:tcBorders>
              <w:top w:val="single" w:sz="4" w:space="0" w:color="auto"/>
              <w:left w:val="nil"/>
              <w:bottom w:val="single" w:sz="4" w:space="0" w:color="000000"/>
              <w:right w:val="nil"/>
            </w:tcBorders>
            <w:shd w:val="clear" w:color="auto" w:fill="auto"/>
            <w:noWrap/>
            <w:vAlign w:val="center"/>
            <w:hideMark/>
          </w:tcPr>
          <w:p w14:paraId="65AFE7B2" w14:textId="77777777" w:rsidR="006F1DDE" w:rsidRDefault="006F1DDE">
            <w:pPr>
              <w:jc w:val="center"/>
              <w:rPr>
                <w:rFonts w:ascii="Calibri" w:hAnsi="Calibri" w:cs="Calibri"/>
                <w:color w:val="000000"/>
              </w:rPr>
            </w:pPr>
            <w:r>
              <w:rPr>
                <w:rFonts w:ascii="Calibri" w:hAnsi="Calibri" w:cs="Calibri"/>
                <w:color w:val="000000"/>
              </w:rPr>
              <w:t>Ar</w:t>
            </w:r>
          </w:p>
        </w:tc>
      </w:tr>
      <w:tr w:rsidR="006F1DDE" w14:paraId="538BC61F" w14:textId="77777777" w:rsidTr="00184224">
        <w:trPr>
          <w:trHeight w:val="300"/>
        </w:trPr>
        <w:tc>
          <w:tcPr>
            <w:tcW w:w="1200" w:type="dxa"/>
            <w:vMerge/>
            <w:tcBorders>
              <w:top w:val="single" w:sz="4" w:space="0" w:color="auto"/>
              <w:left w:val="nil"/>
              <w:bottom w:val="single" w:sz="4" w:space="0" w:color="000000"/>
              <w:right w:val="nil"/>
            </w:tcBorders>
            <w:vAlign w:val="center"/>
            <w:hideMark/>
          </w:tcPr>
          <w:p w14:paraId="68991EE6" w14:textId="77777777" w:rsidR="006F1DDE" w:rsidRDefault="006F1DDE">
            <w:pPr>
              <w:rPr>
                <w:rFonts w:ascii="Calibri" w:hAnsi="Calibri" w:cs="Calibri"/>
                <w:color w:val="000000"/>
              </w:rPr>
            </w:pPr>
          </w:p>
        </w:tc>
        <w:tc>
          <w:tcPr>
            <w:tcW w:w="1200" w:type="dxa"/>
            <w:vMerge/>
            <w:tcBorders>
              <w:top w:val="single" w:sz="4" w:space="0" w:color="auto"/>
              <w:left w:val="nil"/>
              <w:bottom w:val="single" w:sz="4" w:space="0" w:color="000000"/>
              <w:right w:val="nil"/>
            </w:tcBorders>
            <w:vAlign w:val="center"/>
            <w:hideMark/>
          </w:tcPr>
          <w:p w14:paraId="554341A8" w14:textId="77777777" w:rsidR="006F1DDE" w:rsidRDefault="006F1DDE">
            <w:pPr>
              <w:rPr>
                <w:rFonts w:ascii="Calibri" w:hAnsi="Calibri" w:cs="Calibri"/>
                <w:color w:val="000000"/>
              </w:rPr>
            </w:pPr>
          </w:p>
        </w:tc>
        <w:tc>
          <w:tcPr>
            <w:tcW w:w="1200" w:type="dxa"/>
            <w:vMerge/>
            <w:tcBorders>
              <w:top w:val="single" w:sz="4" w:space="0" w:color="auto"/>
              <w:left w:val="nil"/>
              <w:bottom w:val="single" w:sz="4" w:space="0" w:color="000000"/>
              <w:right w:val="nil"/>
            </w:tcBorders>
            <w:vAlign w:val="center"/>
            <w:hideMark/>
          </w:tcPr>
          <w:p w14:paraId="103ABDA6" w14:textId="77777777" w:rsidR="006F1DDE" w:rsidRDefault="006F1DDE">
            <w:pPr>
              <w:rPr>
                <w:rFonts w:ascii="Calibri" w:hAnsi="Calibri" w:cs="Calibri"/>
                <w:color w:val="000000"/>
              </w:rPr>
            </w:pPr>
          </w:p>
        </w:tc>
        <w:tc>
          <w:tcPr>
            <w:tcW w:w="936" w:type="dxa"/>
            <w:tcBorders>
              <w:top w:val="single" w:sz="4" w:space="0" w:color="auto"/>
              <w:left w:val="nil"/>
              <w:bottom w:val="single" w:sz="4" w:space="0" w:color="auto"/>
              <w:right w:val="nil"/>
            </w:tcBorders>
            <w:shd w:val="clear" w:color="auto" w:fill="auto"/>
            <w:noWrap/>
            <w:vAlign w:val="bottom"/>
            <w:hideMark/>
          </w:tcPr>
          <w:p w14:paraId="388A4732" w14:textId="77777777" w:rsidR="006F1DDE" w:rsidRDefault="006F1DDE">
            <w:pPr>
              <w:jc w:val="center"/>
              <w:rPr>
                <w:rFonts w:ascii="Calibri" w:hAnsi="Calibri" w:cs="Calibri"/>
                <w:color w:val="000000"/>
              </w:rPr>
            </w:pPr>
            <w:r>
              <w:rPr>
                <w:rFonts w:ascii="Calibri" w:hAnsi="Calibri" w:cs="Calibri"/>
                <w:color w:val="000000"/>
              </w:rPr>
              <w:t xml:space="preserve">Mean </w:t>
            </w:r>
          </w:p>
        </w:tc>
        <w:tc>
          <w:tcPr>
            <w:tcW w:w="709" w:type="dxa"/>
            <w:tcBorders>
              <w:top w:val="single" w:sz="4" w:space="0" w:color="auto"/>
              <w:left w:val="nil"/>
              <w:bottom w:val="single" w:sz="4" w:space="0" w:color="auto"/>
              <w:right w:val="nil"/>
            </w:tcBorders>
            <w:shd w:val="clear" w:color="auto" w:fill="auto"/>
            <w:noWrap/>
            <w:vAlign w:val="bottom"/>
            <w:hideMark/>
          </w:tcPr>
          <w:p w14:paraId="2BDA245A" w14:textId="77777777" w:rsidR="006F1DDE" w:rsidRDefault="006F1DDE">
            <w:pPr>
              <w:jc w:val="center"/>
              <w:rPr>
                <w:rFonts w:ascii="Calibri" w:hAnsi="Calibri" w:cs="Calibri"/>
                <w:color w:val="000000"/>
              </w:rPr>
            </w:pPr>
            <w:r>
              <w:rPr>
                <w:rFonts w:ascii="Calibri" w:hAnsi="Calibri" w:cs="Calibri"/>
                <w:color w:val="000000"/>
              </w:rPr>
              <w:t>SD</w:t>
            </w:r>
          </w:p>
        </w:tc>
        <w:tc>
          <w:tcPr>
            <w:tcW w:w="1134" w:type="dxa"/>
            <w:tcBorders>
              <w:top w:val="single" w:sz="4" w:space="0" w:color="auto"/>
              <w:left w:val="nil"/>
              <w:bottom w:val="single" w:sz="4" w:space="0" w:color="auto"/>
              <w:right w:val="nil"/>
            </w:tcBorders>
            <w:shd w:val="clear" w:color="auto" w:fill="auto"/>
            <w:noWrap/>
            <w:vAlign w:val="bottom"/>
            <w:hideMark/>
          </w:tcPr>
          <w:p w14:paraId="6AB16CB4" w14:textId="77777777" w:rsidR="006F1DDE" w:rsidRDefault="006F1DDE">
            <w:pPr>
              <w:jc w:val="center"/>
              <w:rPr>
                <w:rFonts w:ascii="Calibri" w:hAnsi="Calibri" w:cs="Calibri"/>
                <w:color w:val="000000"/>
              </w:rPr>
            </w:pPr>
            <w:r>
              <w:rPr>
                <w:rFonts w:ascii="Calibri" w:hAnsi="Calibri" w:cs="Calibri"/>
                <w:color w:val="000000"/>
              </w:rPr>
              <w:t xml:space="preserve">Mean </w:t>
            </w:r>
          </w:p>
        </w:tc>
        <w:tc>
          <w:tcPr>
            <w:tcW w:w="709" w:type="dxa"/>
            <w:tcBorders>
              <w:top w:val="single" w:sz="4" w:space="0" w:color="auto"/>
              <w:left w:val="nil"/>
              <w:bottom w:val="single" w:sz="4" w:space="0" w:color="auto"/>
              <w:right w:val="nil"/>
            </w:tcBorders>
            <w:shd w:val="clear" w:color="auto" w:fill="auto"/>
            <w:noWrap/>
            <w:vAlign w:val="bottom"/>
            <w:hideMark/>
          </w:tcPr>
          <w:p w14:paraId="33A437B1" w14:textId="77777777" w:rsidR="006F1DDE" w:rsidRDefault="006F1DDE">
            <w:pPr>
              <w:jc w:val="center"/>
              <w:rPr>
                <w:rFonts w:ascii="Calibri" w:hAnsi="Calibri" w:cs="Calibri"/>
                <w:color w:val="000000"/>
              </w:rPr>
            </w:pPr>
            <w:r>
              <w:rPr>
                <w:rFonts w:ascii="Calibri" w:hAnsi="Calibri" w:cs="Calibri"/>
                <w:color w:val="000000"/>
              </w:rPr>
              <w:t>SD</w:t>
            </w:r>
          </w:p>
        </w:tc>
        <w:tc>
          <w:tcPr>
            <w:tcW w:w="1134" w:type="dxa"/>
            <w:tcBorders>
              <w:top w:val="single" w:sz="4" w:space="0" w:color="auto"/>
              <w:left w:val="nil"/>
              <w:bottom w:val="single" w:sz="4" w:space="0" w:color="auto"/>
              <w:right w:val="nil"/>
            </w:tcBorders>
            <w:shd w:val="clear" w:color="auto" w:fill="auto"/>
            <w:noWrap/>
            <w:vAlign w:val="bottom"/>
            <w:hideMark/>
          </w:tcPr>
          <w:p w14:paraId="3DF95645" w14:textId="77777777" w:rsidR="006F1DDE" w:rsidRDefault="006F1DDE">
            <w:pPr>
              <w:jc w:val="center"/>
              <w:rPr>
                <w:rFonts w:ascii="Calibri" w:hAnsi="Calibri" w:cs="Calibri"/>
                <w:color w:val="000000"/>
              </w:rPr>
            </w:pPr>
            <w:r>
              <w:rPr>
                <w:rFonts w:ascii="Calibri" w:hAnsi="Calibri" w:cs="Calibri"/>
                <w:color w:val="000000"/>
              </w:rPr>
              <w:t xml:space="preserve">Mean </w:t>
            </w:r>
          </w:p>
        </w:tc>
        <w:tc>
          <w:tcPr>
            <w:tcW w:w="567" w:type="dxa"/>
            <w:tcBorders>
              <w:top w:val="single" w:sz="4" w:space="0" w:color="auto"/>
              <w:left w:val="nil"/>
              <w:bottom w:val="single" w:sz="4" w:space="0" w:color="auto"/>
              <w:right w:val="nil"/>
            </w:tcBorders>
            <w:shd w:val="clear" w:color="auto" w:fill="auto"/>
            <w:noWrap/>
            <w:vAlign w:val="bottom"/>
            <w:hideMark/>
          </w:tcPr>
          <w:p w14:paraId="216F6E29" w14:textId="77777777" w:rsidR="006F1DDE" w:rsidRDefault="006F1DDE">
            <w:pPr>
              <w:jc w:val="center"/>
              <w:rPr>
                <w:rFonts w:ascii="Calibri" w:hAnsi="Calibri" w:cs="Calibri"/>
                <w:color w:val="000000"/>
              </w:rPr>
            </w:pPr>
            <w:r>
              <w:rPr>
                <w:rFonts w:ascii="Calibri" w:hAnsi="Calibri" w:cs="Calibri"/>
                <w:color w:val="000000"/>
              </w:rPr>
              <w:t>SD</w:t>
            </w:r>
          </w:p>
        </w:tc>
        <w:tc>
          <w:tcPr>
            <w:tcW w:w="709" w:type="dxa"/>
            <w:vMerge/>
            <w:tcBorders>
              <w:top w:val="single" w:sz="4" w:space="0" w:color="auto"/>
              <w:left w:val="nil"/>
              <w:bottom w:val="single" w:sz="4" w:space="0" w:color="000000"/>
              <w:right w:val="nil"/>
            </w:tcBorders>
            <w:vAlign w:val="center"/>
            <w:hideMark/>
          </w:tcPr>
          <w:p w14:paraId="4AE1CD3F" w14:textId="77777777" w:rsidR="006F1DDE" w:rsidRDefault="006F1DDE">
            <w:pPr>
              <w:rPr>
                <w:rFonts w:ascii="Calibri" w:hAnsi="Calibri" w:cs="Calibri"/>
                <w:color w:val="000000"/>
              </w:rPr>
            </w:pPr>
          </w:p>
        </w:tc>
      </w:tr>
      <w:tr w:rsidR="006F1DDE" w14:paraId="04FF7564" w14:textId="77777777" w:rsidTr="00184224">
        <w:trPr>
          <w:trHeight w:val="300"/>
        </w:trPr>
        <w:tc>
          <w:tcPr>
            <w:tcW w:w="1200" w:type="dxa"/>
            <w:tcBorders>
              <w:top w:val="nil"/>
              <w:left w:val="nil"/>
              <w:bottom w:val="nil"/>
              <w:right w:val="nil"/>
            </w:tcBorders>
            <w:shd w:val="clear" w:color="auto" w:fill="auto"/>
            <w:noWrap/>
            <w:vAlign w:val="bottom"/>
            <w:hideMark/>
          </w:tcPr>
          <w:p w14:paraId="343C841B" w14:textId="77777777" w:rsidR="006F1DDE" w:rsidRDefault="006F1DDE">
            <w:pPr>
              <w:jc w:val="center"/>
              <w:rPr>
                <w:rFonts w:ascii="Calibri" w:hAnsi="Calibri" w:cs="Calibri"/>
                <w:color w:val="000000"/>
              </w:rPr>
            </w:pPr>
            <w:r>
              <w:rPr>
                <w:rFonts w:ascii="Calibri" w:hAnsi="Calibri" w:cs="Calibri"/>
                <w:color w:val="000000"/>
              </w:rPr>
              <w:t>MTV</w:t>
            </w:r>
          </w:p>
        </w:tc>
        <w:tc>
          <w:tcPr>
            <w:tcW w:w="1200" w:type="dxa"/>
            <w:tcBorders>
              <w:top w:val="nil"/>
              <w:left w:val="nil"/>
              <w:bottom w:val="nil"/>
              <w:right w:val="nil"/>
            </w:tcBorders>
            <w:shd w:val="clear" w:color="auto" w:fill="auto"/>
            <w:noWrap/>
            <w:vAlign w:val="bottom"/>
            <w:hideMark/>
          </w:tcPr>
          <w:p w14:paraId="10A4C86B" w14:textId="77777777" w:rsidR="006F1DDE" w:rsidRDefault="006F1DDE">
            <w:pPr>
              <w:jc w:val="center"/>
              <w:rPr>
                <w:rFonts w:ascii="Calibri" w:hAnsi="Calibri" w:cs="Calibri"/>
                <w:color w:val="000000"/>
              </w:rPr>
            </w:pPr>
            <w:r>
              <w:rPr>
                <w:rFonts w:ascii="Calibri" w:hAnsi="Calibri" w:cs="Calibri"/>
                <w:color w:val="000000"/>
              </w:rPr>
              <w:t>2011-2012</w:t>
            </w:r>
          </w:p>
        </w:tc>
        <w:tc>
          <w:tcPr>
            <w:tcW w:w="1200" w:type="dxa"/>
            <w:tcBorders>
              <w:top w:val="nil"/>
              <w:left w:val="nil"/>
              <w:bottom w:val="nil"/>
              <w:right w:val="nil"/>
            </w:tcBorders>
            <w:shd w:val="clear" w:color="auto" w:fill="auto"/>
            <w:noWrap/>
            <w:vAlign w:val="bottom"/>
            <w:hideMark/>
          </w:tcPr>
          <w:p w14:paraId="1CA964B9" w14:textId="77777777" w:rsidR="006F1DDE" w:rsidRDefault="006F1DDE">
            <w:pPr>
              <w:jc w:val="center"/>
              <w:rPr>
                <w:rFonts w:ascii="Calibri" w:hAnsi="Calibri" w:cs="Calibri"/>
                <w:color w:val="000000"/>
              </w:rPr>
            </w:pPr>
            <w:r>
              <w:rPr>
                <w:rFonts w:ascii="Calibri" w:hAnsi="Calibri" w:cs="Calibri"/>
                <w:color w:val="000000"/>
              </w:rPr>
              <w:t>12 (4)</w:t>
            </w:r>
          </w:p>
        </w:tc>
        <w:tc>
          <w:tcPr>
            <w:tcW w:w="936" w:type="dxa"/>
            <w:tcBorders>
              <w:top w:val="nil"/>
              <w:left w:val="nil"/>
              <w:bottom w:val="nil"/>
              <w:right w:val="nil"/>
            </w:tcBorders>
            <w:shd w:val="clear" w:color="auto" w:fill="auto"/>
            <w:noWrap/>
            <w:vAlign w:val="bottom"/>
            <w:hideMark/>
          </w:tcPr>
          <w:p w14:paraId="2989DB5C" w14:textId="77777777" w:rsidR="006F1DDE" w:rsidRDefault="006F1DDE">
            <w:pPr>
              <w:jc w:val="center"/>
              <w:rPr>
                <w:rFonts w:ascii="Calibri" w:hAnsi="Calibri" w:cs="Calibri"/>
                <w:color w:val="000000"/>
              </w:rPr>
            </w:pPr>
            <w:r>
              <w:rPr>
                <w:rFonts w:ascii="Calibri" w:hAnsi="Calibri" w:cs="Calibri"/>
                <w:color w:val="000000"/>
              </w:rPr>
              <w:t>0.64</w:t>
            </w:r>
          </w:p>
        </w:tc>
        <w:tc>
          <w:tcPr>
            <w:tcW w:w="709" w:type="dxa"/>
            <w:tcBorders>
              <w:top w:val="nil"/>
              <w:left w:val="nil"/>
              <w:bottom w:val="nil"/>
              <w:right w:val="nil"/>
            </w:tcBorders>
            <w:shd w:val="clear" w:color="auto" w:fill="auto"/>
            <w:noWrap/>
            <w:vAlign w:val="bottom"/>
            <w:hideMark/>
          </w:tcPr>
          <w:p w14:paraId="28B11D35" w14:textId="77777777" w:rsidR="006F1DDE" w:rsidRDefault="006F1DDE">
            <w:pPr>
              <w:jc w:val="center"/>
              <w:rPr>
                <w:rFonts w:ascii="Calibri" w:hAnsi="Calibri" w:cs="Calibri"/>
                <w:color w:val="000000"/>
              </w:rPr>
            </w:pPr>
            <w:r>
              <w:rPr>
                <w:rFonts w:ascii="Calibri" w:hAnsi="Calibri" w:cs="Calibri"/>
                <w:color w:val="000000"/>
              </w:rPr>
              <w:t>0.09</w:t>
            </w:r>
          </w:p>
        </w:tc>
        <w:tc>
          <w:tcPr>
            <w:tcW w:w="1134" w:type="dxa"/>
            <w:tcBorders>
              <w:top w:val="nil"/>
              <w:left w:val="nil"/>
              <w:bottom w:val="nil"/>
              <w:right w:val="nil"/>
            </w:tcBorders>
            <w:shd w:val="clear" w:color="auto" w:fill="auto"/>
            <w:noWrap/>
            <w:vAlign w:val="bottom"/>
            <w:hideMark/>
          </w:tcPr>
          <w:p w14:paraId="2DBA4A5B" w14:textId="77777777" w:rsidR="006F1DDE" w:rsidRDefault="006F1DDE">
            <w:pPr>
              <w:jc w:val="center"/>
              <w:rPr>
                <w:rFonts w:ascii="Calibri" w:hAnsi="Calibri" w:cs="Calibri"/>
                <w:color w:val="000000"/>
              </w:rPr>
            </w:pPr>
            <w:r>
              <w:rPr>
                <w:rFonts w:ascii="Calibri" w:hAnsi="Calibri" w:cs="Calibri"/>
                <w:color w:val="000000"/>
              </w:rPr>
              <w:t>0.60</w:t>
            </w:r>
          </w:p>
        </w:tc>
        <w:tc>
          <w:tcPr>
            <w:tcW w:w="709" w:type="dxa"/>
            <w:tcBorders>
              <w:top w:val="nil"/>
              <w:left w:val="nil"/>
              <w:bottom w:val="nil"/>
              <w:right w:val="nil"/>
            </w:tcBorders>
            <w:shd w:val="clear" w:color="auto" w:fill="auto"/>
            <w:noWrap/>
            <w:vAlign w:val="bottom"/>
            <w:hideMark/>
          </w:tcPr>
          <w:p w14:paraId="5EC33F34" w14:textId="77777777" w:rsidR="006F1DDE" w:rsidRDefault="006F1DDE">
            <w:pPr>
              <w:jc w:val="center"/>
              <w:rPr>
                <w:rFonts w:ascii="Calibri" w:hAnsi="Calibri" w:cs="Calibri"/>
                <w:color w:val="000000"/>
              </w:rPr>
            </w:pPr>
            <w:r>
              <w:rPr>
                <w:rFonts w:ascii="Calibri" w:hAnsi="Calibri" w:cs="Calibri"/>
                <w:color w:val="000000"/>
              </w:rPr>
              <w:t>0.09</w:t>
            </w:r>
          </w:p>
        </w:tc>
        <w:tc>
          <w:tcPr>
            <w:tcW w:w="1134" w:type="dxa"/>
            <w:tcBorders>
              <w:top w:val="nil"/>
              <w:left w:val="nil"/>
              <w:bottom w:val="nil"/>
              <w:right w:val="nil"/>
            </w:tcBorders>
            <w:shd w:val="clear" w:color="auto" w:fill="auto"/>
            <w:noWrap/>
            <w:vAlign w:val="bottom"/>
            <w:hideMark/>
          </w:tcPr>
          <w:p w14:paraId="035C85EF" w14:textId="77777777" w:rsidR="006F1DDE" w:rsidRDefault="006F1DDE">
            <w:pPr>
              <w:jc w:val="center"/>
              <w:rPr>
                <w:rFonts w:ascii="Calibri" w:hAnsi="Calibri" w:cs="Calibri"/>
                <w:color w:val="000000"/>
              </w:rPr>
            </w:pPr>
            <w:r>
              <w:rPr>
                <w:rFonts w:ascii="Calibri" w:hAnsi="Calibri" w:cs="Calibri"/>
                <w:color w:val="000000"/>
              </w:rPr>
              <w:t>-0.09</w:t>
            </w:r>
          </w:p>
        </w:tc>
        <w:tc>
          <w:tcPr>
            <w:tcW w:w="567" w:type="dxa"/>
            <w:tcBorders>
              <w:top w:val="nil"/>
              <w:left w:val="nil"/>
              <w:bottom w:val="nil"/>
              <w:right w:val="nil"/>
            </w:tcBorders>
            <w:shd w:val="clear" w:color="auto" w:fill="auto"/>
            <w:noWrap/>
            <w:vAlign w:val="bottom"/>
            <w:hideMark/>
          </w:tcPr>
          <w:p w14:paraId="0F8AE5B6" w14:textId="77777777" w:rsidR="006F1DDE" w:rsidRDefault="006F1DDE">
            <w:pPr>
              <w:jc w:val="center"/>
              <w:rPr>
                <w:rFonts w:ascii="Calibri" w:hAnsi="Calibri" w:cs="Calibri"/>
                <w:color w:val="000000"/>
              </w:rPr>
            </w:pPr>
            <w:r>
              <w:rPr>
                <w:rFonts w:ascii="Calibri" w:hAnsi="Calibri" w:cs="Calibri"/>
                <w:color w:val="000000"/>
              </w:rPr>
              <w:t>0.05</w:t>
            </w:r>
          </w:p>
        </w:tc>
        <w:tc>
          <w:tcPr>
            <w:tcW w:w="709" w:type="dxa"/>
            <w:tcBorders>
              <w:top w:val="nil"/>
              <w:left w:val="nil"/>
              <w:bottom w:val="nil"/>
              <w:right w:val="nil"/>
            </w:tcBorders>
            <w:shd w:val="clear" w:color="auto" w:fill="auto"/>
            <w:noWrap/>
            <w:vAlign w:val="bottom"/>
            <w:hideMark/>
          </w:tcPr>
          <w:p w14:paraId="5E9B4052" w14:textId="77777777" w:rsidR="006F1DDE" w:rsidRDefault="006F1DDE">
            <w:pPr>
              <w:jc w:val="center"/>
              <w:rPr>
                <w:rFonts w:ascii="Calibri" w:hAnsi="Calibri" w:cs="Calibri"/>
                <w:color w:val="000000"/>
              </w:rPr>
            </w:pPr>
            <w:r>
              <w:rPr>
                <w:rFonts w:ascii="Calibri" w:hAnsi="Calibri" w:cs="Calibri"/>
                <w:color w:val="000000"/>
              </w:rPr>
              <w:t>3.16</w:t>
            </w:r>
          </w:p>
        </w:tc>
      </w:tr>
      <w:tr w:rsidR="006F1DDE" w14:paraId="6406E7B8" w14:textId="77777777" w:rsidTr="00184224">
        <w:trPr>
          <w:trHeight w:val="300"/>
        </w:trPr>
        <w:tc>
          <w:tcPr>
            <w:tcW w:w="1200" w:type="dxa"/>
            <w:tcBorders>
              <w:top w:val="nil"/>
              <w:left w:val="nil"/>
              <w:bottom w:val="single" w:sz="4" w:space="0" w:color="auto"/>
              <w:right w:val="nil"/>
            </w:tcBorders>
            <w:shd w:val="clear" w:color="auto" w:fill="auto"/>
            <w:noWrap/>
            <w:vAlign w:val="bottom"/>
            <w:hideMark/>
          </w:tcPr>
          <w:p w14:paraId="57472A82" w14:textId="77777777" w:rsidR="006F1DDE" w:rsidRDefault="006F1DDE">
            <w:pPr>
              <w:jc w:val="center"/>
              <w:rPr>
                <w:rFonts w:ascii="Calibri" w:hAnsi="Calibri" w:cs="Calibri"/>
                <w:color w:val="000000"/>
              </w:rPr>
            </w:pPr>
            <w:r>
              <w:rPr>
                <w:rFonts w:ascii="Calibri" w:hAnsi="Calibri" w:cs="Calibri"/>
                <w:color w:val="000000"/>
              </w:rPr>
              <w:t>MTV</w:t>
            </w:r>
          </w:p>
        </w:tc>
        <w:tc>
          <w:tcPr>
            <w:tcW w:w="1200" w:type="dxa"/>
            <w:tcBorders>
              <w:top w:val="nil"/>
              <w:left w:val="nil"/>
              <w:bottom w:val="single" w:sz="4" w:space="0" w:color="auto"/>
              <w:right w:val="nil"/>
            </w:tcBorders>
            <w:shd w:val="clear" w:color="auto" w:fill="auto"/>
            <w:noWrap/>
            <w:vAlign w:val="bottom"/>
            <w:hideMark/>
          </w:tcPr>
          <w:p w14:paraId="6036AB5F" w14:textId="77777777" w:rsidR="006F1DDE" w:rsidRDefault="006F1DDE">
            <w:pPr>
              <w:jc w:val="center"/>
              <w:rPr>
                <w:rFonts w:ascii="Calibri" w:hAnsi="Calibri" w:cs="Calibri"/>
                <w:color w:val="000000"/>
              </w:rPr>
            </w:pPr>
            <w:r>
              <w:rPr>
                <w:rFonts w:ascii="Calibri" w:hAnsi="Calibri" w:cs="Calibri"/>
                <w:color w:val="000000"/>
              </w:rPr>
              <w:t>2018-2022</w:t>
            </w:r>
          </w:p>
        </w:tc>
        <w:tc>
          <w:tcPr>
            <w:tcW w:w="1200" w:type="dxa"/>
            <w:tcBorders>
              <w:top w:val="nil"/>
              <w:left w:val="nil"/>
              <w:bottom w:val="single" w:sz="4" w:space="0" w:color="auto"/>
              <w:right w:val="nil"/>
            </w:tcBorders>
            <w:shd w:val="clear" w:color="auto" w:fill="auto"/>
            <w:noWrap/>
            <w:vAlign w:val="bottom"/>
            <w:hideMark/>
          </w:tcPr>
          <w:p w14:paraId="2C5935CD" w14:textId="77777777" w:rsidR="006F1DDE" w:rsidRDefault="006F1DDE">
            <w:pPr>
              <w:jc w:val="center"/>
              <w:rPr>
                <w:rFonts w:ascii="Calibri" w:hAnsi="Calibri" w:cs="Calibri"/>
                <w:color w:val="000000"/>
              </w:rPr>
            </w:pPr>
            <w:r>
              <w:rPr>
                <w:rFonts w:ascii="Calibri" w:hAnsi="Calibri" w:cs="Calibri"/>
                <w:color w:val="000000"/>
              </w:rPr>
              <w:t>7(2)</w:t>
            </w:r>
          </w:p>
        </w:tc>
        <w:tc>
          <w:tcPr>
            <w:tcW w:w="936" w:type="dxa"/>
            <w:tcBorders>
              <w:top w:val="nil"/>
              <w:left w:val="nil"/>
              <w:bottom w:val="single" w:sz="4" w:space="0" w:color="auto"/>
              <w:right w:val="nil"/>
            </w:tcBorders>
            <w:shd w:val="clear" w:color="auto" w:fill="auto"/>
            <w:noWrap/>
            <w:vAlign w:val="bottom"/>
            <w:hideMark/>
          </w:tcPr>
          <w:p w14:paraId="7571CE97" w14:textId="77777777" w:rsidR="006F1DDE" w:rsidRDefault="006F1DDE">
            <w:pPr>
              <w:jc w:val="center"/>
              <w:rPr>
                <w:rFonts w:ascii="Calibri" w:hAnsi="Calibri" w:cs="Calibri"/>
                <w:color w:val="000000"/>
              </w:rPr>
            </w:pPr>
            <w:r>
              <w:rPr>
                <w:rFonts w:ascii="Calibri" w:hAnsi="Calibri" w:cs="Calibri"/>
                <w:color w:val="000000"/>
              </w:rPr>
              <w:t>0.54</w:t>
            </w:r>
          </w:p>
        </w:tc>
        <w:tc>
          <w:tcPr>
            <w:tcW w:w="709" w:type="dxa"/>
            <w:tcBorders>
              <w:top w:val="nil"/>
              <w:left w:val="nil"/>
              <w:bottom w:val="single" w:sz="4" w:space="0" w:color="auto"/>
              <w:right w:val="nil"/>
            </w:tcBorders>
            <w:shd w:val="clear" w:color="auto" w:fill="auto"/>
            <w:noWrap/>
            <w:vAlign w:val="bottom"/>
            <w:hideMark/>
          </w:tcPr>
          <w:p w14:paraId="2A0F5DE2" w14:textId="77777777" w:rsidR="006F1DDE" w:rsidRDefault="006F1DDE">
            <w:pPr>
              <w:jc w:val="center"/>
              <w:rPr>
                <w:rFonts w:ascii="Calibri" w:hAnsi="Calibri" w:cs="Calibri"/>
                <w:color w:val="000000"/>
              </w:rPr>
            </w:pPr>
            <w:r>
              <w:rPr>
                <w:rFonts w:ascii="Calibri" w:hAnsi="Calibri" w:cs="Calibri"/>
                <w:color w:val="000000"/>
              </w:rPr>
              <w:t>0.11</w:t>
            </w:r>
          </w:p>
        </w:tc>
        <w:tc>
          <w:tcPr>
            <w:tcW w:w="1134" w:type="dxa"/>
            <w:tcBorders>
              <w:top w:val="nil"/>
              <w:left w:val="nil"/>
              <w:bottom w:val="single" w:sz="4" w:space="0" w:color="auto"/>
              <w:right w:val="nil"/>
            </w:tcBorders>
            <w:shd w:val="clear" w:color="auto" w:fill="auto"/>
            <w:noWrap/>
            <w:vAlign w:val="bottom"/>
            <w:hideMark/>
          </w:tcPr>
          <w:p w14:paraId="2A9177A7" w14:textId="77777777" w:rsidR="006F1DDE" w:rsidRDefault="006F1DDE">
            <w:pPr>
              <w:jc w:val="center"/>
              <w:rPr>
                <w:rFonts w:ascii="Calibri" w:hAnsi="Calibri" w:cs="Calibri"/>
                <w:color w:val="000000"/>
              </w:rPr>
            </w:pPr>
            <w:r>
              <w:rPr>
                <w:rFonts w:ascii="Calibri" w:hAnsi="Calibri" w:cs="Calibri"/>
                <w:color w:val="000000"/>
              </w:rPr>
              <w:t>0.58</w:t>
            </w:r>
          </w:p>
        </w:tc>
        <w:tc>
          <w:tcPr>
            <w:tcW w:w="709" w:type="dxa"/>
            <w:tcBorders>
              <w:top w:val="nil"/>
              <w:left w:val="nil"/>
              <w:bottom w:val="single" w:sz="4" w:space="0" w:color="auto"/>
              <w:right w:val="nil"/>
            </w:tcBorders>
            <w:shd w:val="clear" w:color="auto" w:fill="auto"/>
            <w:noWrap/>
            <w:vAlign w:val="bottom"/>
            <w:hideMark/>
          </w:tcPr>
          <w:p w14:paraId="29A7FF43" w14:textId="77777777" w:rsidR="006F1DDE" w:rsidRDefault="006F1DDE">
            <w:pPr>
              <w:jc w:val="center"/>
              <w:rPr>
                <w:rFonts w:ascii="Calibri" w:hAnsi="Calibri" w:cs="Calibri"/>
                <w:color w:val="000000"/>
              </w:rPr>
            </w:pPr>
            <w:r>
              <w:rPr>
                <w:rFonts w:ascii="Calibri" w:hAnsi="Calibri" w:cs="Calibri"/>
                <w:color w:val="000000"/>
              </w:rPr>
              <w:t>0.11</w:t>
            </w:r>
          </w:p>
        </w:tc>
        <w:tc>
          <w:tcPr>
            <w:tcW w:w="1134" w:type="dxa"/>
            <w:tcBorders>
              <w:top w:val="nil"/>
              <w:left w:val="nil"/>
              <w:bottom w:val="single" w:sz="4" w:space="0" w:color="auto"/>
              <w:right w:val="nil"/>
            </w:tcBorders>
            <w:shd w:val="clear" w:color="auto" w:fill="auto"/>
            <w:noWrap/>
            <w:vAlign w:val="bottom"/>
            <w:hideMark/>
          </w:tcPr>
          <w:p w14:paraId="2CF86CA8" w14:textId="77777777" w:rsidR="006F1DDE" w:rsidRDefault="006F1DDE">
            <w:pPr>
              <w:jc w:val="center"/>
              <w:rPr>
                <w:rFonts w:ascii="Calibri" w:hAnsi="Calibri" w:cs="Calibri"/>
                <w:color w:val="000000"/>
              </w:rPr>
            </w:pPr>
            <w:r>
              <w:rPr>
                <w:rFonts w:ascii="Calibri" w:hAnsi="Calibri" w:cs="Calibri"/>
                <w:color w:val="000000"/>
              </w:rPr>
              <w:t>0.09</w:t>
            </w:r>
          </w:p>
        </w:tc>
        <w:tc>
          <w:tcPr>
            <w:tcW w:w="567" w:type="dxa"/>
            <w:tcBorders>
              <w:top w:val="nil"/>
              <w:left w:val="nil"/>
              <w:bottom w:val="single" w:sz="4" w:space="0" w:color="auto"/>
              <w:right w:val="nil"/>
            </w:tcBorders>
            <w:shd w:val="clear" w:color="auto" w:fill="auto"/>
            <w:noWrap/>
            <w:vAlign w:val="bottom"/>
            <w:hideMark/>
          </w:tcPr>
          <w:p w14:paraId="516D2F2A" w14:textId="77777777" w:rsidR="006F1DDE" w:rsidRDefault="006F1DDE">
            <w:pPr>
              <w:jc w:val="center"/>
              <w:rPr>
                <w:rFonts w:ascii="Calibri" w:hAnsi="Calibri" w:cs="Calibri"/>
                <w:color w:val="000000"/>
              </w:rPr>
            </w:pPr>
            <w:r>
              <w:rPr>
                <w:rFonts w:ascii="Calibri" w:hAnsi="Calibri" w:cs="Calibri"/>
                <w:color w:val="000000"/>
              </w:rPr>
              <w:t>0.07</w:t>
            </w:r>
          </w:p>
        </w:tc>
        <w:tc>
          <w:tcPr>
            <w:tcW w:w="709" w:type="dxa"/>
            <w:tcBorders>
              <w:top w:val="nil"/>
              <w:left w:val="nil"/>
              <w:bottom w:val="single" w:sz="4" w:space="0" w:color="auto"/>
              <w:right w:val="nil"/>
            </w:tcBorders>
            <w:shd w:val="clear" w:color="auto" w:fill="auto"/>
            <w:noWrap/>
            <w:vAlign w:val="bottom"/>
            <w:hideMark/>
          </w:tcPr>
          <w:p w14:paraId="64B738B2" w14:textId="77777777" w:rsidR="006F1DDE" w:rsidRDefault="006F1DDE">
            <w:pPr>
              <w:jc w:val="center"/>
              <w:rPr>
                <w:rFonts w:ascii="Calibri" w:hAnsi="Calibri" w:cs="Calibri"/>
                <w:color w:val="000000"/>
              </w:rPr>
            </w:pPr>
            <w:r>
              <w:rPr>
                <w:rFonts w:ascii="Calibri" w:hAnsi="Calibri" w:cs="Calibri"/>
                <w:color w:val="000000"/>
              </w:rPr>
              <w:t>3.09</w:t>
            </w:r>
          </w:p>
        </w:tc>
      </w:tr>
      <w:tr w:rsidR="006F1DDE" w14:paraId="0E4AFDF2" w14:textId="77777777" w:rsidTr="00184224">
        <w:trPr>
          <w:trHeight w:val="300"/>
        </w:trPr>
        <w:tc>
          <w:tcPr>
            <w:tcW w:w="1200" w:type="dxa"/>
            <w:tcBorders>
              <w:top w:val="nil"/>
              <w:left w:val="nil"/>
              <w:bottom w:val="nil"/>
              <w:right w:val="nil"/>
            </w:tcBorders>
            <w:shd w:val="clear" w:color="auto" w:fill="auto"/>
            <w:noWrap/>
            <w:vAlign w:val="bottom"/>
            <w:hideMark/>
          </w:tcPr>
          <w:p w14:paraId="77F45CA0" w14:textId="77777777" w:rsidR="006F1DDE" w:rsidRDefault="006F1DDE">
            <w:pPr>
              <w:jc w:val="center"/>
              <w:rPr>
                <w:rFonts w:ascii="Calibri" w:hAnsi="Calibri" w:cs="Calibri"/>
                <w:color w:val="000000"/>
              </w:rPr>
            </w:pPr>
            <w:r>
              <w:rPr>
                <w:rFonts w:ascii="Calibri" w:hAnsi="Calibri" w:cs="Calibri"/>
                <w:color w:val="000000"/>
              </w:rPr>
              <w:t>HDA</w:t>
            </w:r>
          </w:p>
        </w:tc>
        <w:tc>
          <w:tcPr>
            <w:tcW w:w="1200" w:type="dxa"/>
            <w:tcBorders>
              <w:top w:val="nil"/>
              <w:left w:val="nil"/>
              <w:bottom w:val="nil"/>
              <w:right w:val="nil"/>
            </w:tcBorders>
            <w:shd w:val="clear" w:color="auto" w:fill="auto"/>
            <w:noWrap/>
            <w:vAlign w:val="bottom"/>
            <w:hideMark/>
          </w:tcPr>
          <w:p w14:paraId="74925DB5" w14:textId="77777777" w:rsidR="006F1DDE" w:rsidRDefault="006F1DDE">
            <w:pPr>
              <w:jc w:val="center"/>
              <w:rPr>
                <w:rFonts w:ascii="Calibri" w:hAnsi="Calibri" w:cs="Calibri"/>
                <w:color w:val="000000"/>
              </w:rPr>
            </w:pPr>
            <w:r>
              <w:rPr>
                <w:rFonts w:ascii="Calibri" w:hAnsi="Calibri" w:cs="Calibri"/>
                <w:color w:val="000000"/>
              </w:rPr>
              <w:t>2011-2012</w:t>
            </w:r>
          </w:p>
        </w:tc>
        <w:tc>
          <w:tcPr>
            <w:tcW w:w="1200" w:type="dxa"/>
            <w:tcBorders>
              <w:top w:val="nil"/>
              <w:left w:val="nil"/>
              <w:bottom w:val="nil"/>
              <w:right w:val="nil"/>
            </w:tcBorders>
            <w:shd w:val="clear" w:color="auto" w:fill="auto"/>
            <w:noWrap/>
            <w:vAlign w:val="bottom"/>
            <w:hideMark/>
          </w:tcPr>
          <w:p w14:paraId="2E21E510" w14:textId="77777777" w:rsidR="006F1DDE" w:rsidRDefault="006F1DDE">
            <w:pPr>
              <w:jc w:val="center"/>
              <w:rPr>
                <w:rFonts w:ascii="Calibri" w:hAnsi="Calibri" w:cs="Calibri"/>
                <w:color w:val="000000"/>
              </w:rPr>
            </w:pPr>
            <w:r>
              <w:rPr>
                <w:rFonts w:ascii="Calibri" w:hAnsi="Calibri" w:cs="Calibri"/>
                <w:color w:val="000000"/>
              </w:rPr>
              <w:t>7(3)</w:t>
            </w:r>
          </w:p>
        </w:tc>
        <w:tc>
          <w:tcPr>
            <w:tcW w:w="936" w:type="dxa"/>
            <w:tcBorders>
              <w:top w:val="nil"/>
              <w:left w:val="nil"/>
              <w:bottom w:val="nil"/>
              <w:right w:val="nil"/>
            </w:tcBorders>
            <w:shd w:val="clear" w:color="auto" w:fill="auto"/>
            <w:noWrap/>
            <w:vAlign w:val="bottom"/>
            <w:hideMark/>
          </w:tcPr>
          <w:p w14:paraId="655D5779" w14:textId="77777777" w:rsidR="006F1DDE" w:rsidRDefault="006F1DDE">
            <w:pPr>
              <w:jc w:val="center"/>
              <w:rPr>
                <w:rFonts w:ascii="Calibri" w:hAnsi="Calibri" w:cs="Calibri"/>
                <w:color w:val="000000"/>
              </w:rPr>
            </w:pPr>
            <w:r>
              <w:rPr>
                <w:rFonts w:ascii="Calibri" w:hAnsi="Calibri" w:cs="Calibri"/>
                <w:color w:val="000000"/>
              </w:rPr>
              <w:t>0.59</w:t>
            </w:r>
          </w:p>
        </w:tc>
        <w:tc>
          <w:tcPr>
            <w:tcW w:w="709" w:type="dxa"/>
            <w:tcBorders>
              <w:top w:val="nil"/>
              <w:left w:val="nil"/>
              <w:bottom w:val="nil"/>
              <w:right w:val="nil"/>
            </w:tcBorders>
            <w:shd w:val="clear" w:color="auto" w:fill="auto"/>
            <w:noWrap/>
            <w:vAlign w:val="bottom"/>
            <w:hideMark/>
          </w:tcPr>
          <w:p w14:paraId="48F1B3CB" w14:textId="77777777" w:rsidR="006F1DDE" w:rsidRDefault="006F1DDE">
            <w:pPr>
              <w:jc w:val="center"/>
              <w:rPr>
                <w:rFonts w:ascii="Calibri" w:hAnsi="Calibri" w:cs="Calibri"/>
                <w:color w:val="000000"/>
              </w:rPr>
            </w:pPr>
            <w:r>
              <w:rPr>
                <w:rFonts w:ascii="Calibri" w:hAnsi="Calibri" w:cs="Calibri"/>
                <w:color w:val="000000"/>
              </w:rPr>
              <w:t>0.12</w:t>
            </w:r>
          </w:p>
        </w:tc>
        <w:tc>
          <w:tcPr>
            <w:tcW w:w="1134" w:type="dxa"/>
            <w:tcBorders>
              <w:top w:val="nil"/>
              <w:left w:val="nil"/>
              <w:bottom w:val="nil"/>
              <w:right w:val="nil"/>
            </w:tcBorders>
            <w:shd w:val="clear" w:color="auto" w:fill="auto"/>
            <w:noWrap/>
            <w:vAlign w:val="bottom"/>
            <w:hideMark/>
          </w:tcPr>
          <w:p w14:paraId="7B8B4FBB" w14:textId="77777777" w:rsidR="006F1DDE" w:rsidRDefault="006F1DDE">
            <w:pPr>
              <w:jc w:val="center"/>
              <w:rPr>
                <w:rFonts w:ascii="Calibri" w:hAnsi="Calibri" w:cs="Calibri"/>
                <w:color w:val="000000"/>
              </w:rPr>
            </w:pPr>
            <w:r>
              <w:rPr>
                <w:rFonts w:ascii="Calibri" w:hAnsi="Calibri" w:cs="Calibri"/>
                <w:color w:val="000000"/>
              </w:rPr>
              <w:t>0.49*</w:t>
            </w:r>
          </w:p>
        </w:tc>
        <w:tc>
          <w:tcPr>
            <w:tcW w:w="709" w:type="dxa"/>
            <w:tcBorders>
              <w:top w:val="nil"/>
              <w:left w:val="nil"/>
              <w:bottom w:val="nil"/>
              <w:right w:val="nil"/>
            </w:tcBorders>
            <w:shd w:val="clear" w:color="auto" w:fill="auto"/>
            <w:noWrap/>
            <w:vAlign w:val="bottom"/>
            <w:hideMark/>
          </w:tcPr>
          <w:p w14:paraId="2A7EA2BC" w14:textId="77777777" w:rsidR="006F1DDE" w:rsidRDefault="006F1DDE">
            <w:pPr>
              <w:jc w:val="center"/>
              <w:rPr>
                <w:rFonts w:ascii="Calibri" w:hAnsi="Calibri" w:cs="Calibri"/>
                <w:color w:val="000000"/>
              </w:rPr>
            </w:pPr>
            <w:r>
              <w:rPr>
                <w:rFonts w:ascii="Calibri" w:hAnsi="Calibri" w:cs="Calibri"/>
                <w:color w:val="000000"/>
              </w:rPr>
              <w:t>0.10</w:t>
            </w:r>
          </w:p>
        </w:tc>
        <w:tc>
          <w:tcPr>
            <w:tcW w:w="1134" w:type="dxa"/>
            <w:tcBorders>
              <w:top w:val="nil"/>
              <w:left w:val="nil"/>
              <w:bottom w:val="nil"/>
              <w:right w:val="nil"/>
            </w:tcBorders>
            <w:shd w:val="clear" w:color="auto" w:fill="auto"/>
            <w:noWrap/>
            <w:vAlign w:val="bottom"/>
            <w:hideMark/>
          </w:tcPr>
          <w:p w14:paraId="5735CC0E" w14:textId="27D896CA" w:rsidR="006F1DDE" w:rsidRDefault="006F1DDE">
            <w:pPr>
              <w:jc w:val="center"/>
              <w:rPr>
                <w:rFonts w:ascii="Calibri" w:hAnsi="Calibri" w:cs="Calibri"/>
                <w:color w:val="000000"/>
              </w:rPr>
            </w:pPr>
            <w:r>
              <w:rPr>
                <w:rFonts w:ascii="Calibri" w:hAnsi="Calibri" w:cs="Calibri"/>
                <w:color w:val="000000"/>
              </w:rPr>
              <w:t>-0.20*</w:t>
            </w:r>
          </w:p>
        </w:tc>
        <w:tc>
          <w:tcPr>
            <w:tcW w:w="567" w:type="dxa"/>
            <w:tcBorders>
              <w:top w:val="nil"/>
              <w:left w:val="nil"/>
              <w:bottom w:val="nil"/>
              <w:right w:val="nil"/>
            </w:tcBorders>
            <w:shd w:val="clear" w:color="auto" w:fill="auto"/>
            <w:noWrap/>
            <w:vAlign w:val="bottom"/>
            <w:hideMark/>
          </w:tcPr>
          <w:p w14:paraId="45E2130C" w14:textId="77777777" w:rsidR="006F1DDE" w:rsidRDefault="006F1DDE">
            <w:pPr>
              <w:jc w:val="center"/>
              <w:rPr>
                <w:rFonts w:ascii="Calibri" w:hAnsi="Calibri" w:cs="Calibri"/>
                <w:color w:val="000000"/>
              </w:rPr>
            </w:pPr>
            <w:r>
              <w:rPr>
                <w:rFonts w:ascii="Calibri" w:hAnsi="Calibri" w:cs="Calibri"/>
                <w:color w:val="000000"/>
              </w:rPr>
              <w:t>0.05</w:t>
            </w:r>
          </w:p>
        </w:tc>
        <w:tc>
          <w:tcPr>
            <w:tcW w:w="709" w:type="dxa"/>
            <w:tcBorders>
              <w:top w:val="nil"/>
              <w:left w:val="nil"/>
              <w:bottom w:val="nil"/>
              <w:right w:val="nil"/>
            </w:tcBorders>
            <w:shd w:val="clear" w:color="auto" w:fill="auto"/>
            <w:noWrap/>
            <w:vAlign w:val="bottom"/>
            <w:hideMark/>
          </w:tcPr>
          <w:p w14:paraId="0D0184A9" w14:textId="77777777" w:rsidR="006F1DDE" w:rsidRDefault="006F1DDE">
            <w:pPr>
              <w:jc w:val="center"/>
              <w:rPr>
                <w:rFonts w:ascii="Calibri" w:hAnsi="Calibri" w:cs="Calibri"/>
                <w:color w:val="000000"/>
              </w:rPr>
            </w:pPr>
            <w:r>
              <w:rPr>
                <w:rFonts w:ascii="Calibri" w:hAnsi="Calibri" w:cs="Calibri"/>
                <w:color w:val="000000"/>
              </w:rPr>
              <w:t>2.72</w:t>
            </w:r>
          </w:p>
        </w:tc>
      </w:tr>
      <w:tr w:rsidR="006F1DDE" w14:paraId="40AF447E" w14:textId="77777777" w:rsidTr="00184224">
        <w:trPr>
          <w:trHeight w:val="300"/>
        </w:trPr>
        <w:tc>
          <w:tcPr>
            <w:tcW w:w="1200" w:type="dxa"/>
            <w:tcBorders>
              <w:top w:val="nil"/>
              <w:left w:val="nil"/>
              <w:bottom w:val="single" w:sz="4" w:space="0" w:color="auto"/>
              <w:right w:val="nil"/>
            </w:tcBorders>
            <w:shd w:val="clear" w:color="auto" w:fill="auto"/>
            <w:noWrap/>
            <w:vAlign w:val="bottom"/>
            <w:hideMark/>
          </w:tcPr>
          <w:p w14:paraId="6DFCE961" w14:textId="77777777" w:rsidR="006F1DDE" w:rsidRDefault="006F1DDE">
            <w:pPr>
              <w:jc w:val="center"/>
              <w:rPr>
                <w:rFonts w:ascii="Calibri" w:hAnsi="Calibri" w:cs="Calibri"/>
                <w:color w:val="000000"/>
              </w:rPr>
            </w:pPr>
            <w:r>
              <w:rPr>
                <w:rFonts w:ascii="Calibri" w:hAnsi="Calibri" w:cs="Calibri"/>
                <w:color w:val="000000"/>
              </w:rPr>
              <w:t>HDA</w:t>
            </w:r>
          </w:p>
        </w:tc>
        <w:tc>
          <w:tcPr>
            <w:tcW w:w="1200" w:type="dxa"/>
            <w:tcBorders>
              <w:top w:val="nil"/>
              <w:left w:val="nil"/>
              <w:bottom w:val="single" w:sz="4" w:space="0" w:color="auto"/>
              <w:right w:val="nil"/>
            </w:tcBorders>
            <w:shd w:val="clear" w:color="auto" w:fill="auto"/>
            <w:noWrap/>
            <w:vAlign w:val="bottom"/>
            <w:hideMark/>
          </w:tcPr>
          <w:p w14:paraId="1A921E7C" w14:textId="77777777" w:rsidR="006F1DDE" w:rsidRDefault="006F1DDE">
            <w:pPr>
              <w:jc w:val="center"/>
              <w:rPr>
                <w:rFonts w:ascii="Calibri" w:hAnsi="Calibri" w:cs="Calibri"/>
                <w:color w:val="000000"/>
              </w:rPr>
            </w:pPr>
            <w:r>
              <w:rPr>
                <w:rFonts w:ascii="Calibri" w:hAnsi="Calibri" w:cs="Calibri"/>
                <w:color w:val="000000"/>
              </w:rPr>
              <w:t>2018-2022</w:t>
            </w:r>
          </w:p>
        </w:tc>
        <w:tc>
          <w:tcPr>
            <w:tcW w:w="1200" w:type="dxa"/>
            <w:tcBorders>
              <w:top w:val="nil"/>
              <w:left w:val="nil"/>
              <w:bottom w:val="single" w:sz="4" w:space="0" w:color="auto"/>
              <w:right w:val="nil"/>
            </w:tcBorders>
            <w:shd w:val="clear" w:color="auto" w:fill="auto"/>
            <w:noWrap/>
            <w:vAlign w:val="bottom"/>
            <w:hideMark/>
          </w:tcPr>
          <w:p w14:paraId="72A8326B" w14:textId="77777777" w:rsidR="006F1DDE" w:rsidRDefault="006F1DDE">
            <w:pPr>
              <w:jc w:val="center"/>
              <w:rPr>
                <w:rFonts w:ascii="Calibri" w:hAnsi="Calibri" w:cs="Calibri"/>
                <w:color w:val="000000"/>
              </w:rPr>
            </w:pPr>
            <w:r>
              <w:rPr>
                <w:rFonts w:ascii="Calibri" w:hAnsi="Calibri" w:cs="Calibri"/>
                <w:color w:val="000000"/>
              </w:rPr>
              <w:t>11(3)</w:t>
            </w:r>
          </w:p>
        </w:tc>
        <w:tc>
          <w:tcPr>
            <w:tcW w:w="936" w:type="dxa"/>
            <w:tcBorders>
              <w:top w:val="nil"/>
              <w:left w:val="nil"/>
              <w:bottom w:val="single" w:sz="4" w:space="0" w:color="auto"/>
              <w:right w:val="nil"/>
            </w:tcBorders>
            <w:shd w:val="clear" w:color="auto" w:fill="auto"/>
            <w:noWrap/>
            <w:vAlign w:val="bottom"/>
            <w:hideMark/>
          </w:tcPr>
          <w:p w14:paraId="39A315A1" w14:textId="77777777" w:rsidR="006F1DDE" w:rsidRDefault="006F1DDE">
            <w:pPr>
              <w:jc w:val="center"/>
              <w:rPr>
                <w:rFonts w:ascii="Calibri" w:hAnsi="Calibri" w:cs="Calibri"/>
                <w:color w:val="000000"/>
              </w:rPr>
            </w:pPr>
            <w:r>
              <w:rPr>
                <w:rFonts w:ascii="Calibri" w:hAnsi="Calibri" w:cs="Calibri"/>
                <w:color w:val="000000"/>
              </w:rPr>
              <w:t>0.59</w:t>
            </w:r>
          </w:p>
        </w:tc>
        <w:tc>
          <w:tcPr>
            <w:tcW w:w="709" w:type="dxa"/>
            <w:tcBorders>
              <w:top w:val="nil"/>
              <w:left w:val="nil"/>
              <w:bottom w:val="single" w:sz="4" w:space="0" w:color="auto"/>
              <w:right w:val="nil"/>
            </w:tcBorders>
            <w:shd w:val="clear" w:color="auto" w:fill="auto"/>
            <w:noWrap/>
            <w:vAlign w:val="bottom"/>
            <w:hideMark/>
          </w:tcPr>
          <w:p w14:paraId="4081848D" w14:textId="77777777" w:rsidR="006F1DDE" w:rsidRDefault="006F1DDE">
            <w:pPr>
              <w:jc w:val="center"/>
              <w:rPr>
                <w:rFonts w:ascii="Calibri" w:hAnsi="Calibri" w:cs="Calibri"/>
                <w:color w:val="000000"/>
              </w:rPr>
            </w:pPr>
            <w:r>
              <w:rPr>
                <w:rFonts w:ascii="Calibri" w:hAnsi="Calibri" w:cs="Calibri"/>
                <w:color w:val="000000"/>
              </w:rPr>
              <w:t>0.10</w:t>
            </w:r>
          </w:p>
        </w:tc>
        <w:tc>
          <w:tcPr>
            <w:tcW w:w="1134" w:type="dxa"/>
            <w:tcBorders>
              <w:top w:val="nil"/>
              <w:left w:val="nil"/>
              <w:bottom w:val="single" w:sz="4" w:space="0" w:color="auto"/>
              <w:right w:val="nil"/>
            </w:tcBorders>
            <w:shd w:val="clear" w:color="auto" w:fill="auto"/>
            <w:noWrap/>
            <w:vAlign w:val="bottom"/>
            <w:hideMark/>
          </w:tcPr>
          <w:p w14:paraId="43C6DE81" w14:textId="77777777" w:rsidR="006F1DDE" w:rsidRDefault="006F1DDE">
            <w:pPr>
              <w:jc w:val="center"/>
              <w:rPr>
                <w:rFonts w:ascii="Calibri" w:hAnsi="Calibri" w:cs="Calibri"/>
                <w:color w:val="000000"/>
              </w:rPr>
            </w:pPr>
            <w:r>
              <w:rPr>
                <w:rFonts w:ascii="Calibri" w:hAnsi="Calibri" w:cs="Calibri"/>
                <w:color w:val="000000"/>
              </w:rPr>
              <w:t>0.71*</w:t>
            </w:r>
          </w:p>
        </w:tc>
        <w:tc>
          <w:tcPr>
            <w:tcW w:w="709" w:type="dxa"/>
            <w:tcBorders>
              <w:top w:val="nil"/>
              <w:left w:val="nil"/>
              <w:bottom w:val="single" w:sz="4" w:space="0" w:color="auto"/>
              <w:right w:val="nil"/>
            </w:tcBorders>
            <w:shd w:val="clear" w:color="auto" w:fill="auto"/>
            <w:noWrap/>
            <w:vAlign w:val="bottom"/>
            <w:hideMark/>
          </w:tcPr>
          <w:p w14:paraId="3F52C711" w14:textId="77777777" w:rsidR="006F1DDE" w:rsidRDefault="006F1DDE">
            <w:pPr>
              <w:jc w:val="center"/>
              <w:rPr>
                <w:rFonts w:ascii="Calibri" w:hAnsi="Calibri" w:cs="Calibri"/>
                <w:color w:val="000000"/>
              </w:rPr>
            </w:pPr>
            <w:r>
              <w:rPr>
                <w:rFonts w:ascii="Calibri" w:hAnsi="Calibri" w:cs="Calibri"/>
                <w:color w:val="000000"/>
              </w:rPr>
              <w:t>0.05</w:t>
            </w:r>
          </w:p>
        </w:tc>
        <w:tc>
          <w:tcPr>
            <w:tcW w:w="1134" w:type="dxa"/>
            <w:tcBorders>
              <w:top w:val="nil"/>
              <w:left w:val="nil"/>
              <w:bottom w:val="single" w:sz="4" w:space="0" w:color="auto"/>
              <w:right w:val="nil"/>
            </w:tcBorders>
            <w:shd w:val="clear" w:color="auto" w:fill="auto"/>
            <w:noWrap/>
            <w:vAlign w:val="bottom"/>
            <w:hideMark/>
          </w:tcPr>
          <w:p w14:paraId="65ABA699" w14:textId="3B1D803A" w:rsidR="006F1DDE" w:rsidRDefault="006F1DDE">
            <w:pPr>
              <w:jc w:val="center"/>
              <w:rPr>
                <w:rFonts w:ascii="Calibri" w:hAnsi="Calibri" w:cs="Calibri"/>
                <w:color w:val="000000"/>
              </w:rPr>
            </w:pPr>
            <w:r>
              <w:rPr>
                <w:rFonts w:ascii="Calibri" w:hAnsi="Calibri" w:cs="Calibri"/>
                <w:color w:val="000000"/>
              </w:rPr>
              <w:t>0.18*</w:t>
            </w:r>
          </w:p>
        </w:tc>
        <w:tc>
          <w:tcPr>
            <w:tcW w:w="567" w:type="dxa"/>
            <w:tcBorders>
              <w:top w:val="nil"/>
              <w:left w:val="nil"/>
              <w:bottom w:val="single" w:sz="4" w:space="0" w:color="auto"/>
              <w:right w:val="nil"/>
            </w:tcBorders>
            <w:shd w:val="clear" w:color="auto" w:fill="auto"/>
            <w:noWrap/>
            <w:vAlign w:val="bottom"/>
            <w:hideMark/>
          </w:tcPr>
          <w:p w14:paraId="05232A1B" w14:textId="77777777" w:rsidR="006F1DDE" w:rsidRDefault="006F1DDE">
            <w:pPr>
              <w:jc w:val="center"/>
              <w:rPr>
                <w:rFonts w:ascii="Calibri" w:hAnsi="Calibri" w:cs="Calibri"/>
                <w:color w:val="000000"/>
              </w:rPr>
            </w:pPr>
            <w:r>
              <w:rPr>
                <w:rFonts w:ascii="Calibri" w:hAnsi="Calibri" w:cs="Calibri"/>
                <w:color w:val="000000"/>
              </w:rPr>
              <w:t>0.12</w:t>
            </w:r>
          </w:p>
        </w:tc>
        <w:tc>
          <w:tcPr>
            <w:tcW w:w="709" w:type="dxa"/>
            <w:tcBorders>
              <w:top w:val="nil"/>
              <w:left w:val="nil"/>
              <w:bottom w:val="single" w:sz="4" w:space="0" w:color="auto"/>
              <w:right w:val="nil"/>
            </w:tcBorders>
            <w:shd w:val="clear" w:color="auto" w:fill="auto"/>
            <w:noWrap/>
            <w:vAlign w:val="bottom"/>
            <w:hideMark/>
          </w:tcPr>
          <w:p w14:paraId="3112FE37" w14:textId="77777777" w:rsidR="006F1DDE" w:rsidRDefault="006F1DDE">
            <w:pPr>
              <w:jc w:val="center"/>
              <w:rPr>
                <w:rFonts w:ascii="Calibri" w:hAnsi="Calibri" w:cs="Calibri"/>
                <w:color w:val="000000"/>
              </w:rPr>
            </w:pPr>
            <w:r>
              <w:rPr>
                <w:rFonts w:ascii="Calibri" w:hAnsi="Calibri" w:cs="Calibri"/>
                <w:color w:val="000000"/>
              </w:rPr>
              <w:t>3.59</w:t>
            </w:r>
          </w:p>
        </w:tc>
      </w:tr>
      <w:tr w:rsidR="006F1DDE" w14:paraId="2D7E9B7E" w14:textId="77777777" w:rsidTr="00184224">
        <w:trPr>
          <w:trHeight w:val="300"/>
        </w:trPr>
        <w:tc>
          <w:tcPr>
            <w:tcW w:w="1200" w:type="dxa"/>
            <w:tcBorders>
              <w:top w:val="nil"/>
              <w:left w:val="nil"/>
              <w:bottom w:val="nil"/>
              <w:right w:val="nil"/>
            </w:tcBorders>
            <w:shd w:val="clear" w:color="auto" w:fill="auto"/>
            <w:noWrap/>
            <w:vAlign w:val="bottom"/>
            <w:hideMark/>
          </w:tcPr>
          <w:p w14:paraId="1EE37EAD" w14:textId="77777777" w:rsidR="006F1DDE" w:rsidRDefault="006F1DDE">
            <w:pPr>
              <w:jc w:val="center"/>
              <w:rPr>
                <w:rFonts w:ascii="Calibri" w:hAnsi="Calibri" w:cs="Calibri"/>
                <w:color w:val="000000"/>
              </w:rPr>
            </w:pPr>
            <w:r>
              <w:rPr>
                <w:rFonts w:ascii="Calibri" w:hAnsi="Calibri" w:cs="Calibri"/>
                <w:color w:val="000000"/>
              </w:rPr>
              <w:t>JBL</w:t>
            </w:r>
          </w:p>
        </w:tc>
        <w:tc>
          <w:tcPr>
            <w:tcW w:w="1200" w:type="dxa"/>
            <w:tcBorders>
              <w:top w:val="nil"/>
              <w:left w:val="nil"/>
              <w:bottom w:val="nil"/>
              <w:right w:val="nil"/>
            </w:tcBorders>
            <w:shd w:val="clear" w:color="auto" w:fill="auto"/>
            <w:noWrap/>
            <w:vAlign w:val="bottom"/>
            <w:hideMark/>
          </w:tcPr>
          <w:p w14:paraId="187F71B7" w14:textId="77777777" w:rsidR="006F1DDE" w:rsidRDefault="006F1DDE">
            <w:pPr>
              <w:jc w:val="center"/>
              <w:rPr>
                <w:rFonts w:ascii="Calibri" w:hAnsi="Calibri" w:cs="Calibri"/>
                <w:color w:val="000000"/>
              </w:rPr>
            </w:pPr>
            <w:r>
              <w:rPr>
                <w:rFonts w:ascii="Calibri" w:hAnsi="Calibri" w:cs="Calibri"/>
                <w:color w:val="000000"/>
              </w:rPr>
              <w:t>2011-2012</w:t>
            </w:r>
          </w:p>
        </w:tc>
        <w:tc>
          <w:tcPr>
            <w:tcW w:w="1200" w:type="dxa"/>
            <w:tcBorders>
              <w:top w:val="nil"/>
              <w:left w:val="nil"/>
              <w:bottom w:val="nil"/>
              <w:right w:val="nil"/>
            </w:tcBorders>
            <w:shd w:val="clear" w:color="auto" w:fill="auto"/>
            <w:noWrap/>
            <w:vAlign w:val="bottom"/>
            <w:hideMark/>
          </w:tcPr>
          <w:p w14:paraId="6C3A3C2A" w14:textId="77777777" w:rsidR="006F1DDE" w:rsidRDefault="006F1DDE">
            <w:pPr>
              <w:jc w:val="center"/>
              <w:rPr>
                <w:rFonts w:ascii="Calibri" w:hAnsi="Calibri" w:cs="Calibri"/>
                <w:color w:val="000000"/>
              </w:rPr>
            </w:pPr>
            <w:r>
              <w:rPr>
                <w:rFonts w:ascii="Calibri" w:hAnsi="Calibri" w:cs="Calibri"/>
                <w:color w:val="000000"/>
              </w:rPr>
              <w:t>11(5)</w:t>
            </w:r>
          </w:p>
        </w:tc>
        <w:tc>
          <w:tcPr>
            <w:tcW w:w="936" w:type="dxa"/>
            <w:tcBorders>
              <w:top w:val="nil"/>
              <w:left w:val="nil"/>
              <w:bottom w:val="nil"/>
              <w:right w:val="nil"/>
            </w:tcBorders>
            <w:shd w:val="clear" w:color="auto" w:fill="auto"/>
            <w:noWrap/>
            <w:vAlign w:val="bottom"/>
            <w:hideMark/>
          </w:tcPr>
          <w:p w14:paraId="11230A6D" w14:textId="77777777" w:rsidR="006F1DDE" w:rsidRDefault="006F1DDE">
            <w:pPr>
              <w:jc w:val="center"/>
              <w:rPr>
                <w:rFonts w:ascii="Calibri" w:hAnsi="Calibri" w:cs="Calibri"/>
                <w:color w:val="000000"/>
              </w:rPr>
            </w:pPr>
            <w:r>
              <w:rPr>
                <w:rFonts w:ascii="Calibri" w:hAnsi="Calibri" w:cs="Calibri"/>
                <w:color w:val="000000"/>
              </w:rPr>
              <w:t>0.55</w:t>
            </w:r>
          </w:p>
        </w:tc>
        <w:tc>
          <w:tcPr>
            <w:tcW w:w="709" w:type="dxa"/>
            <w:tcBorders>
              <w:top w:val="nil"/>
              <w:left w:val="nil"/>
              <w:bottom w:val="nil"/>
              <w:right w:val="nil"/>
            </w:tcBorders>
            <w:shd w:val="clear" w:color="auto" w:fill="auto"/>
            <w:noWrap/>
            <w:vAlign w:val="bottom"/>
            <w:hideMark/>
          </w:tcPr>
          <w:p w14:paraId="0853B21F" w14:textId="77777777" w:rsidR="006F1DDE" w:rsidRDefault="006F1DDE">
            <w:pPr>
              <w:jc w:val="center"/>
              <w:rPr>
                <w:rFonts w:ascii="Calibri" w:hAnsi="Calibri" w:cs="Calibri"/>
                <w:color w:val="000000"/>
              </w:rPr>
            </w:pPr>
            <w:r>
              <w:rPr>
                <w:rFonts w:ascii="Calibri" w:hAnsi="Calibri" w:cs="Calibri"/>
                <w:color w:val="000000"/>
              </w:rPr>
              <w:t>0.08</w:t>
            </w:r>
          </w:p>
        </w:tc>
        <w:tc>
          <w:tcPr>
            <w:tcW w:w="1134" w:type="dxa"/>
            <w:tcBorders>
              <w:top w:val="nil"/>
              <w:left w:val="nil"/>
              <w:bottom w:val="nil"/>
              <w:right w:val="nil"/>
            </w:tcBorders>
            <w:shd w:val="clear" w:color="auto" w:fill="auto"/>
            <w:noWrap/>
            <w:vAlign w:val="bottom"/>
            <w:hideMark/>
          </w:tcPr>
          <w:p w14:paraId="0DE4FD6C" w14:textId="77777777" w:rsidR="006F1DDE" w:rsidRDefault="006F1DDE">
            <w:pPr>
              <w:jc w:val="center"/>
              <w:rPr>
                <w:rFonts w:ascii="Calibri" w:hAnsi="Calibri" w:cs="Calibri"/>
                <w:color w:val="000000"/>
              </w:rPr>
            </w:pPr>
            <w:r>
              <w:rPr>
                <w:rFonts w:ascii="Calibri" w:hAnsi="Calibri" w:cs="Calibri"/>
                <w:color w:val="000000"/>
              </w:rPr>
              <w:t>0.52*</w:t>
            </w:r>
          </w:p>
        </w:tc>
        <w:tc>
          <w:tcPr>
            <w:tcW w:w="709" w:type="dxa"/>
            <w:tcBorders>
              <w:top w:val="nil"/>
              <w:left w:val="nil"/>
              <w:bottom w:val="nil"/>
              <w:right w:val="nil"/>
            </w:tcBorders>
            <w:shd w:val="clear" w:color="auto" w:fill="auto"/>
            <w:noWrap/>
            <w:vAlign w:val="bottom"/>
            <w:hideMark/>
          </w:tcPr>
          <w:p w14:paraId="24DAC784" w14:textId="77777777" w:rsidR="006F1DDE" w:rsidRDefault="006F1DDE">
            <w:pPr>
              <w:jc w:val="center"/>
              <w:rPr>
                <w:rFonts w:ascii="Calibri" w:hAnsi="Calibri" w:cs="Calibri"/>
                <w:color w:val="000000"/>
              </w:rPr>
            </w:pPr>
            <w:r>
              <w:rPr>
                <w:rFonts w:ascii="Calibri" w:hAnsi="Calibri" w:cs="Calibri"/>
                <w:color w:val="000000"/>
              </w:rPr>
              <w:t>0.08</w:t>
            </w:r>
          </w:p>
        </w:tc>
        <w:tc>
          <w:tcPr>
            <w:tcW w:w="1134" w:type="dxa"/>
            <w:tcBorders>
              <w:top w:val="nil"/>
              <w:left w:val="nil"/>
              <w:bottom w:val="nil"/>
              <w:right w:val="nil"/>
            </w:tcBorders>
            <w:shd w:val="clear" w:color="auto" w:fill="auto"/>
            <w:noWrap/>
            <w:vAlign w:val="bottom"/>
            <w:hideMark/>
          </w:tcPr>
          <w:p w14:paraId="7824DE07" w14:textId="75CCF76D" w:rsidR="006F1DDE" w:rsidRDefault="006F1DDE">
            <w:pPr>
              <w:jc w:val="center"/>
              <w:rPr>
                <w:rFonts w:ascii="Calibri" w:hAnsi="Calibri" w:cs="Calibri"/>
                <w:color w:val="000000"/>
              </w:rPr>
            </w:pPr>
            <w:r>
              <w:rPr>
                <w:rFonts w:ascii="Calibri" w:hAnsi="Calibri" w:cs="Calibri"/>
                <w:color w:val="000000"/>
              </w:rPr>
              <w:t>-0.07*</w:t>
            </w:r>
          </w:p>
        </w:tc>
        <w:tc>
          <w:tcPr>
            <w:tcW w:w="567" w:type="dxa"/>
            <w:tcBorders>
              <w:top w:val="nil"/>
              <w:left w:val="nil"/>
              <w:bottom w:val="nil"/>
              <w:right w:val="nil"/>
            </w:tcBorders>
            <w:shd w:val="clear" w:color="auto" w:fill="auto"/>
            <w:noWrap/>
            <w:vAlign w:val="bottom"/>
            <w:hideMark/>
          </w:tcPr>
          <w:p w14:paraId="3966B2E5" w14:textId="77777777" w:rsidR="006F1DDE" w:rsidRDefault="006F1DDE">
            <w:pPr>
              <w:jc w:val="center"/>
              <w:rPr>
                <w:rFonts w:ascii="Calibri" w:hAnsi="Calibri" w:cs="Calibri"/>
                <w:color w:val="000000"/>
              </w:rPr>
            </w:pPr>
            <w:r>
              <w:rPr>
                <w:rFonts w:ascii="Calibri" w:hAnsi="Calibri" w:cs="Calibri"/>
                <w:color w:val="000000"/>
              </w:rPr>
              <w:t>0.09</w:t>
            </w:r>
          </w:p>
        </w:tc>
        <w:tc>
          <w:tcPr>
            <w:tcW w:w="709" w:type="dxa"/>
            <w:tcBorders>
              <w:top w:val="nil"/>
              <w:left w:val="nil"/>
              <w:bottom w:val="nil"/>
              <w:right w:val="nil"/>
            </w:tcBorders>
            <w:shd w:val="clear" w:color="auto" w:fill="auto"/>
            <w:noWrap/>
            <w:vAlign w:val="bottom"/>
            <w:hideMark/>
          </w:tcPr>
          <w:p w14:paraId="33E9DAE0" w14:textId="77777777" w:rsidR="006F1DDE" w:rsidRDefault="006F1DDE">
            <w:pPr>
              <w:jc w:val="center"/>
              <w:rPr>
                <w:rFonts w:ascii="Calibri" w:hAnsi="Calibri" w:cs="Calibri"/>
                <w:color w:val="000000"/>
              </w:rPr>
            </w:pPr>
            <w:r>
              <w:rPr>
                <w:rFonts w:ascii="Calibri" w:hAnsi="Calibri" w:cs="Calibri"/>
                <w:color w:val="000000"/>
              </w:rPr>
              <w:t>2.64</w:t>
            </w:r>
          </w:p>
        </w:tc>
      </w:tr>
      <w:tr w:rsidR="006F1DDE" w14:paraId="14699190" w14:textId="77777777" w:rsidTr="00184224">
        <w:trPr>
          <w:trHeight w:val="300"/>
        </w:trPr>
        <w:tc>
          <w:tcPr>
            <w:tcW w:w="1200" w:type="dxa"/>
            <w:tcBorders>
              <w:top w:val="nil"/>
              <w:left w:val="nil"/>
              <w:bottom w:val="single" w:sz="4" w:space="0" w:color="auto"/>
              <w:right w:val="nil"/>
            </w:tcBorders>
            <w:shd w:val="clear" w:color="auto" w:fill="auto"/>
            <w:noWrap/>
            <w:vAlign w:val="bottom"/>
            <w:hideMark/>
          </w:tcPr>
          <w:p w14:paraId="6D1FFBA0" w14:textId="77777777" w:rsidR="006F1DDE" w:rsidRDefault="006F1DDE">
            <w:pPr>
              <w:jc w:val="center"/>
              <w:rPr>
                <w:rFonts w:ascii="Calibri" w:hAnsi="Calibri" w:cs="Calibri"/>
                <w:color w:val="000000"/>
              </w:rPr>
            </w:pPr>
            <w:r>
              <w:rPr>
                <w:rFonts w:ascii="Calibri" w:hAnsi="Calibri" w:cs="Calibri"/>
                <w:color w:val="000000"/>
              </w:rPr>
              <w:t>JBL</w:t>
            </w:r>
          </w:p>
        </w:tc>
        <w:tc>
          <w:tcPr>
            <w:tcW w:w="1200" w:type="dxa"/>
            <w:tcBorders>
              <w:top w:val="nil"/>
              <w:left w:val="nil"/>
              <w:bottom w:val="single" w:sz="4" w:space="0" w:color="auto"/>
              <w:right w:val="nil"/>
            </w:tcBorders>
            <w:shd w:val="clear" w:color="auto" w:fill="auto"/>
            <w:noWrap/>
            <w:vAlign w:val="bottom"/>
            <w:hideMark/>
          </w:tcPr>
          <w:p w14:paraId="7F051492" w14:textId="77777777" w:rsidR="006F1DDE" w:rsidRDefault="006F1DDE">
            <w:pPr>
              <w:jc w:val="center"/>
              <w:rPr>
                <w:rFonts w:ascii="Calibri" w:hAnsi="Calibri" w:cs="Calibri"/>
                <w:color w:val="000000"/>
              </w:rPr>
            </w:pPr>
            <w:r>
              <w:rPr>
                <w:rFonts w:ascii="Calibri" w:hAnsi="Calibri" w:cs="Calibri"/>
                <w:color w:val="000000"/>
              </w:rPr>
              <w:t>2018-2022</w:t>
            </w:r>
          </w:p>
        </w:tc>
        <w:tc>
          <w:tcPr>
            <w:tcW w:w="1200" w:type="dxa"/>
            <w:tcBorders>
              <w:top w:val="nil"/>
              <w:left w:val="nil"/>
              <w:bottom w:val="single" w:sz="4" w:space="0" w:color="auto"/>
              <w:right w:val="nil"/>
            </w:tcBorders>
            <w:shd w:val="clear" w:color="auto" w:fill="auto"/>
            <w:noWrap/>
            <w:vAlign w:val="bottom"/>
            <w:hideMark/>
          </w:tcPr>
          <w:p w14:paraId="00F3112A" w14:textId="77777777" w:rsidR="006F1DDE" w:rsidRDefault="006F1DDE">
            <w:pPr>
              <w:jc w:val="center"/>
              <w:rPr>
                <w:rFonts w:ascii="Calibri" w:hAnsi="Calibri" w:cs="Calibri"/>
                <w:color w:val="000000"/>
              </w:rPr>
            </w:pPr>
            <w:r>
              <w:rPr>
                <w:rFonts w:ascii="Calibri" w:hAnsi="Calibri" w:cs="Calibri"/>
                <w:color w:val="000000"/>
              </w:rPr>
              <w:t>12(4)</w:t>
            </w:r>
          </w:p>
        </w:tc>
        <w:tc>
          <w:tcPr>
            <w:tcW w:w="936" w:type="dxa"/>
            <w:tcBorders>
              <w:top w:val="nil"/>
              <w:left w:val="nil"/>
              <w:bottom w:val="single" w:sz="4" w:space="0" w:color="auto"/>
              <w:right w:val="nil"/>
            </w:tcBorders>
            <w:shd w:val="clear" w:color="auto" w:fill="auto"/>
            <w:noWrap/>
            <w:vAlign w:val="bottom"/>
            <w:hideMark/>
          </w:tcPr>
          <w:p w14:paraId="07E62FEF" w14:textId="77777777" w:rsidR="006F1DDE" w:rsidRDefault="006F1DDE">
            <w:pPr>
              <w:jc w:val="center"/>
              <w:rPr>
                <w:rFonts w:ascii="Calibri" w:hAnsi="Calibri" w:cs="Calibri"/>
                <w:color w:val="000000"/>
              </w:rPr>
            </w:pPr>
            <w:r>
              <w:rPr>
                <w:rFonts w:ascii="Calibri" w:hAnsi="Calibri" w:cs="Calibri"/>
                <w:color w:val="000000"/>
              </w:rPr>
              <w:t>0.57</w:t>
            </w:r>
          </w:p>
        </w:tc>
        <w:tc>
          <w:tcPr>
            <w:tcW w:w="709" w:type="dxa"/>
            <w:tcBorders>
              <w:top w:val="nil"/>
              <w:left w:val="nil"/>
              <w:bottom w:val="single" w:sz="4" w:space="0" w:color="auto"/>
              <w:right w:val="nil"/>
            </w:tcBorders>
            <w:shd w:val="clear" w:color="auto" w:fill="auto"/>
            <w:noWrap/>
            <w:vAlign w:val="bottom"/>
            <w:hideMark/>
          </w:tcPr>
          <w:p w14:paraId="24C995BB" w14:textId="77777777" w:rsidR="006F1DDE" w:rsidRDefault="006F1DDE">
            <w:pPr>
              <w:jc w:val="center"/>
              <w:rPr>
                <w:rFonts w:ascii="Calibri" w:hAnsi="Calibri" w:cs="Calibri"/>
                <w:color w:val="000000"/>
              </w:rPr>
            </w:pPr>
            <w:r>
              <w:rPr>
                <w:rFonts w:ascii="Calibri" w:hAnsi="Calibri" w:cs="Calibri"/>
                <w:color w:val="000000"/>
              </w:rPr>
              <w:t>0.11</w:t>
            </w:r>
          </w:p>
        </w:tc>
        <w:tc>
          <w:tcPr>
            <w:tcW w:w="1134" w:type="dxa"/>
            <w:tcBorders>
              <w:top w:val="nil"/>
              <w:left w:val="nil"/>
              <w:bottom w:val="single" w:sz="4" w:space="0" w:color="auto"/>
              <w:right w:val="nil"/>
            </w:tcBorders>
            <w:shd w:val="clear" w:color="auto" w:fill="auto"/>
            <w:noWrap/>
            <w:vAlign w:val="bottom"/>
            <w:hideMark/>
          </w:tcPr>
          <w:p w14:paraId="6481E4DC" w14:textId="77777777" w:rsidR="006F1DDE" w:rsidRDefault="006F1DDE">
            <w:pPr>
              <w:jc w:val="center"/>
              <w:rPr>
                <w:rFonts w:ascii="Calibri" w:hAnsi="Calibri" w:cs="Calibri"/>
                <w:color w:val="000000"/>
              </w:rPr>
            </w:pPr>
            <w:r>
              <w:rPr>
                <w:rFonts w:ascii="Calibri" w:hAnsi="Calibri" w:cs="Calibri"/>
                <w:color w:val="000000"/>
              </w:rPr>
              <w:t>0.68*</w:t>
            </w:r>
          </w:p>
        </w:tc>
        <w:tc>
          <w:tcPr>
            <w:tcW w:w="709" w:type="dxa"/>
            <w:tcBorders>
              <w:top w:val="nil"/>
              <w:left w:val="nil"/>
              <w:bottom w:val="single" w:sz="4" w:space="0" w:color="auto"/>
              <w:right w:val="nil"/>
            </w:tcBorders>
            <w:shd w:val="clear" w:color="auto" w:fill="auto"/>
            <w:noWrap/>
            <w:vAlign w:val="bottom"/>
            <w:hideMark/>
          </w:tcPr>
          <w:p w14:paraId="6635BDC6" w14:textId="77777777" w:rsidR="006F1DDE" w:rsidRDefault="006F1DDE">
            <w:pPr>
              <w:jc w:val="center"/>
              <w:rPr>
                <w:rFonts w:ascii="Calibri" w:hAnsi="Calibri" w:cs="Calibri"/>
                <w:color w:val="000000"/>
              </w:rPr>
            </w:pPr>
            <w:r>
              <w:rPr>
                <w:rFonts w:ascii="Calibri" w:hAnsi="Calibri" w:cs="Calibri"/>
                <w:color w:val="000000"/>
              </w:rPr>
              <w:t>0.06</w:t>
            </w:r>
          </w:p>
        </w:tc>
        <w:tc>
          <w:tcPr>
            <w:tcW w:w="1134" w:type="dxa"/>
            <w:tcBorders>
              <w:top w:val="nil"/>
              <w:left w:val="nil"/>
              <w:bottom w:val="single" w:sz="4" w:space="0" w:color="auto"/>
              <w:right w:val="nil"/>
            </w:tcBorders>
            <w:shd w:val="clear" w:color="auto" w:fill="auto"/>
            <w:noWrap/>
            <w:vAlign w:val="bottom"/>
            <w:hideMark/>
          </w:tcPr>
          <w:p w14:paraId="36BE4207" w14:textId="533CFFF1" w:rsidR="006F1DDE" w:rsidRDefault="006F1DDE">
            <w:pPr>
              <w:jc w:val="center"/>
              <w:rPr>
                <w:rFonts w:ascii="Calibri" w:hAnsi="Calibri" w:cs="Calibri"/>
                <w:color w:val="000000"/>
              </w:rPr>
            </w:pPr>
            <w:r>
              <w:rPr>
                <w:rFonts w:ascii="Calibri" w:hAnsi="Calibri" w:cs="Calibri"/>
                <w:color w:val="000000"/>
              </w:rPr>
              <w:t>0.22*</w:t>
            </w:r>
          </w:p>
        </w:tc>
        <w:tc>
          <w:tcPr>
            <w:tcW w:w="567" w:type="dxa"/>
            <w:tcBorders>
              <w:top w:val="nil"/>
              <w:left w:val="nil"/>
              <w:bottom w:val="single" w:sz="4" w:space="0" w:color="auto"/>
              <w:right w:val="nil"/>
            </w:tcBorders>
            <w:shd w:val="clear" w:color="auto" w:fill="auto"/>
            <w:noWrap/>
            <w:vAlign w:val="bottom"/>
            <w:hideMark/>
          </w:tcPr>
          <w:p w14:paraId="3BF7CC01" w14:textId="77777777" w:rsidR="006F1DDE" w:rsidRDefault="006F1DDE">
            <w:pPr>
              <w:jc w:val="center"/>
              <w:rPr>
                <w:rFonts w:ascii="Calibri" w:hAnsi="Calibri" w:cs="Calibri"/>
                <w:color w:val="000000"/>
              </w:rPr>
            </w:pPr>
            <w:r>
              <w:rPr>
                <w:rFonts w:ascii="Calibri" w:hAnsi="Calibri" w:cs="Calibri"/>
                <w:color w:val="000000"/>
              </w:rPr>
              <w:t>0.12</w:t>
            </w:r>
          </w:p>
        </w:tc>
        <w:tc>
          <w:tcPr>
            <w:tcW w:w="709" w:type="dxa"/>
            <w:tcBorders>
              <w:top w:val="nil"/>
              <w:left w:val="nil"/>
              <w:bottom w:val="single" w:sz="4" w:space="0" w:color="auto"/>
              <w:right w:val="nil"/>
            </w:tcBorders>
            <w:shd w:val="clear" w:color="auto" w:fill="auto"/>
            <w:noWrap/>
            <w:vAlign w:val="bottom"/>
            <w:hideMark/>
          </w:tcPr>
          <w:p w14:paraId="2C5A0474" w14:textId="77777777" w:rsidR="006F1DDE" w:rsidRDefault="006F1DDE">
            <w:pPr>
              <w:jc w:val="center"/>
              <w:rPr>
                <w:rFonts w:ascii="Calibri" w:hAnsi="Calibri" w:cs="Calibri"/>
                <w:color w:val="000000"/>
              </w:rPr>
            </w:pPr>
            <w:r>
              <w:rPr>
                <w:rFonts w:ascii="Calibri" w:hAnsi="Calibri" w:cs="Calibri"/>
                <w:color w:val="000000"/>
              </w:rPr>
              <w:t>3.48</w:t>
            </w:r>
          </w:p>
        </w:tc>
      </w:tr>
      <w:tr w:rsidR="006F1DDE" w14:paraId="46F2BCE4" w14:textId="77777777" w:rsidTr="00184224">
        <w:trPr>
          <w:trHeight w:val="300"/>
        </w:trPr>
        <w:tc>
          <w:tcPr>
            <w:tcW w:w="1200" w:type="dxa"/>
            <w:tcBorders>
              <w:top w:val="nil"/>
              <w:left w:val="nil"/>
              <w:bottom w:val="nil"/>
              <w:right w:val="nil"/>
            </w:tcBorders>
            <w:shd w:val="clear" w:color="auto" w:fill="auto"/>
            <w:noWrap/>
            <w:vAlign w:val="bottom"/>
            <w:hideMark/>
          </w:tcPr>
          <w:p w14:paraId="3101F65D" w14:textId="77777777" w:rsidR="006F1DDE" w:rsidRDefault="006F1DDE">
            <w:pPr>
              <w:jc w:val="center"/>
              <w:rPr>
                <w:rFonts w:ascii="Calibri" w:hAnsi="Calibri" w:cs="Calibri"/>
                <w:color w:val="000000"/>
              </w:rPr>
            </w:pPr>
            <w:r>
              <w:rPr>
                <w:rFonts w:ascii="Calibri" w:hAnsi="Calibri" w:cs="Calibri"/>
                <w:color w:val="000000"/>
              </w:rPr>
              <w:t>UCR</w:t>
            </w:r>
          </w:p>
        </w:tc>
        <w:tc>
          <w:tcPr>
            <w:tcW w:w="1200" w:type="dxa"/>
            <w:tcBorders>
              <w:top w:val="nil"/>
              <w:left w:val="nil"/>
              <w:bottom w:val="nil"/>
              <w:right w:val="nil"/>
            </w:tcBorders>
            <w:shd w:val="clear" w:color="auto" w:fill="auto"/>
            <w:noWrap/>
            <w:vAlign w:val="bottom"/>
            <w:hideMark/>
          </w:tcPr>
          <w:p w14:paraId="33551857" w14:textId="77777777" w:rsidR="006F1DDE" w:rsidRDefault="006F1DDE">
            <w:pPr>
              <w:jc w:val="center"/>
              <w:rPr>
                <w:rFonts w:ascii="Calibri" w:hAnsi="Calibri" w:cs="Calibri"/>
                <w:color w:val="000000"/>
              </w:rPr>
            </w:pPr>
            <w:r>
              <w:rPr>
                <w:rFonts w:ascii="Calibri" w:hAnsi="Calibri" w:cs="Calibri"/>
                <w:color w:val="000000"/>
              </w:rPr>
              <w:t>2011-2012</w:t>
            </w:r>
          </w:p>
        </w:tc>
        <w:tc>
          <w:tcPr>
            <w:tcW w:w="1200" w:type="dxa"/>
            <w:tcBorders>
              <w:top w:val="nil"/>
              <w:left w:val="nil"/>
              <w:bottom w:val="nil"/>
              <w:right w:val="nil"/>
            </w:tcBorders>
            <w:shd w:val="clear" w:color="auto" w:fill="auto"/>
            <w:noWrap/>
            <w:vAlign w:val="bottom"/>
            <w:hideMark/>
          </w:tcPr>
          <w:p w14:paraId="6293912D" w14:textId="77777777" w:rsidR="006F1DDE" w:rsidRDefault="006F1DDE">
            <w:pPr>
              <w:jc w:val="center"/>
              <w:rPr>
                <w:rFonts w:ascii="Calibri" w:hAnsi="Calibri" w:cs="Calibri"/>
                <w:color w:val="000000"/>
              </w:rPr>
            </w:pPr>
            <w:r>
              <w:rPr>
                <w:rFonts w:ascii="Calibri" w:hAnsi="Calibri" w:cs="Calibri"/>
                <w:color w:val="000000"/>
              </w:rPr>
              <w:t>12(2)</w:t>
            </w:r>
          </w:p>
        </w:tc>
        <w:tc>
          <w:tcPr>
            <w:tcW w:w="936" w:type="dxa"/>
            <w:tcBorders>
              <w:top w:val="nil"/>
              <w:left w:val="nil"/>
              <w:bottom w:val="nil"/>
              <w:right w:val="nil"/>
            </w:tcBorders>
            <w:shd w:val="clear" w:color="auto" w:fill="auto"/>
            <w:noWrap/>
            <w:vAlign w:val="bottom"/>
            <w:hideMark/>
          </w:tcPr>
          <w:p w14:paraId="523567CE" w14:textId="77777777" w:rsidR="006F1DDE" w:rsidRDefault="006F1DDE">
            <w:pPr>
              <w:jc w:val="center"/>
              <w:rPr>
                <w:rFonts w:ascii="Calibri" w:hAnsi="Calibri" w:cs="Calibri"/>
                <w:color w:val="000000"/>
              </w:rPr>
            </w:pPr>
            <w:r>
              <w:rPr>
                <w:rFonts w:ascii="Calibri" w:hAnsi="Calibri" w:cs="Calibri"/>
                <w:color w:val="000000"/>
              </w:rPr>
              <w:t>0.617*</w:t>
            </w:r>
          </w:p>
        </w:tc>
        <w:tc>
          <w:tcPr>
            <w:tcW w:w="709" w:type="dxa"/>
            <w:tcBorders>
              <w:top w:val="nil"/>
              <w:left w:val="nil"/>
              <w:bottom w:val="nil"/>
              <w:right w:val="nil"/>
            </w:tcBorders>
            <w:shd w:val="clear" w:color="auto" w:fill="auto"/>
            <w:noWrap/>
            <w:vAlign w:val="bottom"/>
            <w:hideMark/>
          </w:tcPr>
          <w:p w14:paraId="65DC185C" w14:textId="77777777" w:rsidR="006F1DDE" w:rsidRDefault="006F1DDE">
            <w:pPr>
              <w:jc w:val="center"/>
              <w:rPr>
                <w:rFonts w:ascii="Calibri" w:hAnsi="Calibri" w:cs="Calibri"/>
                <w:color w:val="000000"/>
              </w:rPr>
            </w:pPr>
            <w:r>
              <w:rPr>
                <w:rFonts w:ascii="Calibri" w:hAnsi="Calibri" w:cs="Calibri"/>
                <w:color w:val="000000"/>
              </w:rPr>
              <w:t>0.13</w:t>
            </w:r>
          </w:p>
        </w:tc>
        <w:tc>
          <w:tcPr>
            <w:tcW w:w="1134" w:type="dxa"/>
            <w:tcBorders>
              <w:top w:val="nil"/>
              <w:left w:val="nil"/>
              <w:bottom w:val="nil"/>
              <w:right w:val="nil"/>
            </w:tcBorders>
            <w:shd w:val="clear" w:color="auto" w:fill="auto"/>
            <w:noWrap/>
            <w:vAlign w:val="bottom"/>
            <w:hideMark/>
          </w:tcPr>
          <w:p w14:paraId="479F690C" w14:textId="77777777" w:rsidR="006F1DDE" w:rsidRDefault="006F1DDE">
            <w:pPr>
              <w:jc w:val="center"/>
              <w:rPr>
                <w:rFonts w:ascii="Calibri" w:hAnsi="Calibri" w:cs="Calibri"/>
                <w:color w:val="000000"/>
              </w:rPr>
            </w:pPr>
            <w:r>
              <w:rPr>
                <w:rFonts w:ascii="Calibri" w:hAnsi="Calibri" w:cs="Calibri"/>
                <w:color w:val="000000"/>
              </w:rPr>
              <w:t>0.50</w:t>
            </w:r>
          </w:p>
        </w:tc>
        <w:tc>
          <w:tcPr>
            <w:tcW w:w="709" w:type="dxa"/>
            <w:tcBorders>
              <w:top w:val="nil"/>
              <w:left w:val="nil"/>
              <w:bottom w:val="nil"/>
              <w:right w:val="nil"/>
            </w:tcBorders>
            <w:shd w:val="clear" w:color="auto" w:fill="auto"/>
            <w:noWrap/>
            <w:vAlign w:val="bottom"/>
            <w:hideMark/>
          </w:tcPr>
          <w:p w14:paraId="498DD337" w14:textId="77777777" w:rsidR="006F1DDE" w:rsidRDefault="006F1DDE">
            <w:pPr>
              <w:jc w:val="center"/>
              <w:rPr>
                <w:rFonts w:ascii="Calibri" w:hAnsi="Calibri" w:cs="Calibri"/>
                <w:color w:val="000000"/>
              </w:rPr>
            </w:pPr>
            <w:r>
              <w:rPr>
                <w:rFonts w:ascii="Calibri" w:hAnsi="Calibri" w:cs="Calibri"/>
                <w:color w:val="000000"/>
              </w:rPr>
              <w:t>0.11</w:t>
            </w:r>
          </w:p>
        </w:tc>
        <w:tc>
          <w:tcPr>
            <w:tcW w:w="1134" w:type="dxa"/>
            <w:tcBorders>
              <w:top w:val="nil"/>
              <w:left w:val="nil"/>
              <w:bottom w:val="nil"/>
              <w:right w:val="nil"/>
            </w:tcBorders>
            <w:shd w:val="clear" w:color="auto" w:fill="auto"/>
            <w:noWrap/>
            <w:vAlign w:val="bottom"/>
            <w:hideMark/>
          </w:tcPr>
          <w:p w14:paraId="60ECC75C" w14:textId="66339764" w:rsidR="006F1DDE" w:rsidRDefault="006F1DDE">
            <w:pPr>
              <w:jc w:val="center"/>
              <w:rPr>
                <w:rFonts w:ascii="Calibri" w:hAnsi="Calibri" w:cs="Calibri"/>
                <w:color w:val="000000"/>
              </w:rPr>
            </w:pPr>
            <w:r>
              <w:rPr>
                <w:rFonts w:ascii="Calibri" w:hAnsi="Calibri" w:cs="Calibri"/>
                <w:color w:val="000000"/>
              </w:rPr>
              <w:t>-0.26*</w:t>
            </w:r>
          </w:p>
        </w:tc>
        <w:tc>
          <w:tcPr>
            <w:tcW w:w="567" w:type="dxa"/>
            <w:tcBorders>
              <w:top w:val="nil"/>
              <w:left w:val="nil"/>
              <w:bottom w:val="nil"/>
              <w:right w:val="nil"/>
            </w:tcBorders>
            <w:shd w:val="clear" w:color="auto" w:fill="auto"/>
            <w:noWrap/>
            <w:vAlign w:val="bottom"/>
            <w:hideMark/>
          </w:tcPr>
          <w:p w14:paraId="76A90137" w14:textId="77777777" w:rsidR="006F1DDE" w:rsidRDefault="006F1DDE">
            <w:pPr>
              <w:jc w:val="center"/>
              <w:rPr>
                <w:rFonts w:ascii="Calibri" w:hAnsi="Calibri" w:cs="Calibri"/>
                <w:color w:val="000000"/>
              </w:rPr>
            </w:pPr>
            <w:r>
              <w:rPr>
                <w:rFonts w:ascii="Calibri" w:hAnsi="Calibri" w:cs="Calibri"/>
                <w:color w:val="000000"/>
              </w:rPr>
              <w:t>0.05</w:t>
            </w:r>
          </w:p>
        </w:tc>
        <w:tc>
          <w:tcPr>
            <w:tcW w:w="709" w:type="dxa"/>
            <w:tcBorders>
              <w:top w:val="nil"/>
              <w:left w:val="nil"/>
              <w:bottom w:val="nil"/>
              <w:right w:val="nil"/>
            </w:tcBorders>
            <w:shd w:val="clear" w:color="auto" w:fill="auto"/>
            <w:noWrap/>
            <w:vAlign w:val="bottom"/>
            <w:hideMark/>
          </w:tcPr>
          <w:p w14:paraId="4CA0914B" w14:textId="77777777" w:rsidR="006F1DDE" w:rsidRDefault="006F1DDE">
            <w:pPr>
              <w:jc w:val="center"/>
              <w:rPr>
                <w:rFonts w:ascii="Calibri" w:hAnsi="Calibri" w:cs="Calibri"/>
                <w:color w:val="000000"/>
              </w:rPr>
            </w:pPr>
            <w:r>
              <w:rPr>
                <w:rFonts w:ascii="Calibri" w:hAnsi="Calibri" w:cs="Calibri"/>
                <w:color w:val="000000"/>
              </w:rPr>
              <w:t>2.76</w:t>
            </w:r>
          </w:p>
        </w:tc>
      </w:tr>
      <w:tr w:rsidR="006F1DDE" w14:paraId="62CC2A42" w14:textId="77777777" w:rsidTr="00184224">
        <w:trPr>
          <w:trHeight w:val="300"/>
        </w:trPr>
        <w:tc>
          <w:tcPr>
            <w:tcW w:w="1200" w:type="dxa"/>
            <w:tcBorders>
              <w:top w:val="nil"/>
              <w:left w:val="nil"/>
              <w:bottom w:val="single" w:sz="4" w:space="0" w:color="auto"/>
              <w:right w:val="nil"/>
            </w:tcBorders>
            <w:shd w:val="clear" w:color="auto" w:fill="auto"/>
            <w:noWrap/>
            <w:vAlign w:val="bottom"/>
            <w:hideMark/>
          </w:tcPr>
          <w:p w14:paraId="69455E14" w14:textId="77777777" w:rsidR="006F1DDE" w:rsidRDefault="006F1DDE">
            <w:pPr>
              <w:jc w:val="center"/>
              <w:rPr>
                <w:rFonts w:ascii="Calibri" w:hAnsi="Calibri" w:cs="Calibri"/>
                <w:color w:val="000000"/>
              </w:rPr>
            </w:pPr>
            <w:r>
              <w:rPr>
                <w:rFonts w:ascii="Calibri" w:hAnsi="Calibri" w:cs="Calibri"/>
                <w:color w:val="000000"/>
              </w:rPr>
              <w:t>UCR</w:t>
            </w:r>
          </w:p>
        </w:tc>
        <w:tc>
          <w:tcPr>
            <w:tcW w:w="1200" w:type="dxa"/>
            <w:tcBorders>
              <w:top w:val="nil"/>
              <w:left w:val="nil"/>
              <w:bottom w:val="single" w:sz="4" w:space="0" w:color="auto"/>
              <w:right w:val="nil"/>
            </w:tcBorders>
            <w:shd w:val="clear" w:color="auto" w:fill="auto"/>
            <w:noWrap/>
            <w:vAlign w:val="bottom"/>
            <w:hideMark/>
          </w:tcPr>
          <w:p w14:paraId="25370AA5" w14:textId="77777777" w:rsidR="006F1DDE" w:rsidRDefault="006F1DDE">
            <w:pPr>
              <w:jc w:val="center"/>
              <w:rPr>
                <w:rFonts w:ascii="Calibri" w:hAnsi="Calibri" w:cs="Calibri"/>
                <w:color w:val="000000"/>
              </w:rPr>
            </w:pPr>
            <w:r>
              <w:rPr>
                <w:rFonts w:ascii="Calibri" w:hAnsi="Calibri" w:cs="Calibri"/>
                <w:color w:val="000000"/>
              </w:rPr>
              <w:t>2018-2022</w:t>
            </w:r>
          </w:p>
        </w:tc>
        <w:tc>
          <w:tcPr>
            <w:tcW w:w="1200" w:type="dxa"/>
            <w:tcBorders>
              <w:top w:val="nil"/>
              <w:left w:val="nil"/>
              <w:bottom w:val="single" w:sz="4" w:space="0" w:color="auto"/>
              <w:right w:val="nil"/>
            </w:tcBorders>
            <w:shd w:val="clear" w:color="auto" w:fill="auto"/>
            <w:noWrap/>
            <w:vAlign w:val="bottom"/>
            <w:hideMark/>
          </w:tcPr>
          <w:p w14:paraId="4BA02C90" w14:textId="77777777" w:rsidR="006F1DDE" w:rsidRDefault="006F1DDE">
            <w:pPr>
              <w:jc w:val="center"/>
              <w:rPr>
                <w:rFonts w:ascii="Calibri" w:hAnsi="Calibri" w:cs="Calibri"/>
                <w:color w:val="000000"/>
              </w:rPr>
            </w:pPr>
            <w:r>
              <w:rPr>
                <w:rFonts w:ascii="Calibri" w:hAnsi="Calibri" w:cs="Calibri"/>
                <w:color w:val="000000"/>
              </w:rPr>
              <w:t>4</w:t>
            </w:r>
          </w:p>
        </w:tc>
        <w:tc>
          <w:tcPr>
            <w:tcW w:w="936" w:type="dxa"/>
            <w:tcBorders>
              <w:top w:val="nil"/>
              <w:left w:val="nil"/>
              <w:bottom w:val="single" w:sz="4" w:space="0" w:color="auto"/>
              <w:right w:val="nil"/>
            </w:tcBorders>
            <w:shd w:val="clear" w:color="auto" w:fill="auto"/>
            <w:noWrap/>
            <w:vAlign w:val="bottom"/>
            <w:hideMark/>
          </w:tcPr>
          <w:p w14:paraId="5ADA7B3C" w14:textId="77777777" w:rsidR="006F1DDE" w:rsidRDefault="006F1DDE">
            <w:pPr>
              <w:jc w:val="center"/>
              <w:rPr>
                <w:rFonts w:ascii="Calibri" w:hAnsi="Calibri" w:cs="Calibri"/>
                <w:color w:val="000000"/>
              </w:rPr>
            </w:pPr>
            <w:r>
              <w:rPr>
                <w:rFonts w:ascii="Calibri" w:hAnsi="Calibri" w:cs="Calibri"/>
                <w:color w:val="000000"/>
              </w:rPr>
              <w:t>0.321*</w:t>
            </w:r>
          </w:p>
        </w:tc>
        <w:tc>
          <w:tcPr>
            <w:tcW w:w="709" w:type="dxa"/>
            <w:tcBorders>
              <w:top w:val="nil"/>
              <w:left w:val="nil"/>
              <w:bottom w:val="single" w:sz="4" w:space="0" w:color="auto"/>
              <w:right w:val="nil"/>
            </w:tcBorders>
            <w:shd w:val="clear" w:color="auto" w:fill="auto"/>
            <w:noWrap/>
            <w:vAlign w:val="bottom"/>
            <w:hideMark/>
          </w:tcPr>
          <w:p w14:paraId="0AB68E5B" w14:textId="77777777" w:rsidR="006F1DDE" w:rsidRDefault="006F1DDE">
            <w:pPr>
              <w:jc w:val="center"/>
              <w:rPr>
                <w:rFonts w:ascii="Calibri" w:hAnsi="Calibri" w:cs="Calibri"/>
                <w:color w:val="000000"/>
              </w:rPr>
            </w:pPr>
            <w:r>
              <w:rPr>
                <w:rFonts w:ascii="Calibri" w:hAnsi="Calibri" w:cs="Calibri"/>
                <w:color w:val="000000"/>
              </w:rPr>
              <w:t>0.12</w:t>
            </w:r>
          </w:p>
        </w:tc>
        <w:tc>
          <w:tcPr>
            <w:tcW w:w="1134" w:type="dxa"/>
            <w:tcBorders>
              <w:top w:val="nil"/>
              <w:left w:val="nil"/>
              <w:bottom w:val="single" w:sz="4" w:space="0" w:color="auto"/>
              <w:right w:val="nil"/>
            </w:tcBorders>
            <w:shd w:val="clear" w:color="auto" w:fill="auto"/>
            <w:noWrap/>
            <w:vAlign w:val="bottom"/>
            <w:hideMark/>
          </w:tcPr>
          <w:p w14:paraId="187FFF92" w14:textId="77777777" w:rsidR="006F1DDE" w:rsidRDefault="006F1DDE">
            <w:pPr>
              <w:jc w:val="center"/>
              <w:rPr>
                <w:rFonts w:ascii="Calibri" w:hAnsi="Calibri" w:cs="Calibri"/>
                <w:color w:val="000000"/>
              </w:rPr>
            </w:pPr>
            <w:r>
              <w:rPr>
                <w:rFonts w:ascii="Calibri" w:hAnsi="Calibri" w:cs="Calibri"/>
                <w:color w:val="000000"/>
              </w:rPr>
              <w:t>0.59</w:t>
            </w:r>
          </w:p>
        </w:tc>
        <w:tc>
          <w:tcPr>
            <w:tcW w:w="709" w:type="dxa"/>
            <w:tcBorders>
              <w:top w:val="nil"/>
              <w:left w:val="nil"/>
              <w:bottom w:val="single" w:sz="4" w:space="0" w:color="auto"/>
              <w:right w:val="nil"/>
            </w:tcBorders>
            <w:shd w:val="clear" w:color="auto" w:fill="auto"/>
            <w:noWrap/>
            <w:vAlign w:val="bottom"/>
            <w:hideMark/>
          </w:tcPr>
          <w:p w14:paraId="017C3499" w14:textId="77777777" w:rsidR="006F1DDE" w:rsidRDefault="006F1DDE">
            <w:pPr>
              <w:jc w:val="center"/>
              <w:rPr>
                <w:rFonts w:ascii="Calibri" w:hAnsi="Calibri" w:cs="Calibri"/>
                <w:color w:val="000000"/>
              </w:rPr>
            </w:pPr>
            <w:r>
              <w:rPr>
                <w:rFonts w:ascii="Calibri" w:hAnsi="Calibri" w:cs="Calibri"/>
                <w:color w:val="000000"/>
              </w:rPr>
              <w:t>0.07</w:t>
            </w:r>
          </w:p>
        </w:tc>
        <w:tc>
          <w:tcPr>
            <w:tcW w:w="1134" w:type="dxa"/>
            <w:tcBorders>
              <w:top w:val="nil"/>
              <w:left w:val="nil"/>
              <w:bottom w:val="single" w:sz="4" w:space="0" w:color="auto"/>
              <w:right w:val="nil"/>
            </w:tcBorders>
            <w:shd w:val="clear" w:color="auto" w:fill="auto"/>
            <w:noWrap/>
            <w:vAlign w:val="bottom"/>
            <w:hideMark/>
          </w:tcPr>
          <w:p w14:paraId="14FA79AC" w14:textId="6443C52C" w:rsidR="006F1DDE" w:rsidRDefault="006F1DDE">
            <w:pPr>
              <w:jc w:val="center"/>
              <w:rPr>
                <w:rFonts w:ascii="Calibri" w:hAnsi="Calibri" w:cs="Calibri"/>
                <w:color w:val="000000"/>
              </w:rPr>
            </w:pPr>
            <w:r>
              <w:rPr>
                <w:rFonts w:ascii="Calibri" w:hAnsi="Calibri" w:cs="Calibri"/>
                <w:color w:val="000000"/>
              </w:rPr>
              <w:t>0.48*</w:t>
            </w:r>
          </w:p>
        </w:tc>
        <w:tc>
          <w:tcPr>
            <w:tcW w:w="567" w:type="dxa"/>
            <w:tcBorders>
              <w:top w:val="nil"/>
              <w:left w:val="nil"/>
              <w:bottom w:val="single" w:sz="4" w:space="0" w:color="auto"/>
              <w:right w:val="nil"/>
            </w:tcBorders>
            <w:shd w:val="clear" w:color="auto" w:fill="auto"/>
            <w:noWrap/>
            <w:vAlign w:val="bottom"/>
            <w:hideMark/>
          </w:tcPr>
          <w:p w14:paraId="681A75C7" w14:textId="77777777" w:rsidR="006F1DDE" w:rsidRDefault="006F1DDE">
            <w:pPr>
              <w:jc w:val="center"/>
              <w:rPr>
                <w:rFonts w:ascii="Calibri" w:hAnsi="Calibri" w:cs="Calibri"/>
                <w:color w:val="000000"/>
              </w:rPr>
            </w:pPr>
            <w:r>
              <w:rPr>
                <w:rFonts w:ascii="Calibri" w:hAnsi="Calibri" w:cs="Calibri"/>
                <w:color w:val="000000"/>
              </w:rPr>
              <w:t>0.20</w:t>
            </w:r>
          </w:p>
        </w:tc>
        <w:tc>
          <w:tcPr>
            <w:tcW w:w="709" w:type="dxa"/>
            <w:tcBorders>
              <w:top w:val="nil"/>
              <w:left w:val="nil"/>
              <w:bottom w:val="single" w:sz="4" w:space="0" w:color="auto"/>
              <w:right w:val="nil"/>
            </w:tcBorders>
            <w:shd w:val="clear" w:color="auto" w:fill="auto"/>
            <w:noWrap/>
            <w:vAlign w:val="bottom"/>
            <w:hideMark/>
          </w:tcPr>
          <w:p w14:paraId="5A2544C5" w14:textId="77777777" w:rsidR="006F1DDE" w:rsidRDefault="006F1DDE">
            <w:pPr>
              <w:jc w:val="center"/>
              <w:rPr>
                <w:rFonts w:ascii="Calibri" w:hAnsi="Calibri" w:cs="Calibri"/>
                <w:color w:val="000000"/>
              </w:rPr>
            </w:pPr>
            <w:r>
              <w:rPr>
                <w:rFonts w:ascii="Calibri" w:hAnsi="Calibri" w:cs="Calibri"/>
                <w:color w:val="000000"/>
              </w:rPr>
              <w:t>3.14</w:t>
            </w:r>
          </w:p>
        </w:tc>
      </w:tr>
      <w:tr w:rsidR="006F1DDE" w14:paraId="76DFBA2E" w14:textId="77777777" w:rsidTr="00184224">
        <w:trPr>
          <w:trHeight w:val="300"/>
        </w:trPr>
        <w:tc>
          <w:tcPr>
            <w:tcW w:w="9498" w:type="dxa"/>
            <w:gridSpan w:val="10"/>
            <w:tcBorders>
              <w:top w:val="single" w:sz="4" w:space="0" w:color="auto"/>
              <w:left w:val="nil"/>
              <w:bottom w:val="nil"/>
              <w:right w:val="nil"/>
            </w:tcBorders>
            <w:shd w:val="clear" w:color="auto" w:fill="auto"/>
            <w:noWrap/>
            <w:vAlign w:val="bottom"/>
            <w:hideMark/>
          </w:tcPr>
          <w:p w14:paraId="4D7E0702" w14:textId="1E23D67F" w:rsidR="006F1DDE" w:rsidRDefault="006F1DDE">
            <w:pPr>
              <w:rPr>
                <w:rFonts w:ascii="Calibri" w:hAnsi="Calibri" w:cs="Calibri"/>
                <w:color w:val="000000"/>
              </w:rPr>
            </w:pPr>
            <w:r>
              <w:rPr>
                <w:rFonts w:ascii="Calibri" w:hAnsi="Calibri" w:cs="Calibri"/>
                <w:color w:val="000000"/>
              </w:rPr>
              <w:t>Estación Biológica Monteverde (MTV), Getsemaní Heredia (HDA), Jardín Botánico Lankester (JBL), Universidad de Costa Rica (UCR)</w:t>
            </w:r>
          </w:p>
        </w:tc>
      </w:tr>
    </w:tbl>
    <w:p w14:paraId="2751C4C9" w14:textId="77777777" w:rsidR="00AB0F4B" w:rsidRPr="00DE2E23" w:rsidRDefault="00AB0F4B" w:rsidP="00E3782F"/>
    <w:p w14:paraId="06F707B3" w14:textId="77777777" w:rsidR="00AB0F4B" w:rsidRPr="00DE2E23" w:rsidRDefault="00AB0F4B">
      <w:r w:rsidRPr="00DE2E23">
        <w:br w:type="page"/>
      </w:r>
    </w:p>
    <w:p w14:paraId="3F242B01" w14:textId="6506B1EB" w:rsidR="006113F8" w:rsidRDefault="00E3782F" w:rsidP="006113F8">
      <w:pPr>
        <w:spacing w:line="480" w:lineRule="auto"/>
        <w:rPr>
          <w:rFonts w:cstheme="minorHAnsi"/>
          <w:lang w:val="en-US"/>
        </w:rPr>
      </w:pPr>
      <w:r>
        <w:rPr>
          <w:rFonts w:cstheme="minorHAnsi"/>
          <w:lang w:val="en-US"/>
        </w:rPr>
        <w:lastRenderedPageBreak/>
        <w:t xml:space="preserve">Table </w:t>
      </w:r>
      <w:r w:rsidR="009C194A">
        <w:rPr>
          <w:rFonts w:cstheme="minorHAnsi"/>
          <w:lang w:val="en-US"/>
        </w:rPr>
        <w:t>4</w:t>
      </w:r>
      <w:r>
        <w:rPr>
          <w:rFonts w:cstheme="minorHAnsi"/>
          <w:lang w:val="en-US"/>
        </w:rPr>
        <w:t xml:space="preserve">. </w:t>
      </w:r>
      <w:r w:rsidR="00173393">
        <w:rPr>
          <w:rFonts w:cstheme="minorHAnsi"/>
          <w:lang w:val="en-US"/>
        </w:rPr>
        <w:t>C</w:t>
      </w:r>
      <w:r w:rsidRPr="001830F3">
        <w:rPr>
          <w:rFonts w:cstheme="minorHAnsi"/>
          <w:lang w:val="en-US"/>
        </w:rPr>
        <w:t>ompari</w:t>
      </w:r>
      <w:r w:rsidR="00173393">
        <w:rPr>
          <w:rFonts w:cstheme="minorHAnsi"/>
          <w:lang w:val="en-US"/>
        </w:rPr>
        <w:t xml:space="preserve">son of </w:t>
      </w:r>
      <w:r>
        <w:rPr>
          <w:rFonts w:cstheme="minorHAnsi"/>
          <w:lang w:val="en-US"/>
        </w:rPr>
        <w:t>acoustic characteristics</w:t>
      </w:r>
      <w:r w:rsidRPr="001830F3">
        <w:rPr>
          <w:rFonts w:cstheme="minorHAnsi"/>
          <w:lang w:val="en-US"/>
        </w:rPr>
        <w:t xml:space="preserve"> </w:t>
      </w:r>
      <w:r>
        <w:rPr>
          <w:rFonts w:cstheme="minorHAnsi"/>
          <w:lang w:val="en-US"/>
        </w:rPr>
        <w:t xml:space="preserve">of solo songs </w:t>
      </w:r>
      <w:r w:rsidR="00173393">
        <w:rPr>
          <w:rFonts w:cstheme="minorHAnsi"/>
          <w:lang w:val="en-US"/>
        </w:rPr>
        <w:t>between</w:t>
      </w:r>
      <w:r w:rsidR="00173393" w:rsidRPr="001830F3">
        <w:rPr>
          <w:rFonts w:cstheme="minorHAnsi"/>
          <w:lang w:val="en-US"/>
        </w:rPr>
        <w:t xml:space="preserve"> </w:t>
      </w:r>
      <w:r w:rsidRPr="001830F3">
        <w:rPr>
          <w:rFonts w:cstheme="minorHAnsi"/>
          <w:lang w:val="en-US"/>
        </w:rPr>
        <w:t>tw</w:t>
      </w:r>
      <w:r>
        <w:rPr>
          <w:rFonts w:cstheme="minorHAnsi"/>
          <w:lang w:val="en-US"/>
        </w:rPr>
        <w:t>o</w:t>
      </w:r>
      <w:r w:rsidRPr="001830F3">
        <w:rPr>
          <w:rFonts w:cstheme="minorHAnsi"/>
          <w:lang w:val="en-US"/>
        </w:rPr>
        <w:t xml:space="preserve"> </w:t>
      </w:r>
      <w:r w:rsidR="005F0F76">
        <w:rPr>
          <w:rFonts w:cstheme="minorHAnsi"/>
          <w:lang w:val="en-US"/>
        </w:rPr>
        <w:t>time-</w:t>
      </w:r>
      <w:r w:rsidRPr="001830F3">
        <w:rPr>
          <w:rFonts w:cstheme="minorHAnsi"/>
          <w:lang w:val="en-US"/>
        </w:rPr>
        <w:t>periods (2011 – 2012</w:t>
      </w:r>
      <w:r>
        <w:rPr>
          <w:rFonts w:cstheme="minorHAnsi"/>
          <w:lang w:val="en-US"/>
        </w:rPr>
        <w:t xml:space="preserve">, </w:t>
      </w:r>
      <w:r w:rsidRPr="001830F3">
        <w:rPr>
          <w:rFonts w:cstheme="minorHAnsi"/>
          <w:lang w:val="en-US"/>
        </w:rPr>
        <w:t xml:space="preserve">2018 – 2022) </w:t>
      </w:r>
      <w:r w:rsidR="00173393">
        <w:rPr>
          <w:rFonts w:cstheme="minorHAnsi"/>
          <w:lang w:val="en-US"/>
        </w:rPr>
        <w:t>in four</w:t>
      </w:r>
      <w:r w:rsidR="00173393" w:rsidRPr="001830F3">
        <w:rPr>
          <w:rFonts w:cstheme="minorHAnsi"/>
          <w:lang w:val="en-US"/>
        </w:rPr>
        <w:t xml:space="preserve"> </w:t>
      </w:r>
      <w:r w:rsidRPr="001830F3">
        <w:rPr>
          <w:rFonts w:cstheme="minorHAnsi"/>
          <w:lang w:val="en-US"/>
        </w:rPr>
        <w:t>populations</w:t>
      </w:r>
      <w:r w:rsidR="00173393">
        <w:rPr>
          <w:rFonts w:cstheme="minorHAnsi"/>
          <w:lang w:val="en-US"/>
        </w:rPr>
        <w:t>, and their interaction</w:t>
      </w:r>
      <w:r w:rsidRPr="001830F3">
        <w:rPr>
          <w:rFonts w:cstheme="minorHAnsi"/>
          <w:lang w:val="en-US"/>
        </w:rPr>
        <w:t xml:space="preserve"> of </w:t>
      </w:r>
      <w:r>
        <w:rPr>
          <w:rFonts w:cstheme="minorHAnsi"/>
          <w:lang w:val="en-US"/>
        </w:rPr>
        <w:t>w</w:t>
      </w:r>
      <w:r w:rsidRPr="001830F3">
        <w:rPr>
          <w:rFonts w:cstheme="minorHAnsi"/>
          <w:lang w:val="en-US"/>
        </w:rPr>
        <w:t xml:space="preserve">hite-eared </w:t>
      </w:r>
      <w:r>
        <w:rPr>
          <w:rFonts w:cstheme="minorHAnsi"/>
          <w:lang w:val="en-US"/>
        </w:rPr>
        <w:t>g</w:t>
      </w:r>
      <w:r w:rsidRPr="001830F3">
        <w:rPr>
          <w:rFonts w:cstheme="minorHAnsi"/>
          <w:lang w:val="en-US"/>
        </w:rPr>
        <w:t>round-sparrow</w:t>
      </w:r>
      <w:r w:rsidR="007E01A5">
        <w:rPr>
          <w:rFonts w:cstheme="minorHAnsi"/>
          <w:lang w:val="en-US"/>
        </w:rPr>
        <w:t>s</w:t>
      </w:r>
      <w:r w:rsidR="00716D57">
        <w:rPr>
          <w:rFonts w:cstheme="minorHAnsi"/>
          <w:lang w:val="en-US"/>
        </w:rPr>
        <w:t xml:space="preserve"> </w:t>
      </w:r>
      <w:proofErr w:type="spellStart"/>
      <w:r w:rsidR="00716D57" w:rsidRPr="00716D57">
        <w:rPr>
          <w:rFonts w:cstheme="minorHAnsi"/>
          <w:i/>
          <w:iCs/>
          <w:lang w:val="en-US"/>
        </w:rPr>
        <w:t>Melozone</w:t>
      </w:r>
      <w:proofErr w:type="spellEnd"/>
      <w:r w:rsidR="00716D57" w:rsidRPr="00716D57">
        <w:rPr>
          <w:rFonts w:cstheme="minorHAnsi"/>
          <w:i/>
          <w:iCs/>
          <w:lang w:val="en-US"/>
        </w:rPr>
        <w:t xml:space="preserve"> </w:t>
      </w:r>
      <w:proofErr w:type="spellStart"/>
      <w:r w:rsidR="00716D57" w:rsidRPr="00716D57">
        <w:rPr>
          <w:rFonts w:cstheme="minorHAnsi"/>
          <w:i/>
          <w:iCs/>
          <w:lang w:val="en-US"/>
        </w:rPr>
        <w:t>leucotis</w:t>
      </w:r>
      <w:proofErr w:type="spellEnd"/>
      <w:r w:rsidR="00173393">
        <w:rPr>
          <w:rFonts w:cstheme="minorHAnsi"/>
          <w:lang w:val="en-US"/>
        </w:rPr>
        <w:t xml:space="preserve">, </w:t>
      </w:r>
      <w:r w:rsidR="005F0F76">
        <w:rPr>
          <w:rFonts w:cstheme="minorHAnsi"/>
          <w:lang w:val="en-US"/>
        </w:rPr>
        <w:t xml:space="preserve">using </w:t>
      </w:r>
      <w:r w:rsidR="00173393" w:rsidRPr="001830F3">
        <w:rPr>
          <w:rFonts w:cstheme="minorHAnsi"/>
          <w:lang w:val="en-US"/>
        </w:rPr>
        <w:t>linear mixed</w:t>
      </w:r>
      <w:r w:rsidR="00173393">
        <w:rPr>
          <w:rFonts w:cstheme="minorHAnsi"/>
          <w:lang w:val="en-US"/>
        </w:rPr>
        <w:t>-effect</w:t>
      </w:r>
      <w:r w:rsidR="00173393" w:rsidRPr="001830F3">
        <w:rPr>
          <w:rFonts w:cstheme="minorHAnsi"/>
          <w:lang w:val="en-US"/>
        </w:rPr>
        <w:t xml:space="preserve"> models</w:t>
      </w:r>
      <w:r w:rsidRPr="001830F3">
        <w:rPr>
          <w:rFonts w:cstheme="minorHAnsi"/>
          <w:lang w:val="en-US"/>
        </w:rPr>
        <w:t xml:space="preserve">. </w:t>
      </w:r>
      <w:r w:rsidR="006113F8">
        <w:rPr>
          <w:rFonts w:cstheme="minorHAnsi"/>
          <w:lang w:val="en-US"/>
        </w:rPr>
        <w:t>PC1 correlates with the duration and number of elements, PC2 correlates with the minimum and maximum frequency, and PC3 correlates with</w:t>
      </w:r>
      <w:r w:rsidR="007E01A5">
        <w:rPr>
          <w:rFonts w:cstheme="minorHAnsi"/>
          <w:lang w:val="en-US"/>
        </w:rPr>
        <w:t xml:space="preserve"> </w:t>
      </w:r>
      <w:r w:rsidR="006113F8">
        <w:rPr>
          <w:rFonts w:cstheme="minorHAnsi"/>
          <w:lang w:val="en-US"/>
        </w:rPr>
        <w:t xml:space="preserve">the frequency of maximum amplitude. </w:t>
      </w:r>
    </w:p>
    <w:p w14:paraId="65BC07D6" w14:textId="77777777" w:rsidR="00C545A8" w:rsidRDefault="00C545A8" w:rsidP="00E3782F">
      <w:pPr>
        <w:spacing w:line="480" w:lineRule="auto"/>
        <w:jc w:val="both"/>
        <w:rPr>
          <w:rFonts w:cstheme="minorHAnsi"/>
          <w:lang w:val="en-US"/>
        </w:rPr>
      </w:pPr>
    </w:p>
    <w:tbl>
      <w:tblPr>
        <w:tblW w:w="8364" w:type="dxa"/>
        <w:tblCellMar>
          <w:left w:w="70" w:type="dxa"/>
          <w:right w:w="70" w:type="dxa"/>
        </w:tblCellMar>
        <w:tblLook w:val="04A0" w:firstRow="1" w:lastRow="0" w:firstColumn="1" w:lastColumn="0" w:noHBand="0" w:noVBand="1"/>
      </w:tblPr>
      <w:tblGrid>
        <w:gridCol w:w="2456"/>
        <w:gridCol w:w="377"/>
        <w:gridCol w:w="531"/>
        <w:gridCol w:w="747"/>
        <w:gridCol w:w="261"/>
        <w:gridCol w:w="377"/>
        <w:gridCol w:w="658"/>
        <w:gridCol w:w="867"/>
        <w:gridCol w:w="396"/>
        <w:gridCol w:w="377"/>
        <w:gridCol w:w="531"/>
        <w:gridCol w:w="786"/>
      </w:tblGrid>
      <w:tr w:rsidR="00F1070F" w:rsidRPr="00F1070F" w14:paraId="72AA87A9" w14:textId="77777777" w:rsidTr="00F1070F">
        <w:trPr>
          <w:trHeight w:val="300"/>
        </w:trPr>
        <w:tc>
          <w:tcPr>
            <w:tcW w:w="2456" w:type="dxa"/>
            <w:tcBorders>
              <w:top w:val="single" w:sz="4" w:space="0" w:color="auto"/>
              <w:left w:val="nil"/>
              <w:bottom w:val="nil"/>
              <w:right w:val="nil"/>
            </w:tcBorders>
            <w:shd w:val="clear" w:color="auto" w:fill="auto"/>
            <w:noWrap/>
            <w:vAlign w:val="center"/>
            <w:hideMark/>
          </w:tcPr>
          <w:p w14:paraId="79859752" w14:textId="77777777" w:rsidR="00F1070F" w:rsidRPr="00F1070F" w:rsidRDefault="00F1070F" w:rsidP="00F1070F">
            <w:pPr>
              <w:spacing w:after="0" w:line="480" w:lineRule="auto"/>
              <w:jc w:val="center"/>
              <w:rPr>
                <w:rFonts w:ascii="Calibri" w:eastAsia="Times New Roman" w:hAnsi="Calibri" w:cs="Calibri"/>
                <w:color w:val="000000"/>
                <w:lang w:val="en-US" w:eastAsia="es-EC"/>
              </w:rPr>
            </w:pPr>
            <w:r w:rsidRPr="00F1070F">
              <w:rPr>
                <w:rFonts w:ascii="Calibri" w:eastAsia="Times New Roman" w:hAnsi="Calibri" w:cs="Calibri"/>
                <w:color w:val="000000"/>
                <w:lang w:val="en-US" w:eastAsia="es-EC"/>
              </w:rPr>
              <w:t> </w:t>
            </w:r>
          </w:p>
        </w:tc>
        <w:tc>
          <w:tcPr>
            <w:tcW w:w="1655" w:type="dxa"/>
            <w:gridSpan w:val="3"/>
            <w:tcBorders>
              <w:top w:val="single" w:sz="4" w:space="0" w:color="auto"/>
              <w:left w:val="nil"/>
              <w:bottom w:val="single" w:sz="4" w:space="0" w:color="auto"/>
              <w:right w:val="nil"/>
            </w:tcBorders>
            <w:shd w:val="clear" w:color="auto" w:fill="auto"/>
            <w:noWrap/>
            <w:vAlign w:val="center"/>
            <w:hideMark/>
          </w:tcPr>
          <w:p w14:paraId="150B2B4A"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PC1</w:t>
            </w:r>
          </w:p>
        </w:tc>
        <w:tc>
          <w:tcPr>
            <w:tcW w:w="261" w:type="dxa"/>
            <w:tcBorders>
              <w:top w:val="single" w:sz="4" w:space="0" w:color="auto"/>
              <w:left w:val="nil"/>
              <w:bottom w:val="single" w:sz="4" w:space="0" w:color="auto"/>
              <w:right w:val="nil"/>
            </w:tcBorders>
            <w:shd w:val="clear" w:color="auto" w:fill="auto"/>
            <w:noWrap/>
            <w:vAlign w:val="center"/>
            <w:hideMark/>
          </w:tcPr>
          <w:p w14:paraId="68886B28"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1902" w:type="dxa"/>
            <w:gridSpan w:val="3"/>
            <w:tcBorders>
              <w:top w:val="single" w:sz="4" w:space="0" w:color="auto"/>
              <w:left w:val="nil"/>
              <w:bottom w:val="single" w:sz="4" w:space="0" w:color="auto"/>
              <w:right w:val="nil"/>
            </w:tcBorders>
            <w:shd w:val="clear" w:color="auto" w:fill="auto"/>
            <w:noWrap/>
            <w:vAlign w:val="center"/>
            <w:hideMark/>
          </w:tcPr>
          <w:p w14:paraId="5483BCF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PC2</w:t>
            </w:r>
          </w:p>
        </w:tc>
        <w:tc>
          <w:tcPr>
            <w:tcW w:w="396" w:type="dxa"/>
            <w:tcBorders>
              <w:top w:val="single" w:sz="4" w:space="0" w:color="auto"/>
              <w:left w:val="nil"/>
              <w:bottom w:val="single" w:sz="4" w:space="0" w:color="auto"/>
              <w:right w:val="nil"/>
            </w:tcBorders>
            <w:shd w:val="clear" w:color="auto" w:fill="auto"/>
            <w:noWrap/>
            <w:vAlign w:val="center"/>
            <w:hideMark/>
          </w:tcPr>
          <w:p w14:paraId="5CF61F7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1694" w:type="dxa"/>
            <w:gridSpan w:val="3"/>
            <w:tcBorders>
              <w:top w:val="single" w:sz="4" w:space="0" w:color="auto"/>
              <w:left w:val="nil"/>
              <w:bottom w:val="single" w:sz="4" w:space="0" w:color="auto"/>
              <w:right w:val="nil"/>
            </w:tcBorders>
            <w:shd w:val="clear" w:color="auto" w:fill="auto"/>
            <w:noWrap/>
            <w:vAlign w:val="center"/>
            <w:hideMark/>
          </w:tcPr>
          <w:p w14:paraId="6922AF43"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PC3</w:t>
            </w:r>
          </w:p>
        </w:tc>
      </w:tr>
      <w:tr w:rsidR="00F1070F" w:rsidRPr="00F1070F" w14:paraId="77F25CA8" w14:textId="77777777" w:rsidTr="00F1070F">
        <w:trPr>
          <w:trHeight w:val="300"/>
        </w:trPr>
        <w:tc>
          <w:tcPr>
            <w:tcW w:w="2456" w:type="dxa"/>
            <w:tcBorders>
              <w:top w:val="nil"/>
              <w:left w:val="nil"/>
              <w:bottom w:val="single" w:sz="4" w:space="0" w:color="auto"/>
              <w:right w:val="nil"/>
            </w:tcBorders>
            <w:shd w:val="clear" w:color="auto" w:fill="auto"/>
            <w:noWrap/>
            <w:vAlign w:val="center"/>
            <w:hideMark/>
          </w:tcPr>
          <w:p w14:paraId="132354E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377" w:type="dxa"/>
            <w:tcBorders>
              <w:top w:val="nil"/>
              <w:left w:val="nil"/>
              <w:bottom w:val="single" w:sz="4" w:space="0" w:color="auto"/>
              <w:right w:val="nil"/>
            </w:tcBorders>
            <w:shd w:val="clear" w:color="auto" w:fill="auto"/>
            <w:noWrap/>
            <w:vAlign w:val="center"/>
            <w:hideMark/>
          </w:tcPr>
          <w:p w14:paraId="4D7E1616"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DF</w:t>
            </w:r>
          </w:p>
        </w:tc>
        <w:tc>
          <w:tcPr>
            <w:tcW w:w="531" w:type="dxa"/>
            <w:tcBorders>
              <w:top w:val="nil"/>
              <w:left w:val="nil"/>
              <w:bottom w:val="single" w:sz="4" w:space="0" w:color="auto"/>
              <w:right w:val="nil"/>
            </w:tcBorders>
            <w:shd w:val="clear" w:color="auto" w:fill="auto"/>
            <w:noWrap/>
            <w:vAlign w:val="center"/>
            <w:hideMark/>
          </w:tcPr>
          <w:p w14:paraId="79222BD8"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xml:space="preserve">F </w:t>
            </w:r>
          </w:p>
        </w:tc>
        <w:tc>
          <w:tcPr>
            <w:tcW w:w="747" w:type="dxa"/>
            <w:tcBorders>
              <w:top w:val="nil"/>
              <w:left w:val="nil"/>
              <w:bottom w:val="single" w:sz="4" w:space="0" w:color="auto"/>
              <w:right w:val="nil"/>
            </w:tcBorders>
            <w:shd w:val="clear" w:color="auto" w:fill="auto"/>
            <w:noWrap/>
            <w:vAlign w:val="center"/>
            <w:hideMark/>
          </w:tcPr>
          <w:p w14:paraId="2EF9063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w:t>
            </w:r>
          </w:p>
        </w:tc>
        <w:tc>
          <w:tcPr>
            <w:tcW w:w="261" w:type="dxa"/>
            <w:tcBorders>
              <w:top w:val="nil"/>
              <w:left w:val="nil"/>
              <w:bottom w:val="single" w:sz="4" w:space="0" w:color="auto"/>
              <w:right w:val="nil"/>
            </w:tcBorders>
            <w:shd w:val="clear" w:color="auto" w:fill="auto"/>
            <w:noWrap/>
            <w:vAlign w:val="center"/>
            <w:hideMark/>
          </w:tcPr>
          <w:p w14:paraId="2270327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377" w:type="dxa"/>
            <w:tcBorders>
              <w:top w:val="nil"/>
              <w:left w:val="nil"/>
              <w:bottom w:val="single" w:sz="4" w:space="0" w:color="auto"/>
              <w:right w:val="nil"/>
            </w:tcBorders>
            <w:shd w:val="clear" w:color="auto" w:fill="auto"/>
            <w:noWrap/>
            <w:vAlign w:val="center"/>
            <w:hideMark/>
          </w:tcPr>
          <w:p w14:paraId="454DBC54"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DF</w:t>
            </w:r>
          </w:p>
        </w:tc>
        <w:tc>
          <w:tcPr>
            <w:tcW w:w="658" w:type="dxa"/>
            <w:tcBorders>
              <w:top w:val="nil"/>
              <w:left w:val="nil"/>
              <w:bottom w:val="single" w:sz="4" w:space="0" w:color="auto"/>
              <w:right w:val="nil"/>
            </w:tcBorders>
            <w:shd w:val="clear" w:color="auto" w:fill="auto"/>
            <w:noWrap/>
            <w:vAlign w:val="center"/>
            <w:hideMark/>
          </w:tcPr>
          <w:p w14:paraId="523EB0F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xml:space="preserve">F </w:t>
            </w:r>
          </w:p>
        </w:tc>
        <w:tc>
          <w:tcPr>
            <w:tcW w:w="867" w:type="dxa"/>
            <w:tcBorders>
              <w:top w:val="nil"/>
              <w:left w:val="nil"/>
              <w:bottom w:val="single" w:sz="4" w:space="0" w:color="auto"/>
              <w:right w:val="nil"/>
            </w:tcBorders>
            <w:shd w:val="clear" w:color="auto" w:fill="auto"/>
            <w:noWrap/>
            <w:vAlign w:val="center"/>
            <w:hideMark/>
          </w:tcPr>
          <w:p w14:paraId="4A17D463"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w:t>
            </w:r>
          </w:p>
        </w:tc>
        <w:tc>
          <w:tcPr>
            <w:tcW w:w="396" w:type="dxa"/>
            <w:tcBorders>
              <w:top w:val="nil"/>
              <w:left w:val="nil"/>
              <w:bottom w:val="single" w:sz="4" w:space="0" w:color="auto"/>
              <w:right w:val="nil"/>
            </w:tcBorders>
            <w:shd w:val="clear" w:color="auto" w:fill="auto"/>
            <w:noWrap/>
            <w:vAlign w:val="center"/>
            <w:hideMark/>
          </w:tcPr>
          <w:p w14:paraId="0F3BBFF2"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377" w:type="dxa"/>
            <w:tcBorders>
              <w:top w:val="nil"/>
              <w:left w:val="nil"/>
              <w:bottom w:val="single" w:sz="4" w:space="0" w:color="auto"/>
              <w:right w:val="nil"/>
            </w:tcBorders>
            <w:shd w:val="clear" w:color="auto" w:fill="auto"/>
            <w:noWrap/>
            <w:vAlign w:val="center"/>
            <w:hideMark/>
          </w:tcPr>
          <w:p w14:paraId="023F629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DF</w:t>
            </w:r>
          </w:p>
        </w:tc>
        <w:tc>
          <w:tcPr>
            <w:tcW w:w="531" w:type="dxa"/>
            <w:tcBorders>
              <w:top w:val="nil"/>
              <w:left w:val="nil"/>
              <w:bottom w:val="single" w:sz="4" w:space="0" w:color="auto"/>
              <w:right w:val="nil"/>
            </w:tcBorders>
            <w:shd w:val="clear" w:color="auto" w:fill="auto"/>
            <w:noWrap/>
            <w:vAlign w:val="center"/>
            <w:hideMark/>
          </w:tcPr>
          <w:p w14:paraId="54B4D1E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xml:space="preserve">F </w:t>
            </w:r>
          </w:p>
        </w:tc>
        <w:tc>
          <w:tcPr>
            <w:tcW w:w="786" w:type="dxa"/>
            <w:tcBorders>
              <w:top w:val="nil"/>
              <w:left w:val="nil"/>
              <w:bottom w:val="single" w:sz="4" w:space="0" w:color="auto"/>
              <w:right w:val="nil"/>
            </w:tcBorders>
            <w:shd w:val="clear" w:color="auto" w:fill="auto"/>
            <w:noWrap/>
            <w:vAlign w:val="center"/>
            <w:hideMark/>
          </w:tcPr>
          <w:p w14:paraId="37E56F7A"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w:t>
            </w:r>
          </w:p>
        </w:tc>
      </w:tr>
      <w:tr w:rsidR="00F1070F" w:rsidRPr="00F1070F" w14:paraId="6794CB34" w14:textId="77777777" w:rsidTr="00F1070F">
        <w:trPr>
          <w:trHeight w:val="300"/>
        </w:trPr>
        <w:tc>
          <w:tcPr>
            <w:tcW w:w="2456" w:type="dxa"/>
            <w:tcBorders>
              <w:top w:val="nil"/>
              <w:left w:val="nil"/>
              <w:bottom w:val="nil"/>
              <w:right w:val="nil"/>
            </w:tcBorders>
            <w:shd w:val="clear" w:color="auto" w:fill="auto"/>
            <w:noWrap/>
            <w:vAlign w:val="center"/>
            <w:hideMark/>
          </w:tcPr>
          <w:p w14:paraId="27D981D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Population</w:t>
            </w:r>
          </w:p>
        </w:tc>
        <w:tc>
          <w:tcPr>
            <w:tcW w:w="377" w:type="dxa"/>
            <w:tcBorders>
              <w:top w:val="nil"/>
              <w:left w:val="nil"/>
              <w:bottom w:val="nil"/>
              <w:right w:val="nil"/>
            </w:tcBorders>
            <w:shd w:val="clear" w:color="auto" w:fill="auto"/>
            <w:noWrap/>
            <w:vAlign w:val="center"/>
            <w:hideMark/>
          </w:tcPr>
          <w:p w14:paraId="5E578CE4"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531" w:type="dxa"/>
            <w:tcBorders>
              <w:top w:val="nil"/>
              <w:left w:val="nil"/>
              <w:bottom w:val="nil"/>
              <w:right w:val="nil"/>
            </w:tcBorders>
            <w:shd w:val="clear" w:color="auto" w:fill="auto"/>
            <w:noWrap/>
            <w:vAlign w:val="center"/>
            <w:hideMark/>
          </w:tcPr>
          <w:p w14:paraId="5FC4FAF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1.67</w:t>
            </w:r>
          </w:p>
        </w:tc>
        <w:tc>
          <w:tcPr>
            <w:tcW w:w="747" w:type="dxa"/>
            <w:tcBorders>
              <w:top w:val="nil"/>
              <w:left w:val="nil"/>
              <w:bottom w:val="nil"/>
              <w:right w:val="nil"/>
            </w:tcBorders>
            <w:shd w:val="clear" w:color="auto" w:fill="auto"/>
            <w:noWrap/>
            <w:vAlign w:val="center"/>
            <w:hideMark/>
          </w:tcPr>
          <w:p w14:paraId="22DCC46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0.18</w:t>
            </w:r>
          </w:p>
        </w:tc>
        <w:tc>
          <w:tcPr>
            <w:tcW w:w="261" w:type="dxa"/>
            <w:tcBorders>
              <w:top w:val="nil"/>
              <w:left w:val="nil"/>
              <w:bottom w:val="nil"/>
              <w:right w:val="nil"/>
            </w:tcBorders>
            <w:shd w:val="clear" w:color="auto" w:fill="auto"/>
            <w:noWrap/>
            <w:vAlign w:val="center"/>
            <w:hideMark/>
          </w:tcPr>
          <w:p w14:paraId="0A6761C3"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377" w:type="dxa"/>
            <w:tcBorders>
              <w:top w:val="nil"/>
              <w:left w:val="nil"/>
              <w:bottom w:val="nil"/>
              <w:right w:val="nil"/>
            </w:tcBorders>
            <w:shd w:val="clear" w:color="auto" w:fill="auto"/>
            <w:noWrap/>
            <w:vAlign w:val="center"/>
            <w:hideMark/>
          </w:tcPr>
          <w:p w14:paraId="3B1E2E1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658" w:type="dxa"/>
            <w:tcBorders>
              <w:top w:val="nil"/>
              <w:left w:val="nil"/>
              <w:bottom w:val="nil"/>
              <w:right w:val="nil"/>
            </w:tcBorders>
            <w:shd w:val="clear" w:color="auto" w:fill="auto"/>
            <w:noWrap/>
            <w:vAlign w:val="center"/>
            <w:hideMark/>
          </w:tcPr>
          <w:p w14:paraId="0FDBD1D3"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10.58</w:t>
            </w:r>
          </w:p>
        </w:tc>
        <w:tc>
          <w:tcPr>
            <w:tcW w:w="867" w:type="dxa"/>
            <w:tcBorders>
              <w:top w:val="nil"/>
              <w:left w:val="nil"/>
              <w:bottom w:val="nil"/>
              <w:right w:val="nil"/>
            </w:tcBorders>
            <w:shd w:val="clear" w:color="auto" w:fill="auto"/>
            <w:noWrap/>
            <w:vAlign w:val="center"/>
            <w:hideMark/>
          </w:tcPr>
          <w:p w14:paraId="7F0D4378"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&lt; 0.001</w:t>
            </w:r>
          </w:p>
        </w:tc>
        <w:tc>
          <w:tcPr>
            <w:tcW w:w="396" w:type="dxa"/>
            <w:tcBorders>
              <w:top w:val="nil"/>
              <w:left w:val="nil"/>
              <w:bottom w:val="nil"/>
              <w:right w:val="nil"/>
            </w:tcBorders>
            <w:shd w:val="clear" w:color="auto" w:fill="auto"/>
            <w:noWrap/>
            <w:vAlign w:val="center"/>
            <w:hideMark/>
          </w:tcPr>
          <w:p w14:paraId="3AE25F29"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377" w:type="dxa"/>
            <w:tcBorders>
              <w:top w:val="nil"/>
              <w:left w:val="nil"/>
              <w:bottom w:val="nil"/>
              <w:right w:val="nil"/>
            </w:tcBorders>
            <w:shd w:val="clear" w:color="auto" w:fill="auto"/>
            <w:noWrap/>
            <w:vAlign w:val="center"/>
            <w:hideMark/>
          </w:tcPr>
          <w:p w14:paraId="19697872"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531" w:type="dxa"/>
            <w:tcBorders>
              <w:top w:val="nil"/>
              <w:left w:val="nil"/>
              <w:bottom w:val="nil"/>
              <w:right w:val="nil"/>
            </w:tcBorders>
            <w:shd w:val="clear" w:color="auto" w:fill="auto"/>
            <w:noWrap/>
            <w:vAlign w:val="center"/>
            <w:hideMark/>
          </w:tcPr>
          <w:p w14:paraId="7E3E6B0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1.90</w:t>
            </w:r>
          </w:p>
        </w:tc>
        <w:tc>
          <w:tcPr>
            <w:tcW w:w="786" w:type="dxa"/>
            <w:tcBorders>
              <w:top w:val="nil"/>
              <w:left w:val="nil"/>
              <w:bottom w:val="nil"/>
              <w:right w:val="nil"/>
            </w:tcBorders>
            <w:shd w:val="clear" w:color="auto" w:fill="auto"/>
            <w:noWrap/>
            <w:vAlign w:val="center"/>
            <w:hideMark/>
          </w:tcPr>
          <w:p w14:paraId="3B9BEB0B"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0.13</w:t>
            </w:r>
          </w:p>
        </w:tc>
      </w:tr>
      <w:tr w:rsidR="00F1070F" w:rsidRPr="00F1070F" w14:paraId="53CAC858" w14:textId="77777777" w:rsidTr="00F1070F">
        <w:trPr>
          <w:trHeight w:val="300"/>
        </w:trPr>
        <w:tc>
          <w:tcPr>
            <w:tcW w:w="2456" w:type="dxa"/>
            <w:tcBorders>
              <w:top w:val="nil"/>
              <w:left w:val="nil"/>
              <w:bottom w:val="nil"/>
              <w:right w:val="nil"/>
            </w:tcBorders>
            <w:shd w:val="clear" w:color="auto" w:fill="auto"/>
            <w:noWrap/>
            <w:vAlign w:val="center"/>
            <w:hideMark/>
          </w:tcPr>
          <w:p w14:paraId="52446B4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Time period</w:t>
            </w:r>
          </w:p>
        </w:tc>
        <w:tc>
          <w:tcPr>
            <w:tcW w:w="377" w:type="dxa"/>
            <w:tcBorders>
              <w:top w:val="nil"/>
              <w:left w:val="nil"/>
              <w:bottom w:val="nil"/>
              <w:right w:val="nil"/>
            </w:tcBorders>
            <w:shd w:val="clear" w:color="auto" w:fill="auto"/>
            <w:noWrap/>
            <w:vAlign w:val="center"/>
            <w:hideMark/>
          </w:tcPr>
          <w:p w14:paraId="25D5218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w:t>
            </w:r>
          </w:p>
        </w:tc>
        <w:tc>
          <w:tcPr>
            <w:tcW w:w="531" w:type="dxa"/>
            <w:tcBorders>
              <w:top w:val="nil"/>
              <w:left w:val="nil"/>
              <w:bottom w:val="nil"/>
              <w:right w:val="nil"/>
            </w:tcBorders>
            <w:shd w:val="clear" w:color="auto" w:fill="auto"/>
            <w:noWrap/>
            <w:vAlign w:val="center"/>
            <w:hideMark/>
          </w:tcPr>
          <w:p w14:paraId="7C74B0A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8.84</w:t>
            </w:r>
          </w:p>
        </w:tc>
        <w:tc>
          <w:tcPr>
            <w:tcW w:w="747" w:type="dxa"/>
            <w:tcBorders>
              <w:top w:val="nil"/>
              <w:left w:val="nil"/>
              <w:bottom w:val="nil"/>
              <w:right w:val="nil"/>
            </w:tcBorders>
            <w:shd w:val="clear" w:color="auto" w:fill="auto"/>
            <w:noWrap/>
            <w:vAlign w:val="center"/>
            <w:hideMark/>
          </w:tcPr>
          <w:p w14:paraId="23A9EAB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&lt; 0.05</w:t>
            </w:r>
          </w:p>
        </w:tc>
        <w:tc>
          <w:tcPr>
            <w:tcW w:w="261" w:type="dxa"/>
            <w:tcBorders>
              <w:top w:val="nil"/>
              <w:left w:val="nil"/>
              <w:bottom w:val="nil"/>
              <w:right w:val="nil"/>
            </w:tcBorders>
            <w:shd w:val="clear" w:color="auto" w:fill="auto"/>
            <w:noWrap/>
            <w:vAlign w:val="center"/>
            <w:hideMark/>
          </w:tcPr>
          <w:p w14:paraId="489EEFB6"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377" w:type="dxa"/>
            <w:tcBorders>
              <w:top w:val="nil"/>
              <w:left w:val="nil"/>
              <w:bottom w:val="nil"/>
              <w:right w:val="nil"/>
            </w:tcBorders>
            <w:shd w:val="clear" w:color="auto" w:fill="auto"/>
            <w:noWrap/>
            <w:vAlign w:val="center"/>
            <w:hideMark/>
          </w:tcPr>
          <w:p w14:paraId="145EE28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w:t>
            </w:r>
          </w:p>
        </w:tc>
        <w:tc>
          <w:tcPr>
            <w:tcW w:w="658" w:type="dxa"/>
            <w:tcBorders>
              <w:top w:val="nil"/>
              <w:left w:val="nil"/>
              <w:bottom w:val="nil"/>
              <w:right w:val="nil"/>
            </w:tcBorders>
            <w:shd w:val="clear" w:color="auto" w:fill="auto"/>
            <w:noWrap/>
            <w:vAlign w:val="center"/>
            <w:hideMark/>
          </w:tcPr>
          <w:p w14:paraId="1725EF0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2.86</w:t>
            </w:r>
          </w:p>
        </w:tc>
        <w:tc>
          <w:tcPr>
            <w:tcW w:w="867" w:type="dxa"/>
            <w:tcBorders>
              <w:top w:val="nil"/>
              <w:left w:val="nil"/>
              <w:bottom w:val="nil"/>
              <w:right w:val="nil"/>
            </w:tcBorders>
            <w:shd w:val="clear" w:color="auto" w:fill="auto"/>
            <w:noWrap/>
            <w:vAlign w:val="center"/>
            <w:hideMark/>
          </w:tcPr>
          <w:p w14:paraId="254E9A2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0.09</w:t>
            </w:r>
          </w:p>
        </w:tc>
        <w:tc>
          <w:tcPr>
            <w:tcW w:w="396" w:type="dxa"/>
            <w:tcBorders>
              <w:top w:val="nil"/>
              <w:left w:val="nil"/>
              <w:bottom w:val="nil"/>
              <w:right w:val="nil"/>
            </w:tcBorders>
            <w:shd w:val="clear" w:color="auto" w:fill="auto"/>
            <w:noWrap/>
            <w:vAlign w:val="center"/>
            <w:hideMark/>
          </w:tcPr>
          <w:p w14:paraId="537DC5FB"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377" w:type="dxa"/>
            <w:tcBorders>
              <w:top w:val="nil"/>
              <w:left w:val="nil"/>
              <w:bottom w:val="nil"/>
              <w:right w:val="nil"/>
            </w:tcBorders>
            <w:shd w:val="clear" w:color="auto" w:fill="auto"/>
            <w:noWrap/>
            <w:vAlign w:val="center"/>
            <w:hideMark/>
          </w:tcPr>
          <w:p w14:paraId="1B20FDE9"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w:t>
            </w:r>
          </w:p>
        </w:tc>
        <w:tc>
          <w:tcPr>
            <w:tcW w:w="531" w:type="dxa"/>
            <w:tcBorders>
              <w:top w:val="nil"/>
              <w:left w:val="nil"/>
              <w:bottom w:val="nil"/>
              <w:right w:val="nil"/>
            </w:tcBorders>
            <w:shd w:val="clear" w:color="auto" w:fill="auto"/>
            <w:noWrap/>
            <w:vAlign w:val="center"/>
            <w:hideMark/>
          </w:tcPr>
          <w:p w14:paraId="5BB9914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1.38</w:t>
            </w:r>
          </w:p>
        </w:tc>
        <w:tc>
          <w:tcPr>
            <w:tcW w:w="786" w:type="dxa"/>
            <w:tcBorders>
              <w:top w:val="nil"/>
              <w:left w:val="nil"/>
              <w:bottom w:val="nil"/>
              <w:right w:val="nil"/>
            </w:tcBorders>
            <w:shd w:val="clear" w:color="auto" w:fill="auto"/>
            <w:noWrap/>
            <w:vAlign w:val="center"/>
            <w:hideMark/>
          </w:tcPr>
          <w:p w14:paraId="79087058"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0.24</w:t>
            </w:r>
          </w:p>
        </w:tc>
      </w:tr>
      <w:tr w:rsidR="00F1070F" w:rsidRPr="00F1070F" w14:paraId="1A6E4BB7" w14:textId="77777777" w:rsidTr="00F1070F">
        <w:trPr>
          <w:trHeight w:val="300"/>
        </w:trPr>
        <w:tc>
          <w:tcPr>
            <w:tcW w:w="2456" w:type="dxa"/>
            <w:tcBorders>
              <w:top w:val="nil"/>
              <w:left w:val="nil"/>
              <w:bottom w:val="single" w:sz="4" w:space="0" w:color="auto"/>
              <w:right w:val="nil"/>
            </w:tcBorders>
            <w:shd w:val="clear" w:color="auto" w:fill="auto"/>
            <w:noWrap/>
            <w:vAlign w:val="center"/>
            <w:hideMark/>
          </w:tcPr>
          <w:p w14:paraId="2574B2D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Population × time period</w:t>
            </w:r>
          </w:p>
        </w:tc>
        <w:tc>
          <w:tcPr>
            <w:tcW w:w="377" w:type="dxa"/>
            <w:tcBorders>
              <w:top w:val="nil"/>
              <w:left w:val="nil"/>
              <w:bottom w:val="single" w:sz="4" w:space="0" w:color="auto"/>
              <w:right w:val="nil"/>
            </w:tcBorders>
            <w:shd w:val="clear" w:color="auto" w:fill="auto"/>
            <w:noWrap/>
            <w:vAlign w:val="center"/>
            <w:hideMark/>
          </w:tcPr>
          <w:p w14:paraId="08FE621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531" w:type="dxa"/>
            <w:tcBorders>
              <w:top w:val="nil"/>
              <w:left w:val="nil"/>
              <w:bottom w:val="single" w:sz="4" w:space="0" w:color="auto"/>
              <w:right w:val="nil"/>
            </w:tcBorders>
            <w:shd w:val="clear" w:color="auto" w:fill="auto"/>
            <w:noWrap/>
            <w:vAlign w:val="center"/>
            <w:hideMark/>
          </w:tcPr>
          <w:p w14:paraId="2204C5D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2.73</w:t>
            </w:r>
          </w:p>
        </w:tc>
        <w:tc>
          <w:tcPr>
            <w:tcW w:w="747" w:type="dxa"/>
            <w:tcBorders>
              <w:top w:val="nil"/>
              <w:left w:val="nil"/>
              <w:bottom w:val="single" w:sz="4" w:space="0" w:color="auto"/>
              <w:right w:val="nil"/>
            </w:tcBorders>
            <w:shd w:val="clear" w:color="auto" w:fill="auto"/>
            <w:noWrap/>
            <w:vAlign w:val="center"/>
            <w:hideMark/>
          </w:tcPr>
          <w:p w14:paraId="2C27CF7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&lt; 0.05</w:t>
            </w:r>
          </w:p>
        </w:tc>
        <w:tc>
          <w:tcPr>
            <w:tcW w:w="261" w:type="dxa"/>
            <w:tcBorders>
              <w:top w:val="nil"/>
              <w:left w:val="nil"/>
              <w:bottom w:val="single" w:sz="4" w:space="0" w:color="auto"/>
              <w:right w:val="nil"/>
            </w:tcBorders>
            <w:shd w:val="clear" w:color="auto" w:fill="auto"/>
            <w:noWrap/>
            <w:vAlign w:val="center"/>
            <w:hideMark/>
          </w:tcPr>
          <w:p w14:paraId="0E4F88D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377" w:type="dxa"/>
            <w:tcBorders>
              <w:top w:val="nil"/>
              <w:left w:val="nil"/>
              <w:bottom w:val="single" w:sz="4" w:space="0" w:color="auto"/>
              <w:right w:val="nil"/>
            </w:tcBorders>
            <w:shd w:val="clear" w:color="auto" w:fill="auto"/>
            <w:noWrap/>
            <w:vAlign w:val="center"/>
            <w:hideMark/>
          </w:tcPr>
          <w:p w14:paraId="1C423E56"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658" w:type="dxa"/>
            <w:tcBorders>
              <w:top w:val="nil"/>
              <w:left w:val="nil"/>
              <w:bottom w:val="single" w:sz="4" w:space="0" w:color="auto"/>
              <w:right w:val="nil"/>
            </w:tcBorders>
            <w:shd w:val="clear" w:color="auto" w:fill="auto"/>
            <w:noWrap/>
            <w:vAlign w:val="center"/>
            <w:hideMark/>
          </w:tcPr>
          <w:p w14:paraId="345E17A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1.04</w:t>
            </w:r>
          </w:p>
        </w:tc>
        <w:tc>
          <w:tcPr>
            <w:tcW w:w="867" w:type="dxa"/>
            <w:tcBorders>
              <w:top w:val="nil"/>
              <w:left w:val="nil"/>
              <w:bottom w:val="single" w:sz="4" w:space="0" w:color="auto"/>
              <w:right w:val="nil"/>
            </w:tcBorders>
            <w:shd w:val="clear" w:color="auto" w:fill="auto"/>
            <w:noWrap/>
            <w:vAlign w:val="center"/>
            <w:hideMark/>
          </w:tcPr>
          <w:p w14:paraId="18BD195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0.38</w:t>
            </w:r>
          </w:p>
        </w:tc>
        <w:tc>
          <w:tcPr>
            <w:tcW w:w="396" w:type="dxa"/>
            <w:tcBorders>
              <w:top w:val="nil"/>
              <w:left w:val="nil"/>
              <w:bottom w:val="single" w:sz="4" w:space="0" w:color="auto"/>
              <w:right w:val="nil"/>
            </w:tcBorders>
            <w:shd w:val="clear" w:color="auto" w:fill="auto"/>
            <w:noWrap/>
            <w:vAlign w:val="center"/>
            <w:hideMark/>
          </w:tcPr>
          <w:p w14:paraId="2980D0C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377" w:type="dxa"/>
            <w:tcBorders>
              <w:top w:val="nil"/>
              <w:left w:val="nil"/>
              <w:bottom w:val="single" w:sz="4" w:space="0" w:color="auto"/>
              <w:right w:val="nil"/>
            </w:tcBorders>
            <w:shd w:val="clear" w:color="auto" w:fill="auto"/>
            <w:noWrap/>
            <w:vAlign w:val="center"/>
            <w:hideMark/>
          </w:tcPr>
          <w:p w14:paraId="4DD63D68"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531" w:type="dxa"/>
            <w:tcBorders>
              <w:top w:val="nil"/>
              <w:left w:val="nil"/>
              <w:bottom w:val="single" w:sz="4" w:space="0" w:color="auto"/>
              <w:right w:val="nil"/>
            </w:tcBorders>
            <w:shd w:val="clear" w:color="auto" w:fill="auto"/>
            <w:noWrap/>
            <w:vAlign w:val="center"/>
            <w:hideMark/>
          </w:tcPr>
          <w:p w14:paraId="2EFE93D4"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3.65</w:t>
            </w:r>
          </w:p>
        </w:tc>
        <w:tc>
          <w:tcPr>
            <w:tcW w:w="786" w:type="dxa"/>
            <w:tcBorders>
              <w:top w:val="nil"/>
              <w:left w:val="nil"/>
              <w:bottom w:val="single" w:sz="4" w:space="0" w:color="auto"/>
              <w:right w:val="nil"/>
            </w:tcBorders>
            <w:shd w:val="clear" w:color="auto" w:fill="auto"/>
            <w:noWrap/>
            <w:vAlign w:val="center"/>
            <w:hideMark/>
          </w:tcPr>
          <w:p w14:paraId="7779E5B5"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&lt; 0.05</w:t>
            </w:r>
          </w:p>
        </w:tc>
      </w:tr>
    </w:tbl>
    <w:p w14:paraId="10C3E9C4" w14:textId="77777777" w:rsidR="00C545A8" w:rsidRDefault="00C545A8">
      <w:pPr>
        <w:rPr>
          <w:rFonts w:cstheme="minorHAnsi"/>
          <w:lang w:val="en-US"/>
        </w:rPr>
      </w:pPr>
      <w:r>
        <w:rPr>
          <w:rFonts w:cstheme="minorHAnsi"/>
          <w:lang w:val="en-US"/>
        </w:rPr>
        <w:br w:type="page"/>
      </w:r>
    </w:p>
    <w:p w14:paraId="5551DB85" w14:textId="062D89C6" w:rsidR="006113F8" w:rsidRPr="001830F3" w:rsidRDefault="00E3782F" w:rsidP="006113F8">
      <w:pPr>
        <w:spacing w:line="480" w:lineRule="auto"/>
        <w:rPr>
          <w:rFonts w:cstheme="minorHAnsi"/>
          <w:lang w:val="en-US"/>
        </w:rPr>
      </w:pPr>
      <w:r w:rsidRPr="001830F3">
        <w:rPr>
          <w:rFonts w:cstheme="minorHAnsi"/>
          <w:lang w:val="en-US"/>
        </w:rPr>
        <w:lastRenderedPageBreak/>
        <w:t xml:space="preserve">Table </w:t>
      </w:r>
      <w:r w:rsidR="009C194A">
        <w:rPr>
          <w:rFonts w:cstheme="minorHAnsi"/>
          <w:lang w:val="en-US"/>
        </w:rPr>
        <w:t>5</w:t>
      </w:r>
      <w:r w:rsidRPr="001830F3">
        <w:rPr>
          <w:rFonts w:cstheme="minorHAnsi"/>
          <w:lang w:val="en-US"/>
        </w:rPr>
        <w:t xml:space="preserve">. </w:t>
      </w:r>
      <w:r w:rsidR="00173393">
        <w:rPr>
          <w:rFonts w:cstheme="minorHAnsi"/>
          <w:lang w:val="en-US"/>
        </w:rPr>
        <w:t>C</w:t>
      </w:r>
      <w:r w:rsidRPr="001830F3">
        <w:rPr>
          <w:rFonts w:cstheme="minorHAnsi"/>
          <w:lang w:val="en-US"/>
        </w:rPr>
        <w:t>ompari</w:t>
      </w:r>
      <w:r w:rsidR="00173393">
        <w:rPr>
          <w:rFonts w:cstheme="minorHAnsi"/>
          <w:lang w:val="en-US"/>
        </w:rPr>
        <w:t xml:space="preserve">son of </w:t>
      </w:r>
      <w:r w:rsidRPr="001830F3">
        <w:rPr>
          <w:rFonts w:cstheme="minorHAnsi"/>
          <w:lang w:val="en-US"/>
        </w:rPr>
        <w:t xml:space="preserve">body </w:t>
      </w:r>
      <w:r w:rsidR="004C286A">
        <w:rPr>
          <w:lang w:val="en-US"/>
        </w:rPr>
        <w:t>measurements</w:t>
      </w:r>
      <w:r w:rsidRPr="001830F3">
        <w:rPr>
          <w:rFonts w:cstheme="minorHAnsi"/>
          <w:lang w:val="en-US"/>
        </w:rPr>
        <w:t xml:space="preserve"> in two periods of time (2011 – 2012 vs 2018 – 2022) </w:t>
      </w:r>
      <w:r w:rsidR="00173393">
        <w:rPr>
          <w:rFonts w:cstheme="minorHAnsi"/>
          <w:lang w:val="en-US"/>
        </w:rPr>
        <w:t>in four</w:t>
      </w:r>
      <w:r w:rsidR="00173393" w:rsidRPr="001830F3">
        <w:rPr>
          <w:rFonts w:cstheme="minorHAnsi"/>
          <w:lang w:val="en-US"/>
        </w:rPr>
        <w:t xml:space="preserve"> </w:t>
      </w:r>
      <w:r w:rsidRPr="001830F3">
        <w:rPr>
          <w:rFonts w:cstheme="minorHAnsi"/>
          <w:lang w:val="en-US"/>
        </w:rPr>
        <w:t>populations</w:t>
      </w:r>
      <w:r w:rsidR="00173393">
        <w:rPr>
          <w:rFonts w:cstheme="minorHAnsi"/>
          <w:lang w:val="en-US"/>
        </w:rPr>
        <w:t>, and their interaction</w:t>
      </w:r>
      <w:r w:rsidRPr="001830F3">
        <w:rPr>
          <w:rFonts w:cstheme="minorHAnsi"/>
          <w:lang w:val="en-US"/>
        </w:rPr>
        <w:t xml:space="preserve"> of </w:t>
      </w:r>
      <w:r>
        <w:rPr>
          <w:rFonts w:cstheme="minorHAnsi"/>
          <w:lang w:val="en-US"/>
        </w:rPr>
        <w:t>w</w:t>
      </w:r>
      <w:r w:rsidRPr="001830F3">
        <w:rPr>
          <w:rFonts w:cstheme="minorHAnsi"/>
          <w:lang w:val="en-US"/>
        </w:rPr>
        <w:t xml:space="preserve">hite-eared </w:t>
      </w:r>
      <w:r>
        <w:rPr>
          <w:rFonts w:cstheme="minorHAnsi"/>
          <w:lang w:val="en-US"/>
        </w:rPr>
        <w:t>g</w:t>
      </w:r>
      <w:r w:rsidRPr="001830F3">
        <w:rPr>
          <w:rFonts w:cstheme="minorHAnsi"/>
          <w:lang w:val="en-US"/>
        </w:rPr>
        <w:t>round-sparrows</w:t>
      </w:r>
      <w:r w:rsidR="00716D57">
        <w:rPr>
          <w:rFonts w:cstheme="minorHAnsi"/>
          <w:lang w:val="en-US"/>
        </w:rPr>
        <w:t xml:space="preserve"> </w:t>
      </w:r>
      <w:proofErr w:type="spellStart"/>
      <w:r w:rsidR="00716D57" w:rsidRPr="00716D57">
        <w:rPr>
          <w:rFonts w:cstheme="minorHAnsi"/>
          <w:i/>
          <w:iCs/>
          <w:lang w:val="en-US"/>
        </w:rPr>
        <w:t>Melozone</w:t>
      </w:r>
      <w:proofErr w:type="spellEnd"/>
      <w:r w:rsidR="00716D57" w:rsidRPr="00716D57">
        <w:rPr>
          <w:rFonts w:cstheme="minorHAnsi"/>
          <w:i/>
          <w:iCs/>
          <w:lang w:val="en-US"/>
        </w:rPr>
        <w:t xml:space="preserve"> </w:t>
      </w:r>
      <w:proofErr w:type="spellStart"/>
      <w:r w:rsidR="00716D57" w:rsidRPr="00716D57">
        <w:rPr>
          <w:rFonts w:cstheme="minorHAnsi"/>
          <w:i/>
          <w:iCs/>
          <w:lang w:val="en-US"/>
        </w:rPr>
        <w:t>leucotis</w:t>
      </w:r>
      <w:proofErr w:type="spellEnd"/>
      <w:r w:rsidR="00173393">
        <w:rPr>
          <w:rFonts w:cstheme="minorHAnsi"/>
          <w:lang w:val="en-US"/>
        </w:rPr>
        <w:t xml:space="preserve">, based on </w:t>
      </w:r>
      <w:r w:rsidR="00173393" w:rsidRPr="001830F3">
        <w:rPr>
          <w:rFonts w:cstheme="minorHAnsi"/>
          <w:lang w:val="en-US"/>
        </w:rPr>
        <w:t>generalized linear mixed models</w:t>
      </w:r>
      <w:r w:rsidRPr="001830F3">
        <w:rPr>
          <w:rFonts w:cstheme="minorHAnsi"/>
          <w:lang w:val="en-US"/>
        </w:rPr>
        <w:t xml:space="preserve">. </w:t>
      </w:r>
      <w:r w:rsidR="006113F8">
        <w:rPr>
          <w:rFonts w:cstheme="minorHAnsi"/>
          <w:lang w:val="en-US"/>
        </w:rPr>
        <w:t xml:space="preserve">PC1 correlates with </w:t>
      </w:r>
      <w:r w:rsidR="006113F8" w:rsidRPr="001830F3">
        <w:rPr>
          <w:rFonts w:cstheme="minorHAnsi"/>
          <w:lang w:val="en-US"/>
        </w:rPr>
        <w:t>tarsus length, tail length, wing chord length</w:t>
      </w:r>
      <w:r w:rsidR="006113F8">
        <w:rPr>
          <w:rFonts w:cstheme="minorHAnsi"/>
          <w:lang w:val="en-US"/>
        </w:rPr>
        <w:t xml:space="preserve">, and </w:t>
      </w:r>
      <w:r w:rsidR="006113F8" w:rsidRPr="001830F3">
        <w:rPr>
          <w:rFonts w:cstheme="minorHAnsi"/>
          <w:lang w:val="en-US"/>
        </w:rPr>
        <w:t>beak depth</w:t>
      </w:r>
      <w:r w:rsidR="006113F8">
        <w:rPr>
          <w:rFonts w:cstheme="minorHAnsi"/>
          <w:lang w:val="en-US"/>
        </w:rPr>
        <w:t xml:space="preserve">, PC2 correlates with </w:t>
      </w:r>
      <w:r w:rsidR="006113F8" w:rsidRPr="001830F3">
        <w:rPr>
          <w:rFonts w:cstheme="minorHAnsi"/>
          <w:lang w:val="en-US"/>
        </w:rPr>
        <w:t>exposed culmen length</w:t>
      </w:r>
      <w:r w:rsidR="006113F8">
        <w:rPr>
          <w:rFonts w:cstheme="minorHAnsi"/>
          <w:lang w:val="en-US"/>
        </w:rPr>
        <w:t xml:space="preserve"> and </w:t>
      </w:r>
      <w:r w:rsidR="006113F8" w:rsidRPr="001830F3">
        <w:rPr>
          <w:rFonts w:cstheme="minorHAnsi"/>
          <w:lang w:val="en-US"/>
        </w:rPr>
        <w:t>beak width</w:t>
      </w:r>
      <w:r w:rsidR="006113F8">
        <w:rPr>
          <w:rFonts w:cstheme="minorHAnsi"/>
          <w:lang w:val="en-US"/>
        </w:rPr>
        <w:t>.</w:t>
      </w:r>
    </w:p>
    <w:p w14:paraId="46EBB415" w14:textId="405F4EEA" w:rsidR="00E3782F" w:rsidRPr="001830F3" w:rsidRDefault="00E3782F" w:rsidP="00E3782F">
      <w:pPr>
        <w:spacing w:line="480" w:lineRule="auto"/>
        <w:rPr>
          <w:rFonts w:cstheme="minorHAnsi"/>
          <w:lang w:val="en-US"/>
        </w:rPr>
      </w:pPr>
    </w:p>
    <w:tbl>
      <w:tblPr>
        <w:tblW w:w="9500" w:type="dxa"/>
        <w:jc w:val="center"/>
        <w:tblCellMar>
          <w:left w:w="70" w:type="dxa"/>
          <w:right w:w="70" w:type="dxa"/>
        </w:tblCellMar>
        <w:tblLook w:val="04A0" w:firstRow="1" w:lastRow="0" w:firstColumn="1" w:lastColumn="0" w:noHBand="0" w:noVBand="1"/>
      </w:tblPr>
      <w:tblGrid>
        <w:gridCol w:w="2456"/>
        <w:gridCol w:w="236"/>
        <w:gridCol w:w="660"/>
        <w:gridCol w:w="377"/>
        <w:gridCol w:w="868"/>
        <w:gridCol w:w="531"/>
        <w:gridCol w:w="377"/>
        <w:gridCol w:w="531"/>
        <w:gridCol w:w="236"/>
        <w:gridCol w:w="642"/>
        <w:gridCol w:w="377"/>
        <w:gridCol w:w="835"/>
        <w:gridCol w:w="642"/>
        <w:gridCol w:w="377"/>
        <w:gridCol w:w="695"/>
      </w:tblGrid>
      <w:tr w:rsidR="00F1070F" w:rsidRPr="00F1070F" w14:paraId="1F9750D3" w14:textId="77777777" w:rsidTr="0007616E">
        <w:trPr>
          <w:trHeight w:val="300"/>
          <w:jc w:val="center"/>
        </w:trPr>
        <w:tc>
          <w:tcPr>
            <w:tcW w:w="2456" w:type="dxa"/>
            <w:tcBorders>
              <w:top w:val="single" w:sz="4" w:space="0" w:color="auto"/>
              <w:left w:val="nil"/>
              <w:bottom w:val="nil"/>
              <w:right w:val="nil"/>
            </w:tcBorders>
            <w:shd w:val="clear" w:color="auto" w:fill="auto"/>
            <w:noWrap/>
            <w:vAlign w:val="bottom"/>
            <w:hideMark/>
          </w:tcPr>
          <w:p w14:paraId="5B686617" w14:textId="77777777" w:rsidR="00F1070F" w:rsidRPr="001C5FCD" w:rsidRDefault="00F1070F" w:rsidP="00F1070F">
            <w:pPr>
              <w:spacing w:after="0" w:line="480" w:lineRule="auto"/>
              <w:rPr>
                <w:rFonts w:ascii="Calibri" w:eastAsia="Times New Roman" w:hAnsi="Calibri" w:cs="Calibri"/>
                <w:color w:val="000000"/>
                <w:lang w:val="en-US" w:eastAsia="es-EC"/>
              </w:rPr>
            </w:pPr>
            <w:r w:rsidRPr="001C5FCD">
              <w:rPr>
                <w:rFonts w:ascii="Calibri" w:eastAsia="Times New Roman" w:hAnsi="Calibri" w:cs="Calibri"/>
                <w:color w:val="000000"/>
                <w:lang w:val="en-US" w:eastAsia="es-EC"/>
              </w:rPr>
              <w:t> </w:t>
            </w:r>
          </w:p>
        </w:tc>
        <w:tc>
          <w:tcPr>
            <w:tcW w:w="236" w:type="dxa"/>
            <w:tcBorders>
              <w:top w:val="single" w:sz="4" w:space="0" w:color="auto"/>
              <w:left w:val="nil"/>
              <w:bottom w:val="nil"/>
              <w:right w:val="nil"/>
            </w:tcBorders>
            <w:shd w:val="clear" w:color="auto" w:fill="auto"/>
            <w:noWrap/>
            <w:vAlign w:val="center"/>
            <w:hideMark/>
          </w:tcPr>
          <w:p w14:paraId="4F215FBD" w14:textId="77777777" w:rsidR="00F1070F" w:rsidRPr="001C5FCD" w:rsidRDefault="00F1070F" w:rsidP="00F1070F">
            <w:pPr>
              <w:spacing w:after="0" w:line="480" w:lineRule="auto"/>
              <w:rPr>
                <w:rFonts w:ascii="Calibri" w:eastAsia="Times New Roman" w:hAnsi="Calibri" w:cs="Calibri"/>
                <w:color w:val="000000"/>
                <w:lang w:val="en-US" w:eastAsia="es-EC"/>
              </w:rPr>
            </w:pPr>
            <w:r w:rsidRPr="001C5FCD">
              <w:rPr>
                <w:rFonts w:ascii="Calibri" w:eastAsia="Times New Roman" w:hAnsi="Calibri" w:cs="Calibri"/>
                <w:color w:val="000000"/>
                <w:lang w:val="en-US" w:eastAsia="es-EC"/>
              </w:rPr>
              <w:t> </w:t>
            </w:r>
          </w:p>
        </w:tc>
        <w:tc>
          <w:tcPr>
            <w:tcW w:w="3176" w:type="dxa"/>
            <w:gridSpan w:val="6"/>
            <w:tcBorders>
              <w:top w:val="single" w:sz="4" w:space="0" w:color="auto"/>
              <w:left w:val="nil"/>
              <w:bottom w:val="single" w:sz="4" w:space="0" w:color="auto"/>
              <w:right w:val="nil"/>
            </w:tcBorders>
            <w:shd w:val="clear" w:color="auto" w:fill="auto"/>
            <w:noWrap/>
            <w:vAlign w:val="center"/>
            <w:hideMark/>
          </w:tcPr>
          <w:p w14:paraId="4E62B844" w14:textId="77777777" w:rsidR="00F1070F" w:rsidRPr="00F1070F" w:rsidRDefault="0007616E" w:rsidP="00F1070F">
            <w:pPr>
              <w:spacing w:after="0" w:line="480" w:lineRule="auto"/>
              <w:jc w:val="center"/>
              <w:rPr>
                <w:rFonts w:ascii="Calibri" w:eastAsia="Times New Roman" w:hAnsi="Calibri" w:cs="Calibri"/>
                <w:color w:val="000000"/>
                <w:lang w:eastAsia="es-EC"/>
              </w:rPr>
            </w:pPr>
            <w:r>
              <w:rPr>
                <w:rFonts w:ascii="Calibri" w:eastAsia="Times New Roman" w:hAnsi="Calibri" w:cs="Calibri"/>
                <w:color w:val="000000"/>
                <w:lang w:eastAsia="es-EC"/>
              </w:rPr>
              <w:t>Females</w:t>
            </w:r>
          </w:p>
        </w:tc>
        <w:tc>
          <w:tcPr>
            <w:tcW w:w="236" w:type="dxa"/>
            <w:tcBorders>
              <w:top w:val="single" w:sz="4" w:space="0" w:color="auto"/>
              <w:left w:val="nil"/>
              <w:bottom w:val="nil"/>
              <w:right w:val="nil"/>
            </w:tcBorders>
            <w:shd w:val="clear" w:color="auto" w:fill="auto"/>
            <w:noWrap/>
            <w:vAlign w:val="center"/>
            <w:hideMark/>
          </w:tcPr>
          <w:p w14:paraId="3C43E40B"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3396" w:type="dxa"/>
            <w:gridSpan w:val="6"/>
            <w:tcBorders>
              <w:top w:val="single" w:sz="4" w:space="0" w:color="auto"/>
              <w:left w:val="nil"/>
              <w:bottom w:val="single" w:sz="4" w:space="0" w:color="000000"/>
              <w:right w:val="nil"/>
            </w:tcBorders>
            <w:shd w:val="clear" w:color="auto" w:fill="auto"/>
            <w:noWrap/>
            <w:vAlign w:val="center"/>
            <w:hideMark/>
          </w:tcPr>
          <w:p w14:paraId="13903D96"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Ma</w:t>
            </w:r>
            <w:r w:rsidR="0007616E">
              <w:rPr>
                <w:rFonts w:ascii="Calibri" w:eastAsia="Times New Roman" w:hAnsi="Calibri" w:cs="Calibri"/>
                <w:color w:val="000000"/>
                <w:lang w:eastAsia="es-EC"/>
              </w:rPr>
              <w:t>les</w:t>
            </w:r>
          </w:p>
        </w:tc>
      </w:tr>
      <w:tr w:rsidR="00F1070F" w:rsidRPr="00F1070F" w14:paraId="775C6B2C" w14:textId="77777777" w:rsidTr="0007616E">
        <w:trPr>
          <w:trHeight w:val="300"/>
          <w:jc w:val="center"/>
        </w:trPr>
        <w:tc>
          <w:tcPr>
            <w:tcW w:w="2456" w:type="dxa"/>
            <w:tcBorders>
              <w:top w:val="nil"/>
              <w:left w:val="nil"/>
              <w:bottom w:val="nil"/>
              <w:right w:val="nil"/>
            </w:tcBorders>
            <w:shd w:val="clear" w:color="auto" w:fill="auto"/>
            <w:noWrap/>
            <w:vAlign w:val="center"/>
            <w:hideMark/>
          </w:tcPr>
          <w:p w14:paraId="0B048460"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236" w:type="dxa"/>
            <w:tcBorders>
              <w:top w:val="nil"/>
              <w:left w:val="nil"/>
              <w:bottom w:val="nil"/>
              <w:right w:val="nil"/>
            </w:tcBorders>
            <w:shd w:val="clear" w:color="auto" w:fill="auto"/>
            <w:noWrap/>
            <w:vAlign w:val="center"/>
            <w:hideMark/>
          </w:tcPr>
          <w:p w14:paraId="4757028F" w14:textId="77777777" w:rsidR="00F1070F" w:rsidRPr="00F1070F" w:rsidRDefault="00F1070F" w:rsidP="00F1070F">
            <w:pPr>
              <w:spacing w:after="0" w:line="480" w:lineRule="auto"/>
              <w:jc w:val="center"/>
              <w:rPr>
                <w:rFonts w:ascii="Times New Roman" w:eastAsia="Times New Roman" w:hAnsi="Times New Roman" w:cs="Times New Roman"/>
                <w:sz w:val="20"/>
                <w:szCs w:val="20"/>
                <w:lang w:eastAsia="es-EC"/>
              </w:rPr>
            </w:pPr>
          </w:p>
        </w:tc>
        <w:tc>
          <w:tcPr>
            <w:tcW w:w="1839" w:type="dxa"/>
            <w:gridSpan w:val="3"/>
            <w:tcBorders>
              <w:top w:val="single" w:sz="4" w:space="0" w:color="auto"/>
              <w:left w:val="nil"/>
              <w:bottom w:val="nil"/>
              <w:right w:val="nil"/>
            </w:tcBorders>
            <w:shd w:val="clear" w:color="auto" w:fill="auto"/>
            <w:noWrap/>
            <w:vAlign w:val="center"/>
            <w:hideMark/>
          </w:tcPr>
          <w:p w14:paraId="7009FDD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PC1</w:t>
            </w:r>
          </w:p>
        </w:tc>
        <w:tc>
          <w:tcPr>
            <w:tcW w:w="1337" w:type="dxa"/>
            <w:gridSpan w:val="3"/>
            <w:tcBorders>
              <w:top w:val="single" w:sz="4" w:space="0" w:color="auto"/>
              <w:left w:val="nil"/>
              <w:bottom w:val="single" w:sz="4" w:space="0" w:color="auto"/>
              <w:right w:val="nil"/>
            </w:tcBorders>
            <w:shd w:val="clear" w:color="auto" w:fill="auto"/>
            <w:noWrap/>
            <w:vAlign w:val="center"/>
            <w:hideMark/>
          </w:tcPr>
          <w:p w14:paraId="4A5B1AE9"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PC2</w:t>
            </w:r>
          </w:p>
        </w:tc>
        <w:tc>
          <w:tcPr>
            <w:tcW w:w="236" w:type="dxa"/>
            <w:tcBorders>
              <w:top w:val="nil"/>
              <w:left w:val="nil"/>
              <w:bottom w:val="nil"/>
              <w:right w:val="nil"/>
            </w:tcBorders>
            <w:shd w:val="clear" w:color="auto" w:fill="auto"/>
            <w:noWrap/>
            <w:vAlign w:val="center"/>
            <w:hideMark/>
          </w:tcPr>
          <w:p w14:paraId="24242A59"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1768" w:type="dxa"/>
            <w:gridSpan w:val="3"/>
            <w:tcBorders>
              <w:top w:val="single" w:sz="4" w:space="0" w:color="auto"/>
              <w:left w:val="nil"/>
              <w:bottom w:val="single" w:sz="4" w:space="0" w:color="auto"/>
              <w:right w:val="nil"/>
            </w:tcBorders>
            <w:shd w:val="clear" w:color="auto" w:fill="auto"/>
            <w:noWrap/>
            <w:vAlign w:val="center"/>
            <w:hideMark/>
          </w:tcPr>
          <w:p w14:paraId="1A7959A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PC1</w:t>
            </w:r>
          </w:p>
        </w:tc>
        <w:tc>
          <w:tcPr>
            <w:tcW w:w="1628" w:type="dxa"/>
            <w:gridSpan w:val="3"/>
            <w:tcBorders>
              <w:top w:val="single" w:sz="4" w:space="0" w:color="auto"/>
              <w:left w:val="nil"/>
              <w:bottom w:val="nil"/>
              <w:right w:val="nil"/>
            </w:tcBorders>
            <w:shd w:val="clear" w:color="auto" w:fill="auto"/>
            <w:noWrap/>
            <w:vAlign w:val="center"/>
            <w:hideMark/>
          </w:tcPr>
          <w:p w14:paraId="3C71DDF2"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PC2</w:t>
            </w:r>
          </w:p>
        </w:tc>
      </w:tr>
      <w:tr w:rsidR="00F1070F" w:rsidRPr="00F1070F" w14:paraId="5D871407" w14:textId="77777777" w:rsidTr="0007616E">
        <w:trPr>
          <w:trHeight w:val="300"/>
          <w:jc w:val="center"/>
        </w:trPr>
        <w:tc>
          <w:tcPr>
            <w:tcW w:w="2456" w:type="dxa"/>
            <w:tcBorders>
              <w:top w:val="nil"/>
              <w:left w:val="nil"/>
              <w:bottom w:val="nil"/>
              <w:right w:val="nil"/>
            </w:tcBorders>
            <w:shd w:val="clear" w:color="auto" w:fill="auto"/>
            <w:noWrap/>
            <w:vAlign w:val="center"/>
            <w:hideMark/>
          </w:tcPr>
          <w:p w14:paraId="2F886428"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236" w:type="dxa"/>
            <w:tcBorders>
              <w:top w:val="nil"/>
              <w:left w:val="nil"/>
              <w:bottom w:val="nil"/>
              <w:right w:val="nil"/>
            </w:tcBorders>
            <w:shd w:val="clear" w:color="auto" w:fill="auto"/>
            <w:noWrap/>
            <w:vAlign w:val="center"/>
            <w:hideMark/>
          </w:tcPr>
          <w:p w14:paraId="1E771F09" w14:textId="77777777" w:rsidR="00F1070F" w:rsidRPr="00F1070F" w:rsidRDefault="00F1070F" w:rsidP="00F1070F">
            <w:pPr>
              <w:spacing w:after="0" w:line="480" w:lineRule="auto"/>
              <w:jc w:val="center"/>
              <w:rPr>
                <w:rFonts w:ascii="Times New Roman" w:eastAsia="Times New Roman" w:hAnsi="Times New Roman" w:cs="Times New Roman"/>
                <w:sz w:val="20"/>
                <w:szCs w:val="20"/>
                <w:lang w:eastAsia="es-EC"/>
              </w:rPr>
            </w:pPr>
          </w:p>
        </w:tc>
        <w:tc>
          <w:tcPr>
            <w:tcW w:w="660" w:type="dxa"/>
            <w:tcBorders>
              <w:top w:val="single" w:sz="4" w:space="0" w:color="auto"/>
              <w:left w:val="nil"/>
              <w:bottom w:val="nil"/>
              <w:right w:val="nil"/>
            </w:tcBorders>
            <w:shd w:val="clear" w:color="auto" w:fill="auto"/>
            <w:noWrap/>
            <w:vAlign w:val="center"/>
            <w:hideMark/>
          </w:tcPr>
          <w:p w14:paraId="5AEE6134"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X2</w:t>
            </w:r>
          </w:p>
        </w:tc>
        <w:tc>
          <w:tcPr>
            <w:tcW w:w="311" w:type="dxa"/>
            <w:tcBorders>
              <w:top w:val="single" w:sz="4" w:space="0" w:color="auto"/>
              <w:left w:val="nil"/>
              <w:bottom w:val="nil"/>
              <w:right w:val="nil"/>
            </w:tcBorders>
            <w:shd w:val="clear" w:color="auto" w:fill="auto"/>
            <w:noWrap/>
            <w:vAlign w:val="center"/>
            <w:hideMark/>
          </w:tcPr>
          <w:p w14:paraId="0613E5EE"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DF</w:t>
            </w:r>
          </w:p>
        </w:tc>
        <w:tc>
          <w:tcPr>
            <w:tcW w:w="868" w:type="dxa"/>
            <w:tcBorders>
              <w:top w:val="single" w:sz="4" w:space="0" w:color="auto"/>
              <w:left w:val="nil"/>
              <w:bottom w:val="nil"/>
              <w:right w:val="nil"/>
            </w:tcBorders>
            <w:shd w:val="clear" w:color="auto" w:fill="auto"/>
            <w:noWrap/>
            <w:vAlign w:val="center"/>
            <w:hideMark/>
          </w:tcPr>
          <w:p w14:paraId="44688D5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w:t>
            </w:r>
          </w:p>
        </w:tc>
        <w:tc>
          <w:tcPr>
            <w:tcW w:w="513" w:type="dxa"/>
            <w:tcBorders>
              <w:top w:val="nil"/>
              <w:left w:val="nil"/>
              <w:bottom w:val="nil"/>
              <w:right w:val="nil"/>
            </w:tcBorders>
            <w:shd w:val="clear" w:color="auto" w:fill="auto"/>
            <w:noWrap/>
            <w:vAlign w:val="center"/>
            <w:hideMark/>
          </w:tcPr>
          <w:p w14:paraId="7A040192"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X2</w:t>
            </w:r>
          </w:p>
        </w:tc>
        <w:tc>
          <w:tcPr>
            <w:tcW w:w="311" w:type="dxa"/>
            <w:tcBorders>
              <w:top w:val="nil"/>
              <w:left w:val="nil"/>
              <w:bottom w:val="nil"/>
              <w:right w:val="nil"/>
            </w:tcBorders>
            <w:shd w:val="clear" w:color="auto" w:fill="auto"/>
            <w:noWrap/>
            <w:vAlign w:val="center"/>
            <w:hideMark/>
          </w:tcPr>
          <w:p w14:paraId="06BD479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DF</w:t>
            </w:r>
          </w:p>
        </w:tc>
        <w:tc>
          <w:tcPr>
            <w:tcW w:w="513" w:type="dxa"/>
            <w:tcBorders>
              <w:top w:val="nil"/>
              <w:left w:val="nil"/>
              <w:bottom w:val="single" w:sz="4" w:space="0" w:color="auto"/>
              <w:right w:val="nil"/>
            </w:tcBorders>
            <w:shd w:val="clear" w:color="auto" w:fill="auto"/>
            <w:noWrap/>
            <w:vAlign w:val="center"/>
            <w:hideMark/>
          </w:tcPr>
          <w:p w14:paraId="2670F208"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w:t>
            </w:r>
          </w:p>
        </w:tc>
        <w:tc>
          <w:tcPr>
            <w:tcW w:w="236" w:type="dxa"/>
            <w:tcBorders>
              <w:top w:val="nil"/>
              <w:left w:val="nil"/>
              <w:bottom w:val="nil"/>
              <w:right w:val="nil"/>
            </w:tcBorders>
            <w:shd w:val="clear" w:color="auto" w:fill="auto"/>
            <w:noWrap/>
            <w:vAlign w:val="center"/>
            <w:hideMark/>
          </w:tcPr>
          <w:p w14:paraId="5601E5E3"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634" w:type="dxa"/>
            <w:tcBorders>
              <w:top w:val="nil"/>
              <w:left w:val="nil"/>
              <w:bottom w:val="single" w:sz="4" w:space="0" w:color="auto"/>
              <w:right w:val="nil"/>
            </w:tcBorders>
            <w:shd w:val="clear" w:color="auto" w:fill="auto"/>
            <w:noWrap/>
            <w:vAlign w:val="center"/>
            <w:hideMark/>
          </w:tcPr>
          <w:p w14:paraId="21DD0C29"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X2</w:t>
            </w:r>
          </w:p>
        </w:tc>
        <w:tc>
          <w:tcPr>
            <w:tcW w:w="299" w:type="dxa"/>
            <w:tcBorders>
              <w:top w:val="nil"/>
              <w:left w:val="nil"/>
              <w:bottom w:val="nil"/>
              <w:right w:val="nil"/>
            </w:tcBorders>
            <w:shd w:val="clear" w:color="auto" w:fill="auto"/>
            <w:noWrap/>
            <w:vAlign w:val="center"/>
            <w:hideMark/>
          </w:tcPr>
          <w:p w14:paraId="38283A71"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DF</w:t>
            </w:r>
          </w:p>
        </w:tc>
        <w:tc>
          <w:tcPr>
            <w:tcW w:w="835" w:type="dxa"/>
            <w:tcBorders>
              <w:top w:val="nil"/>
              <w:left w:val="nil"/>
              <w:bottom w:val="nil"/>
              <w:right w:val="nil"/>
            </w:tcBorders>
            <w:shd w:val="clear" w:color="auto" w:fill="auto"/>
            <w:noWrap/>
            <w:vAlign w:val="center"/>
            <w:hideMark/>
          </w:tcPr>
          <w:p w14:paraId="7A56C7B4"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w:t>
            </w:r>
          </w:p>
        </w:tc>
        <w:tc>
          <w:tcPr>
            <w:tcW w:w="634" w:type="dxa"/>
            <w:tcBorders>
              <w:top w:val="single" w:sz="4" w:space="0" w:color="auto"/>
              <w:left w:val="nil"/>
              <w:bottom w:val="nil"/>
              <w:right w:val="nil"/>
            </w:tcBorders>
            <w:shd w:val="clear" w:color="auto" w:fill="auto"/>
            <w:noWrap/>
            <w:vAlign w:val="center"/>
            <w:hideMark/>
          </w:tcPr>
          <w:p w14:paraId="6E384F9B"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X2</w:t>
            </w:r>
          </w:p>
        </w:tc>
        <w:tc>
          <w:tcPr>
            <w:tcW w:w="299" w:type="dxa"/>
            <w:tcBorders>
              <w:top w:val="single" w:sz="4" w:space="0" w:color="auto"/>
              <w:left w:val="nil"/>
              <w:bottom w:val="nil"/>
              <w:right w:val="nil"/>
            </w:tcBorders>
            <w:shd w:val="clear" w:color="auto" w:fill="auto"/>
            <w:noWrap/>
            <w:vAlign w:val="center"/>
            <w:hideMark/>
          </w:tcPr>
          <w:p w14:paraId="0152DA09"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DF</w:t>
            </w:r>
          </w:p>
        </w:tc>
        <w:tc>
          <w:tcPr>
            <w:tcW w:w="695" w:type="dxa"/>
            <w:tcBorders>
              <w:top w:val="single" w:sz="4" w:space="0" w:color="auto"/>
              <w:left w:val="nil"/>
              <w:bottom w:val="nil"/>
              <w:right w:val="nil"/>
            </w:tcBorders>
            <w:shd w:val="clear" w:color="auto" w:fill="auto"/>
            <w:noWrap/>
            <w:vAlign w:val="center"/>
            <w:hideMark/>
          </w:tcPr>
          <w:p w14:paraId="62832DF6"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w:t>
            </w:r>
          </w:p>
        </w:tc>
      </w:tr>
      <w:tr w:rsidR="00F1070F" w:rsidRPr="00F1070F" w14:paraId="468D14D7" w14:textId="77777777" w:rsidTr="0007616E">
        <w:trPr>
          <w:trHeight w:val="300"/>
          <w:jc w:val="center"/>
        </w:trPr>
        <w:tc>
          <w:tcPr>
            <w:tcW w:w="2456" w:type="dxa"/>
            <w:tcBorders>
              <w:top w:val="single" w:sz="4" w:space="0" w:color="auto"/>
              <w:left w:val="nil"/>
              <w:bottom w:val="nil"/>
              <w:right w:val="nil"/>
            </w:tcBorders>
            <w:shd w:val="clear" w:color="auto" w:fill="auto"/>
            <w:noWrap/>
            <w:vAlign w:val="center"/>
            <w:hideMark/>
          </w:tcPr>
          <w:p w14:paraId="221837C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Population</w:t>
            </w:r>
          </w:p>
        </w:tc>
        <w:tc>
          <w:tcPr>
            <w:tcW w:w="236" w:type="dxa"/>
            <w:tcBorders>
              <w:top w:val="single" w:sz="4" w:space="0" w:color="auto"/>
              <w:left w:val="nil"/>
              <w:bottom w:val="nil"/>
              <w:right w:val="nil"/>
            </w:tcBorders>
            <w:shd w:val="clear" w:color="auto" w:fill="auto"/>
            <w:noWrap/>
            <w:vAlign w:val="center"/>
            <w:hideMark/>
          </w:tcPr>
          <w:p w14:paraId="16214C2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660" w:type="dxa"/>
            <w:tcBorders>
              <w:top w:val="single" w:sz="4" w:space="0" w:color="auto"/>
              <w:left w:val="nil"/>
              <w:bottom w:val="nil"/>
              <w:right w:val="nil"/>
            </w:tcBorders>
            <w:shd w:val="clear" w:color="auto" w:fill="auto"/>
            <w:noWrap/>
            <w:vAlign w:val="center"/>
            <w:hideMark/>
          </w:tcPr>
          <w:p w14:paraId="16723840"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0.75</w:t>
            </w:r>
          </w:p>
        </w:tc>
        <w:tc>
          <w:tcPr>
            <w:tcW w:w="311" w:type="dxa"/>
            <w:tcBorders>
              <w:top w:val="single" w:sz="4" w:space="0" w:color="auto"/>
              <w:left w:val="nil"/>
              <w:bottom w:val="nil"/>
              <w:right w:val="nil"/>
            </w:tcBorders>
            <w:shd w:val="clear" w:color="auto" w:fill="auto"/>
            <w:noWrap/>
            <w:vAlign w:val="center"/>
            <w:hideMark/>
          </w:tcPr>
          <w:p w14:paraId="36E4B3C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868" w:type="dxa"/>
            <w:tcBorders>
              <w:top w:val="single" w:sz="4" w:space="0" w:color="auto"/>
              <w:left w:val="nil"/>
              <w:bottom w:val="nil"/>
              <w:right w:val="nil"/>
            </w:tcBorders>
            <w:shd w:val="clear" w:color="auto" w:fill="auto"/>
            <w:noWrap/>
            <w:vAlign w:val="center"/>
            <w:hideMark/>
          </w:tcPr>
          <w:p w14:paraId="7ED2EDC1"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0.86</w:t>
            </w:r>
          </w:p>
        </w:tc>
        <w:tc>
          <w:tcPr>
            <w:tcW w:w="513" w:type="dxa"/>
            <w:tcBorders>
              <w:top w:val="single" w:sz="4" w:space="0" w:color="auto"/>
              <w:left w:val="nil"/>
              <w:bottom w:val="nil"/>
              <w:right w:val="nil"/>
            </w:tcBorders>
            <w:shd w:val="clear" w:color="auto" w:fill="auto"/>
            <w:noWrap/>
            <w:vAlign w:val="center"/>
            <w:hideMark/>
          </w:tcPr>
          <w:p w14:paraId="7CF7F1FB"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1.72</w:t>
            </w:r>
          </w:p>
        </w:tc>
        <w:tc>
          <w:tcPr>
            <w:tcW w:w="311" w:type="dxa"/>
            <w:tcBorders>
              <w:top w:val="single" w:sz="4" w:space="0" w:color="auto"/>
              <w:left w:val="nil"/>
              <w:bottom w:val="nil"/>
              <w:right w:val="nil"/>
            </w:tcBorders>
            <w:shd w:val="clear" w:color="auto" w:fill="auto"/>
            <w:noWrap/>
            <w:vAlign w:val="center"/>
            <w:hideMark/>
          </w:tcPr>
          <w:p w14:paraId="4F0B278A"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513" w:type="dxa"/>
            <w:tcBorders>
              <w:top w:val="nil"/>
              <w:left w:val="nil"/>
              <w:bottom w:val="nil"/>
              <w:right w:val="nil"/>
            </w:tcBorders>
            <w:shd w:val="clear" w:color="auto" w:fill="auto"/>
            <w:noWrap/>
            <w:vAlign w:val="center"/>
            <w:hideMark/>
          </w:tcPr>
          <w:p w14:paraId="79F8AE9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0.63</w:t>
            </w:r>
          </w:p>
        </w:tc>
        <w:tc>
          <w:tcPr>
            <w:tcW w:w="236" w:type="dxa"/>
            <w:tcBorders>
              <w:top w:val="nil"/>
              <w:left w:val="nil"/>
              <w:bottom w:val="nil"/>
              <w:right w:val="nil"/>
            </w:tcBorders>
            <w:shd w:val="clear" w:color="auto" w:fill="auto"/>
            <w:noWrap/>
            <w:vAlign w:val="center"/>
            <w:hideMark/>
          </w:tcPr>
          <w:p w14:paraId="545013A1"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634" w:type="dxa"/>
            <w:tcBorders>
              <w:top w:val="nil"/>
              <w:left w:val="nil"/>
              <w:bottom w:val="nil"/>
              <w:right w:val="nil"/>
            </w:tcBorders>
            <w:shd w:val="clear" w:color="auto" w:fill="auto"/>
            <w:noWrap/>
            <w:vAlign w:val="center"/>
            <w:hideMark/>
          </w:tcPr>
          <w:p w14:paraId="1F0DE9B9"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2.28</w:t>
            </w:r>
          </w:p>
        </w:tc>
        <w:tc>
          <w:tcPr>
            <w:tcW w:w="299" w:type="dxa"/>
            <w:tcBorders>
              <w:top w:val="single" w:sz="4" w:space="0" w:color="auto"/>
              <w:left w:val="nil"/>
              <w:bottom w:val="nil"/>
              <w:right w:val="nil"/>
            </w:tcBorders>
            <w:shd w:val="clear" w:color="auto" w:fill="auto"/>
            <w:noWrap/>
            <w:vAlign w:val="center"/>
            <w:hideMark/>
          </w:tcPr>
          <w:p w14:paraId="73CC16B3"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835" w:type="dxa"/>
            <w:tcBorders>
              <w:top w:val="single" w:sz="4" w:space="0" w:color="auto"/>
              <w:left w:val="nil"/>
              <w:bottom w:val="nil"/>
              <w:right w:val="nil"/>
            </w:tcBorders>
            <w:shd w:val="clear" w:color="auto" w:fill="auto"/>
            <w:noWrap/>
            <w:vAlign w:val="center"/>
            <w:hideMark/>
          </w:tcPr>
          <w:p w14:paraId="778FCF94"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0.52</w:t>
            </w:r>
          </w:p>
        </w:tc>
        <w:tc>
          <w:tcPr>
            <w:tcW w:w="634" w:type="dxa"/>
            <w:tcBorders>
              <w:top w:val="single" w:sz="4" w:space="0" w:color="auto"/>
              <w:left w:val="nil"/>
              <w:bottom w:val="nil"/>
              <w:right w:val="nil"/>
            </w:tcBorders>
            <w:shd w:val="clear" w:color="auto" w:fill="auto"/>
            <w:noWrap/>
            <w:vAlign w:val="center"/>
            <w:hideMark/>
          </w:tcPr>
          <w:p w14:paraId="631B5906"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0.62</w:t>
            </w:r>
          </w:p>
        </w:tc>
        <w:tc>
          <w:tcPr>
            <w:tcW w:w="299" w:type="dxa"/>
            <w:tcBorders>
              <w:top w:val="single" w:sz="4" w:space="0" w:color="auto"/>
              <w:left w:val="nil"/>
              <w:bottom w:val="nil"/>
              <w:right w:val="nil"/>
            </w:tcBorders>
            <w:shd w:val="clear" w:color="auto" w:fill="auto"/>
            <w:noWrap/>
            <w:vAlign w:val="center"/>
            <w:hideMark/>
          </w:tcPr>
          <w:p w14:paraId="2B33298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695" w:type="dxa"/>
            <w:tcBorders>
              <w:top w:val="single" w:sz="4" w:space="0" w:color="auto"/>
              <w:left w:val="nil"/>
              <w:bottom w:val="nil"/>
              <w:right w:val="nil"/>
            </w:tcBorders>
            <w:shd w:val="clear" w:color="auto" w:fill="auto"/>
            <w:noWrap/>
            <w:vAlign w:val="center"/>
            <w:hideMark/>
          </w:tcPr>
          <w:p w14:paraId="64CDCF0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0.89</w:t>
            </w:r>
          </w:p>
        </w:tc>
      </w:tr>
      <w:tr w:rsidR="00F1070F" w:rsidRPr="00F1070F" w14:paraId="6B482763" w14:textId="77777777" w:rsidTr="0007616E">
        <w:trPr>
          <w:trHeight w:val="300"/>
          <w:jc w:val="center"/>
        </w:trPr>
        <w:tc>
          <w:tcPr>
            <w:tcW w:w="2456" w:type="dxa"/>
            <w:tcBorders>
              <w:top w:val="nil"/>
              <w:left w:val="nil"/>
              <w:bottom w:val="nil"/>
              <w:right w:val="nil"/>
            </w:tcBorders>
            <w:shd w:val="clear" w:color="auto" w:fill="auto"/>
            <w:noWrap/>
            <w:vAlign w:val="center"/>
            <w:hideMark/>
          </w:tcPr>
          <w:p w14:paraId="2D656442" w14:textId="77777777" w:rsidR="00F1070F" w:rsidRPr="00F1070F" w:rsidRDefault="005B5D4A" w:rsidP="00F1070F">
            <w:pPr>
              <w:spacing w:after="0" w:line="480" w:lineRule="auto"/>
              <w:jc w:val="center"/>
              <w:rPr>
                <w:rFonts w:ascii="Calibri" w:eastAsia="Times New Roman" w:hAnsi="Calibri" w:cs="Calibri"/>
                <w:color w:val="000000"/>
                <w:lang w:eastAsia="es-EC"/>
              </w:rPr>
            </w:pPr>
            <w:r>
              <w:rPr>
                <w:rFonts w:ascii="Calibri" w:eastAsia="Times New Roman" w:hAnsi="Calibri" w:cs="Calibri"/>
                <w:color w:val="000000"/>
                <w:lang w:eastAsia="es-EC"/>
              </w:rPr>
              <w:t>Time period</w:t>
            </w:r>
          </w:p>
        </w:tc>
        <w:tc>
          <w:tcPr>
            <w:tcW w:w="236" w:type="dxa"/>
            <w:tcBorders>
              <w:top w:val="nil"/>
              <w:left w:val="nil"/>
              <w:bottom w:val="nil"/>
              <w:right w:val="nil"/>
            </w:tcBorders>
            <w:shd w:val="clear" w:color="auto" w:fill="auto"/>
            <w:noWrap/>
            <w:vAlign w:val="center"/>
            <w:hideMark/>
          </w:tcPr>
          <w:p w14:paraId="25C3FDE3"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660" w:type="dxa"/>
            <w:tcBorders>
              <w:top w:val="nil"/>
              <w:left w:val="nil"/>
              <w:bottom w:val="nil"/>
              <w:right w:val="nil"/>
            </w:tcBorders>
            <w:shd w:val="clear" w:color="auto" w:fill="auto"/>
            <w:noWrap/>
            <w:vAlign w:val="center"/>
            <w:hideMark/>
          </w:tcPr>
          <w:p w14:paraId="6AEFB2F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0.24</w:t>
            </w:r>
          </w:p>
        </w:tc>
        <w:tc>
          <w:tcPr>
            <w:tcW w:w="311" w:type="dxa"/>
            <w:tcBorders>
              <w:top w:val="nil"/>
              <w:left w:val="nil"/>
              <w:bottom w:val="nil"/>
              <w:right w:val="nil"/>
            </w:tcBorders>
            <w:shd w:val="clear" w:color="auto" w:fill="auto"/>
            <w:noWrap/>
            <w:vAlign w:val="center"/>
            <w:hideMark/>
          </w:tcPr>
          <w:p w14:paraId="08B2D00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w:t>
            </w:r>
          </w:p>
        </w:tc>
        <w:tc>
          <w:tcPr>
            <w:tcW w:w="868" w:type="dxa"/>
            <w:tcBorders>
              <w:top w:val="nil"/>
              <w:left w:val="nil"/>
              <w:bottom w:val="nil"/>
              <w:right w:val="nil"/>
            </w:tcBorders>
            <w:shd w:val="clear" w:color="auto" w:fill="auto"/>
            <w:noWrap/>
            <w:vAlign w:val="center"/>
            <w:hideMark/>
          </w:tcPr>
          <w:p w14:paraId="4EE486D2"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0.63</w:t>
            </w:r>
          </w:p>
        </w:tc>
        <w:tc>
          <w:tcPr>
            <w:tcW w:w="513" w:type="dxa"/>
            <w:tcBorders>
              <w:top w:val="nil"/>
              <w:left w:val="nil"/>
              <w:bottom w:val="nil"/>
              <w:right w:val="nil"/>
            </w:tcBorders>
            <w:shd w:val="clear" w:color="auto" w:fill="auto"/>
            <w:noWrap/>
            <w:vAlign w:val="center"/>
            <w:hideMark/>
          </w:tcPr>
          <w:p w14:paraId="3015090C"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1.25</w:t>
            </w:r>
          </w:p>
        </w:tc>
        <w:tc>
          <w:tcPr>
            <w:tcW w:w="311" w:type="dxa"/>
            <w:tcBorders>
              <w:top w:val="nil"/>
              <w:left w:val="nil"/>
              <w:bottom w:val="nil"/>
              <w:right w:val="nil"/>
            </w:tcBorders>
            <w:shd w:val="clear" w:color="auto" w:fill="auto"/>
            <w:noWrap/>
            <w:vAlign w:val="center"/>
            <w:hideMark/>
          </w:tcPr>
          <w:p w14:paraId="3208D446"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w:t>
            </w:r>
          </w:p>
        </w:tc>
        <w:tc>
          <w:tcPr>
            <w:tcW w:w="513" w:type="dxa"/>
            <w:tcBorders>
              <w:top w:val="nil"/>
              <w:left w:val="nil"/>
              <w:bottom w:val="nil"/>
              <w:right w:val="nil"/>
            </w:tcBorders>
            <w:shd w:val="clear" w:color="auto" w:fill="auto"/>
            <w:noWrap/>
            <w:vAlign w:val="center"/>
            <w:hideMark/>
          </w:tcPr>
          <w:p w14:paraId="17C43CC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0.26</w:t>
            </w:r>
          </w:p>
        </w:tc>
        <w:tc>
          <w:tcPr>
            <w:tcW w:w="236" w:type="dxa"/>
            <w:tcBorders>
              <w:top w:val="nil"/>
              <w:left w:val="nil"/>
              <w:bottom w:val="nil"/>
              <w:right w:val="nil"/>
            </w:tcBorders>
            <w:shd w:val="clear" w:color="auto" w:fill="auto"/>
            <w:noWrap/>
            <w:vAlign w:val="center"/>
            <w:hideMark/>
          </w:tcPr>
          <w:p w14:paraId="5E5C4C5F" w14:textId="77777777" w:rsidR="00F1070F" w:rsidRPr="00F1070F" w:rsidRDefault="00F1070F" w:rsidP="00F1070F">
            <w:pPr>
              <w:spacing w:after="0" w:line="480" w:lineRule="auto"/>
              <w:jc w:val="center"/>
              <w:rPr>
                <w:rFonts w:ascii="Calibri" w:eastAsia="Times New Roman" w:hAnsi="Calibri" w:cs="Calibri"/>
                <w:color w:val="000000"/>
                <w:lang w:eastAsia="es-EC"/>
              </w:rPr>
            </w:pPr>
          </w:p>
        </w:tc>
        <w:tc>
          <w:tcPr>
            <w:tcW w:w="634" w:type="dxa"/>
            <w:tcBorders>
              <w:top w:val="nil"/>
              <w:left w:val="nil"/>
              <w:bottom w:val="nil"/>
              <w:right w:val="nil"/>
            </w:tcBorders>
            <w:shd w:val="clear" w:color="auto" w:fill="auto"/>
            <w:noWrap/>
            <w:vAlign w:val="center"/>
            <w:hideMark/>
          </w:tcPr>
          <w:p w14:paraId="15EACD8D"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0.001</w:t>
            </w:r>
          </w:p>
        </w:tc>
        <w:tc>
          <w:tcPr>
            <w:tcW w:w="299" w:type="dxa"/>
            <w:tcBorders>
              <w:top w:val="nil"/>
              <w:left w:val="nil"/>
              <w:bottom w:val="nil"/>
              <w:right w:val="nil"/>
            </w:tcBorders>
            <w:shd w:val="clear" w:color="auto" w:fill="auto"/>
            <w:noWrap/>
            <w:vAlign w:val="center"/>
            <w:hideMark/>
          </w:tcPr>
          <w:p w14:paraId="6BDC696B"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w:t>
            </w:r>
          </w:p>
        </w:tc>
        <w:tc>
          <w:tcPr>
            <w:tcW w:w="835" w:type="dxa"/>
            <w:tcBorders>
              <w:top w:val="nil"/>
              <w:left w:val="nil"/>
              <w:bottom w:val="nil"/>
              <w:right w:val="nil"/>
            </w:tcBorders>
            <w:shd w:val="clear" w:color="auto" w:fill="auto"/>
            <w:noWrap/>
            <w:vAlign w:val="center"/>
            <w:hideMark/>
          </w:tcPr>
          <w:p w14:paraId="01C52DDA"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0.97</w:t>
            </w:r>
          </w:p>
        </w:tc>
        <w:tc>
          <w:tcPr>
            <w:tcW w:w="634" w:type="dxa"/>
            <w:tcBorders>
              <w:top w:val="nil"/>
              <w:left w:val="nil"/>
              <w:bottom w:val="nil"/>
              <w:right w:val="nil"/>
            </w:tcBorders>
            <w:shd w:val="clear" w:color="auto" w:fill="auto"/>
            <w:noWrap/>
            <w:vAlign w:val="center"/>
            <w:hideMark/>
          </w:tcPr>
          <w:p w14:paraId="047CC0F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0.005</w:t>
            </w:r>
          </w:p>
        </w:tc>
        <w:tc>
          <w:tcPr>
            <w:tcW w:w="299" w:type="dxa"/>
            <w:tcBorders>
              <w:top w:val="nil"/>
              <w:left w:val="nil"/>
              <w:bottom w:val="nil"/>
              <w:right w:val="nil"/>
            </w:tcBorders>
            <w:shd w:val="clear" w:color="auto" w:fill="auto"/>
            <w:noWrap/>
            <w:vAlign w:val="center"/>
            <w:hideMark/>
          </w:tcPr>
          <w:p w14:paraId="4103831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w:t>
            </w:r>
          </w:p>
        </w:tc>
        <w:tc>
          <w:tcPr>
            <w:tcW w:w="695" w:type="dxa"/>
            <w:tcBorders>
              <w:top w:val="nil"/>
              <w:left w:val="nil"/>
              <w:bottom w:val="nil"/>
              <w:right w:val="nil"/>
            </w:tcBorders>
            <w:shd w:val="clear" w:color="auto" w:fill="auto"/>
            <w:noWrap/>
            <w:vAlign w:val="center"/>
            <w:hideMark/>
          </w:tcPr>
          <w:p w14:paraId="3ECA205B"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0.94</w:t>
            </w:r>
          </w:p>
        </w:tc>
      </w:tr>
      <w:tr w:rsidR="00F1070F" w:rsidRPr="00F1070F" w14:paraId="07291078" w14:textId="77777777" w:rsidTr="0007616E">
        <w:trPr>
          <w:trHeight w:val="300"/>
          <w:jc w:val="center"/>
        </w:trPr>
        <w:tc>
          <w:tcPr>
            <w:tcW w:w="2456" w:type="dxa"/>
            <w:tcBorders>
              <w:top w:val="nil"/>
              <w:left w:val="nil"/>
              <w:bottom w:val="single" w:sz="4" w:space="0" w:color="auto"/>
              <w:right w:val="nil"/>
            </w:tcBorders>
            <w:shd w:val="clear" w:color="auto" w:fill="auto"/>
            <w:noWrap/>
            <w:vAlign w:val="center"/>
            <w:hideMark/>
          </w:tcPr>
          <w:p w14:paraId="4A1BE31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Population × time period</w:t>
            </w:r>
          </w:p>
        </w:tc>
        <w:tc>
          <w:tcPr>
            <w:tcW w:w="236" w:type="dxa"/>
            <w:tcBorders>
              <w:top w:val="nil"/>
              <w:left w:val="nil"/>
              <w:bottom w:val="single" w:sz="4" w:space="0" w:color="auto"/>
              <w:right w:val="nil"/>
            </w:tcBorders>
            <w:shd w:val="clear" w:color="auto" w:fill="auto"/>
            <w:noWrap/>
            <w:vAlign w:val="center"/>
            <w:hideMark/>
          </w:tcPr>
          <w:p w14:paraId="2AE4F44E"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660" w:type="dxa"/>
            <w:tcBorders>
              <w:top w:val="nil"/>
              <w:left w:val="nil"/>
              <w:bottom w:val="single" w:sz="4" w:space="0" w:color="auto"/>
              <w:right w:val="nil"/>
            </w:tcBorders>
            <w:shd w:val="clear" w:color="auto" w:fill="auto"/>
            <w:noWrap/>
            <w:vAlign w:val="center"/>
            <w:hideMark/>
          </w:tcPr>
          <w:p w14:paraId="2C7D1839"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31.73</w:t>
            </w:r>
          </w:p>
        </w:tc>
        <w:tc>
          <w:tcPr>
            <w:tcW w:w="311" w:type="dxa"/>
            <w:tcBorders>
              <w:top w:val="nil"/>
              <w:left w:val="nil"/>
              <w:bottom w:val="single" w:sz="4" w:space="0" w:color="auto"/>
              <w:right w:val="nil"/>
            </w:tcBorders>
            <w:shd w:val="clear" w:color="auto" w:fill="auto"/>
            <w:noWrap/>
            <w:vAlign w:val="center"/>
            <w:hideMark/>
          </w:tcPr>
          <w:p w14:paraId="56170BE9"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868" w:type="dxa"/>
            <w:tcBorders>
              <w:top w:val="nil"/>
              <w:left w:val="nil"/>
              <w:bottom w:val="single" w:sz="4" w:space="0" w:color="auto"/>
              <w:right w:val="nil"/>
            </w:tcBorders>
            <w:shd w:val="clear" w:color="auto" w:fill="auto"/>
            <w:noWrap/>
            <w:vAlign w:val="center"/>
            <w:hideMark/>
          </w:tcPr>
          <w:p w14:paraId="4D30D53E"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&lt; 0.001</w:t>
            </w:r>
          </w:p>
        </w:tc>
        <w:tc>
          <w:tcPr>
            <w:tcW w:w="513" w:type="dxa"/>
            <w:tcBorders>
              <w:top w:val="nil"/>
              <w:left w:val="nil"/>
              <w:bottom w:val="single" w:sz="4" w:space="0" w:color="auto"/>
              <w:right w:val="nil"/>
            </w:tcBorders>
            <w:shd w:val="clear" w:color="auto" w:fill="auto"/>
            <w:noWrap/>
            <w:vAlign w:val="center"/>
            <w:hideMark/>
          </w:tcPr>
          <w:p w14:paraId="65717F11"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2.68</w:t>
            </w:r>
          </w:p>
        </w:tc>
        <w:tc>
          <w:tcPr>
            <w:tcW w:w="311" w:type="dxa"/>
            <w:tcBorders>
              <w:top w:val="nil"/>
              <w:left w:val="nil"/>
              <w:bottom w:val="single" w:sz="4" w:space="0" w:color="auto"/>
              <w:right w:val="nil"/>
            </w:tcBorders>
            <w:shd w:val="clear" w:color="auto" w:fill="auto"/>
            <w:noWrap/>
            <w:vAlign w:val="center"/>
            <w:hideMark/>
          </w:tcPr>
          <w:p w14:paraId="4E249D52"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513" w:type="dxa"/>
            <w:tcBorders>
              <w:top w:val="nil"/>
              <w:left w:val="nil"/>
              <w:bottom w:val="single" w:sz="4" w:space="0" w:color="auto"/>
              <w:right w:val="nil"/>
            </w:tcBorders>
            <w:shd w:val="clear" w:color="auto" w:fill="auto"/>
            <w:noWrap/>
            <w:vAlign w:val="center"/>
            <w:hideMark/>
          </w:tcPr>
          <w:p w14:paraId="6DB42D13"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0.44</w:t>
            </w:r>
          </w:p>
        </w:tc>
        <w:tc>
          <w:tcPr>
            <w:tcW w:w="236" w:type="dxa"/>
            <w:tcBorders>
              <w:top w:val="nil"/>
              <w:left w:val="nil"/>
              <w:bottom w:val="single" w:sz="4" w:space="0" w:color="auto"/>
              <w:right w:val="nil"/>
            </w:tcBorders>
            <w:shd w:val="clear" w:color="auto" w:fill="auto"/>
            <w:noWrap/>
            <w:vAlign w:val="center"/>
            <w:hideMark/>
          </w:tcPr>
          <w:p w14:paraId="34322D63"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 </w:t>
            </w:r>
          </w:p>
        </w:tc>
        <w:tc>
          <w:tcPr>
            <w:tcW w:w="634" w:type="dxa"/>
            <w:tcBorders>
              <w:top w:val="nil"/>
              <w:left w:val="nil"/>
              <w:bottom w:val="single" w:sz="4" w:space="0" w:color="auto"/>
              <w:right w:val="nil"/>
            </w:tcBorders>
            <w:shd w:val="clear" w:color="auto" w:fill="auto"/>
            <w:noWrap/>
            <w:vAlign w:val="center"/>
            <w:hideMark/>
          </w:tcPr>
          <w:p w14:paraId="0403EFA2"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27.14</w:t>
            </w:r>
          </w:p>
        </w:tc>
        <w:tc>
          <w:tcPr>
            <w:tcW w:w="299" w:type="dxa"/>
            <w:tcBorders>
              <w:top w:val="nil"/>
              <w:left w:val="nil"/>
              <w:bottom w:val="single" w:sz="4" w:space="0" w:color="auto"/>
              <w:right w:val="nil"/>
            </w:tcBorders>
            <w:shd w:val="clear" w:color="auto" w:fill="auto"/>
            <w:noWrap/>
            <w:vAlign w:val="center"/>
            <w:hideMark/>
          </w:tcPr>
          <w:p w14:paraId="260CC3F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835" w:type="dxa"/>
            <w:tcBorders>
              <w:top w:val="nil"/>
              <w:left w:val="nil"/>
              <w:bottom w:val="single" w:sz="4" w:space="0" w:color="auto"/>
              <w:right w:val="nil"/>
            </w:tcBorders>
            <w:shd w:val="clear" w:color="auto" w:fill="auto"/>
            <w:noWrap/>
            <w:vAlign w:val="center"/>
            <w:hideMark/>
          </w:tcPr>
          <w:p w14:paraId="52C6915A"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&lt; 0.001</w:t>
            </w:r>
          </w:p>
        </w:tc>
        <w:tc>
          <w:tcPr>
            <w:tcW w:w="634" w:type="dxa"/>
            <w:tcBorders>
              <w:top w:val="nil"/>
              <w:left w:val="nil"/>
              <w:bottom w:val="single" w:sz="4" w:space="0" w:color="auto"/>
              <w:right w:val="nil"/>
            </w:tcBorders>
            <w:shd w:val="clear" w:color="auto" w:fill="auto"/>
            <w:noWrap/>
            <w:vAlign w:val="center"/>
            <w:hideMark/>
          </w:tcPr>
          <w:p w14:paraId="26C3137F"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10.15</w:t>
            </w:r>
          </w:p>
        </w:tc>
        <w:tc>
          <w:tcPr>
            <w:tcW w:w="299" w:type="dxa"/>
            <w:tcBorders>
              <w:top w:val="nil"/>
              <w:left w:val="nil"/>
              <w:bottom w:val="single" w:sz="4" w:space="0" w:color="auto"/>
              <w:right w:val="nil"/>
            </w:tcBorders>
            <w:shd w:val="clear" w:color="auto" w:fill="auto"/>
            <w:noWrap/>
            <w:vAlign w:val="center"/>
            <w:hideMark/>
          </w:tcPr>
          <w:p w14:paraId="24CFB4E6"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3</w:t>
            </w:r>
          </w:p>
        </w:tc>
        <w:tc>
          <w:tcPr>
            <w:tcW w:w="695" w:type="dxa"/>
            <w:tcBorders>
              <w:top w:val="nil"/>
              <w:left w:val="nil"/>
              <w:bottom w:val="single" w:sz="4" w:space="0" w:color="auto"/>
              <w:right w:val="nil"/>
            </w:tcBorders>
            <w:shd w:val="clear" w:color="auto" w:fill="auto"/>
            <w:noWrap/>
            <w:vAlign w:val="center"/>
            <w:hideMark/>
          </w:tcPr>
          <w:p w14:paraId="4F5B9327" w14:textId="77777777" w:rsidR="00F1070F" w:rsidRPr="00F1070F" w:rsidRDefault="00F1070F" w:rsidP="00F1070F">
            <w:pPr>
              <w:spacing w:after="0" w:line="480" w:lineRule="auto"/>
              <w:jc w:val="center"/>
              <w:rPr>
                <w:rFonts w:ascii="Calibri" w:eastAsia="Times New Roman" w:hAnsi="Calibri" w:cs="Calibri"/>
                <w:color w:val="000000"/>
                <w:lang w:eastAsia="es-EC"/>
              </w:rPr>
            </w:pPr>
            <w:r w:rsidRPr="00F1070F">
              <w:rPr>
                <w:rFonts w:ascii="Calibri" w:eastAsia="Times New Roman" w:hAnsi="Calibri" w:cs="Calibri"/>
                <w:color w:val="000000"/>
                <w:lang w:eastAsia="es-EC"/>
              </w:rPr>
              <w:t>&lt; 0.05</w:t>
            </w:r>
          </w:p>
        </w:tc>
      </w:tr>
    </w:tbl>
    <w:p w14:paraId="63B281E8" w14:textId="6529EFFB" w:rsidR="00E3782F" w:rsidRDefault="00E3782F" w:rsidP="00E3782F">
      <w:pPr>
        <w:rPr>
          <w:rFonts w:cstheme="minorHAnsi"/>
          <w:lang w:val="en-US"/>
        </w:rPr>
      </w:pPr>
      <w:r>
        <w:rPr>
          <w:rFonts w:cstheme="minorHAnsi"/>
          <w:lang w:val="en-US"/>
        </w:rPr>
        <w:br w:type="page"/>
      </w:r>
    </w:p>
    <w:p w14:paraId="752A79EB" w14:textId="70E134E7" w:rsidR="008003D8" w:rsidRPr="00A77742" w:rsidRDefault="00C101F8" w:rsidP="00E3782F">
      <w:pPr>
        <w:rPr>
          <w:lang w:val="en-US"/>
        </w:rPr>
      </w:pPr>
      <w:r w:rsidRPr="006626F6">
        <w:rPr>
          <w:lang w:val="en-US"/>
        </w:rPr>
        <w:lastRenderedPageBreak/>
        <w:t xml:space="preserve"> </w:t>
      </w:r>
      <w:r w:rsidR="008003D8" w:rsidRPr="00A77742">
        <w:rPr>
          <w:lang w:val="en-US"/>
        </w:rPr>
        <w:t xml:space="preserve">Figure legends </w:t>
      </w:r>
    </w:p>
    <w:p w14:paraId="47BD2E80" w14:textId="3BDAE749" w:rsidR="0067092D" w:rsidRPr="00DE2E23" w:rsidRDefault="0067092D" w:rsidP="008003D8">
      <w:pPr>
        <w:spacing w:line="480" w:lineRule="auto"/>
        <w:rPr>
          <w:rFonts w:cstheme="minorHAnsi"/>
        </w:rPr>
      </w:pPr>
      <w:r>
        <w:rPr>
          <w:rFonts w:cstheme="minorHAnsi"/>
          <w:lang w:val="en-US"/>
        </w:rPr>
        <w:t xml:space="preserve">Figure 1. </w:t>
      </w:r>
      <w:r w:rsidR="006F4EE0">
        <w:rPr>
          <w:rFonts w:cstheme="minorHAnsi"/>
          <w:lang w:val="en-US"/>
        </w:rPr>
        <w:t xml:space="preserve">Satellite image </w:t>
      </w:r>
      <w:r w:rsidR="00C40BEA">
        <w:rPr>
          <w:rFonts w:cstheme="minorHAnsi"/>
          <w:lang w:val="en-US"/>
        </w:rPr>
        <w:t>showing</w:t>
      </w:r>
      <w:r w:rsidR="006F4EE0">
        <w:rPr>
          <w:rFonts w:cstheme="minorHAnsi"/>
          <w:lang w:val="en-US"/>
        </w:rPr>
        <w:t xml:space="preserve"> the </w:t>
      </w:r>
      <w:r w:rsidR="00D43D89">
        <w:rPr>
          <w:rFonts w:cstheme="minorHAnsi"/>
          <w:lang w:val="en-US"/>
        </w:rPr>
        <w:t xml:space="preserve">four </w:t>
      </w:r>
      <w:r w:rsidR="006F4EE0">
        <w:rPr>
          <w:rFonts w:cstheme="minorHAnsi"/>
          <w:lang w:val="en-US"/>
        </w:rPr>
        <w:t>sampled locations</w:t>
      </w:r>
      <w:r w:rsidR="00D43D89">
        <w:rPr>
          <w:rFonts w:cstheme="minorHAnsi"/>
          <w:lang w:val="en-US"/>
        </w:rPr>
        <w:t xml:space="preserve"> </w:t>
      </w:r>
      <w:r w:rsidR="00C40BEA">
        <w:rPr>
          <w:rFonts w:cstheme="minorHAnsi"/>
          <w:lang w:val="en-US"/>
        </w:rPr>
        <w:t xml:space="preserve">for white-eared ground-sparrow (red dots) </w:t>
      </w:r>
      <w:r w:rsidR="00D43D89">
        <w:rPr>
          <w:rFonts w:cstheme="minorHAnsi"/>
          <w:lang w:val="en-US"/>
        </w:rPr>
        <w:t>in Costa Rica</w:t>
      </w:r>
      <w:r w:rsidR="006F4EE0">
        <w:rPr>
          <w:rFonts w:cstheme="minorHAnsi"/>
          <w:lang w:val="en-US"/>
        </w:rPr>
        <w:t xml:space="preserve">. </w:t>
      </w:r>
      <w:r w:rsidR="006F4EE0" w:rsidRPr="00DE2E23">
        <w:rPr>
          <w:rFonts w:cstheme="minorHAnsi"/>
        </w:rPr>
        <w:t xml:space="preserve">MTV = Estación Biológica Monteverde, HDA = </w:t>
      </w:r>
      <w:r w:rsidR="00D43D89" w:rsidRPr="00DE2E23">
        <w:rPr>
          <w:rFonts w:cstheme="minorHAnsi"/>
        </w:rPr>
        <w:t>Getsemaní</w:t>
      </w:r>
      <w:r w:rsidR="006F4EE0" w:rsidRPr="00DE2E23">
        <w:rPr>
          <w:rFonts w:cstheme="minorHAnsi"/>
        </w:rPr>
        <w:t>, UCR</w:t>
      </w:r>
      <w:r w:rsidR="00D43D89" w:rsidRPr="00DE2E23">
        <w:rPr>
          <w:rFonts w:cstheme="minorHAnsi"/>
        </w:rPr>
        <w:t xml:space="preserve"> = </w:t>
      </w:r>
      <w:r w:rsidR="00D43D89">
        <w:rPr>
          <w:rFonts w:cstheme="minorHAnsi"/>
        </w:rPr>
        <w:t>Universidad de Costa Rica</w:t>
      </w:r>
      <w:r w:rsidR="006F4EE0" w:rsidRPr="00DE2E23">
        <w:rPr>
          <w:rFonts w:cstheme="minorHAnsi"/>
        </w:rPr>
        <w:t>, JBL</w:t>
      </w:r>
      <w:r w:rsidR="00D43D89" w:rsidRPr="00DE2E23">
        <w:rPr>
          <w:rFonts w:cstheme="minorHAnsi"/>
        </w:rPr>
        <w:t xml:space="preserve"> = Jardín Botánico L</w:t>
      </w:r>
      <w:r w:rsidR="00D43D89">
        <w:rPr>
          <w:rFonts w:cstheme="minorHAnsi"/>
        </w:rPr>
        <w:t xml:space="preserve">ankester. </w:t>
      </w:r>
      <w:r w:rsidR="00D43D89" w:rsidRPr="00DE2E23">
        <w:rPr>
          <w:rFonts w:cstheme="minorHAnsi"/>
        </w:rPr>
        <w:t xml:space="preserve"> </w:t>
      </w:r>
    </w:p>
    <w:p w14:paraId="284D7268" w14:textId="0D2F79CF" w:rsidR="008003D8" w:rsidRPr="000F2A29" w:rsidRDefault="008003D8" w:rsidP="008003D8">
      <w:pPr>
        <w:spacing w:line="480" w:lineRule="auto"/>
        <w:rPr>
          <w:rFonts w:cstheme="minorHAnsi"/>
        </w:rPr>
      </w:pPr>
      <w:r w:rsidRPr="00F57C98">
        <w:rPr>
          <w:rFonts w:cstheme="minorHAnsi"/>
          <w:lang w:val="en-US"/>
        </w:rPr>
        <w:t xml:space="preserve">Figure </w:t>
      </w:r>
      <w:r w:rsidR="0067092D" w:rsidRPr="00F57C98">
        <w:rPr>
          <w:rFonts w:cstheme="minorHAnsi"/>
          <w:lang w:val="en-US"/>
        </w:rPr>
        <w:t>2</w:t>
      </w:r>
      <w:r w:rsidRPr="00F57C98">
        <w:rPr>
          <w:rFonts w:cstheme="minorHAnsi"/>
          <w:lang w:val="en-US"/>
        </w:rPr>
        <w:t xml:space="preserve">. </w:t>
      </w:r>
      <w:r w:rsidRPr="001830F3">
        <w:rPr>
          <w:rFonts w:cstheme="minorHAnsi"/>
          <w:lang w:val="en-US"/>
        </w:rPr>
        <w:t xml:space="preserve">STRUCTURE </w:t>
      </w:r>
      <w:r w:rsidR="005F0F76">
        <w:rPr>
          <w:rFonts w:cstheme="minorHAnsi"/>
          <w:lang w:val="en-US"/>
        </w:rPr>
        <w:t>admixture plots</w:t>
      </w:r>
      <w:r w:rsidR="005F0F76" w:rsidRPr="001830F3">
        <w:rPr>
          <w:rFonts w:cstheme="minorHAnsi"/>
          <w:lang w:val="en-US"/>
        </w:rPr>
        <w:t xml:space="preserve"> </w:t>
      </w:r>
      <w:r w:rsidRPr="001830F3">
        <w:rPr>
          <w:rFonts w:cstheme="minorHAnsi"/>
          <w:lang w:val="en-US"/>
        </w:rPr>
        <w:t xml:space="preserve">for (a) 2011 – 2012 populations of </w:t>
      </w:r>
      <w:r>
        <w:rPr>
          <w:rFonts w:cstheme="minorHAnsi"/>
          <w:lang w:val="en-US"/>
        </w:rPr>
        <w:t>w</w:t>
      </w:r>
      <w:r w:rsidRPr="001830F3">
        <w:rPr>
          <w:rFonts w:cstheme="minorHAnsi"/>
          <w:lang w:val="en-US"/>
        </w:rPr>
        <w:t xml:space="preserve">hite-eared ground-sparrow </w:t>
      </w:r>
      <w:proofErr w:type="spellStart"/>
      <w:r w:rsidRPr="001830F3">
        <w:rPr>
          <w:rFonts w:cstheme="minorHAnsi"/>
          <w:i/>
          <w:iCs/>
          <w:lang w:val="en-US"/>
        </w:rPr>
        <w:t>Melozone</w:t>
      </w:r>
      <w:proofErr w:type="spellEnd"/>
      <w:r w:rsidRPr="001830F3">
        <w:rPr>
          <w:rFonts w:cstheme="minorHAnsi"/>
          <w:i/>
          <w:iCs/>
          <w:lang w:val="en-US"/>
        </w:rPr>
        <w:t xml:space="preserve"> </w:t>
      </w:r>
      <w:proofErr w:type="spellStart"/>
      <w:r w:rsidRPr="001830F3">
        <w:rPr>
          <w:rFonts w:cstheme="minorHAnsi"/>
          <w:i/>
          <w:iCs/>
          <w:lang w:val="en-US"/>
        </w:rPr>
        <w:t>leucotis</w:t>
      </w:r>
      <w:proofErr w:type="spellEnd"/>
      <w:r w:rsidRPr="001830F3">
        <w:rPr>
          <w:rFonts w:cstheme="minorHAnsi"/>
          <w:lang w:val="en-US"/>
        </w:rPr>
        <w:t xml:space="preserve"> </w:t>
      </w:r>
      <w:r w:rsidR="005F0F76">
        <w:rPr>
          <w:rFonts w:cstheme="minorHAnsi"/>
          <w:lang w:val="en-US"/>
        </w:rPr>
        <w:t xml:space="preserve">grouped into </w:t>
      </w:r>
      <w:r w:rsidRPr="001830F3">
        <w:rPr>
          <w:rFonts w:cstheme="minorHAnsi"/>
          <w:lang w:val="en-US"/>
        </w:rPr>
        <w:t>K = 2</w:t>
      </w:r>
      <w:r w:rsidR="005F0F76">
        <w:rPr>
          <w:rFonts w:cstheme="minorHAnsi"/>
          <w:lang w:val="en-US"/>
        </w:rPr>
        <w:t xml:space="preserve"> clusters</w:t>
      </w:r>
      <w:r w:rsidRPr="001830F3">
        <w:rPr>
          <w:rFonts w:cstheme="minorHAnsi"/>
          <w:lang w:val="en-US"/>
        </w:rPr>
        <w:t xml:space="preserve">, and (b) 2018 – 2022 populations of </w:t>
      </w:r>
      <w:r>
        <w:rPr>
          <w:rFonts w:cstheme="minorHAnsi"/>
          <w:lang w:val="en-US"/>
        </w:rPr>
        <w:t>w</w:t>
      </w:r>
      <w:r w:rsidRPr="001830F3">
        <w:rPr>
          <w:rFonts w:cstheme="minorHAnsi"/>
          <w:lang w:val="en-US"/>
        </w:rPr>
        <w:t xml:space="preserve">hite-eared ground-sparrow </w:t>
      </w:r>
      <w:proofErr w:type="spellStart"/>
      <w:r w:rsidRPr="001830F3">
        <w:rPr>
          <w:rFonts w:cstheme="minorHAnsi"/>
          <w:i/>
          <w:iCs/>
          <w:lang w:val="en-US"/>
        </w:rPr>
        <w:t>Melozone</w:t>
      </w:r>
      <w:proofErr w:type="spellEnd"/>
      <w:r w:rsidRPr="001830F3">
        <w:rPr>
          <w:rFonts w:cstheme="minorHAnsi"/>
          <w:i/>
          <w:iCs/>
          <w:lang w:val="en-US"/>
        </w:rPr>
        <w:t xml:space="preserve"> </w:t>
      </w:r>
      <w:proofErr w:type="spellStart"/>
      <w:r w:rsidRPr="001830F3">
        <w:rPr>
          <w:rFonts w:cstheme="minorHAnsi"/>
          <w:i/>
          <w:iCs/>
          <w:lang w:val="en-US"/>
        </w:rPr>
        <w:t>leucotis</w:t>
      </w:r>
      <w:proofErr w:type="spellEnd"/>
      <w:r w:rsidRPr="001830F3">
        <w:rPr>
          <w:rFonts w:cstheme="minorHAnsi"/>
          <w:lang w:val="en-US"/>
        </w:rPr>
        <w:t xml:space="preserve"> </w:t>
      </w:r>
      <w:r w:rsidR="005F0F76">
        <w:rPr>
          <w:rFonts w:cstheme="minorHAnsi"/>
          <w:lang w:val="en-US"/>
        </w:rPr>
        <w:t xml:space="preserve">grouped into </w:t>
      </w:r>
      <w:r w:rsidRPr="001830F3">
        <w:rPr>
          <w:rFonts w:cstheme="minorHAnsi"/>
          <w:lang w:val="en-US"/>
        </w:rPr>
        <w:t>K = 2</w:t>
      </w:r>
      <w:r w:rsidR="005F0F76">
        <w:rPr>
          <w:rFonts w:cstheme="minorHAnsi"/>
          <w:lang w:val="en-US"/>
        </w:rPr>
        <w:t xml:space="preserve"> clusters</w:t>
      </w:r>
      <w:r w:rsidRPr="001830F3">
        <w:rPr>
          <w:rFonts w:cstheme="minorHAnsi"/>
          <w:lang w:val="en-US"/>
        </w:rPr>
        <w:t>. Plots are sorted by sampling location, each bar represents one individual, each color represent</w:t>
      </w:r>
      <w:r w:rsidR="007C5ECB">
        <w:rPr>
          <w:rFonts w:cstheme="minorHAnsi"/>
          <w:lang w:val="en-US"/>
        </w:rPr>
        <w:t>s</w:t>
      </w:r>
      <w:r w:rsidRPr="001830F3">
        <w:rPr>
          <w:rFonts w:cstheme="minorHAnsi"/>
          <w:lang w:val="en-US"/>
        </w:rPr>
        <w:t xml:space="preserve"> a cluster. </w:t>
      </w:r>
      <w:r w:rsidRPr="000F2A29">
        <w:rPr>
          <w:rFonts w:cstheme="minorHAnsi"/>
        </w:rPr>
        <w:t>MTV Monteverde, HDA Heredia, UCR Universidad de Costa Rica, JBL Jardín Botánico Lankester.</w:t>
      </w:r>
    </w:p>
    <w:p w14:paraId="39980D43" w14:textId="1A2EF375" w:rsidR="008003D8" w:rsidRDefault="008003D8" w:rsidP="008003D8">
      <w:pPr>
        <w:spacing w:line="480" w:lineRule="auto"/>
        <w:rPr>
          <w:rFonts w:cstheme="minorHAnsi"/>
          <w:lang w:val="en-US"/>
        </w:rPr>
      </w:pPr>
      <w:r w:rsidRPr="00411166">
        <w:rPr>
          <w:lang w:val="en-US"/>
        </w:rPr>
        <w:t xml:space="preserve">Figure </w:t>
      </w:r>
      <w:r w:rsidR="0067092D">
        <w:rPr>
          <w:lang w:val="en-US"/>
        </w:rPr>
        <w:t>3</w:t>
      </w:r>
      <w:r w:rsidRPr="00411166">
        <w:rPr>
          <w:lang w:val="en-US"/>
        </w:rPr>
        <w:t xml:space="preserve">. </w:t>
      </w:r>
      <w:r>
        <w:rPr>
          <w:lang w:val="en-US"/>
        </w:rPr>
        <w:t>Box-plots of the v</w:t>
      </w:r>
      <w:r w:rsidRPr="00411166">
        <w:rPr>
          <w:lang w:val="en-US"/>
        </w:rPr>
        <w:t xml:space="preserve">ariation in acoustic characteristics </w:t>
      </w:r>
      <w:r>
        <w:rPr>
          <w:lang w:val="en-US"/>
        </w:rPr>
        <w:t xml:space="preserve">of white-eared ground-sparrow </w:t>
      </w:r>
      <w:proofErr w:type="spellStart"/>
      <w:r w:rsidRPr="00716D57">
        <w:rPr>
          <w:rFonts w:cstheme="minorHAnsi"/>
          <w:i/>
          <w:iCs/>
          <w:lang w:val="en-US"/>
        </w:rPr>
        <w:t>Melozone</w:t>
      </w:r>
      <w:proofErr w:type="spellEnd"/>
      <w:r w:rsidRPr="00716D57">
        <w:rPr>
          <w:rFonts w:cstheme="minorHAnsi"/>
          <w:i/>
          <w:iCs/>
          <w:lang w:val="en-US"/>
        </w:rPr>
        <w:t xml:space="preserve"> </w:t>
      </w:r>
      <w:proofErr w:type="spellStart"/>
      <w:r w:rsidRPr="00716D57">
        <w:rPr>
          <w:rFonts w:cstheme="minorHAnsi"/>
          <w:i/>
          <w:iCs/>
          <w:lang w:val="en-US"/>
        </w:rPr>
        <w:t>leucotis</w:t>
      </w:r>
      <w:proofErr w:type="spellEnd"/>
      <w:r>
        <w:rPr>
          <w:lang w:val="en-US"/>
        </w:rPr>
        <w:t xml:space="preserve">, based on </w:t>
      </w:r>
      <w:r w:rsidRPr="001830F3">
        <w:rPr>
          <w:rFonts w:cstheme="minorHAnsi"/>
          <w:lang w:val="en-US"/>
        </w:rPr>
        <w:t>linear mixed</w:t>
      </w:r>
      <w:r>
        <w:rPr>
          <w:rFonts w:cstheme="minorHAnsi"/>
          <w:lang w:val="en-US"/>
        </w:rPr>
        <w:t>-effects</w:t>
      </w:r>
      <w:r w:rsidRPr="001830F3">
        <w:rPr>
          <w:rFonts w:cstheme="minorHAnsi"/>
          <w:lang w:val="en-US"/>
        </w:rPr>
        <w:t xml:space="preserve"> models</w:t>
      </w:r>
      <w:r>
        <w:rPr>
          <w:rFonts w:cstheme="minorHAnsi"/>
          <w:lang w:val="en-US"/>
        </w:rPr>
        <w:t xml:space="preserve">. </w:t>
      </w:r>
      <w:r w:rsidRPr="00463342">
        <w:rPr>
          <w:rFonts w:cstheme="minorHAnsi"/>
          <w:lang w:val="en-US"/>
        </w:rPr>
        <w:t>The responses are measured as principal component scores</w:t>
      </w:r>
      <w:r>
        <w:rPr>
          <w:rFonts w:cstheme="minorHAnsi"/>
          <w:lang w:val="en-US"/>
        </w:rPr>
        <w:t>.</w:t>
      </w:r>
      <w:r w:rsidRPr="00463342">
        <w:rPr>
          <w:rFonts w:cstheme="minorHAnsi"/>
          <w:lang w:val="en-US"/>
        </w:rPr>
        <w:t xml:space="preserve"> </w:t>
      </w:r>
      <w:r w:rsidR="003C2DB8">
        <w:rPr>
          <w:rFonts w:cstheme="minorHAnsi"/>
          <w:lang w:val="en-US"/>
        </w:rPr>
        <w:t>Comparison of song d</w:t>
      </w:r>
      <w:r w:rsidRPr="00463342">
        <w:rPr>
          <w:rFonts w:cstheme="minorHAnsi"/>
          <w:lang w:val="en-US"/>
        </w:rPr>
        <w:t xml:space="preserve">uration and number of elements </w:t>
      </w:r>
      <w:r w:rsidR="00DC58F7">
        <w:rPr>
          <w:rFonts w:cstheme="minorHAnsi"/>
          <w:lang w:val="en-US"/>
        </w:rPr>
        <w:t>between time periods (a), and across populations and time periods (b), based on PC1 values; comparison of t</w:t>
      </w:r>
      <w:r w:rsidRPr="00463342">
        <w:rPr>
          <w:rFonts w:cstheme="minorHAnsi"/>
          <w:lang w:val="en-US"/>
        </w:rPr>
        <w:t xml:space="preserve">he minimum and maximum frequency </w:t>
      </w:r>
      <w:r w:rsidR="00DC58F7">
        <w:rPr>
          <w:rFonts w:cstheme="minorHAnsi"/>
          <w:lang w:val="en-US"/>
        </w:rPr>
        <w:t xml:space="preserve">which </w:t>
      </w:r>
      <w:r>
        <w:rPr>
          <w:rFonts w:cstheme="minorHAnsi"/>
          <w:lang w:val="en-US"/>
        </w:rPr>
        <w:t xml:space="preserve">correlated with </w:t>
      </w:r>
      <w:r w:rsidRPr="00463342">
        <w:rPr>
          <w:rFonts w:cstheme="minorHAnsi"/>
          <w:lang w:val="en-US"/>
        </w:rPr>
        <w:t>PC2</w:t>
      </w:r>
      <w:r w:rsidR="00DC58F7">
        <w:rPr>
          <w:rFonts w:cstheme="minorHAnsi"/>
          <w:lang w:val="en-US"/>
        </w:rPr>
        <w:t xml:space="preserve"> (c)</w:t>
      </w:r>
      <w:r>
        <w:rPr>
          <w:rFonts w:cstheme="minorHAnsi"/>
          <w:lang w:val="en-US"/>
        </w:rPr>
        <w:t xml:space="preserve">, and </w:t>
      </w:r>
      <w:r w:rsidR="00DC58F7">
        <w:rPr>
          <w:rFonts w:cstheme="minorHAnsi"/>
          <w:lang w:val="en-US"/>
        </w:rPr>
        <w:t xml:space="preserve">comparison of the </w:t>
      </w:r>
      <w:r w:rsidRPr="00463342">
        <w:rPr>
          <w:rFonts w:cstheme="minorHAnsi"/>
          <w:lang w:val="en-US"/>
        </w:rPr>
        <w:t xml:space="preserve">frequency of maximum amplitude </w:t>
      </w:r>
      <w:r w:rsidR="00DC58F7">
        <w:rPr>
          <w:rFonts w:cstheme="minorHAnsi"/>
          <w:lang w:val="en-US"/>
        </w:rPr>
        <w:t xml:space="preserve">which </w:t>
      </w:r>
      <w:r>
        <w:rPr>
          <w:rFonts w:cstheme="minorHAnsi"/>
          <w:lang w:val="en-US"/>
        </w:rPr>
        <w:t xml:space="preserve">correlated with </w:t>
      </w:r>
      <w:r w:rsidRPr="00463342">
        <w:rPr>
          <w:rFonts w:cstheme="minorHAnsi"/>
          <w:lang w:val="en-US"/>
        </w:rPr>
        <w:t>PC3</w:t>
      </w:r>
      <w:r w:rsidR="00DC58F7">
        <w:rPr>
          <w:rFonts w:cstheme="minorHAnsi"/>
          <w:lang w:val="en-US"/>
        </w:rPr>
        <w:t xml:space="preserve"> (d)</w:t>
      </w:r>
      <w:r>
        <w:rPr>
          <w:rFonts w:cstheme="minorHAnsi"/>
          <w:lang w:val="en-US"/>
        </w:rPr>
        <w:t xml:space="preserve">. </w:t>
      </w:r>
      <w:r w:rsidRPr="004D7FF9">
        <w:rPr>
          <w:rFonts w:cstheme="minorHAnsi"/>
          <w:lang w:val="en-US"/>
        </w:rPr>
        <w:t>The box-plot shows the median (central horizontal line), 75</w:t>
      </w:r>
      <w:r w:rsidRPr="00282D62">
        <w:rPr>
          <w:rFonts w:cstheme="minorHAnsi"/>
          <w:vertAlign w:val="superscript"/>
          <w:lang w:val="en-US"/>
        </w:rPr>
        <w:t>th</w:t>
      </w:r>
      <w:r w:rsidRPr="004D7FF9">
        <w:rPr>
          <w:rFonts w:cstheme="minorHAnsi"/>
          <w:lang w:val="en-US"/>
        </w:rPr>
        <w:t xml:space="preserve"> and 25</w:t>
      </w:r>
      <w:r w:rsidRPr="00282D62">
        <w:rPr>
          <w:rFonts w:cstheme="minorHAnsi"/>
          <w:vertAlign w:val="superscript"/>
          <w:lang w:val="en-US"/>
        </w:rPr>
        <w:t>th</w:t>
      </w:r>
      <w:r w:rsidRPr="004D7FF9">
        <w:rPr>
          <w:rFonts w:cstheme="minorHAnsi"/>
          <w:lang w:val="en-US"/>
        </w:rPr>
        <w:t xml:space="preserve"> percentile (top and bottom of the box)</w:t>
      </w:r>
      <w:r w:rsidR="007C5ECB">
        <w:rPr>
          <w:rFonts w:cstheme="minorHAnsi"/>
          <w:lang w:val="en-US"/>
        </w:rPr>
        <w:t>,</w:t>
      </w:r>
      <w:r w:rsidRPr="004D7FF9">
        <w:rPr>
          <w:rFonts w:cstheme="minorHAnsi"/>
          <w:lang w:val="en-US"/>
        </w:rPr>
        <w:t xml:space="preserve"> and the maximum and minimum values (top and bottom whisker)</w:t>
      </w:r>
      <w:r>
        <w:rPr>
          <w:rFonts w:cstheme="minorHAnsi"/>
          <w:lang w:val="en-US"/>
        </w:rPr>
        <w:t xml:space="preserve">. </w:t>
      </w:r>
      <w:r w:rsidR="00DC58F7">
        <w:rPr>
          <w:rFonts w:cstheme="minorHAnsi"/>
          <w:lang w:val="en-US"/>
        </w:rPr>
        <w:t>Different l</w:t>
      </w:r>
      <w:r w:rsidRPr="00411166">
        <w:rPr>
          <w:rFonts w:cstheme="minorHAnsi"/>
          <w:lang w:val="en-US"/>
        </w:rPr>
        <w:t>etters indicate significant</w:t>
      </w:r>
      <w:r w:rsidR="00DC58F7">
        <w:rPr>
          <w:rFonts w:cstheme="minorHAnsi"/>
          <w:lang w:val="en-US"/>
        </w:rPr>
        <w:t xml:space="preserve"> differences between time periods or </w:t>
      </w:r>
      <w:r w:rsidR="00525030">
        <w:rPr>
          <w:rFonts w:cstheme="minorHAnsi"/>
          <w:lang w:val="en-US"/>
        </w:rPr>
        <w:t>population between time periods. L</w:t>
      </w:r>
      <w:r w:rsidRPr="005312E0">
        <w:rPr>
          <w:rFonts w:cstheme="minorHAnsi"/>
          <w:lang w:val="en-US"/>
        </w:rPr>
        <w:t xml:space="preserve">ack of letters </w:t>
      </w:r>
      <w:r w:rsidR="00525030">
        <w:rPr>
          <w:rFonts w:cstheme="minorHAnsi"/>
          <w:lang w:val="en-US"/>
        </w:rPr>
        <w:t>indicates</w:t>
      </w:r>
      <w:r w:rsidR="00525030" w:rsidRPr="005312E0">
        <w:rPr>
          <w:rFonts w:cstheme="minorHAnsi"/>
          <w:lang w:val="en-US"/>
        </w:rPr>
        <w:t xml:space="preserve"> </w:t>
      </w:r>
      <w:r w:rsidRPr="005312E0">
        <w:rPr>
          <w:rFonts w:cstheme="minorHAnsi"/>
          <w:lang w:val="en-US"/>
        </w:rPr>
        <w:t>that no significant differences were</w:t>
      </w:r>
      <w:r>
        <w:rPr>
          <w:rFonts w:cstheme="minorHAnsi"/>
          <w:lang w:val="en-US"/>
        </w:rPr>
        <w:t xml:space="preserve"> </w:t>
      </w:r>
      <w:r w:rsidR="00525030">
        <w:rPr>
          <w:rFonts w:cstheme="minorHAnsi"/>
          <w:lang w:val="en-US"/>
        </w:rPr>
        <w:t>detected</w:t>
      </w:r>
      <w:r w:rsidR="00525030" w:rsidRPr="005312E0">
        <w:rPr>
          <w:rFonts w:cstheme="minorHAnsi"/>
          <w:lang w:val="en-US"/>
        </w:rPr>
        <w:t xml:space="preserve"> </w:t>
      </w:r>
      <w:r w:rsidRPr="005312E0">
        <w:rPr>
          <w:rFonts w:cstheme="minorHAnsi"/>
          <w:lang w:val="en-US"/>
        </w:rPr>
        <w:t>in the post hoc tests.</w:t>
      </w:r>
      <w:r w:rsidRPr="005312E0" w:rsidDel="005312E0">
        <w:rPr>
          <w:rFonts w:cstheme="minorHAnsi"/>
          <w:lang w:val="en-US"/>
        </w:rPr>
        <w:t xml:space="preserve"> </w:t>
      </w:r>
    </w:p>
    <w:p w14:paraId="7B81C140" w14:textId="15FCF5E0" w:rsidR="008003D8" w:rsidRDefault="008003D8" w:rsidP="008003D8">
      <w:pPr>
        <w:spacing w:line="480" w:lineRule="auto"/>
        <w:rPr>
          <w:rFonts w:cstheme="minorHAnsi"/>
          <w:lang w:val="en-US"/>
        </w:rPr>
      </w:pPr>
      <w:r w:rsidRPr="00411166">
        <w:rPr>
          <w:lang w:val="en-US"/>
        </w:rPr>
        <w:t xml:space="preserve">Figure </w:t>
      </w:r>
      <w:r w:rsidR="0067092D">
        <w:rPr>
          <w:lang w:val="en-US"/>
        </w:rPr>
        <w:t>4</w:t>
      </w:r>
      <w:r w:rsidRPr="00411166">
        <w:rPr>
          <w:lang w:val="en-US"/>
        </w:rPr>
        <w:t xml:space="preserve">. </w:t>
      </w:r>
      <w:r w:rsidR="00DE2E23">
        <w:rPr>
          <w:lang w:val="en-US"/>
        </w:rPr>
        <w:t>Box-plots of the v</w:t>
      </w:r>
      <w:r w:rsidRPr="00411166">
        <w:rPr>
          <w:lang w:val="en-US"/>
        </w:rPr>
        <w:t xml:space="preserve">ariation in </w:t>
      </w:r>
      <w:r>
        <w:rPr>
          <w:lang w:val="en-US"/>
        </w:rPr>
        <w:t>morphology</w:t>
      </w:r>
      <w:r w:rsidRPr="00411166">
        <w:rPr>
          <w:lang w:val="en-US"/>
        </w:rPr>
        <w:t xml:space="preserve"> </w:t>
      </w:r>
      <w:r>
        <w:rPr>
          <w:lang w:val="en-US"/>
        </w:rPr>
        <w:t xml:space="preserve">of white-eared ground-sparrow </w:t>
      </w:r>
      <w:proofErr w:type="spellStart"/>
      <w:r w:rsidRPr="00716D57">
        <w:rPr>
          <w:rFonts w:cstheme="minorHAnsi"/>
          <w:i/>
          <w:iCs/>
          <w:lang w:val="en-US"/>
        </w:rPr>
        <w:t>Melozone</w:t>
      </w:r>
      <w:proofErr w:type="spellEnd"/>
      <w:r w:rsidRPr="00716D57">
        <w:rPr>
          <w:rFonts w:cstheme="minorHAnsi"/>
          <w:i/>
          <w:iCs/>
          <w:lang w:val="en-US"/>
        </w:rPr>
        <w:t xml:space="preserve"> </w:t>
      </w:r>
      <w:proofErr w:type="spellStart"/>
      <w:r w:rsidRPr="00716D57">
        <w:rPr>
          <w:rFonts w:cstheme="minorHAnsi"/>
          <w:i/>
          <w:iCs/>
          <w:lang w:val="en-US"/>
        </w:rPr>
        <w:t>leucotis</w:t>
      </w:r>
      <w:proofErr w:type="spellEnd"/>
      <w:r>
        <w:rPr>
          <w:lang w:val="en-US"/>
        </w:rPr>
        <w:t xml:space="preserve">, based on </w:t>
      </w:r>
      <w:r w:rsidRPr="00D413F8">
        <w:rPr>
          <w:rFonts w:cstheme="minorHAnsi"/>
          <w:lang w:val="en-US"/>
        </w:rPr>
        <w:t>generalized linear mixed models</w:t>
      </w:r>
      <w:r>
        <w:rPr>
          <w:rFonts w:cstheme="minorHAnsi"/>
          <w:lang w:val="en-US"/>
        </w:rPr>
        <w:t xml:space="preserve">. </w:t>
      </w:r>
      <w:r w:rsidRPr="00463342">
        <w:rPr>
          <w:rFonts w:cstheme="minorHAnsi"/>
          <w:lang w:val="en-US"/>
        </w:rPr>
        <w:t>The responses are measured as principal components scores</w:t>
      </w:r>
      <w:r>
        <w:rPr>
          <w:rFonts w:cstheme="minorHAnsi"/>
          <w:lang w:val="en-US"/>
        </w:rPr>
        <w:t>;</w:t>
      </w:r>
      <w:r w:rsidRPr="00463342">
        <w:rPr>
          <w:rFonts w:cstheme="minorHAnsi"/>
          <w:lang w:val="en-US"/>
        </w:rPr>
        <w:t xml:space="preserve"> </w:t>
      </w:r>
      <w:r w:rsidR="00DE2E23">
        <w:rPr>
          <w:rFonts w:cstheme="minorHAnsi"/>
          <w:lang w:val="en-US"/>
        </w:rPr>
        <w:t xml:space="preserve"> Comparison of</w:t>
      </w:r>
      <w:r>
        <w:rPr>
          <w:rFonts w:cstheme="minorHAnsi"/>
          <w:lang w:val="en-US"/>
        </w:rPr>
        <w:t xml:space="preserve"> </w:t>
      </w:r>
      <w:r w:rsidRPr="001830F3">
        <w:rPr>
          <w:rFonts w:cstheme="minorHAnsi"/>
          <w:lang w:val="en-US"/>
        </w:rPr>
        <w:t>tarsus length, tail length, wing chord length</w:t>
      </w:r>
      <w:r>
        <w:rPr>
          <w:rFonts w:cstheme="minorHAnsi"/>
          <w:lang w:val="en-US"/>
        </w:rPr>
        <w:t xml:space="preserve">, and </w:t>
      </w:r>
      <w:r w:rsidRPr="001830F3">
        <w:rPr>
          <w:rFonts w:cstheme="minorHAnsi"/>
          <w:lang w:val="en-US"/>
        </w:rPr>
        <w:t>beak depth</w:t>
      </w:r>
      <w:r>
        <w:rPr>
          <w:rFonts w:eastAsiaTheme="minorEastAsia" w:cstheme="minorHAnsi"/>
          <w:lang w:val="en-US"/>
        </w:rPr>
        <w:t xml:space="preserve"> </w:t>
      </w:r>
      <w:r w:rsidR="00D87BBA">
        <w:rPr>
          <w:rFonts w:eastAsiaTheme="minorEastAsia" w:cstheme="minorHAnsi"/>
          <w:lang w:val="en-US"/>
        </w:rPr>
        <w:t xml:space="preserve">which </w:t>
      </w:r>
      <w:r>
        <w:rPr>
          <w:rFonts w:eastAsiaTheme="minorEastAsia" w:cstheme="minorHAnsi"/>
          <w:lang w:val="en-US"/>
        </w:rPr>
        <w:t>correlated with PC1 of females</w:t>
      </w:r>
      <w:r w:rsidR="00DE2E23">
        <w:rPr>
          <w:rFonts w:eastAsiaTheme="minorEastAsia" w:cstheme="minorHAnsi"/>
          <w:lang w:val="en-US"/>
        </w:rPr>
        <w:t xml:space="preserve"> (a)</w:t>
      </w:r>
      <w:r>
        <w:rPr>
          <w:rFonts w:cstheme="minorHAnsi"/>
          <w:lang w:val="en-US"/>
        </w:rPr>
        <w:t xml:space="preserve">, </w:t>
      </w:r>
      <w:r w:rsidR="00D87BBA">
        <w:rPr>
          <w:rFonts w:cstheme="minorHAnsi"/>
          <w:lang w:val="en-US"/>
        </w:rPr>
        <w:t>comparison of</w:t>
      </w:r>
      <w:r>
        <w:rPr>
          <w:rFonts w:cstheme="minorHAnsi"/>
          <w:lang w:val="en-US"/>
        </w:rPr>
        <w:t xml:space="preserve"> </w:t>
      </w:r>
      <w:r w:rsidRPr="001830F3">
        <w:rPr>
          <w:rFonts w:cstheme="minorHAnsi"/>
          <w:lang w:val="en-US"/>
        </w:rPr>
        <w:t>tarsus length, tail length, wing chord length</w:t>
      </w:r>
      <w:r>
        <w:rPr>
          <w:rFonts w:cstheme="minorHAnsi"/>
          <w:lang w:val="en-US"/>
        </w:rPr>
        <w:t xml:space="preserve">, and </w:t>
      </w:r>
      <w:r w:rsidRPr="001830F3">
        <w:rPr>
          <w:rFonts w:cstheme="minorHAnsi"/>
          <w:lang w:val="en-US"/>
        </w:rPr>
        <w:t>beak depth</w:t>
      </w:r>
      <w:r>
        <w:rPr>
          <w:rFonts w:eastAsiaTheme="minorEastAsia" w:cstheme="minorHAnsi"/>
          <w:lang w:val="en-US"/>
        </w:rPr>
        <w:t xml:space="preserve"> </w:t>
      </w:r>
      <w:r w:rsidR="00D87BBA">
        <w:rPr>
          <w:rFonts w:eastAsiaTheme="minorEastAsia" w:cstheme="minorHAnsi"/>
          <w:lang w:val="en-US"/>
        </w:rPr>
        <w:t xml:space="preserve">which </w:t>
      </w:r>
      <w:r>
        <w:rPr>
          <w:rFonts w:eastAsiaTheme="minorEastAsia" w:cstheme="minorHAnsi"/>
          <w:lang w:val="en-US"/>
        </w:rPr>
        <w:t>correlated with PC1 of males</w:t>
      </w:r>
      <w:r w:rsidR="00D87BBA">
        <w:rPr>
          <w:rFonts w:eastAsiaTheme="minorEastAsia" w:cstheme="minorHAnsi"/>
          <w:lang w:val="en-US"/>
        </w:rPr>
        <w:t xml:space="preserve"> (b)</w:t>
      </w:r>
      <w:r>
        <w:rPr>
          <w:rFonts w:cstheme="minorHAnsi"/>
          <w:lang w:val="en-US"/>
        </w:rPr>
        <w:t xml:space="preserve">, </w:t>
      </w:r>
      <w:r w:rsidR="00D87BBA">
        <w:rPr>
          <w:rFonts w:cstheme="minorHAnsi"/>
          <w:lang w:val="en-US"/>
        </w:rPr>
        <w:t>comparison of</w:t>
      </w:r>
      <w:r>
        <w:rPr>
          <w:rFonts w:cstheme="minorHAnsi"/>
          <w:lang w:val="en-US"/>
        </w:rPr>
        <w:t xml:space="preserve"> t</w:t>
      </w:r>
      <w:r>
        <w:rPr>
          <w:rFonts w:eastAsiaTheme="minorEastAsia"/>
          <w:lang w:val="en-US"/>
        </w:rPr>
        <w:t xml:space="preserve">he </w:t>
      </w:r>
      <w:r w:rsidRPr="001830F3">
        <w:rPr>
          <w:rFonts w:cstheme="minorHAnsi"/>
          <w:lang w:val="en-US"/>
        </w:rPr>
        <w:t>exposed culmen length</w:t>
      </w:r>
      <w:r>
        <w:rPr>
          <w:rFonts w:cstheme="minorHAnsi"/>
          <w:lang w:val="en-US"/>
        </w:rPr>
        <w:t xml:space="preserve"> and </w:t>
      </w:r>
      <w:r w:rsidRPr="001830F3">
        <w:rPr>
          <w:rFonts w:cstheme="minorHAnsi"/>
          <w:lang w:val="en-US"/>
        </w:rPr>
        <w:t>beak width</w:t>
      </w:r>
      <w:r>
        <w:rPr>
          <w:rFonts w:cstheme="minorHAnsi"/>
          <w:lang w:val="en-US"/>
        </w:rPr>
        <w:t xml:space="preserve"> </w:t>
      </w:r>
      <w:r w:rsidR="00D87BBA">
        <w:rPr>
          <w:rFonts w:cstheme="minorHAnsi"/>
          <w:lang w:val="en-US"/>
        </w:rPr>
        <w:t xml:space="preserve">which </w:t>
      </w:r>
      <w:r>
        <w:rPr>
          <w:rFonts w:cstheme="minorHAnsi"/>
          <w:lang w:val="en-US"/>
        </w:rPr>
        <w:t>correlated with PC2 of males</w:t>
      </w:r>
      <w:r w:rsidR="00D87BBA">
        <w:rPr>
          <w:rFonts w:cstheme="minorHAnsi"/>
          <w:lang w:val="en-US"/>
        </w:rPr>
        <w:t xml:space="preserve"> (c)</w:t>
      </w:r>
      <w:r>
        <w:rPr>
          <w:rFonts w:cstheme="minorHAnsi"/>
          <w:lang w:val="en-US"/>
        </w:rPr>
        <w:t xml:space="preserve">. </w:t>
      </w:r>
      <w:r w:rsidRPr="004D7FF9">
        <w:rPr>
          <w:rFonts w:cstheme="minorHAnsi"/>
          <w:lang w:val="en-US"/>
        </w:rPr>
        <w:t xml:space="preserve">The box-plot </w:t>
      </w:r>
      <w:r w:rsidRPr="004D7FF9">
        <w:rPr>
          <w:rFonts w:cstheme="minorHAnsi"/>
          <w:lang w:val="en-US"/>
        </w:rPr>
        <w:lastRenderedPageBreak/>
        <w:t>shows the median (central horizontal line), 75th and 25th percentile (top and bottom of the box)</w:t>
      </w:r>
      <w:r w:rsidR="007C5ECB">
        <w:rPr>
          <w:rFonts w:cstheme="minorHAnsi"/>
          <w:lang w:val="en-US"/>
        </w:rPr>
        <w:t>,</w:t>
      </w:r>
      <w:r w:rsidRPr="004D7FF9">
        <w:rPr>
          <w:rFonts w:cstheme="minorHAnsi"/>
          <w:lang w:val="en-US"/>
        </w:rPr>
        <w:t xml:space="preserve"> and the maximum and minimum values (top and bottom whisker)</w:t>
      </w:r>
      <w:r>
        <w:rPr>
          <w:rFonts w:cstheme="minorHAnsi"/>
          <w:lang w:val="en-US"/>
        </w:rPr>
        <w:t xml:space="preserve">. </w:t>
      </w:r>
      <w:r w:rsidR="00D87BBA">
        <w:rPr>
          <w:rFonts w:cstheme="minorHAnsi"/>
          <w:lang w:val="en-US"/>
        </w:rPr>
        <w:t>Different l</w:t>
      </w:r>
      <w:r w:rsidRPr="00411166">
        <w:rPr>
          <w:rFonts w:cstheme="minorHAnsi"/>
          <w:lang w:val="en-US"/>
        </w:rPr>
        <w:t xml:space="preserve">etters </w:t>
      </w:r>
      <w:proofErr w:type="gramStart"/>
      <w:r w:rsidRPr="00411166">
        <w:rPr>
          <w:rFonts w:cstheme="minorHAnsi"/>
          <w:lang w:val="en-US"/>
        </w:rPr>
        <w:t>indicate</w:t>
      </w:r>
      <w:r w:rsidR="00D87BBA">
        <w:rPr>
          <w:rFonts w:cstheme="minorHAnsi"/>
          <w:lang w:val="en-US"/>
        </w:rPr>
        <w:t>s</w:t>
      </w:r>
      <w:proofErr w:type="gramEnd"/>
      <w:r w:rsidRPr="00411166">
        <w:rPr>
          <w:rFonts w:cstheme="minorHAnsi"/>
          <w:lang w:val="en-US"/>
        </w:rPr>
        <w:t xml:space="preserve"> significant differen</w:t>
      </w:r>
      <w:r w:rsidR="00D87BBA">
        <w:rPr>
          <w:rFonts w:cstheme="minorHAnsi"/>
          <w:lang w:val="en-US"/>
        </w:rPr>
        <w:t>ces</w:t>
      </w:r>
      <w:r w:rsidRPr="00411166">
        <w:rPr>
          <w:rFonts w:cstheme="minorHAnsi"/>
          <w:lang w:val="en-US"/>
        </w:rPr>
        <w:t xml:space="preserve"> </w:t>
      </w:r>
      <w:proofErr w:type="spellStart"/>
      <w:r w:rsidR="00D87BBA">
        <w:rPr>
          <w:rFonts w:cstheme="minorHAnsi"/>
          <w:lang w:val="en-US"/>
        </w:rPr>
        <w:t>differences</w:t>
      </w:r>
      <w:proofErr w:type="spellEnd"/>
      <w:r w:rsidR="00D87BBA">
        <w:rPr>
          <w:rFonts w:cstheme="minorHAnsi"/>
          <w:lang w:val="en-US"/>
        </w:rPr>
        <w:t xml:space="preserve"> between time periods or population between time periods. </w:t>
      </w:r>
      <w:r>
        <w:rPr>
          <w:rFonts w:cstheme="minorHAnsi"/>
          <w:lang w:val="en-US"/>
        </w:rPr>
        <w:t xml:space="preserve"> </w:t>
      </w:r>
      <w:r w:rsidR="00D87BBA">
        <w:rPr>
          <w:rFonts w:cstheme="minorHAnsi"/>
          <w:lang w:val="en-US"/>
        </w:rPr>
        <w:t>L</w:t>
      </w:r>
      <w:r w:rsidRPr="005312E0">
        <w:rPr>
          <w:rFonts w:cstheme="minorHAnsi"/>
          <w:lang w:val="en-US"/>
        </w:rPr>
        <w:t>ack of letters</w:t>
      </w:r>
      <w:r w:rsidR="00D87BBA">
        <w:rPr>
          <w:rFonts w:cstheme="minorHAnsi"/>
          <w:lang w:val="en-US"/>
        </w:rPr>
        <w:t xml:space="preserve"> indicates</w:t>
      </w:r>
      <w:r w:rsidRPr="005312E0">
        <w:rPr>
          <w:rFonts w:cstheme="minorHAnsi"/>
          <w:lang w:val="en-US"/>
        </w:rPr>
        <w:t xml:space="preserve"> that no significant differences were</w:t>
      </w:r>
      <w:r>
        <w:rPr>
          <w:rFonts w:cstheme="minorHAnsi"/>
          <w:lang w:val="en-US"/>
        </w:rPr>
        <w:t xml:space="preserve"> </w:t>
      </w:r>
      <w:r w:rsidRPr="005312E0">
        <w:rPr>
          <w:rFonts w:cstheme="minorHAnsi"/>
          <w:lang w:val="en-US"/>
        </w:rPr>
        <w:t>found in the post hoc tests.</w:t>
      </w:r>
    </w:p>
    <w:p w14:paraId="0AC55FF8" w14:textId="5B6EF7A1" w:rsidR="002D0A3B" w:rsidRDefault="002D0A3B" w:rsidP="002D0A3B">
      <w:pPr>
        <w:spacing w:line="480" w:lineRule="auto"/>
        <w:rPr>
          <w:rFonts w:cstheme="minorHAnsi"/>
          <w:lang w:val="en-US"/>
        </w:rPr>
      </w:pPr>
      <w:r>
        <w:rPr>
          <w:rFonts w:cstheme="minorHAnsi"/>
          <w:lang w:val="en-US"/>
        </w:rPr>
        <w:t xml:space="preserve">Figure </w:t>
      </w:r>
      <w:r w:rsidR="0067092D">
        <w:rPr>
          <w:rFonts w:cstheme="minorHAnsi"/>
          <w:lang w:val="en-US"/>
        </w:rPr>
        <w:t>5</w:t>
      </w:r>
      <w:r>
        <w:rPr>
          <w:rFonts w:cstheme="minorHAnsi"/>
          <w:lang w:val="en-US"/>
        </w:rPr>
        <w:t xml:space="preserve">. Correlations between different sets of variables in white-eared ground-sparrow </w:t>
      </w:r>
      <w:proofErr w:type="spellStart"/>
      <w:r w:rsidRPr="00716D57">
        <w:rPr>
          <w:rFonts w:cstheme="minorHAnsi"/>
          <w:i/>
          <w:iCs/>
          <w:lang w:val="en-US"/>
        </w:rPr>
        <w:t>Melozone</w:t>
      </w:r>
      <w:proofErr w:type="spellEnd"/>
      <w:r w:rsidRPr="00716D57">
        <w:rPr>
          <w:rFonts w:cstheme="minorHAnsi"/>
          <w:i/>
          <w:iCs/>
          <w:lang w:val="en-US"/>
        </w:rPr>
        <w:t xml:space="preserve"> </w:t>
      </w:r>
      <w:proofErr w:type="spellStart"/>
      <w:r w:rsidRPr="00716D57">
        <w:rPr>
          <w:rFonts w:cstheme="minorHAnsi"/>
          <w:i/>
          <w:iCs/>
          <w:lang w:val="en-US"/>
        </w:rPr>
        <w:t>leucotis</w:t>
      </w:r>
      <w:proofErr w:type="spellEnd"/>
      <w:r>
        <w:rPr>
          <w:rFonts w:cstheme="minorHAnsi"/>
          <w:i/>
          <w:iCs/>
          <w:lang w:val="en-US"/>
        </w:rPr>
        <w:t>.</w:t>
      </w:r>
      <w:r w:rsidRPr="007F7542">
        <w:rPr>
          <w:rFonts w:cstheme="minorHAnsi"/>
          <w:lang w:val="en-US"/>
        </w:rPr>
        <w:t xml:space="preserve"> (</w:t>
      </w:r>
      <w:r>
        <w:rPr>
          <w:rFonts w:cstheme="minorHAnsi"/>
          <w:lang w:val="en-US"/>
        </w:rPr>
        <w:t>a</w:t>
      </w:r>
      <w:r w:rsidRPr="007F7542">
        <w:rPr>
          <w:rFonts w:cstheme="minorHAnsi"/>
          <w:lang w:val="en-US"/>
        </w:rPr>
        <w:t>)</w:t>
      </w:r>
      <w:r>
        <w:rPr>
          <w:rFonts w:cstheme="minorHAnsi"/>
          <w:lang w:val="en-US"/>
        </w:rPr>
        <w:t xml:space="preserve"> Song and morphology distances, (b) morphology and genetic distances, and (c) song and genetic distances. </w:t>
      </w:r>
      <w:r w:rsidR="00E03D6D">
        <w:rPr>
          <w:rFonts w:cstheme="minorHAnsi"/>
          <w:lang w:val="en-US"/>
        </w:rPr>
        <w:t>R</w:t>
      </w:r>
      <w:r w:rsidRPr="000F433D">
        <w:rPr>
          <w:rFonts w:cstheme="minorHAnsi"/>
          <w:lang w:val="en-US"/>
        </w:rPr>
        <w:t>egression</w:t>
      </w:r>
      <w:r w:rsidR="00E03D6D">
        <w:rPr>
          <w:rFonts w:cstheme="minorHAnsi"/>
          <w:lang w:val="en-US"/>
        </w:rPr>
        <w:t xml:space="preserve"> lines </w:t>
      </w:r>
      <w:r w:rsidRPr="000F433D">
        <w:rPr>
          <w:rFonts w:cstheme="minorHAnsi"/>
          <w:lang w:val="en-US"/>
        </w:rPr>
        <w:t>are</w:t>
      </w:r>
      <w:r>
        <w:rPr>
          <w:rFonts w:cstheme="minorHAnsi"/>
          <w:lang w:val="en-US"/>
        </w:rPr>
        <w:t xml:space="preserve"> </w:t>
      </w:r>
      <w:r w:rsidRPr="000F433D">
        <w:rPr>
          <w:rFonts w:cstheme="minorHAnsi"/>
          <w:lang w:val="en-US"/>
        </w:rPr>
        <w:t>shown, but statistical signiﬁcance was evaluated using Mantel tests.</w:t>
      </w:r>
    </w:p>
    <w:p w14:paraId="45A7183F" w14:textId="77777777" w:rsidR="00667DB2" w:rsidRDefault="00667DB2" w:rsidP="002D0A3B">
      <w:pPr>
        <w:spacing w:line="480" w:lineRule="auto"/>
        <w:rPr>
          <w:rFonts w:cstheme="minorHAnsi"/>
          <w:lang w:val="en-US"/>
        </w:rPr>
      </w:pPr>
    </w:p>
    <w:p w14:paraId="7F0057AA" w14:textId="77777777" w:rsidR="00A77742" w:rsidRPr="005408F9" w:rsidRDefault="00A77742" w:rsidP="00A77742">
      <w:pPr>
        <w:rPr>
          <w:rFonts w:cstheme="minorHAnsi"/>
          <w:lang w:val="en-US"/>
        </w:rPr>
      </w:pPr>
      <w:r w:rsidRPr="005408F9">
        <w:rPr>
          <w:rFonts w:cstheme="minorHAnsi"/>
          <w:lang w:val="en-US"/>
        </w:rPr>
        <w:t>Data Accessibility</w:t>
      </w:r>
    </w:p>
    <w:p w14:paraId="4B300959" w14:textId="77777777" w:rsidR="00A77742" w:rsidRPr="005408F9" w:rsidRDefault="00A77742" w:rsidP="00A77742">
      <w:pPr>
        <w:spacing w:line="480" w:lineRule="auto"/>
        <w:rPr>
          <w:rFonts w:cstheme="minorHAnsi"/>
          <w:lang w:val="en-US"/>
        </w:rPr>
      </w:pPr>
      <w:r w:rsidRPr="005408F9">
        <w:rPr>
          <w:rFonts w:cstheme="minorHAnsi"/>
          <w:lang w:val="en-US"/>
        </w:rPr>
        <w:t>Cueva, L., Fuchs, E. J., Gilbert, B., Madrigal-</w:t>
      </w:r>
      <w:proofErr w:type="spellStart"/>
      <w:r w:rsidRPr="005408F9">
        <w:rPr>
          <w:rFonts w:cstheme="minorHAnsi"/>
          <w:lang w:val="en-US"/>
        </w:rPr>
        <w:t>Brenes</w:t>
      </w:r>
      <w:proofErr w:type="spellEnd"/>
      <w:r w:rsidRPr="005408F9">
        <w:rPr>
          <w:rFonts w:cstheme="minorHAnsi"/>
          <w:lang w:val="en-US"/>
        </w:rPr>
        <w:t xml:space="preserve">, R., &amp; Sandoval, L. (2024). Data from: Effect of spatial and temporal urban isolation on the genetic diversity, acoustic variation, and morphological characteristics of an urban survivor bird species. </w:t>
      </w:r>
      <w:proofErr w:type="spellStart"/>
      <w:r w:rsidRPr="005408F9">
        <w:rPr>
          <w:rFonts w:cstheme="minorHAnsi"/>
          <w:lang w:val="en-US"/>
        </w:rPr>
        <w:t>Zenodo</w:t>
      </w:r>
      <w:proofErr w:type="spellEnd"/>
      <w:r w:rsidRPr="005408F9">
        <w:rPr>
          <w:rFonts w:cstheme="minorHAnsi"/>
          <w:lang w:val="en-US"/>
        </w:rPr>
        <w:t xml:space="preserve">. </w:t>
      </w:r>
      <w:hyperlink r:id="rId9" w:history="1">
        <w:r w:rsidRPr="005408F9">
          <w:rPr>
            <w:rFonts w:cstheme="minorHAnsi"/>
            <w:lang w:val="en-US"/>
          </w:rPr>
          <w:t>https://doi.org/10.5281/zenodo.10472250</w:t>
        </w:r>
      </w:hyperlink>
      <w:r w:rsidRPr="005408F9">
        <w:rPr>
          <w:rFonts w:cstheme="minorHAnsi"/>
          <w:lang w:val="en-US"/>
        </w:rPr>
        <w:t xml:space="preserve"> </w:t>
      </w:r>
    </w:p>
    <w:p w14:paraId="142ADB02" w14:textId="77777777" w:rsidR="00A77742" w:rsidRPr="005408F9" w:rsidRDefault="00A77742" w:rsidP="00A77742">
      <w:pPr>
        <w:rPr>
          <w:rFonts w:cstheme="minorHAnsi"/>
          <w:lang w:val="en-US"/>
        </w:rPr>
      </w:pPr>
    </w:p>
    <w:p w14:paraId="0CE36717" w14:textId="77777777" w:rsidR="00A77742" w:rsidRPr="005408F9" w:rsidRDefault="00A77742" w:rsidP="00A77742">
      <w:pPr>
        <w:rPr>
          <w:rFonts w:cstheme="minorHAnsi"/>
          <w:lang w:val="en-US"/>
        </w:rPr>
      </w:pPr>
      <w:r w:rsidRPr="005408F9">
        <w:rPr>
          <w:rFonts w:cstheme="minorHAnsi"/>
          <w:lang w:val="en-US"/>
        </w:rPr>
        <w:t xml:space="preserve">Competing interests </w:t>
      </w:r>
    </w:p>
    <w:p w14:paraId="0AF682F9" w14:textId="77777777" w:rsidR="00A77742" w:rsidRPr="005408F9" w:rsidRDefault="00A77742" w:rsidP="00A77742">
      <w:pPr>
        <w:rPr>
          <w:rFonts w:cstheme="minorHAnsi"/>
          <w:lang w:val="en-US"/>
        </w:rPr>
      </w:pPr>
      <w:r w:rsidRPr="005408F9">
        <w:rPr>
          <w:rFonts w:cstheme="minorHAnsi"/>
          <w:lang w:val="en-US"/>
        </w:rPr>
        <w:t>The authors declare no competing interests.</w:t>
      </w:r>
    </w:p>
    <w:p w14:paraId="2E0B44FA" w14:textId="77777777" w:rsidR="00A77742" w:rsidRPr="005408F9" w:rsidRDefault="00A77742" w:rsidP="00A77742">
      <w:pPr>
        <w:rPr>
          <w:rFonts w:cstheme="minorHAnsi"/>
          <w:lang w:val="en-US"/>
        </w:rPr>
      </w:pPr>
    </w:p>
    <w:p w14:paraId="0161FF58" w14:textId="77777777" w:rsidR="00A77742" w:rsidRPr="005408F9" w:rsidRDefault="00A77742" w:rsidP="00A77742">
      <w:pPr>
        <w:rPr>
          <w:rFonts w:cstheme="minorHAnsi"/>
          <w:lang w:val="en-US"/>
        </w:rPr>
      </w:pPr>
      <w:r w:rsidRPr="005408F9">
        <w:rPr>
          <w:rFonts w:cstheme="minorHAnsi"/>
          <w:lang w:val="en-US"/>
        </w:rPr>
        <w:t xml:space="preserve">Author Contributions </w:t>
      </w:r>
    </w:p>
    <w:p w14:paraId="278D8240" w14:textId="77777777" w:rsidR="00A77742" w:rsidRPr="005408F9" w:rsidRDefault="00A77742" w:rsidP="00A77742">
      <w:pPr>
        <w:spacing w:line="480" w:lineRule="auto"/>
        <w:rPr>
          <w:rFonts w:cstheme="minorHAnsi"/>
          <w:lang w:val="en-US"/>
        </w:rPr>
      </w:pPr>
      <w:r w:rsidRPr="005408F9">
        <w:rPr>
          <w:rFonts w:cstheme="minorHAnsi"/>
          <w:lang w:val="en-US"/>
        </w:rPr>
        <w:t>L.C., E.J.F., G.B., and L.S. designed the study. L.C. and L.S. collected the samples. L.C. and R.M.-B. performed lab work. L.C., E.J.F. and L.S. performed statistical and genetic analyses. L.C. drafted the manuscript. All authors contributed, completed, and approved the final manuscript.</w:t>
      </w:r>
    </w:p>
    <w:p w14:paraId="7ACA9C53" w14:textId="77777777" w:rsidR="00A77742" w:rsidRPr="005408F9" w:rsidRDefault="00A77742" w:rsidP="00A77742">
      <w:pPr>
        <w:rPr>
          <w:rFonts w:cstheme="minorHAnsi"/>
          <w:lang w:val="en-US"/>
        </w:rPr>
      </w:pPr>
    </w:p>
    <w:p w14:paraId="49DC2801" w14:textId="77777777" w:rsidR="00A77742" w:rsidRPr="005408F9" w:rsidRDefault="00A77742" w:rsidP="00A77742">
      <w:pPr>
        <w:ind w:left="708" w:hanging="708"/>
        <w:rPr>
          <w:rFonts w:cstheme="minorHAnsi"/>
          <w:lang w:val="en-US"/>
        </w:rPr>
      </w:pPr>
      <w:r w:rsidRPr="005408F9">
        <w:rPr>
          <w:rFonts w:cstheme="minorHAnsi"/>
          <w:lang w:val="en-US"/>
        </w:rPr>
        <w:t>Acknowledgements</w:t>
      </w:r>
    </w:p>
    <w:p w14:paraId="16569B86" w14:textId="5C7C9594" w:rsidR="002D0A3B" w:rsidRDefault="00A77742" w:rsidP="005408F9">
      <w:pPr>
        <w:spacing w:line="480" w:lineRule="auto"/>
        <w:rPr>
          <w:rFonts w:cstheme="minorHAnsi"/>
          <w:lang w:val="en-US"/>
        </w:rPr>
      </w:pPr>
      <w:r w:rsidRPr="005408F9">
        <w:rPr>
          <w:rFonts w:cstheme="minorHAnsi"/>
          <w:lang w:val="en-US"/>
        </w:rPr>
        <w:lastRenderedPageBreak/>
        <w:t xml:space="preserve">We thank all </w:t>
      </w:r>
      <w:proofErr w:type="spellStart"/>
      <w:r w:rsidRPr="005408F9">
        <w:rPr>
          <w:rFonts w:cstheme="minorHAnsi"/>
          <w:lang w:val="en-US"/>
        </w:rPr>
        <w:t>Laboratorio</w:t>
      </w:r>
      <w:proofErr w:type="spellEnd"/>
      <w:r w:rsidRPr="005408F9">
        <w:rPr>
          <w:rFonts w:cstheme="minorHAnsi"/>
          <w:lang w:val="en-US"/>
        </w:rPr>
        <w:t xml:space="preserve"> de </w:t>
      </w:r>
      <w:proofErr w:type="spellStart"/>
      <w:r w:rsidRPr="005408F9">
        <w:rPr>
          <w:rFonts w:cstheme="minorHAnsi"/>
          <w:lang w:val="en-US"/>
        </w:rPr>
        <w:t>Ecología</w:t>
      </w:r>
      <w:proofErr w:type="spellEnd"/>
      <w:r w:rsidRPr="005408F9">
        <w:rPr>
          <w:rFonts w:cstheme="minorHAnsi"/>
          <w:lang w:val="en-US"/>
        </w:rPr>
        <w:t xml:space="preserve"> Urbana y </w:t>
      </w:r>
      <w:proofErr w:type="spellStart"/>
      <w:r w:rsidRPr="005408F9">
        <w:rPr>
          <w:rFonts w:cstheme="minorHAnsi"/>
          <w:lang w:val="en-US"/>
        </w:rPr>
        <w:t>Comunicación</w:t>
      </w:r>
      <w:proofErr w:type="spellEnd"/>
      <w:r w:rsidRPr="005408F9">
        <w:rPr>
          <w:rFonts w:cstheme="minorHAnsi"/>
          <w:lang w:val="en-US"/>
        </w:rPr>
        <w:t xml:space="preserve"> Animal (LEUCA) member to collect the historical data of recordings, morphology, and blood samples. We thank Raúl Bartolo for field assistance. We thank Universidad de Costa Rica, </w:t>
      </w:r>
      <w:proofErr w:type="spellStart"/>
      <w:r w:rsidRPr="005408F9">
        <w:rPr>
          <w:rFonts w:cstheme="minorHAnsi"/>
          <w:lang w:val="en-US"/>
        </w:rPr>
        <w:t>Jardín</w:t>
      </w:r>
      <w:proofErr w:type="spellEnd"/>
      <w:r w:rsidRPr="005408F9">
        <w:rPr>
          <w:rFonts w:cstheme="minorHAnsi"/>
          <w:lang w:val="en-US"/>
        </w:rPr>
        <w:t xml:space="preserve"> </w:t>
      </w:r>
      <w:proofErr w:type="spellStart"/>
      <w:r w:rsidRPr="005408F9">
        <w:rPr>
          <w:rFonts w:cstheme="minorHAnsi"/>
          <w:lang w:val="en-US"/>
        </w:rPr>
        <w:t>Botánico</w:t>
      </w:r>
      <w:proofErr w:type="spellEnd"/>
      <w:r w:rsidRPr="005408F9">
        <w:rPr>
          <w:rFonts w:cstheme="minorHAnsi"/>
          <w:lang w:val="en-US"/>
        </w:rPr>
        <w:t xml:space="preserve"> Lankester, and </w:t>
      </w:r>
      <w:proofErr w:type="spellStart"/>
      <w:r w:rsidRPr="005408F9">
        <w:rPr>
          <w:rFonts w:cstheme="minorHAnsi"/>
          <w:lang w:val="en-US"/>
        </w:rPr>
        <w:t>Estación</w:t>
      </w:r>
      <w:proofErr w:type="spellEnd"/>
      <w:r w:rsidRPr="005408F9">
        <w:rPr>
          <w:rFonts w:cstheme="minorHAnsi"/>
          <w:lang w:val="en-US"/>
        </w:rPr>
        <w:t xml:space="preserve"> </w:t>
      </w:r>
      <w:proofErr w:type="spellStart"/>
      <w:r w:rsidRPr="005408F9">
        <w:rPr>
          <w:rFonts w:cstheme="minorHAnsi"/>
          <w:lang w:val="en-US"/>
        </w:rPr>
        <w:t>Biológica</w:t>
      </w:r>
      <w:proofErr w:type="spellEnd"/>
      <w:r w:rsidRPr="005408F9">
        <w:rPr>
          <w:rFonts w:cstheme="minorHAnsi"/>
          <w:lang w:val="en-US"/>
        </w:rPr>
        <w:t xml:space="preserve"> Monteverde for the access to reserves. LS thanks to </w:t>
      </w:r>
      <w:proofErr w:type="spellStart"/>
      <w:r w:rsidRPr="005408F9">
        <w:rPr>
          <w:rFonts w:cstheme="minorHAnsi"/>
          <w:lang w:val="en-US"/>
        </w:rPr>
        <w:t>Vicerrectoría</w:t>
      </w:r>
      <w:proofErr w:type="spellEnd"/>
      <w:r w:rsidRPr="005408F9">
        <w:rPr>
          <w:rFonts w:cstheme="minorHAnsi"/>
          <w:lang w:val="en-US"/>
        </w:rPr>
        <w:t xml:space="preserve"> de </w:t>
      </w:r>
      <w:proofErr w:type="spellStart"/>
      <w:r w:rsidRPr="005408F9">
        <w:rPr>
          <w:rFonts w:cstheme="minorHAnsi"/>
          <w:lang w:val="en-US"/>
        </w:rPr>
        <w:t>Investigación</w:t>
      </w:r>
      <w:proofErr w:type="spellEnd"/>
      <w:r w:rsidRPr="005408F9">
        <w:rPr>
          <w:rFonts w:cstheme="minorHAnsi"/>
          <w:lang w:val="en-US"/>
        </w:rPr>
        <w:t xml:space="preserve"> for the financial support under investigation grant numbers C1085, C2706, C2705, and C3025. </w:t>
      </w:r>
    </w:p>
    <w:sectPr w:rsidR="002D0A3B" w:rsidSect="0070097E">
      <w:footerReference w:type="default" r:id="rId10"/>
      <w:pgSz w:w="11906" w:h="16838"/>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9D38D" w14:textId="77777777" w:rsidR="008D56A0" w:rsidRDefault="008D56A0" w:rsidP="0070097E">
      <w:pPr>
        <w:spacing w:after="0" w:line="240" w:lineRule="auto"/>
      </w:pPr>
      <w:r>
        <w:separator/>
      </w:r>
    </w:p>
  </w:endnote>
  <w:endnote w:type="continuationSeparator" w:id="0">
    <w:p w14:paraId="14C1B32B" w14:textId="77777777" w:rsidR="008D56A0" w:rsidRDefault="008D56A0" w:rsidP="007009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0144142"/>
      <w:docPartObj>
        <w:docPartGallery w:val="Page Numbers (Bottom of Page)"/>
        <w:docPartUnique/>
      </w:docPartObj>
    </w:sdtPr>
    <w:sdtEndPr/>
    <w:sdtContent>
      <w:p w14:paraId="0075503D" w14:textId="16CA7604" w:rsidR="006B21DC" w:rsidRDefault="006B21DC">
        <w:pPr>
          <w:pStyle w:val="Footer"/>
          <w:jc w:val="right"/>
        </w:pPr>
        <w:r>
          <w:fldChar w:fldCharType="begin"/>
        </w:r>
        <w:r>
          <w:instrText>PAGE   \* MERGEFORMAT</w:instrText>
        </w:r>
        <w:r>
          <w:fldChar w:fldCharType="separate"/>
        </w:r>
        <w:r w:rsidR="00356ADA" w:rsidRPr="00356ADA">
          <w:rPr>
            <w:noProof/>
            <w:lang w:val="es-ES"/>
          </w:rPr>
          <w:t>1</w:t>
        </w:r>
        <w:r>
          <w:rPr>
            <w:noProof/>
            <w:lang w:val="es-ES"/>
          </w:rPr>
          <w:fldChar w:fldCharType="end"/>
        </w:r>
      </w:p>
    </w:sdtContent>
  </w:sdt>
  <w:p w14:paraId="2F93F1AD" w14:textId="77777777" w:rsidR="006B21DC" w:rsidRDefault="006B21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429411" w14:textId="77777777" w:rsidR="008D56A0" w:rsidRDefault="008D56A0" w:rsidP="0070097E">
      <w:pPr>
        <w:spacing w:after="0" w:line="240" w:lineRule="auto"/>
      </w:pPr>
      <w:r>
        <w:separator/>
      </w:r>
    </w:p>
  </w:footnote>
  <w:footnote w:type="continuationSeparator" w:id="0">
    <w:p w14:paraId="71E05B5A" w14:textId="77777777" w:rsidR="008D56A0" w:rsidRDefault="008D56A0" w:rsidP="007009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0E242C5"/>
    <w:multiLevelType w:val="hybridMultilevel"/>
    <w:tmpl w:val="BBB210CA"/>
    <w:lvl w:ilvl="0" w:tplc="32D22F3E">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4B5C"/>
    <w:rsid w:val="00001868"/>
    <w:rsid w:val="00003D14"/>
    <w:rsid w:val="000059B4"/>
    <w:rsid w:val="00005FFA"/>
    <w:rsid w:val="00010109"/>
    <w:rsid w:val="00010532"/>
    <w:rsid w:val="00010A49"/>
    <w:rsid w:val="00012071"/>
    <w:rsid w:val="00012D25"/>
    <w:rsid w:val="00013D0F"/>
    <w:rsid w:val="000203A6"/>
    <w:rsid w:val="000206E2"/>
    <w:rsid w:val="00021556"/>
    <w:rsid w:val="000220C6"/>
    <w:rsid w:val="0002283A"/>
    <w:rsid w:val="00023DC2"/>
    <w:rsid w:val="000252F3"/>
    <w:rsid w:val="000266A5"/>
    <w:rsid w:val="00026A36"/>
    <w:rsid w:val="00026D2C"/>
    <w:rsid w:val="00026DE0"/>
    <w:rsid w:val="00027F1A"/>
    <w:rsid w:val="000308A2"/>
    <w:rsid w:val="00030C64"/>
    <w:rsid w:val="00033477"/>
    <w:rsid w:val="00033A8D"/>
    <w:rsid w:val="0003731F"/>
    <w:rsid w:val="0004030A"/>
    <w:rsid w:val="000404A0"/>
    <w:rsid w:val="00041498"/>
    <w:rsid w:val="00043BB8"/>
    <w:rsid w:val="00046543"/>
    <w:rsid w:val="00046617"/>
    <w:rsid w:val="00047E83"/>
    <w:rsid w:val="00050495"/>
    <w:rsid w:val="00050B34"/>
    <w:rsid w:val="00050D4A"/>
    <w:rsid w:val="00052B75"/>
    <w:rsid w:val="00052BDD"/>
    <w:rsid w:val="000540ED"/>
    <w:rsid w:val="00054CA2"/>
    <w:rsid w:val="00056A4F"/>
    <w:rsid w:val="000570CE"/>
    <w:rsid w:val="0005792D"/>
    <w:rsid w:val="000620C9"/>
    <w:rsid w:val="0006246A"/>
    <w:rsid w:val="000627BE"/>
    <w:rsid w:val="00065E9D"/>
    <w:rsid w:val="000660F2"/>
    <w:rsid w:val="00066EA3"/>
    <w:rsid w:val="00071705"/>
    <w:rsid w:val="000725D2"/>
    <w:rsid w:val="00073220"/>
    <w:rsid w:val="000732E0"/>
    <w:rsid w:val="0007593F"/>
    <w:rsid w:val="0007616E"/>
    <w:rsid w:val="00076181"/>
    <w:rsid w:val="00077306"/>
    <w:rsid w:val="00077DB3"/>
    <w:rsid w:val="0008231A"/>
    <w:rsid w:val="00082E21"/>
    <w:rsid w:val="00082F8A"/>
    <w:rsid w:val="0008408D"/>
    <w:rsid w:val="00086290"/>
    <w:rsid w:val="0008776C"/>
    <w:rsid w:val="0009015A"/>
    <w:rsid w:val="00094B03"/>
    <w:rsid w:val="00094FB3"/>
    <w:rsid w:val="00095406"/>
    <w:rsid w:val="00095407"/>
    <w:rsid w:val="000956C0"/>
    <w:rsid w:val="00096919"/>
    <w:rsid w:val="00096AE8"/>
    <w:rsid w:val="0009727B"/>
    <w:rsid w:val="000A07EC"/>
    <w:rsid w:val="000A1B61"/>
    <w:rsid w:val="000A3324"/>
    <w:rsid w:val="000A5546"/>
    <w:rsid w:val="000A5D7E"/>
    <w:rsid w:val="000A60E3"/>
    <w:rsid w:val="000A72A0"/>
    <w:rsid w:val="000A7F9D"/>
    <w:rsid w:val="000B0D72"/>
    <w:rsid w:val="000B436F"/>
    <w:rsid w:val="000B502D"/>
    <w:rsid w:val="000B7700"/>
    <w:rsid w:val="000B7C65"/>
    <w:rsid w:val="000B7EA2"/>
    <w:rsid w:val="000C27C5"/>
    <w:rsid w:val="000C4149"/>
    <w:rsid w:val="000C4DCB"/>
    <w:rsid w:val="000C4EBD"/>
    <w:rsid w:val="000C6A16"/>
    <w:rsid w:val="000C70FB"/>
    <w:rsid w:val="000D22D3"/>
    <w:rsid w:val="000D4A70"/>
    <w:rsid w:val="000D589E"/>
    <w:rsid w:val="000D58DD"/>
    <w:rsid w:val="000D7D6C"/>
    <w:rsid w:val="000E0D6B"/>
    <w:rsid w:val="000E31F5"/>
    <w:rsid w:val="000E5A25"/>
    <w:rsid w:val="000F2A29"/>
    <w:rsid w:val="000F2F8B"/>
    <w:rsid w:val="000F3490"/>
    <w:rsid w:val="000F37C0"/>
    <w:rsid w:val="000F3FD4"/>
    <w:rsid w:val="000F3FDB"/>
    <w:rsid w:val="000F433D"/>
    <w:rsid w:val="000F6C0B"/>
    <w:rsid w:val="000F6FAC"/>
    <w:rsid w:val="001023A5"/>
    <w:rsid w:val="0010466B"/>
    <w:rsid w:val="00111CEC"/>
    <w:rsid w:val="00112D5F"/>
    <w:rsid w:val="00113000"/>
    <w:rsid w:val="00113CDA"/>
    <w:rsid w:val="001147CB"/>
    <w:rsid w:val="001150F5"/>
    <w:rsid w:val="00115278"/>
    <w:rsid w:val="001152D9"/>
    <w:rsid w:val="00116474"/>
    <w:rsid w:val="0011743C"/>
    <w:rsid w:val="00117454"/>
    <w:rsid w:val="001202B6"/>
    <w:rsid w:val="00125345"/>
    <w:rsid w:val="00131A2E"/>
    <w:rsid w:val="00136AC9"/>
    <w:rsid w:val="00137B73"/>
    <w:rsid w:val="001416E8"/>
    <w:rsid w:val="0014627C"/>
    <w:rsid w:val="00150BFE"/>
    <w:rsid w:val="00151FA3"/>
    <w:rsid w:val="00152107"/>
    <w:rsid w:val="001537A9"/>
    <w:rsid w:val="00153B01"/>
    <w:rsid w:val="00154171"/>
    <w:rsid w:val="00154D35"/>
    <w:rsid w:val="00157603"/>
    <w:rsid w:val="00157B1B"/>
    <w:rsid w:val="00160364"/>
    <w:rsid w:val="00161392"/>
    <w:rsid w:val="001630F8"/>
    <w:rsid w:val="00163472"/>
    <w:rsid w:val="001639BB"/>
    <w:rsid w:val="001655D6"/>
    <w:rsid w:val="00170274"/>
    <w:rsid w:val="00170B8F"/>
    <w:rsid w:val="00171683"/>
    <w:rsid w:val="00171C94"/>
    <w:rsid w:val="0017281A"/>
    <w:rsid w:val="00173393"/>
    <w:rsid w:val="00176DC8"/>
    <w:rsid w:val="001804B3"/>
    <w:rsid w:val="00180873"/>
    <w:rsid w:val="0018182C"/>
    <w:rsid w:val="001830F3"/>
    <w:rsid w:val="00183D88"/>
    <w:rsid w:val="00184224"/>
    <w:rsid w:val="001868EE"/>
    <w:rsid w:val="00190788"/>
    <w:rsid w:val="00190A4C"/>
    <w:rsid w:val="0019147A"/>
    <w:rsid w:val="001925CF"/>
    <w:rsid w:val="00193537"/>
    <w:rsid w:val="00195A9E"/>
    <w:rsid w:val="00195ABD"/>
    <w:rsid w:val="001A1AAF"/>
    <w:rsid w:val="001A2E9A"/>
    <w:rsid w:val="001A4B5C"/>
    <w:rsid w:val="001A4DE0"/>
    <w:rsid w:val="001B0A84"/>
    <w:rsid w:val="001B1C10"/>
    <w:rsid w:val="001B1E13"/>
    <w:rsid w:val="001B2761"/>
    <w:rsid w:val="001B3EC3"/>
    <w:rsid w:val="001B4D0A"/>
    <w:rsid w:val="001B66B3"/>
    <w:rsid w:val="001B7B64"/>
    <w:rsid w:val="001C0079"/>
    <w:rsid w:val="001C0EC2"/>
    <w:rsid w:val="001C15AA"/>
    <w:rsid w:val="001C4A20"/>
    <w:rsid w:val="001C5FCD"/>
    <w:rsid w:val="001C63CA"/>
    <w:rsid w:val="001C68E7"/>
    <w:rsid w:val="001C76EF"/>
    <w:rsid w:val="001D043D"/>
    <w:rsid w:val="001D0E49"/>
    <w:rsid w:val="001D1D16"/>
    <w:rsid w:val="001D2365"/>
    <w:rsid w:val="001D4563"/>
    <w:rsid w:val="001D45A5"/>
    <w:rsid w:val="001D4C43"/>
    <w:rsid w:val="001D6021"/>
    <w:rsid w:val="001D6A86"/>
    <w:rsid w:val="001D73BD"/>
    <w:rsid w:val="001D74EE"/>
    <w:rsid w:val="001E0356"/>
    <w:rsid w:val="001E1ACA"/>
    <w:rsid w:val="001E228F"/>
    <w:rsid w:val="001E568B"/>
    <w:rsid w:val="001E77DC"/>
    <w:rsid w:val="001F0046"/>
    <w:rsid w:val="001F0CEB"/>
    <w:rsid w:val="001F12CF"/>
    <w:rsid w:val="001F1381"/>
    <w:rsid w:val="001F505D"/>
    <w:rsid w:val="001F5672"/>
    <w:rsid w:val="001F61AF"/>
    <w:rsid w:val="001F798D"/>
    <w:rsid w:val="002000DD"/>
    <w:rsid w:val="00200541"/>
    <w:rsid w:val="0020257F"/>
    <w:rsid w:val="00202D16"/>
    <w:rsid w:val="00203A9D"/>
    <w:rsid w:val="00204098"/>
    <w:rsid w:val="00205747"/>
    <w:rsid w:val="00205AAA"/>
    <w:rsid w:val="00205C80"/>
    <w:rsid w:val="002103A5"/>
    <w:rsid w:val="002138C0"/>
    <w:rsid w:val="00215410"/>
    <w:rsid w:val="002206EF"/>
    <w:rsid w:val="00224C20"/>
    <w:rsid w:val="002250E9"/>
    <w:rsid w:val="002265EE"/>
    <w:rsid w:val="00226C5D"/>
    <w:rsid w:val="00230165"/>
    <w:rsid w:val="00230A9A"/>
    <w:rsid w:val="00231BF0"/>
    <w:rsid w:val="002321FA"/>
    <w:rsid w:val="00232A4E"/>
    <w:rsid w:val="00233E51"/>
    <w:rsid w:val="00234431"/>
    <w:rsid w:val="00236BE6"/>
    <w:rsid w:val="00237DBF"/>
    <w:rsid w:val="002400FB"/>
    <w:rsid w:val="002408DD"/>
    <w:rsid w:val="002418DD"/>
    <w:rsid w:val="00243BA8"/>
    <w:rsid w:val="002453BC"/>
    <w:rsid w:val="0024696F"/>
    <w:rsid w:val="00247E8E"/>
    <w:rsid w:val="00247EEF"/>
    <w:rsid w:val="00250561"/>
    <w:rsid w:val="00250925"/>
    <w:rsid w:val="00250F5D"/>
    <w:rsid w:val="00251AB2"/>
    <w:rsid w:val="00253C2D"/>
    <w:rsid w:val="00253EEB"/>
    <w:rsid w:val="00254314"/>
    <w:rsid w:val="00254D54"/>
    <w:rsid w:val="002551D9"/>
    <w:rsid w:val="00263A57"/>
    <w:rsid w:val="002671F3"/>
    <w:rsid w:val="00270FD1"/>
    <w:rsid w:val="00273814"/>
    <w:rsid w:val="002739CC"/>
    <w:rsid w:val="00276B25"/>
    <w:rsid w:val="0027781D"/>
    <w:rsid w:val="00277ACE"/>
    <w:rsid w:val="00277FDA"/>
    <w:rsid w:val="0028051B"/>
    <w:rsid w:val="00282D62"/>
    <w:rsid w:val="002844FC"/>
    <w:rsid w:val="00287DE5"/>
    <w:rsid w:val="0029258E"/>
    <w:rsid w:val="002953C7"/>
    <w:rsid w:val="0029591B"/>
    <w:rsid w:val="00296CFC"/>
    <w:rsid w:val="002972BC"/>
    <w:rsid w:val="002A088E"/>
    <w:rsid w:val="002A15DD"/>
    <w:rsid w:val="002A75A7"/>
    <w:rsid w:val="002B0F3F"/>
    <w:rsid w:val="002B1182"/>
    <w:rsid w:val="002B3103"/>
    <w:rsid w:val="002B6581"/>
    <w:rsid w:val="002C13AB"/>
    <w:rsid w:val="002C1F5D"/>
    <w:rsid w:val="002C28ED"/>
    <w:rsid w:val="002C2AA8"/>
    <w:rsid w:val="002D0A3B"/>
    <w:rsid w:val="002D3E9D"/>
    <w:rsid w:val="002D4461"/>
    <w:rsid w:val="002D47A1"/>
    <w:rsid w:val="002D47FD"/>
    <w:rsid w:val="002D591B"/>
    <w:rsid w:val="002D5EA8"/>
    <w:rsid w:val="002E000F"/>
    <w:rsid w:val="002E0227"/>
    <w:rsid w:val="002E0465"/>
    <w:rsid w:val="002E083F"/>
    <w:rsid w:val="002E136C"/>
    <w:rsid w:val="002E1B5B"/>
    <w:rsid w:val="002E1F4B"/>
    <w:rsid w:val="002E2228"/>
    <w:rsid w:val="002E7E56"/>
    <w:rsid w:val="002E7F8F"/>
    <w:rsid w:val="002F20FF"/>
    <w:rsid w:val="002F2319"/>
    <w:rsid w:val="002F2B5C"/>
    <w:rsid w:val="002F3A39"/>
    <w:rsid w:val="002F62B3"/>
    <w:rsid w:val="002F69A8"/>
    <w:rsid w:val="003005B5"/>
    <w:rsid w:val="0030153D"/>
    <w:rsid w:val="00305E27"/>
    <w:rsid w:val="00307E38"/>
    <w:rsid w:val="00310DD7"/>
    <w:rsid w:val="00310EDA"/>
    <w:rsid w:val="00311C15"/>
    <w:rsid w:val="00315954"/>
    <w:rsid w:val="00316FA8"/>
    <w:rsid w:val="0031721F"/>
    <w:rsid w:val="00317ABF"/>
    <w:rsid w:val="0032073C"/>
    <w:rsid w:val="003211AC"/>
    <w:rsid w:val="00321271"/>
    <w:rsid w:val="00321CF0"/>
    <w:rsid w:val="0032281D"/>
    <w:rsid w:val="0032337F"/>
    <w:rsid w:val="00324149"/>
    <w:rsid w:val="00325F32"/>
    <w:rsid w:val="00326508"/>
    <w:rsid w:val="00326730"/>
    <w:rsid w:val="00327EB1"/>
    <w:rsid w:val="0033337B"/>
    <w:rsid w:val="003335B5"/>
    <w:rsid w:val="00333BBE"/>
    <w:rsid w:val="00335338"/>
    <w:rsid w:val="003355C6"/>
    <w:rsid w:val="00335980"/>
    <w:rsid w:val="00340AD8"/>
    <w:rsid w:val="003413AF"/>
    <w:rsid w:val="00341C70"/>
    <w:rsid w:val="003511B1"/>
    <w:rsid w:val="003527D1"/>
    <w:rsid w:val="00352E46"/>
    <w:rsid w:val="003532ED"/>
    <w:rsid w:val="003552E1"/>
    <w:rsid w:val="00356ADA"/>
    <w:rsid w:val="00356CE4"/>
    <w:rsid w:val="00356DFE"/>
    <w:rsid w:val="00357ABD"/>
    <w:rsid w:val="00357FEE"/>
    <w:rsid w:val="00362F06"/>
    <w:rsid w:val="003639D4"/>
    <w:rsid w:val="003644C1"/>
    <w:rsid w:val="0036507C"/>
    <w:rsid w:val="00366610"/>
    <w:rsid w:val="00366D31"/>
    <w:rsid w:val="0037277D"/>
    <w:rsid w:val="00372E3C"/>
    <w:rsid w:val="00373288"/>
    <w:rsid w:val="003745DF"/>
    <w:rsid w:val="00375832"/>
    <w:rsid w:val="003764EC"/>
    <w:rsid w:val="00382342"/>
    <w:rsid w:val="003839F1"/>
    <w:rsid w:val="0038443E"/>
    <w:rsid w:val="00385E8E"/>
    <w:rsid w:val="0038755F"/>
    <w:rsid w:val="00387F69"/>
    <w:rsid w:val="0039015C"/>
    <w:rsid w:val="00390CE0"/>
    <w:rsid w:val="00394D25"/>
    <w:rsid w:val="00397843"/>
    <w:rsid w:val="003A169A"/>
    <w:rsid w:val="003A2E32"/>
    <w:rsid w:val="003A41A4"/>
    <w:rsid w:val="003A4A93"/>
    <w:rsid w:val="003A54F3"/>
    <w:rsid w:val="003A5517"/>
    <w:rsid w:val="003A7122"/>
    <w:rsid w:val="003A7A72"/>
    <w:rsid w:val="003B318A"/>
    <w:rsid w:val="003B5527"/>
    <w:rsid w:val="003C02E7"/>
    <w:rsid w:val="003C1154"/>
    <w:rsid w:val="003C1D5B"/>
    <w:rsid w:val="003C2DB8"/>
    <w:rsid w:val="003C3950"/>
    <w:rsid w:val="003C436D"/>
    <w:rsid w:val="003C70BC"/>
    <w:rsid w:val="003D17A2"/>
    <w:rsid w:val="003D5A8C"/>
    <w:rsid w:val="003D6C8A"/>
    <w:rsid w:val="003D6F74"/>
    <w:rsid w:val="003E0DFA"/>
    <w:rsid w:val="003E17D3"/>
    <w:rsid w:val="003E210F"/>
    <w:rsid w:val="003E51F7"/>
    <w:rsid w:val="003E584C"/>
    <w:rsid w:val="003E6C93"/>
    <w:rsid w:val="003E6F79"/>
    <w:rsid w:val="003E6F8C"/>
    <w:rsid w:val="003E7E70"/>
    <w:rsid w:val="003F0FB0"/>
    <w:rsid w:val="003F4E4B"/>
    <w:rsid w:val="003F6E61"/>
    <w:rsid w:val="003F7348"/>
    <w:rsid w:val="003F7D11"/>
    <w:rsid w:val="0040034B"/>
    <w:rsid w:val="00400ED5"/>
    <w:rsid w:val="004015D6"/>
    <w:rsid w:val="00403725"/>
    <w:rsid w:val="00403CFA"/>
    <w:rsid w:val="00405D58"/>
    <w:rsid w:val="00406746"/>
    <w:rsid w:val="00410716"/>
    <w:rsid w:val="004115D3"/>
    <w:rsid w:val="00415200"/>
    <w:rsid w:val="004155B5"/>
    <w:rsid w:val="004158DD"/>
    <w:rsid w:val="00420792"/>
    <w:rsid w:val="00421AD2"/>
    <w:rsid w:val="00421D07"/>
    <w:rsid w:val="004223A5"/>
    <w:rsid w:val="004224BB"/>
    <w:rsid w:val="00422B8B"/>
    <w:rsid w:val="00424F89"/>
    <w:rsid w:val="00427698"/>
    <w:rsid w:val="00432D4C"/>
    <w:rsid w:val="00433792"/>
    <w:rsid w:val="00433E4B"/>
    <w:rsid w:val="00434ED2"/>
    <w:rsid w:val="00434FC2"/>
    <w:rsid w:val="0043515A"/>
    <w:rsid w:val="00435210"/>
    <w:rsid w:val="00440F9F"/>
    <w:rsid w:val="004413F8"/>
    <w:rsid w:val="004449F7"/>
    <w:rsid w:val="00445D0F"/>
    <w:rsid w:val="0044633C"/>
    <w:rsid w:val="0044673B"/>
    <w:rsid w:val="00447538"/>
    <w:rsid w:val="00447869"/>
    <w:rsid w:val="00447904"/>
    <w:rsid w:val="00451DBB"/>
    <w:rsid w:val="004521D3"/>
    <w:rsid w:val="004521E1"/>
    <w:rsid w:val="004526C7"/>
    <w:rsid w:val="004535EC"/>
    <w:rsid w:val="00456186"/>
    <w:rsid w:val="00456481"/>
    <w:rsid w:val="00460C5F"/>
    <w:rsid w:val="004616FF"/>
    <w:rsid w:val="004626B7"/>
    <w:rsid w:val="00463342"/>
    <w:rsid w:val="0046402D"/>
    <w:rsid w:val="00464050"/>
    <w:rsid w:val="00465008"/>
    <w:rsid w:val="00466ABD"/>
    <w:rsid w:val="00470B81"/>
    <w:rsid w:val="004725B5"/>
    <w:rsid w:val="00472F7A"/>
    <w:rsid w:val="00473168"/>
    <w:rsid w:val="00474653"/>
    <w:rsid w:val="0047477F"/>
    <w:rsid w:val="004756AC"/>
    <w:rsid w:val="00477842"/>
    <w:rsid w:val="00477B04"/>
    <w:rsid w:val="00477B17"/>
    <w:rsid w:val="00480C0A"/>
    <w:rsid w:val="0048124D"/>
    <w:rsid w:val="00482C6C"/>
    <w:rsid w:val="00483114"/>
    <w:rsid w:val="004833D8"/>
    <w:rsid w:val="00483797"/>
    <w:rsid w:val="00484003"/>
    <w:rsid w:val="00485C99"/>
    <w:rsid w:val="00485E3C"/>
    <w:rsid w:val="00490F74"/>
    <w:rsid w:val="004938C2"/>
    <w:rsid w:val="00493C4B"/>
    <w:rsid w:val="004954DF"/>
    <w:rsid w:val="004A1486"/>
    <w:rsid w:val="004A19D4"/>
    <w:rsid w:val="004A215C"/>
    <w:rsid w:val="004A2C86"/>
    <w:rsid w:val="004A305E"/>
    <w:rsid w:val="004A3291"/>
    <w:rsid w:val="004A374B"/>
    <w:rsid w:val="004A3B2A"/>
    <w:rsid w:val="004A5662"/>
    <w:rsid w:val="004A6938"/>
    <w:rsid w:val="004B3B19"/>
    <w:rsid w:val="004C286A"/>
    <w:rsid w:val="004C2E21"/>
    <w:rsid w:val="004C4593"/>
    <w:rsid w:val="004C4D21"/>
    <w:rsid w:val="004C53FE"/>
    <w:rsid w:val="004C77B5"/>
    <w:rsid w:val="004D339D"/>
    <w:rsid w:val="004D3F4E"/>
    <w:rsid w:val="004D7FF9"/>
    <w:rsid w:val="004E04D6"/>
    <w:rsid w:val="004E1F2E"/>
    <w:rsid w:val="004E259D"/>
    <w:rsid w:val="004E2ADE"/>
    <w:rsid w:val="004E40B5"/>
    <w:rsid w:val="004E58B1"/>
    <w:rsid w:val="004E757E"/>
    <w:rsid w:val="004F1467"/>
    <w:rsid w:val="004F28B5"/>
    <w:rsid w:val="004F344D"/>
    <w:rsid w:val="004F3536"/>
    <w:rsid w:val="004F3ECF"/>
    <w:rsid w:val="005049FF"/>
    <w:rsid w:val="00507C5C"/>
    <w:rsid w:val="005100E9"/>
    <w:rsid w:val="00510C1A"/>
    <w:rsid w:val="00510EA8"/>
    <w:rsid w:val="005117F3"/>
    <w:rsid w:val="00511ED2"/>
    <w:rsid w:val="00511FFE"/>
    <w:rsid w:val="00512E2A"/>
    <w:rsid w:val="005147B7"/>
    <w:rsid w:val="00515E32"/>
    <w:rsid w:val="005171B4"/>
    <w:rsid w:val="00521152"/>
    <w:rsid w:val="00523DDB"/>
    <w:rsid w:val="00525030"/>
    <w:rsid w:val="00525446"/>
    <w:rsid w:val="005254E5"/>
    <w:rsid w:val="005256C6"/>
    <w:rsid w:val="00526539"/>
    <w:rsid w:val="00526D88"/>
    <w:rsid w:val="00527F36"/>
    <w:rsid w:val="00530711"/>
    <w:rsid w:val="005312E0"/>
    <w:rsid w:val="00531B7C"/>
    <w:rsid w:val="00532C71"/>
    <w:rsid w:val="00537C95"/>
    <w:rsid w:val="0054022A"/>
    <w:rsid w:val="0054058F"/>
    <w:rsid w:val="005408F9"/>
    <w:rsid w:val="00541DF5"/>
    <w:rsid w:val="0054372E"/>
    <w:rsid w:val="00543991"/>
    <w:rsid w:val="00544175"/>
    <w:rsid w:val="00544249"/>
    <w:rsid w:val="00545D76"/>
    <w:rsid w:val="00546861"/>
    <w:rsid w:val="00547BDF"/>
    <w:rsid w:val="00551649"/>
    <w:rsid w:val="0055186F"/>
    <w:rsid w:val="00551E9B"/>
    <w:rsid w:val="005566AA"/>
    <w:rsid w:val="00557E28"/>
    <w:rsid w:val="00561918"/>
    <w:rsid w:val="00562A6A"/>
    <w:rsid w:val="005630DE"/>
    <w:rsid w:val="00563668"/>
    <w:rsid w:val="0056380E"/>
    <w:rsid w:val="005643DA"/>
    <w:rsid w:val="00565389"/>
    <w:rsid w:val="00566711"/>
    <w:rsid w:val="00566AC6"/>
    <w:rsid w:val="0056706A"/>
    <w:rsid w:val="005707E0"/>
    <w:rsid w:val="00570CAF"/>
    <w:rsid w:val="00574013"/>
    <w:rsid w:val="005759DF"/>
    <w:rsid w:val="00581174"/>
    <w:rsid w:val="005812CC"/>
    <w:rsid w:val="005831DC"/>
    <w:rsid w:val="005835A6"/>
    <w:rsid w:val="005838C6"/>
    <w:rsid w:val="005846F9"/>
    <w:rsid w:val="00585223"/>
    <w:rsid w:val="00586840"/>
    <w:rsid w:val="00586F62"/>
    <w:rsid w:val="00587A77"/>
    <w:rsid w:val="00590D7B"/>
    <w:rsid w:val="00592D01"/>
    <w:rsid w:val="00594BDB"/>
    <w:rsid w:val="005951CC"/>
    <w:rsid w:val="005961A1"/>
    <w:rsid w:val="00596284"/>
    <w:rsid w:val="00597266"/>
    <w:rsid w:val="005A00F8"/>
    <w:rsid w:val="005A0A93"/>
    <w:rsid w:val="005A23C8"/>
    <w:rsid w:val="005A2615"/>
    <w:rsid w:val="005B1B27"/>
    <w:rsid w:val="005B5D4A"/>
    <w:rsid w:val="005B7970"/>
    <w:rsid w:val="005C1A46"/>
    <w:rsid w:val="005C1D42"/>
    <w:rsid w:val="005C4B98"/>
    <w:rsid w:val="005C519A"/>
    <w:rsid w:val="005C6559"/>
    <w:rsid w:val="005C6AB8"/>
    <w:rsid w:val="005C748B"/>
    <w:rsid w:val="005D0472"/>
    <w:rsid w:val="005D05F9"/>
    <w:rsid w:val="005D2DEF"/>
    <w:rsid w:val="005D38C4"/>
    <w:rsid w:val="005D58A1"/>
    <w:rsid w:val="005D6459"/>
    <w:rsid w:val="005D65C6"/>
    <w:rsid w:val="005D6FF6"/>
    <w:rsid w:val="005D7A5C"/>
    <w:rsid w:val="005E02BF"/>
    <w:rsid w:val="005E07F6"/>
    <w:rsid w:val="005E1082"/>
    <w:rsid w:val="005E11CE"/>
    <w:rsid w:val="005E2A2C"/>
    <w:rsid w:val="005E4187"/>
    <w:rsid w:val="005E4860"/>
    <w:rsid w:val="005E5546"/>
    <w:rsid w:val="005E5E12"/>
    <w:rsid w:val="005E6889"/>
    <w:rsid w:val="005E6949"/>
    <w:rsid w:val="005E7200"/>
    <w:rsid w:val="005F007D"/>
    <w:rsid w:val="005F0F76"/>
    <w:rsid w:val="005F12EE"/>
    <w:rsid w:val="005F24BA"/>
    <w:rsid w:val="005F4609"/>
    <w:rsid w:val="005F4A45"/>
    <w:rsid w:val="005F4B8E"/>
    <w:rsid w:val="005F6173"/>
    <w:rsid w:val="005F7E21"/>
    <w:rsid w:val="00600D70"/>
    <w:rsid w:val="00601BDE"/>
    <w:rsid w:val="006038C6"/>
    <w:rsid w:val="006067F1"/>
    <w:rsid w:val="0061077A"/>
    <w:rsid w:val="00610AFE"/>
    <w:rsid w:val="006113F8"/>
    <w:rsid w:val="00613DE3"/>
    <w:rsid w:val="00613F16"/>
    <w:rsid w:val="00613FAE"/>
    <w:rsid w:val="0061768D"/>
    <w:rsid w:val="00620445"/>
    <w:rsid w:val="0062059A"/>
    <w:rsid w:val="0062248E"/>
    <w:rsid w:val="00623AD9"/>
    <w:rsid w:val="00623F46"/>
    <w:rsid w:val="006256C0"/>
    <w:rsid w:val="00626826"/>
    <w:rsid w:val="00627DF8"/>
    <w:rsid w:val="0063125C"/>
    <w:rsid w:val="00632FAB"/>
    <w:rsid w:val="00637080"/>
    <w:rsid w:val="00641D48"/>
    <w:rsid w:val="00642278"/>
    <w:rsid w:val="00642625"/>
    <w:rsid w:val="00643A37"/>
    <w:rsid w:val="0064413D"/>
    <w:rsid w:val="00644676"/>
    <w:rsid w:val="00647769"/>
    <w:rsid w:val="006477B8"/>
    <w:rsid w:val="00651A2C"/>
    <w:rsid w:val="00651C5A"/>
    <w:rsid w:val="00651C94"/>
    <w:rsid w:val="00655387"/>
    <w:rsid w:val="006554C2"/>
    <w:rsid w:val="006564DF"/>
    <w:rsid w:val="00656899"/>
    <w:rsid w:val="00656B51"/>
    <w:rsid w:val="00656E13"/>
    <w:rsid w:val="006602FF"/>
    <w:rsid w:val="006610F7"/>
    <w:rsid w:val="006626F6"/>
    <w:rsid w:val="00662984"/>
    <w:rsid w:val="00664C89"/>
    <w:rsid w:val="00665D78"/>
    <w:rsid w:val="00666C34"/>
    <w:rsid w:val="00667DB2"/>
    <w:rsid w:val="0067092D"/>
    <w:rsid w:val="00671FA5"/>
    <w:rsid w:val="00672274"/>
    <w:rsid w:val="0067439C"/>
    <w:rsid w:val="006749E9"/>
    <w:rsid w:val="0067597E"/>
    <w:rsid w:val="00675F8D"/>
    <w:rsid w:val="0067653C"/>
    <w:rsid w:val="00681AEE"/>
    <w:rsid w:val="00682C8F"/>
    <w:rsid w:val="00685381"/>
    <w:rsid w:val="00692671"/>
    <w:rsid w:val="006928CE"/>
    <w:rsid w:val="00695062"/>
    <w:rsid w:val="00695988"/>
    <w:rsid w:val="00696F7B"/>
    <w:rsid w:val="006979FA"/>
    <w:rsid w:val="006A0531"/>
    <w:rsid w:val="006A1E38"/>
    <w:rsid w:val="006A4C67"/>
    <w:rsid w:val="006B19E3"/>
    <w:rsid w:val="006B21DC"/>
    <w:rsid w:val="006B22B9"/>
    <w:rsid w:val="006B286E"/>
    <w:rsid w:val="006B2EA1"/>
    <w:rsid w:val="006B7BD7"/>
    <w:rsid w:val="006C21E5"/>
    <w:rsid w:val="006C431E"/>
    <w:rsid w:val="006C62B7"/>
    <w:rsid w:val="006D488D"/>
    <w:rsid w:val="006D492F"/>
    <w:rsid w:val="006D4DA4"/>
    <w:rsid w:val="006D521E"/>
    <w:rsid w:val="006D7158"/>
    <w:rsid w:val="006E0AC0"/>
    <w:rsid w:val="006E23AD"/>
    <w:rsid w:val="006E6ADF"/>
    <w:rsid w:val="006E6EAF"/>
    <w:rsid w:val="006E6FAD"/>
    <w:rsid w:val="006E732A"/>
    <w:rsid w:val="006E7C21"/>
    <w:rsid w:val="006F07D8"/>
    <w:rsid w:val="006F1B4F"/>
    <w:rsid w:val="006F1DDE"/>
    <w:rsid w:val="006F2BB9"/>
    <w:rsid w:val="006F2D92"/>
    <w:rsid w:val="006F308C"/>
    <w:rsid w:val="006F3759"/>
    <w:rsid w:val="006F4C02"/>
    <w:rsid w:val="006F4EE0"/>
    <w:rsid w:val="006F5262"/>
    <w:rsid w:val="006F54EA"/>
    <w:rsid w:val="006F722C"/>
    <w:rsid w:val="006F7280"/>
    <w:rsid w:val="0070020E"/>
    <w:rsid w:val="00700862"/>
    <w:rsid w:val="0070097E"/>
    <w:rsid w:val="00701F7C"/>
    <w:rsid w:val="00712A0A"/>
    <w:rsid w:val="007143F3"/>
    <w:rsid w:val="00714B8D"/>
    <w:rsid w:val="0071608C"/>
    <w:rsid w:val="0071663B"/>
    <w:rsid w:val="00716D57"/>
    <w:rsid w:val="00721456"/>
    <w:rsid w:val="00721529"/>
    <w:rsid w:val="00723649"/>
    <w:rsid w:val="00723D7B"/>
    <w:rsid w:val="00724FF6"/>
    <w:rsid w:val="007260BE"/>
    <w:rsid w:val="00727CD8"/>
    <w:rsid w:val="00730D6D"/>
    <w:rsid w:val="00730F94"/>
    <w:rsid w:val="00733178"/>
    <w:rsid w:val="007344F6"/>
    <w:rsid w:val="00735059"/>
    <w:rsid w:val="0073669E"/>
    <w:rsid w:val="00741C72"/>
    <w:rsid w:val="00741DC5"/>
    <w:rsid w:val="00741F94"/>
    <w:rsid w:val="00742CE0"/>
    <w:rsid w:val="00745272"/>
    <w:rsid w:val="00746B93"/>
    <w:rsid w:val="007500E5"/>
    <w:rsid w:val="00753687"/>
    <w:rsid w:val="00754226"/>
    <w:rsid w:val="00754FD8"/>
    <w:rsid w:val="007557F9"/>
    <w:rsid w:val="00755B90"/>
    <w:rsid w:val="007579F7"/>
    <w:rsid w:val="00760277"/>
    <w:rsid w:val="007602D4"/>
    <w:rsid w:val="007604A8"/>
    <w:rsid w:val="00762914"/>
    <w:rsid w:val="00765389"/>
    <w:rsid w:val="00765B2B"/>
    <w:rsid w:val="007671B7"/>
    <w:rsid w:val="007704A9"/>
    <w:rsid w:val="007706A1"/>
    <w:rsid w:val="007718B8"/>
    <w:rsid w:val="00771F69"/>
    <w:rsid w:val="00772B5E"/>
    <w:rsid w:val="0077383B"/>
    <w:rsid w:val="00777049"/>
    <w:rsid w:val="00777554"/>
    <w:rsid w:val="00777F1D"/>
    <w:rsid w:val="00780573"/>
    <w:rsid w:val="007806AF"/>
    <w:rsid w:val="0078071E"/>
    <w:rsid w:val="0078137D"/>
    <w:rsid w:val="00781B1E"/>
    <w:rsid w:val="00782A24"/>
    <w:rsid w:val="00784A7F"/>
    <w:rsid w:val="00786E3D"/>
    <w:rsid w:val="00787E5E"/>
    <w:rsid w:val="00790BD2"/>
    <w:rsid w:val="00791948"/>
    <w:rsid w:val="00792755"/>
    <w:rsid w:val="00792B10"/>
    <w:rsid w:val="007932F7"/>
    <w:rsid w:val="00794FC8"/>
    <w:rsid w:val="00795430"/>
    <w:rsid w:val="00795FC8"/>
    <w:rsid w:val="00796521"/>
    <w:rsid w:val="007965C3"/>
    <w:rsid w:val="00797EC7"/>
    <w:rsid w:val="007A0940"/>
    <w:rsid w:val="007A27BE"/>
    <w:rsid w:val="007A2B27"/>
    <w:rsid w:val="007A2F22"/>
    <w:rsid w:val="007A567F"/>
    <w:rsid w:val="007A5EAF"/>
    <w:rsid w:val="007A7E72"/>
    <w:rsid w:val="007B056D"/>
    <w:rsid w:val="007B4BB3"/>
    <w:rsid w:val="007B57FF"/>
    <w:rsid w:val="007B5983"/>
    <w:rsid w:val="007B5AD3"/>
    <w:rsid w:val="007B679A"/>
    <w:rsid w:val="007C2FAA"/>
    <w:rsid w:val="007C54BB"/>
    <w:rsid w:val="007C5ECB"/>
    <w:rsid w:val="007D0385"/>
    <w:rsid w:val="007D129F"/>
    <w:rsid w:val="007D1BAC"/>
    <w:rsid w:val="007D23C7"/>
    <w:rsid w:val="007D29FB"/>
    <w:rsid w:val="007D2EBE"/>
    <w:rsid w:val="007D3590"/>
    <w:rsid w:val="007D5A94"/>
    <w:rsid w:val="007D75F8"/>
    <w:rsid w:val="007E01A5"/>
    <w:rsid w:val="007E01E1"/>
    <w:rsid w:val="007E3A0D"/>
    <w:rsid w:val="007E47B6"/>
    <w:rsid w:val="007E5B80"/>
    <w:rsid w:val="007E6B2D"/>
    <w:rsid w:val="007E79BB"/>
    <w:rsid w:val="007F21A1"/>
    <w:rsid w:val="007F2653"/>
    <w:rsid w:val="007F368C"/>
    <w:rsid w:val="007F3A38"/>
    <w:rsid w:val="007F3AF0"/>
    <w:rsid w:val="007F3E3A"/>
    <w:rsid w:val="007F5EF1"/>
    <w:rsid w:val="007F67D3"/>
    <w:rsid w:val="007F7542"/>
    <w:rsid w:val="008003D8"/>
    <w:rsid w:val="00801D22"/>
    <w:rsid w:val="0080398E"/>
    <w:rsid w:val="00803CE3"/>
    <w:rsid w:val="00805140"/>
    <w:rsid w:val="00805C39"/>
    <w:rsid w:val="0080679E"/>
    <w:rsid w:val="00806BA8"/>
    <w:rsid w:val="00807485"/>
    <w:rsid w:val="00810257"/>
    <w:rsid w:val="008112B3"/>
    <w:rsid w:val="0081404B"/>
    <w:rsid w:val="008147F1"/>
    <w:rsid w:val="00815293"/>
    <w:rsid w:val="00816A84"/>
    <w:rsid w:val="00817254"/>
    <w:rsid w:val="00817537"/>
    <w:rsid w:val="00820909"/>
    <w:rsid w:val="008211D3"/>
    <w:rsid w:val="0082180F"/>
    <w:rsid w:val="00822F1A"/>
    <w:rsid w:val="008235EF"/>
    <w:rsid w:val="00823652"/>
    <w:rsid w:val="008255D1"/>
    <w:rsid w:val="0082600B"/>
    <w:rsid w:val="008265EF"/>
    <w:rsid w:val="00826C6B"/>
    <w:rsid w:val="008275D6"/>
    <w:rsid w:val="00830911"/>
    <w:rsid w:val="00830F69"/>
    <w:rsid w:val="008369C2"/>
    <w:rsid w:val="008373E4"/>
    <w:rsid w:val="00844A30"/>
    <w:rsid w:val="0084575A"/>
    <w:rsid w:val="0084578B"/>
    <w:rsid w:val="00851FB2"/>
    <w:rsid w:val="00852511"/>
    <w:rsid w:val="00852F43"/>
    <w:rsid w:val="00853D70"/>
    <w:rsid w:val="00853F05"/>
    <w:rsid w:val="00855C36"/>
    <w:rsid w:val="008563B6"/>
    <w:rsid w:val="008579CE"/>
    <w:rsid w:val="0086091C"/>
    <w:rsid w:val="00863B5C"/>
    <w:rsid w:val="00863F3A"/>
    <w:rsid w:val="00865691"/>
    <w:rsid w:val="00865F11"/>
    <w:rsid w:val="008668F5"/>
    <w:rsid w:val="0087037F"/>
    <w:rsid w:val="008709C5"/>
    <w:rsid w:val="008709EF"/>
    <w:rsid w:val="00871927"/>
    <w:rsid w:val="00871E8F"/>
    <w:rsid w:val="00872736"/>
    <w:rsid w:val="00873FB6"/>
    <w:rsid w:val="0087569E"/>
    <w:rsid w:val="008769FD"/>
    <w:rsid w:val="00877A54"/>
    <w:rsid w:val="0088127A"/>
    <w:rsid w:val="00881E60"/>
    <w:rsid w:val="0088205E"/>
    <w:rsid w:val="00884BA2"/>
    <w:rsid w:val="0088708E"/>
    <w:rsid w:val="0088717B"/>
    <w:rsid w:val="00887249"/>
    <w:rsid w:val="00890BA0"/>
    <w:rsid w:val="00892599"/>
    <w:rsid w:val="008927B7"/>
    <w:rsid w:val="00894904"/>
    <w:rsid w:val="0089523B"/>
    <w:rsid w:val="00896D5B"/>
    <w:rsid w:val="008978D9"/>
    <w:rsid w:val="008A100B"/>
    <w:rsid w:val="008A4BC4"/>
    <w:rsid w:val="008A4EE0"/>
    <w:rsid w:val="008A5765"/>
    <w:rsid w:val="008A5961"/>
    <w:rsid w:val="008A6494"/>
    <w:rsid w:val="008A6B78"/>
    <w:rsid w:val="008A7DFB"/>
    <w:rsid w:val="008B0C18"/>
    <w:rsid w:val="008B315B"/>
    <w:rsid w:val="008B5E3D"/>
    <w:rsid w:val="008C117F"/>
    <w:rsid w:val="008C144B"/>
    <w:rsid w:val="008C495C"/>
    <w:rsid w:val="008D0078"/>
    <w:rsid w:val="008D45A2"/>
    <w:rsid w:val="008D52EE"/>
    <w:rsid w:val="008D56A0"/>
    <w:rsid w:val="008D6DA7"/>
    <w:rsid w:val="008D72E6"/>
    <w:rsid w:val="008D7820"/>
    <w:rsid w:val="008E37DC"/>
    <w:rsid w:val="008E384C"/>
    <w:rsid w:val="008E476A"/>
    <w:rsid w:val="008E4E0F"/>
    <w:rsid w:val="008E659B"/>
    <w:rsid w:val="008E670E"/>
    <w:rsid w:val="008F29F4"/>
    <w:rsid w:val="008F2C34"/>
    <w:rsid w:val="008F3424"/>
    <w:rsid w:val="008F3AD7"/>
    <w:rsid w:val="008F3E07"/>
    <w:rsid w:val="008F42C4"/>
    <w:rsid w:val="00900CE9"/>
    <w:rsid w:val="00903953"/>
    <w:rsid w:val="00903960"/>
    <w:rsid w:val="00907B29"/>
    <w:rsid w:val="00910A68"/>
    <w:rsid w:val="00911B0F"/>
    <w:rsid w:val="00912BF4"/>
    <w:rsid w:val="00912ED3"/>
    <w:rsid w:val="00913604"/>
    <w:rsid w:val="0091521D"/>
    <w:rsid w:val="00917DB6"/>
    <w:rsid w:val="00920071"/>
    <w:rsid w:val="009203FB"/>
    <w:rsid w:val="009240AD"/>
    <w:rsid w:val="0092696F"/>
    <w:rsid w:val="0092757F"/>
    <w:rsid w:val="009276F9"/>
    <w:rsid w:val="009279A3"/>
    <w:rsid w:val="00930ED1"/>
    <w:rsid w:val="009314AF"/>
    <w:rsid w:val="009323A8"/>
    <w:rsid w:val="009331AA"/>
    <w:rsid w:val="009357AA"/>
    <w:rsid w:val="00937BB9"/>
    <w:rsid w:val="0094360A"/>
    <w:rsid w:val="009438AF"/>
    <w:rsid w:val="00945906"/>
    <w:rsid w:val="00946113"/>
    <w:rsid w:val="00946326"/>
    <w:rsid w:val="00946AFD"/>
    <w:rsid w:val="00950E3D"/>
    <w:rsid w:val="00951F3B"/>
    <w:rsid w:val="00954987"/>
    <w:rsid w:val="009558FA"/>
    <w:rsid w:val="00960612"/>
    <w:rsid w:val="00961832"/>
    <w:rsid w:val="009623DB"/>
    <w:rsid w:val="009639AD"/>
    <w:rsid w:val="00970AFE"/>
    <w:rsid w:val="0097109C"/>
    <w:rsid w:val="009714B0"/>
    <w:rsid w:val="00972530"/>
    <w:rsid w:val="00972675"/>
    <w:rsid w:val="00973100"/>
    <w:rsid w:val="0097446B"/>
    <w:rsid w:val="00975E3E"/>
    <w:rsid w:val="00975F43"/>
    <w:rsid w:val="00976AA8"/>
    <w:rsid w:val="00980646"/>
    <w:rsid w:val="00980654"/>
    <w:rsid w:val="0098165E"/>
    <w:rsid w:val="00981E5D"/>
    <w:rsid w:val="00982FA4"/>
    <w:rsid w:val="00982FCF"/>
    <w:rsid w:val="009837CE"/>
    <w:rsid w:val="00983B02"/>
    <w:rsid w:val="00985AAF"/>
    <w:rsid w:val="009907A1"/>
    <w:rsid w:val="00992666"/>
    <w:rsid w:val="00993951"/>
    <w:rsid w:val="00994C95"/>
    <w:rsid w:val="00995526"/>
    <w:rsid w:val="00997A15"/>
    <w:rsid w:val="009A0061"/>
    <w:rsid w:val="009A0861"/>
    <w:rsid w:val="009A30C1"/>
    <w:rsid w:val="009A7A2D"/>
    <w:rsid w:val="009B15EC"/>
    <w:rsid w:val="009B1C96"/>
    <w:rsid w:val="009B283D"/>
    <w:rsid w:val="009B50ED"/>
    <w:rsid w:val="009B694E"/>
    <w:rsid w:val="009C0D2D"/>
    <w:rsid w:val="009C194A"/>
    <w:rsid w:val="009C1A70"/>
    <w:rsid w:val="009C1B51"/>
    <w:rsid w:val="009C2413"/>
    <w:rsid w:val="009C26D5"/>
    <w:rsid w:val="009C30B2"/>
    <w:rsid w:val="009C3123"/>
    <w:rsid w:val="009C35C2"/>
    <w:rsid w:val="009C365D"/>
    <w:rsid w:val="009C547D"/>
    <w:rsid w:val="009D2086"/>
    <w:rsid w:val="009D2567"/>
    <w:rsid w:val="009D2750"/>
    <w:rsid w:val="009D3592"/>
    <w:rsid w:val="009D3F4B"/>
    <w:rsid w:val="009D5E84"/>
    <w:rsid w:val="009D70F1"/>
    <w:rsid w:val="009D7D18"/>
    <w:rsid w:val="009E0576"/>
    <w:rsid w:val="009E17D6"/>
    <w:rsid w:val="009E3089"/>
    <w:rsid w:val="009E635B"/>
    <w:rsid w:val="009E6E73"/>
    <w:rsid w:val="009E78DC"/>
    <w:rsid w:val="009F0D62"/>
    <w:rsid w:val="009F188D"/>
    <w:rsid w:val="009F1CDD"/>
    <w:rsid w:val="009F2411"/>
    <w:rsid w:val="009F2AD9"/>
    <w:rsid w:val="009F4C70"/>
    <w:rsid w:val="009F7297"/>
    <w:rsid w:val="00A01FF8"/>
    <w:rsid w:val="00A0365E"/>
    <w:rsid w:val="00A0550E"/>
    <w:rsid w:val="00A07D54"/>
    <w:rsid w:val="00A07E96"/>
    <w:rsid w:val="00A10C2D"/>
    <w:rsid w:val="00A10CB6"/>
    <w:rsid w:val="00A10FE2"/>
    <w:rsid w:val="00A110D0"/>
    <w:rsid w:val="00A1555C"/>
    <w:rsid w:val="00A15EA5"/>
    <w:rsid w:val="00A20983"/>
    <w:rsid w:val="00A2124A"/>
    <w:rsid w:val="00A21DB7"/>
    <w:rsid w:val="00A21E48"/>
    <w:rsid w:val="00A222E6"/>
    <w:rsid w:val="00A24410"/>
    <w:rsid w:val="00A26839"/>
    <w:rsid w:val="00A301A0"/>
    <w:rsid w:val="00A31A60"/>
    <w:rsid w:val="00A323F3"/>
    <w:rsid w:val="00A33D94"/>
    <w:rsid w:val="00A379B6"/>
    <w:rsid w:val="00A37B17"/>
    <w:rsid w:val="00A402C5"/>
    <w:rsid w:val="00A41660"/>
    <w:rsid w:val="00A419A2"/>
    <w:rsid w:val="00A4246C"/>
    <w:rsid w:val="00A4298A"/>
    <w:rsid w:val="00A52B10"/>
    <w:rsid w:val="00A530AE"/>
    <w:rsid w:val="00A5316D"/>
    <w:rsid w:val="00A53B39"/>
    <w:rsid w:val="00A54059"/>
    <w:rsid w:val="00A54484"/>
    <w:rsid w:val="00A54B0B"/>
    <w:rsid w:val="00A55C5E"/>
    <w:rsid w:val="00A57321"/>
    <w:rsid w:val="00A573DA"/>
    <w:rsid w:val="00A6132E"/>
    <w:rsid w:val="00A62A07"/>
    <w:rsid w:val="00A62F28"/>
    <w:rsid w:val="00A64D36"/>
    <w:rsid w:val="00A6741F"/>
    <w:rsid w:val="00A709F4"/>
    <w:rsid w:val="00A7185A"/>
    <w:rsid w:val="00A74192"/>
    <w:rsid w:val="00A75D37"/>
    <w:rsid w:val="00A76420"/>
    <w:rsid w:val="00A76F10"/>
    <w:rsid w:val="00A77197"/>
    <w:rsid w:val="00A77742"/>
    <w:rsid w:val="00A80468"/>
    <w:rsid w:val="00A83DEE"/>
    <w:rsid w:val="00A83FB7"/>
    <w:rsid w:val="00A867C3"/>
    <w:rsid w:val="00A90537"/>
    <w:rsid w:val="00A915F7"/>
    <w:rsid w:val="00A9165E"/>
    <w:rsid w:val="00A92803"/>
    <w:rsid w:val="00A92CBD"/>
    <w:rsid w:val="00A93E52"/>
    <w:rsid w:val="00A94A81"/>
    <w:rsid w:val="00A94DBA"/>
    <w:rsid w:val="00A96C2F"/>
    <w:rsid w:val="00AA1443"/>
    <w:rsid w:val="00AA2581"/>
    <w:rsid w:val="00AA338E"/>
    <w:rsid w:val="00AA339F"/>
    <w:rsid w:val="00AA3A06"/>
    <w:rsid w:val="00AA4951"/>
    <w:rsid w:val="00AA5169"/>
    <w:rsid w:val="00AA64AA"/>
    <w:rsid w:val="00AA7CBA"/>
    <w:rsid w:val="00AB00B0"/>
    <w:rsid w:val="00AB0F4B"/>
    <w:rsid w:val="00AB20F1"/>
    <w:rsid w:val="00AB3C45"/>
    <w:rsid w:val="00AB43A6"/>
    <w:rsid w:val="00AB56FD"/>
    <w:rsid w:val="00AC0E6B"/>
    <w:rsid w:val="00AC1254"/>
    <w:rsid w:val="00AC237E"/>
    <w:rsid w:val="00AC4BEF"/>
    <w:rsid w:val="00AC5528"/>
    <w:rsid w:val="00AC7681"/>
    <w:rsid w:val="00AC7AF5"/>
    <w:rsid w:val="00AC7F77"/>
    <w:rsid w:val="00AD43FB"/>
    <w:rsid w:val="00AD5675"/>
    <w:rsid w:val="00AD7BCE"/>
    <w:rsid w:val="00AE00FB"/>
    <w:rsid w:val="00AE3DDA"/>
    <w:rsid w:val="00AE43F7"/>
    <w:rsid w:val="00AE4D85"/>
    <w:rsid w:val="00AF1A58"/>
    <w:rsid w:val="00AF21DF"/>
    <w:rsid w:val="00AF251F"/>
    <w:rsid w:val="00AF32C7"/>
    <w:rsid w:val="00AF35F9"/>
    <w:rsid w:val="00AF51C7"/>
    <w:rsid w:val="00AF5803"/>
    <w:rsid w:val="00AF5A55"/>
    <w:rsid w:val="00AF6632"/>
    <w:rsid w:val="00AF7630"/>
    <w:rsid w:val="00B00726"/>
    <w:rsid w:val="00B00FDB"/>
    <w:rsid w:val="00B022CA"/>
    <w:rsid w:val="00B036D6"/>
    <w:rsid w:val="00B04AF6"/>
    <w:rsid w:val="00B04D40"/>
    <w:rsid w:val="00B111AA"/>
    <w:rsid w:val="00B14292"/>
    <w:rsid w:val="00B16D94"/>
    <w:rsid w:val="00B20870"/>
    <w:rsid w:val="00B208F2"/>
    <w:rsid w:val="00B21C49"/>
    <w:rsid w:val="00B22C7E"/>
    <w:rsid w:val="00B26A05"/>
    <w:rsid w:val="00B30784"/>
    <w:rsid w:val="00B3335F"/>
    <w:rsid w:val="00B33916"/>
    <w:rsid w:val="00B33C2E"/>
    <w:rsid w:val="00B33CD2"/>
    <w:rsid w:val="00B3506A"/>
    <w:rsid w:val="00B35436"/>
    <w:rsid w:val="00B35B8C"/>
    <w:rsid w:val="00B35C72"/>
    <w:rsid w:val="00B42A22"/>
    <w:rsid w:val="00B42D6A"/>
    <w:rsid w:val="00B43B24"/>
    <w:rsid w:val="00B47008"/>
    <w:rsid w:val="00B47F79"/>
    <w:rsid w:val="00B52DE8"/>
    <w:rsid w:val="00B53581"/>
    <w:rsid w:val="00B54635"/>
    <w:rsid w:val="00B555F0"/>
    <w:rsid w:val="00B557D5"/>
    <w:rsid w:val="00B55856"/>
    <w:rsid w:val="00B566B4"/>
    <w:rsid w:val="00B613BD"/>
    <w:rsid w:val="00B6286A"/>
    <w:rsid w:val="00B647E1"/>
    <w:rsid w:val="00B6662E"/>
    <w:rsid w:val="00B671C5"/>
    <w:rsid w:val="00B679B7"/>
    <w:rsid w:val="00B67F7D"/>
    <w:rsid w:val="00B71873"/>
    <w:rsid w:val="00B71BF7"/>
    <w:rsid w:val="00B775FD"/>
    <w:rsid w:val="00B82D81"/>
    <w:rsid w:val="00B846E0"/>
    <w:rsid w:val="00B85219"/>
    <w:rsid w:val="00B8546B"/>
    <w:rsid w:val="00B8586E"/>
    <w:rsid w:val="00B8586F"/>
    <w:rsid w:val="00B85F91"/>
    <w:rsid w:val="00B8636F"/>
    <w:rsid w:val="00B863EF"/>
    <w:rsid w:val="00B87729"/>
    <w:rsid w:val="00B877DC"/>
    <w:rsid w:val="00B87828"/>
    <w:rsid w:val="00B87952"/>
    <w:rsid w:val="00B87FC9"/>
    <w:rsid w:val="00B90898"/>
    <w:rsid w:val="00B90E0B"/>
    <w:rsid w:val="00B920AB"/>
    <w:rsid w:val="00B93EDE"/>
    <w:rsid w:val="00B9400F"/>
    <w:rsid w:val="00B9511C"/>
    <w:rsid w:val="00B95C65"/>
    <w:rsid w:val="00B95F3B"/>
    <w:rsid w:val="00B9629C"/>
    <w:rsid w:val="00B97118"/>
    <w:rsid w:val="00B97213"/>
    <w:rsid w:val="00B97301"/>
    <w:rsid w:val="00B976BB"/>
    <w:rsid w:val="00BA0129"/>
    <w:rsid w:val="00BA101C"/>
    <w:rsid w:val="00BA1373"/>
    <w:rsid w:val="00BA34B6"/>
    <w:rsid w:val="00BA658A"/>
    <w:rsid w:val="00BB1701"/>
    <w:rsid w:val="00BB1B65"/>
    <w:rsid w:val="00BB3826"/>
    <w:rsid w:val="00BB4FE4"/>
    <w:rsid w:val="00BB5FF5"/>
    <w:rsid w:val="00BC3827"/>
    <w:rsid w:val="00BC4190"/>
    <w:rsid w:val="00BC6124"/>
    <w:rsid w:val="00BC7236"/>
    <w:rsid w:val="00BD1458"/>
    <w:rsid w:val="00BD18F7"/>
    <w:rsid w:val="00BD1B97"/>
    <w:rsid w:val="00BD310B"/>
    <w:rsid w:val="00BD4521"/>
    <w:rsid w:val="00BD4B74"/>
    <w:rsid w:val="00BD53EC"/>
    <w:rsid w:val="00BD5D2B"/>
    <w:rsid w:val="00BE0100"/>
    <w:rsid w:val="00BE0357"/>
    <w:rsid w:val="00BE047E"/>
    <w:rsid w:val="00BE2756"/>
    <w:rsid w:val="00BE4405"/>
    <w:rsid w:val="00BE447A"/>
    <w:rsid w:val="00BF0A2D"/>
    <w:rsid w:val="00BF114B"/>
    <w:rsid w:val="00BF25E7"/>
    <w:rsid w:val="00BF2C99"/>
    <w:rsid w:val="00BF3476"/>
    <w:rsid w:val="00BF34DF"/>
    <w:rsid w:val="00BF3CC3"/>
    <w:rsid w:val="00BF67AB"/>
    <w:rsid w:val="00BF7934"/>
    <w:rsid w:val="00BF7F47"/>
    <w:rsid w:val="00C008CA"/>
    <w:rsid w:val="00C021F9"/>
    <w:rsid w:val="00C046A5"/>
    <w:rsid w:val="00C04B18"/>
    <w:rsid w:val="00C073D0"/>
    <w:rsid w:val="00C101F8"/>
    <w:rsid w:val="00C114E6"/>
    <w:rsid w:val="00C123D7"/>
    <w:rsid w:val="00C12B06"/>
    <w:rsid w:val="00C1381F"/>
    <w:rsid w:val="00C148F8"/>
    <w:rsid w:val="00C158E6"/>
    <w:rsid w:val="00C17C7C"/>
    <w:rsid w:val="00C21354"/>
    <w:rsid w:val="00C23D9E"/>
    <w:rsid w:val="00C26A8F"/>
    <w:rsid w:val="00C27C76"/>
    <w:rsid w:val="00C304EA"/>
    <w:rsid w:val="00C30965"/>
    <w:rsid w:val="00C30AA8"/>
    <w:rsid w:val="00C33AC8"/>
    <w:rsid w:val="00C33E75"/>
    <w:rsid w:val="00C358F7"/>
    <w:rsid w:val="00C36519"/>
    <w:rsid w:val="00C36E87"/>
    <w:rsid w:val="00C40BEA"/>
    <w:rsid w:val="00C40CC6"/>
    <w:rsid w:val="00C41699"/>
    <w:rsid w:val="00C41F54"/>
    <w:rsid w:val="00C42150"/>
    <w:rsid w:val="00C4605A"/>
    <w:rsid w:val="00C47C6B"/>
    <w:rsid w:val="00C52440"/>
    <w:rsid w:val="00C529F1"/>
    <w:rsid w:val="00C542A8"/>
    <w:rsid w:val="00C545A8"/>
    <w:rsid w:val="00C6082F"/>
    <w:rsid w:val="00C60B72"/>
    <w:rsid w:val="00C63B25"/>
    <w:rsid w:val="00C665C2"/>
    <w:rsid w:val="00C66C85"/>
    <w:rsid w:val="00C67F90"/>
    <w:rsid w:val="00C71883"/>
    <w:rsid w:val="00C74421"/>
    <w:rsid w:val="00C74FAB"/>
    <w:rsid w:val="00C75182"/>
    <w:rsid w:val="00C756A6"/>
    <w:rsid w:val="00C756D0"/>
    <w:rsid w:val="00C75FD4"/>
    <w:rsid w:val="00C8048A"/>
    <w:rsid w:val="00C80C9E"/>
    <w:rsid w:val="00C81BFC"/>
    <w:rsid w:val="00C8295B"/>
    <w:rsid w:val="00C82AA3"/>
    <w:rsid w:val="00C87015"/>
    <w:rsid w:val="00C91A01"/>
    <w:rsid w:val="00C91A61"/>
    <w:rsid w:val="00C92A35"/>
    <w:rsid w:val="00C92E58"/>
    <w:rsid w:val="00C93D03"/>
    <w:rsid w:val="00C94E6F"/>
    <w:rsid w:val="00C94FB1"/>
    <w:rsid w:val="00C95472"/>
    <w:rsid w:val="00C95C03"/>
    <w:rsid w:val="00C96D20"/>
    <w:rsid w:val="00CA1D32"/>
    <w:rsid w:val="00CA3548"/>
    <w:rsid w:val="00CA4F1D"/>
    <w:rsid w:val="00CA6A5F"/>
    <w:rsid w:val="00CA7458"/>
    <w:rsid w:val="00CB03A7"/>
    <w:rsid w:val="00CB1ABD"/>
    <w:rsid w:val="00CB26B8"/>
    <w:rsid w:val="00CB3272"/>
    <w:rsid w:val="00CB53F2"/>
    <w:rsid w:val="00CC08F4"/>
    <w:rsid w:val="00CC1B62"/>
    <w:rsid w:val="00CC1D31"/>
    <w:rsid w:val="00CC2168"/>
    <w:rsid w:val="00CC3B7A"/>
    <w:rsid w:val="00CC403E"/>
    <w:rsid w:val="00CC4A7C"/>
    <w:rsid w:val="00CC51DB"/>
    <w:rsid w:val="00CC5BE0"/>
    <w:rsid w:val="00CD08FF"/>
    <w:rsid w:val="00CD0B88"/>
    <w:rsid w:val="00CD0EA9"/>
    <w:rsid w:val="00CD10DF"/>
    <w:rsid w:val="00CD3C04"/>
    <w:rsid w:val="00CD3E93"/>
    <w:rsid w:val="00CD5D7D"/>
    <w:rsid w:val="00CD5DE8"/>
    <w:rsid w:val="00CD7995"/>
    <w:rsid w:val="00CE06D9"/>
    <w:rsid w:val="00CE1C4E"/>
    <w:rsid w:val="00CE545B"/>
    <w:rsid w:val="00CF176B"/>
    <w:rsid w:val="00CF226A"/>
    <w:rsid w:val="00CF2EA8"/>
    <w:rsid w:val="00CF78F2"/>
    <w:rsid w:val="00CF7C3C"/>
    <w:rsid w:val="00D01C6F"/>
    <w:rsid w:val="00D01C7F"/>
    <w:rsid w:val="00D01DE9"/>
    <w:rsid w:val="00D02698"/>
    <w:rsid w:val="00D02C15"/>
    <w:rsid w:val="00D04A87"/>
    <w:rsid w:val="00D04C01"/>
    <w:rsid w:val="00D05360"/>
    <w:rsid w:val="00D07D97"/>
    <w:rsid w:val="00D1053B"/>
    <w:rsid w:val="00D10BD3"/>
    <w:rsid w:val="00D1119E"/>
    <w:rsid w:val="00D1188B"/>
    <w:rsid w:val="00D1194A"/>
    <w:rsid w:val="00D124E7"/>
    <w:rsid w:val="00D15AD4"/>
    <w:rsid w:val="00D15F29"/>
    <w:rsid w:val="00D2045E"/>
    <w:rsid w:val="00D20774"/>
    <w:rsid w:val="00D207C2"/>
    <w:rsid w:val="00D22709"/>
    <w:rsid w:val="00D23B9A"/>
    <w:rsid w:val="00D24487"/>
    <w:rsid w:val="00D24C7F"/>
    <w:rsid w:val="00D268B3"/>
    <w:rsid w:val="00D31F17"/>
    <w:rsid w:val="00D328FD"/>
    <w:rsid w:val="00D357A2"/>
    <w:rsid w:val="00D40B3B"/>
    <w:rsid w:val="00D42B5F"/>
    <w:rsid w:val="00D43434"/>
    <w:rsid w:val="00D43745"/>
    <w:rsid w:val="00D439FA"/>
    <w:rsid w:val="00D43D89"/>
    <w:rsid w:val="00D443E2"/>
    <w:rsid w:val="00D464EE"/>
    <w:rsid w:val="00D51115"/>
    <w:rsid w:val="00D52261"/>
    <w:rsid w:val="00D53F56"/>
    <w:rsid w:val="00D54621"/>
    <w:rsid w:val="00D62A7C"/>
    <w:rsid w:val="00D62FFF"/>
    <w:rsid w:val="00D6461B"/>
    <w:rsid w:val="00D64F43"/>
    <w:rsid w:val="00D64F94"/>
    <w:rsid w:val="00D6595E"/>
    <w:rsid w:val="00D66110"/>
    <w:rsid w:val="00D70119"/>
    <w:rsid w:val="00D70BAD"/>
    <w:rsid w:val="00D70F08"/>
    <w:rsid w:val="00D72BEF"/>
    <w:rsid w:val="00D73B29"/>
    <w:rsid w:val="00D74479"/>
    <w:rsid w:val="00D74C0B"/>
    <w:rsid w:val="00D76D98"/>
    <w:rsid w:val="00D77384"/>
    <w:rsid w:val="00D80FB5"/>
    <w:rsid w:val="00D8180F"/>
    <w:rsid w:val="00D825D6"/>
    <w:rsid w:val="00D8368B"/>
    <w:rsid w:val="00D83CFC"/>
    <w:rsid w:val="00D84058"/>
    <w:rsid w:val="00D874D1"/>
    <w:rsid w:val="00D87BBA"/>
    <w:rsid w:val="00D90C19"/>
    <w:rsid w:val="00D90D68"/>
    <w:rsid w:val="00D90EB2"/>
    <w:rsid w:val="00D91EC1"/>
    <w:rsid w:val="00D94E8B"/>
    <w:rsid w:val="00D96817"/>
    <w:rsid w:val="00D97B2C"/>
    <w:rsid w:val="00D97F10"/>
    <w:rsid w:val="00DA162A"/>
    <w:rsid w:val="00DA242C"/>
    <w:rsid w:val="00DA251A"/>
    <w:rsid w:val="00DA5B7F"/>
    <w:rsid w:val="00DA7030"/>
    <w:rsid w:val="00DB005B"/>
    <w:rsid w:val="00DB00B1"/>
    <w:rsid w:val="00DB1033"/>
    <w:rsid w:val="00DB14BD"/>
    <w:rsid w:val="00DB304F"/>
    <w:rsid w:val="00DB6A84"/>
    <w:rsid w:val="00DB7BBE"/>
    <w:rsid w:val="00DB7BCF"/>
    <w:rsid w:val="00DC58F7"/>
    <w:rsid w:val="00DC6C14"/>
    <w:rsid w:val="00DC7453"/>
    <w:rsid w:val="00DD36A2"/>
    <w:rsid w:val="00DD3AC2"/>
    <w:rsid w:val="00DD5975"/>
    <w:rsid w:val="00DD5FDF"/>
    <w:rsid w:val="00DD6425"/>
    <w:rsid w:val="00DD76E2"/>
    <w:rsid w:val="00DD7B68"/>
    <w:rsid w:val="00DE2400"/>
    <w:rsid w:val="00DE2E23"/>
    <w:rsid w:val="00DE3E2B"/>
    <w:rsid w:val="00DE5ED7"/>
    <w:rsid w:val="00DE7E79"/>
    <w:rsid w:val="00DF0635"/>
    <w:rsid w:val="00DF0DB9"/>
    <w:rsid w:val="00DF1F42"/>
    <w:rsid w:val="00DF3008"/>
    <w:rsid w:val="00DF72AA"/>
    <w:rsid w:val="00E00B07"/>
    <w:rsid w:val="00E0322F"/>
    <w:rsid w:val="00E03C2B"/>
    <w:rsid w:val="00E03D6D"/>
    <w:rsid w:val="00E0551D"/>
    <w:rsid w:val="00E0797B"/>
    <w:rsid w:val="00E10B6F"/>
    <w:rsid w:val="00E10BB8"/>
    <w:rsid w:val="00E10F18"/>
    <w:rsid w:val="00E13C0C"/>
    <w:rsid w:val="00E1750C"/>
    <w:rsid w:val="00E177C8"/>
    <w:rsid w:val="00E213EF"/>
    <w:rsid w:val="00E23BFB"/>
    <w:rsid w:val="00E242C0"/>
    <w:rsid w:val="00E24644"/>
    <w:rsid w:val="00E25FB3"/>
    <w:rsid w:val="00E26B7F"/>
    <w:rsid w:val="00E26F46"/>
    <w:rsid w:val="00E30726"/>
    <w:rsid w:val="00E3076C"/>
    <w:rsid w:val="00E31C37"/>
    <w:rsid w:val="00E31D4F"/>
    <w:rsid w:val="00E33F90"/>
    <w:rsid w:val="00E35940"/>
    <w:rsid w:val="00E37497"/>
    <w:rsid w:val="00E3782F"/>
    <w:rsid w:val="00E41A3D"/>
    <w:rsid w:val="00E43098"/>
    <w:rsid w:val="00E466D2"/>
    <w:rsid w:val="00E47CDB"/>
    <w:rsid w:val="00E510A4"/>
    <w:rsid w:val="00E51347"/>
    <w:rsid w:val="00E51D33"/>
    <w:rsid w:val="00E52319"/>
    <w:rsid w:val="00E53501"/>
    <w:rsid w:val="00E5360C"/>
    <w:rsid w:val="00E550E7"/>
    <w:rsid w:val="00E56356"/>
    <w:rsid w:val="00E56997"/>
    <w:rsid w:val="00E56A77"/>
    <w:rsid w:val="00E60307"/>
    <w:rsid w:val="00E6099C"/>
    <w:rsid w:val="00E61C76"/>
    <w:rsid w:val="00E63FF1"/>
    <w:rsid w:val="00E65475"/>
    <w:rsid w:val="00E6607D"/>
    <w:rsid w:val="00E67522"/>
    <w:rsid w:val="00E67FC5"/>
    <w:rsid w:val="00E720AD"/>
    <w:rsid w:val="00E7228D"/>
    <w:rsid w:val="00E76B58"/>
    <w:rsid w:val="00E77E29"/>
    <w:rsid w:val="00E812B4"/>
    <w:rsid w:val="00E816D4"/>
    <w:rsid w:val="00E82D77"/>
    <w:rsid w:val="00E82DCF"/>
    <w:rsid w:val="00E83FD9"/>
    <w:rsid w:val="00E85EF1"/>
    <w:rsid w:val="00E865FC"/>
    <w:rsid w:val="00E875EE"/>
    <w:rsid w:val="00E93905"/>
    <w:rsid w:val="00E93A8C"/>
    <w:rsid w:val="00E93FDF"/>
    <w:rsid w:val="00E962FF"/>
    <w:rsid w:val="00E97251"/>
    <w:rsid w:val="00EA2B2F"/>
    <w:rsid w:val="00EA31A9"/>
    <w:rsid w:val="00EA3F9C"/>
    <w:rsid w:val="00EA58A0"/>
    <w:rsid w:val="00EA760B"/>
    <w:rsid w:val="00EB0379"/>
    <w:rsid w:val="00EB0854"/>
    <w:rsid w:val="00EB3193"/>
    <w:rsid w:val="00EB55BA"/>
    <w:rsid w:val="00EB581D"/>
    <w:rsid w:val="00EB63F7"/>
    <w:rsid w:val="00EB6541"/>
    <w:rsid w:val="00EB6F3A"/>
    <w:rsid w:val="00EB74C7"/>
    <w:rsid w:val="00EB786C"/>
    <w:rsid w:val="00EB7917"/>
    <w:rsid w:val="00EC44DD"/>
    <w:rsid w:val="00EC4745"/>
    <w:rsid w:val="00EC4877"/>
    <w:rsid w:val="00EC4B6C"/>
    <w:rsid w:val="00EC4CDF"/>
    <w:rsid w:val="00ED08D6"/>
    <w:rsid w:val="00ED2469"/>
    <w:rsid w:val="00ED2707"/>
    <w:rsid w:val="00ED66BC"/>
    <w:rsid w:val="00ED7266"/>
    <w:rsid w:val="00EE2429"/>
    <w:rsid w:val="00EE4E1E"/>
    <w:rsid w:val="00EE560F"/>
    <w:rsid w:val="00EE67CC"/>
    <w:rsid w:val="00EE68AF"/>
    <w:rsid w:val="00EE783E"/>
    <w:rsid w:val="00EE7B50"/>
    <w:rsid w:val="00EF2593"/>
    <w:rsid w:val="00EF2866"/>
    <w:rsid w:val="00EF5757"/>
    <w:rsid w:val="00EF625F"/>
    <w:rsid w:val="00F00E9F"/>
    <w:rsid w:val="00F01DB9"/>
    <w:rsid w:val="00F03F6C"/>
    <w:rsid w:val="00F047D8"/>
    <w:rsid w:val="00F04E1E"/>
    <w:rsid w:val="00F05479"/>
    <w:rsid w:val="00F0724D"/>
    <w:rsid w:val="00F07325"/>
    <w:rsid w:val="00F07C2C"/>
    <w:rsid w:val="00F07DB0"/>
    <w:rsid w:val="00F1070F"/>
    <w:rsid w:val="00F15D3B"/>
    <w:rsid w:val="00F16C54"/>
    <w:rsid w:val="00F17039"/>
    <w:rsid w:val="00F1722E"/>
    <w:rsid w:val="00F172A5"/>
    <w:rsid w:val="00F17B0C"/>
    <w:rsid w:val="00F21192"/>
    <w:rsid w:val="00F21E52"/>
    <w:rsid w:val="00F22956"/>
    <w:rsid w:val="00F23118"/>
    <w:rsid w:val="00F2361B"/>
    <w:rsid w:val="00F23720"/>
    <w:rsid w:val="00F24466"/>
    <w:rsid w:val="00F250B3"/>
    <w:rsid w:val="00F26E37"/>
    <w:rsid w:val="00F27C7C"/>
    <w:rsid w:val="00F31B08"/>
    <w:rsid w:val="00F33298"/>
    <w:rsid w:val="00F344FD"/>
    <w:rsid w:val="00F35099"/>
    <w:rsid w:val="00F35596"/>
    <w:rsid w:val="00F37162"/>
    <w:rsid w:val="00F37C3C"/>
    <w:rsid w:val="00F41F6F"/>
    <w:rsid w:val="00F45D82"/>
    <w:rsid w:val="00F47F6C"/>
    <w:rsid w:val="00F509E2"/>
    <w:rsid w:val="00F51DAE"/>
    <w:rsid w:val="00F529D7"/>
    <w:rsid w:val="00F53A79"/>
    <w:rsid w:val="00F55983"/>
    <w:rsid w:val="00F55B48"/>
    <w:rsid w:val="00F56EDA"/>
    <w:rsid w:val="00F57C98"/>
    <w:rsid w:val="00F6134F"/>
    <w:rsid w:val="00F64C97"/>
    <w:rsid w:val="00F71F0E"/>
    <w:rsid w:val="00F725B5"/>
    <w:rsid w:val="00F72975"/>
    <w:rsid w:val="00F72989"/>
    <w:rsid w:val="00F72A8A"/>
    <w:rsid w:val="00F73440"/>
    <w:rsid w:val="00F74B02"/>
    <w:rsid w:val="00F753D2"/>
    <w:rsid w:val="00F75EDB"/>
    <w:rsid w:val="00F75F2F"/>
    <w:rsid w:val="00F77019"/>
    <w:rsid w:val="00F7711A"/>
    <w:rsid w:val="00F802B4"/>
    <w:rsid w:val="00F80AB6"/>
    <w:rsid w:val="00F82E4F"/>
    <w:rsid w:val="00F8330C"/>
    <w:rsid w:val="00F8339D"/>
    <w:rsid w:val="00F867F2"/>
    <w:rsid w:val="00F87102"/>
    <w:rsid w:val="00F9070B"/>
    <w:rsid w:val="00F91197"/>
    <w:rsid w:val="00F91C14"/>
    <w:rsid w:val="00F93557"/>
    <w:rsid w:val="00F9753B"/>
    <w:rsid w:val="00FA0F2E"/>
    <w:rsid w:val="00FA300B"/>
    <w:rsid w:val="00FA3A04"/>
    <w:rsid w:val="00FA46A3"/>
    <w:rsid w:val="00FA538B"/>
    <w:rsid w:val="00FA5AB7"/>
    <w:rsid w:val="00FA677E"/>
    <w:rsid w:val="00FA6DA9"/>
    <w:rsid w:val="00FA708E"/>
    <w:rsid w:val="00FB0A90"/>
    <w:rsid w:val="00FB24CD"/>
    <w:rsid w:val="00FB2987"/>
    <w:rsid w:val="00FB7E31"/>
    <w:rsid w:val="00FC0759"/>
    <w:rsid w:val="00FC0A35"/>
    <w:rsid w:val="00FC0E27"/>
    <w:rsid w:val="00FC3878"/>
    <w:rsid w:val="00FC46F5"/>
    <w:rsid w:val="00FC47B2"/>
    <w:rsid w:val="00FC690C"/>
    <w:rsid w:val="00FC6C31"/>
    <w:rsid w:val="00FC6C33"/>
    <w:rsid w:val="00FC6E2D"/>
    <w:rsid w:val="00FD0E6A"/>
    <w:rsid w:val="00FD37B3"/>
    <w:rsid w:val="00FD53F6"/>
    <w:rsid w:val="00FD79AD"/>
    <w:rsid w:val="00FE1008"/>
    <w:rsid w:val="00FE12A9"/>
    <w:rsid w:val="00FE3A22"/>
    <w:rsid w:val="00FE4714"/>
    <w:rsid w:val="00FE5ECF"/>
    <w:rsid w:val="00FE628F"/>
    <w:rsid w:val="00FE679D"/>
    <w:rsid w:val="00FE79B9"/>
    <w:rsid w:val="00FF0554"/>
    <w:rsid w:val="00FF1E5A"/>
    <w:rsid w:val="00FF3A4B"/>
    <w:rsid w:val="00FF3C91"/>
    <w:rsid w:val="00FF5C99"/>
    <w:rsid w:val="00FF63D5"/>
    <w:rsid w:val="00FF7496"/>
    <w:rsid w:val="00FF7ABD"/>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8E3884D"/>
  <w15:docId w15:val="{6F3939E2-6A3F-4CBC-B521-78AAFD7E5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MS Mincho"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7C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2168"/>
    <w:pPr>
      <w:ind w:left="720"/>
      <w:contextualSpacing/>
    </w:pPr>
  </w:style>
  <w:style w:type="character" w:styleId="Hyperlink">
    <w:name w:val="Hyperlink"/>
    <w:basedOn w:val="DefaultParagraphFont"/>
    <w:uiPriority w:val="99"/>
    <w:unhideWhenUsed/>
    <w:rsid w:val="007A7E72"/>
    <w:rPr>
      <w:color w:val="0563C1" w:themeColor="hyperlink"/>
      <w:u w:val="single"/>
    </w:rPr>
  </w:style>
  <w:style w:type="character" w:customStyle="1" w:styleId="Mencinsinresolver1">
    <w:name w:val="Mención sin resolver1"/>
    <w:basedOn w:val="DefaultParagraphFont"/>
    <w:uiPriority w:val="99"/>
    <w:semiHidden/>
    <w:unhideWhenUsed/>
    <w:rsid w:val="007A7E72"/>
    <w:rPr>
      <w:color w:val="605E5C"/>
      <w:shd w:val="clear" w:color="auto" w:fill="E1DFDD"/>
    </w:rPr>
  </w:style>
  <w:style w:type="character" w:styleId="CommentReference">
    <w:name w:val="annotation reference"/>
    <w:basedOn w:val="DefaultParagraphFont"/>
    <w:uiPriority w:val="99"/>
    <w:semiHidden/>
    <w:unhideWhenUsed/>
    <w:rsid w:val="00E812B4"/>
    <w:rPr>
      <w:sz w:val="16"/>
      <w:szCs w:val="16"/>
    </w:rPr>
  </w:style>
  <w:style w:type="paragraph" w:styleId="CommentText">
    <w:name w:val="annotation text"/>
    <w:basedOn w:val="Normal"/>
    <w:link w:val="CommentTextChar"/>
    <w:uiPriority w:val="99"/>
    <w:semiHidden/>
    <w:unhideWhenUsed/>
    <w:rsid w:val="00E812B4"/>
    <w:pPr>
      <w:spacing w:line="240" w:lineRule="auto"/>
    </w:pPr>
    <w:rPr>
      <w:sz w:val="20"/>
      <w:szCs w:val="20"/>
    </w:rPr>
  </w:style>
  <w:style w:type="character" w:customStyle="1" w:styleId="CommentTextChar">
    <w:name w:val="Comment Text Char"/>
    <w:basedOn w:val="DefaultParagraphFont"/>
    <w:link w:val="CommentText"/>
    <w:uiPriority w:val="99"/>
    <w:semiHidden/>
    <w:rsid w:val="00E812B4"/>
    <w:rPr>
      <w:sz w:val="20"/>
      <w:szCs w:val="20"/>
    </w:rPr>
  </w:style>
  <w:style w:type="paragraph" w:styleId="CommentSubject">
    <w:name w:val="annotation subject"/>
    <w:basedOn w:val="CommentText"/>
    <w:next w:val="CommentText"/>
    <w:link w:val="CommentSubjectChar"/>
    <w:uiPriority w:val="99"/>
    <w:semiHidden/>
    <w:unhideWhenUsed/>
    <w:rsid w:val="00E812B4"/>
    <w:rPr>
      <w:b/>
      <w:bCs/>
    </w:rPr>
  </w:style>
  <w:style w:type="character" w:customStyle="1" w:styleId="CommentSubjectChar">
    <w:name w:val="Comment Subject Char"/>
    <w:basedOn w:val="CommentTextChar"/>
    <w:link w:val="CommentSubject"/>
    <w:uiPriority w:val="99"/>
    <w:semiHidden/>
    <w:rsid w:val="00E812B4"/>
    <w:rPr>
      <w:b/>
      <w:bCs/>
      <w:sz w:val="20"/>
      <w:szCs w:val="20"/>
    </w:rPr>
  </w:style>
  <w:style w:type="paragraph" w:styleId="Header">
    <w:name w:val="header"/>
    <w:basedOn w:val="Normal"/>
    <w:link w:val="HeaderChar"/>
    <w:uiPriority w:val="99"/>
    <w:unhideWhenUsed/>
    <w:rsid w:val="0070097E"/>
    <w:pPr>
      <w:tabs>
        <w:tab w:val="center" w:pos="4252"/>
        <w:tab w:val="right" w:pos="8504"/>
      </w:tabs>
      <w:spacing w:after="0" w:line="240" w:lineRule="auto"/>
    </w:pPr>
  </w:style>
  <w:style w:type="character" w:customStyle="1" w:styleId="HeaderChar">
    <w:name w:val="Header Char"/>
    <w:basedOn w:val="DefaultParagraphFont"/>
    <w:link w:val="Header"/>
    <w:uiPriority w:val="99"/>
    <w:rsid w:val="0070097E"/>
  </w:style>
  <w:style w:type="paragraph" w:styleId="Footer">
    <w:name w:val="footer"/>
    <w:basedOn w:val="Normal"/>
    <w:link w:val="FooterChar"/>
    <w:uiPriority w:val="99"/>
    <w:unhideWhenUsed/>
    <w:rsid w:val="0070097E"/>
    <w:pPr>
      <w:tabs>
        <w:tab w:val="center" w:pos="4252"/>
        <w:tab w:val="right" w:pos="8504"/>
      </w:tabs>
      <w:spacing w:after="0" w:line="240" w:lineRule="auto"/>
    </w:pPr>
  </w:style>
  <w:style w:type="character" w:customStyle="1" w:styleId="FooterChar">
    <w:name w:val="Footer Char"/>
    <w:basedOn w:val="DefaultParagraphFont"/>
    <w:link w:val="Footer"/>
    <w:uiPriority w:val="99"/>
    <w:rsid w:val="0070097E"/>
  </w:style>
  <w:style w:type="character" w:styleId="LineNumber">
    <w:name w:val="line number"/>
    <w:basedOn w:val="DefaultParagraphFont"/>
    <w:uiPriority w:val="99"/>
    <w:semiHidden/>
    <w:unhideWhenUsed/>
    <w:rsid w:val="0070097E"/>
  </w:style>
  <w:style w:type="character" w:styleId="PlaceholderText">
    <w:name w:val="Placeholder Text"/>
    <w:basedOn w:val="DefaultParagraphFont"/>
    <w:uiPriority w:val="99"/>
    <w:semiHidden/>
    <w:rsid w:val="004223A5"/>
    <w:rPr>
      <w:color w:val="808080"/>
    </w:rPr>
  </w:style>
  <w:style w:type="paragraph" w:styleId="BalloonText">
    <w:name w:val="Balloon Text"/>
    <w:basedOn w:val="Normal"/>
    <w:link w:val="BalloonTextChar"/>
    <w:uiPriority w:val="99"/>
    <w:semiHidden/>
    <w:unhideWhenUsed/>
    <w:rsid w:val="003F7D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7D11"/>
    <w:rPr>
      <w:rFonts w:ascii="Segoe UI" w:hAnsi="Segoe UI" w:cs="Segoe UI"/>
      <w:sz w:val="18"/>
      <w:szCs w:val="18"/>
    </w:rPr>
  </w:style>
  <w:style w:type="character" w:customStyle="1" w:styleId="Mencinsinresolver2">
    <w:name w:val="Mención sin resolver2"/>
    <w:basedOn w:val="DefaultParagraphFont"/>
    <w:uiPriority w:val="99"/>
    <w:semiHidden/>
    <w:unhideWhenUsed/>
    <w:rsid w:val="004626B7"/>
    <w:rPr>
      <w:color w:val="605E5C"/>
      <w:shd w:val="clear" w:color="auto" w:fill="E1DFDD"/>
    </w:rPr>
  </w:style>
  <w:style w:type="character" w:customStyle="1" w:styleId="Mencinsinresolver3">
    <w:name w:val="Mención sin resolver3"/>
    <w:basedOn w:val="DefaultParagraphFont"/>
    <w:uiPriority w:val="99"/>
    <w:semiHidden/>
    <w:unhideWhenUsed/>
    <w:rsid w:val="00A01FF8"/>
    <w:rPr>
      <w:color w:val="605E5C"/>
      <w:shd w:val="clear" w:color="auto" w:fill="E1DFDD"/>
    </w:rPr>
  </w:style>
  <w:style w:type="character" w:customStyle="1" w:styleId="Mencinsinresolver4">
    <w:name w:val="Mención sin resolver4"/>
    <w:basedOn w:val="DefaultParagraphFont"/>
    <w:uiPriority w:val="99"/>
    <w:semiHidden/>
    <w:unhideWhenUsed/>
    <w:rsid w:val="00C74FAB"/>
    <w:rPr>
      <w:color w:val="605E5C"/>
      <w:shd w:val="clear" w:color="auto" w:fill="E1DFDD"/>
    </w:rPr>
  </w:style>
  <w:style w:type="character" w:customStyle="1" w:styleId="Mencinsinresolver5">
    <w:name w:val="Mención sin resolver5"/>
    <w:basedOn w:val="DefaultParagraphFont"/>
    <w:uiPriority w:val="99"/>
    <w:semiHidden/>
    <w:unhideWhenUsed/>
    <w:rsid w:val="00A222E6"/>
    <w:rPr>
      <w:color w:val="605E5C"/>
      <w:shd w:val="clear" w:color="auto" w:fill="E1DFDD"/>
    </w:rPr>
  </w:style>
  <w:style w:type="paragraph" w:styleId="Revision">
    <w:name w:val="Revision"/>
    <w:hidden/>
    <w:uiPriority w:val="99"/>
    <w:semiHidden/>
    <w:rsid w:val="00F87102"/>
    <w:pPr>
      <w:spacing w:after="0" w:line="240" w:lineRule="auto"/>
    </w:pPr>
  </w:style>
  <w:style w:type="character" w:customStyle="1" w:styleId="jlqj4b">
    <w:name w:val="jlqj4b"/>
    <w:basedOn w:val="DefaultParagraphFont"/>
    <w:rsid w:val="005812CC"/>
  </w:style>
  <w:style w:type="character" w:customStyle="1" w:styleId="UnresolvedMention1">
    <w:name w:val="Unresolved Mention1"/>
    <w:basedOn w:val="DefaultParagraphFont"/>
    <w:uiPriority w:val="99"/>
    <w:semiHidden/>
    <w:unhideWhenUsed/>
    <w:rsid w:val="00250F5D"/>
    <w:rPr>
      <w:color w:val="605E5C"/>
      <w:shd w:val="clear" w:color="auto" w:fill="E1DFDD"/>
    </w:rPr>
  </w:style>
  <w:style w:type="paragraph" w:styleId="EndnoteText">
    <w:name w:val="endnote text"/>
    <w:basedOn w:val="Normal"/>
    <w:link w:val="EndnoteTextChar"/>
    <w:uiPriority w:val="99"/>
    <w:semiHidden/>
    <w:unhideWhenUsed/>
    <w:rsid w:val="003E6F8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E6F8C"/>
    <w:rPr>
      <w:sz w:val="20"/>
      <w:szCs w:val="20"/>
    </w:rPr>
  </w:style>
  <w:style w:type="character" w:styleId="EndnoteReference">
    <w:name w:val="endnote reference"/>
    <w:basedOn w:val="DefaultParagraphFont"/>
    <w:uiPriority w:val="99"/>
    <w:semiHidden/>
    <w:unhideWhenUsed/>
    <w:rsid w:val="003E6F8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827083">
      <w:bodyDiv w:val="1"/>
      <w:marLeft w:val="0"/>
      <w:marRight w:val="0"/>
      <w:marTop w:val="0"/>
      <w:marBottom w:val="0"/>
      <w:divBdr>
        <w:top w:val="none" w:sz="0" w:space="0" w:color="auto"/>
        <w:left w:val="none" w:sz="0" w:space="0" w:color="auto"/>
        <w:bottom w:val="none" w:sz="0" w:space="0" w:color="auto"/>
        <w:right w:val="none" w:sz="0" w:space="0" w:color="auto"/>
      </w:divBdr>
    </w:div>
    <w:div w:id="135143620">
      <w:bodyDiv w:val="1"/>
      <w:marLeft w:val="0"/>
      <w:marRight w:val="0"/>
      <w:marTop w:val="0"/>
      <w:marBottom w:val="0"/>
      <w:divBdr>
        <w:top w:val="none" w:sz="0" w:space="0" w:color="auto"/>
        <w:left w:val="none" w:sz="0" w:space="0" w:color="auto"/>
        <w:bottom w:val="none" w:sz="0" w:space="0" w:color="auto"/>
        <w:right w:val="none" w:sz="0" w:space="0" w:color="auto"/>
      </w:divBdr>
    </w:div>
    <w:div w:id="136067662">
      <w:bodyDiv w:val="1"/>
      <w:marLeft w:val="0"/>
      <w:marRight w:val="0"/>
      <w:marTop w:val="0"/>
      <w:marBottom w:val="0"/>
      <w:divBdr>
        <w:top w:val="none" w:sz="0" w:space="0" w:color="auto"/>
        <w:left w:val="none" w:sz="0" w:space="0" w:color="auto"/>
        <w:bottom w:val="none" w:sz="0" w:space="0" w:color="auto"/>
        <w:right w:val="none" w:sz="0" w:space="0" w:color="auto"/>
      </w:divBdr>
    </w:div>
    <w:div w:id="156195316">
      <w:bodyDiv w:val="1"/>
      <w:marLeft w:val="0"/>
      <w:marRight w:val="0"/>
      <w:marTop w:val="0"/>
      <w:marBottom w:val="0"/>
      <w:divBdr>
        <w:top w:val="none" w:sz="0" w:space="0" w:color="auto"/>
        <w:left w:val="none" w:sz="0" w:space="0" w:color="auto"/>
        <w:bottom w:val="none" w:sz="0" w:space="0" w:color="auto"/>
        <w:right w:val="none" w:sz="0" w:space="0" w:color="auto"/>
      </w:divBdr>
    </w:div>
    <w:div w:id="162673708">
      <w:bodyDiv w:val="1"/>
      <w:marLeft w:val="0"/>
      <w:marRight w:val="0"/>
      <w:marTop w:val="0"/>
      <w:marBottom w:val="0"/>
      <w:divBdr>
        <w:top w:val="none" w:sz="0" w:space="0" w:color="auto"/>
        <w:left w:val="none" w:sz="0" w:space="0" w:color="auto"/>
        <w:bottom w:val="none" w:sz="0" w:space="0" w:color="auto"/>
        <w:right w:val="none" w:sz="0" w:space="0" w:color="auto"/>
      </w:divBdr>
    </w:div>
    <w:div w:id="266347832">
      <w:bodyDiv w:val="1"/>
      <w:marLeft w:val="0"/>
      <w:marRight w:val="0"/>
      <w:marTop w:val="0"/>
      <w:marBottom w:val="0"/>
      <w:divBdr>
        <w:top w:val="none" w:sz="0" w:space="0" w:color="auto"/>
        <w:left w:val="none" w:sz="0" w:space="0" w:color="auto"/>
        <w:bottom w:val="none" w:sz="0" w:space="0" w:color="auto"/>
        <w:right w:val="none" w:sz="0" w:space="0" w:color="auto"/>
      </w:divBdr>
    </w:div>
    <w:div w:id="315302980">
      <w:bodyDiv w:val="1"/>
      <w:marLeft w:val="0"/>
      <w:marRight w:val="0"/>
      <w:marTop w:val="0"/>
      <w:marBottom w:val="0"/>
      <w:divBdr>
        <w:top w:val="none" w:sz="0" w:space="0" w:color="auto"/>
        <w:left w:val="none" w:sz="0" w:space="0" w:color="auto"/>
        <w:bottom w:val="none" w:sz="0" w:space="0" w:color="auto"/>
        <w:right w:val="none" w:sz="0" w:space="0" w:color="auto"/>
      </w:divBdr>
    </w:div>
    <w:div w:id="435756827">
      <w:bodyDiv w:val="1"/>
      <w:marLeft w:val="0"/>
      <w:marRight w:val="0"/>
      <w:marTop w:val="0"/>
      <w:marBottom w:val="0"/>
      <w:divBdr>
        <w:top w:val="none" w:sz="0" w:space="0" w:color="auto"/>
        <w:left w:val="none" w:sz="0" w:space="0" w:color="auto"/>
        <w:bottom w:val="none" w:sz="0" w:space="0" w:color="auto"/>
        <w:right w:val="none" w:sz="0" w:space="0" w:color="auto"/>
      </w:divBdr>
    </w:div>
    <w:div w:id="450898736">
      <w:bodyDiv w:val="1"/>
      <w:marLeft w:val="0"/>
      <w:marRight w:val="0"/>
      <w:marTop w:val="0"/>
      <w:marBottom w:val="0"/>
      <w:divBdr>
        <w:top w:val="none" w:sz="0" w:space="0" w:color="auto"/>
        <w:left w:val="none" w:sz="0" w:space="0" w:color="auto"/>
        <w:bottom w:val="none" w:sz="0" w:space="0" w:color="auto"/>
        <w:right w:val="none" w:sz="0" w:space="0" w:color="auto"/>
      </w:divBdr>
    </w:div>
    <w:div w:id="458962036">
      <w:bodyDiv w:val="1"/>
      <w:marLeft w:val="0"/>
      <w:marRight w:val="0"/>
      <w:marTop w:val="0"/>
      <w:marBottom w:val="0"/>
      <w:divBdr>
        <w:top w:val="none" w:sz="0" w:space="0" w:color="auto"/>
        <w:left w:val="none" w:sz="0" w:space="0" w:color="auto"/>
        <w:bottom w:val="none" w:sz="0" w:space="0" w:color="auto"/>
        <w:right w:val="none" w:sz="0" w:space="0" w:color="auto"/>
      </w:divBdr>
    </w:div>
    <w:div w:id="529537431">
      <w:bodyDiv w:val="1"/>
      <w:marLeft w:val="0"/>
      <w:marRight w:val="0"/>
      <w:marTop w:val="0"/>
      <w:marBottom w:val="0"/>
      <w:divBdr>
        <w:top w:val="none" w:sz="0" w:space="0" w:color="auto"/>
        <w:left w:val="none" w:sz="0" w:space="0" w:color="auto"/>
        <w:bottom w:val="none" w:sz="0" w:space="0" w:color="auto"/>
        <w:right w:val="none" w:sz="0" w:space="0" w:color="auto"/>
      </w:divBdr>
    </w:div>
    <w:div w:id="530652914">
      <w:bodyDiv w:val="1"/>
      <w:marLeft w:val="0"/>
      <w:marRight w:val="0"/>
      <w:marTop w:val="0"/>
      <w:marBottom w:val="0"/>
      <w:divBdr>
        <w:top w:val="none" w:sz="0" w:space="0" w:color="auto"/>
        <w:left w:val="none" w:sz="0" w:space="0" w:color="auto"/>
        <w:bottom w:val="none" w:sz="0" w:space="0" w:color="auto"/>
        <w:right w:val="none" w:sz="0" w:space="0" w:color="auto"/>
      </w:divBdr>
    </w:div>
    <w:div w:id="558052831">
      <w:bodyDiv w:val="1"/>
      <w:marLeft w:val="0"/>
      <w:marRight w:val="0"/>
      <w:marTop w:val="0"/>
      <w:marBottom w:val="0"/>
      <w:divBdr>
        <w:top w:val="none" w:sz="0" w:space="0" w:color="auto"/>
        <w:left w:val="none" w:sz="0" w:space="0" w:color="auto"/>
        <w:bottom w:val="none" w:sz="0" w:space="0" w:color="auto"/>
        <w:right w:val="none" w:sz="0" w:space="0" w:color="auto"/>
      </w:divBdr>
    </w:div>
    <w:div w:id="570195924">
      <w:bodyDiv w:val="1"/>
      <w:marLeft w:val="0"/>
      <w:marRight w:val="0"/>
      <w:marTop w:val="0"/>
      <w:marBottom w:val="0"/>
      <w:divBdr>
        <w:top w:val="none" w:sz="0" w:space="0" w:color="auto"/>
        <w:left w:val="none" w:sz="0" w:space="0" w:color="auto"/>
        <w:bottom w:val="none" w:sz="0" w:space="0" w:color="auto"/>
        <w:right w:val="none" w:sz="0" w:space="0" w:color="auto"/>
      </w:divBdr>
    </w:div>
    <w:div w:id="752627577">
      <w:bodyDiv w:val="1"/>
      <w:marLeft w:val="0"/>
      <w:marRight w:val="0"/>
      <w:marTop w:val="0"/>
      <w:marBottom w:val="0"/>
      <w:divBdr>
        <w:top w:val="none" w:sz="0" w:space="0" w:color="auto"/>
        <w:left w:val="none" w:sz="0" w:space="0" w:color="auto"/>
        <w:bottom w:val="none" w:sz="0" w:space="0" w:color="auto"/>
        <w:right w:val="none" w:sz="0" w:space="0" w:color="auto"/>
      </w:divBdr>
    </w:div>
    <w:div w:id="906570937">
      <w:bodyDiv w:val="1"/>
      <w:marLeft w:val="0"/>
      <w:marRight w:val="0"/>
      <w:marTop w:val="0"/>
      <w:marBottom w:val="0"/>
      <w:divBdr>
        <w:top w:val="none" w:sz="0" w:space="0" w:color="auto"/>
        <w:left w:val="none" w:sz="0" w:space="0" w:color="auto"/>
        <w:bottom w:val="none" w:sz="0" w:space="0" w:color="auto"/>
        <w:right w:val="none" w:sz="0" w:space="0" w:color="auto"/>
      </w:divBdr>
    </w:div>
    <w:div w:id="939139297">
      <w:bodyDiv w:val="1"/>
      <w:marLeft w:val="0"/>
      <w:marRight w:val="0"/>
      <w:marTop w:val="0"/>
      <w:marBottom w:val="0"/>
      <w:divBdr>
        <w:top w:val="none" w:sz="0" w:space="0" w:color="auto"/>
        <w:left w:val="none" w:sz="0" w:space="0" w:color="auto"/>
        <w:bottom w:val="none" w:sz="0" w:space="0" w:color="auto"/>
        <w:right w:val="none" w:sz="0" w:space="0" w:color="auto"/>
      </w:divBdr>
    </w:div>
    <w:div w:id="951279733">
      <w:bodyDiv w:val="1"/>
      <w:marLeft w:val="0"/>
      <w:marRight w:val="0"/>
      <w:marTop w:val="0"/>
      <w:marBottom w:val="0"/>
      <w:divBdr>
        <w:top w:val="none" w:sz="0" w:space="0" w:color="auto"/>
        <w:left w:val="none" w:sz="0" w:space="0" w:color="auto"/>
        <w:bottom w:val="none" w:sz="0" w:space="0" w:color="auto"/>
        <w:right w:val="none" w:sz="0" w:space="0" w:color="auto"/>
      </w:divBdr>
    </w:div>
    <w:div w:id="1124688345">
      <w:bodyDiv w:val="1"/>
      <w:marLeft w:val="0"/>
      <w:marRight w:val="0"/>
      <w:marTop w:val="0"/>
      <w:marBottom w:val="0"/>
      <w:divBdr>
        <w:top w:val="none" w:sz="0" w:space="0" w:color="auto"/>
        <w:left w:val="none" w:sz="0" w:space="0" w:color="auto"/>
        <w:bottom w:val="none" w:sz="0" w:space="0" w:color="auto"/>
        <w:right w:val="none" w:sz="0" w:space="0" w:color="auto"/>
      </w:divBdr>
    </w:div>
    <w:div w:id="1126309667">
      <w:bodyDiv w:val="1"/>
      <w:marLeft w:val="0"/>
      <w:marRight w:val="0"/>
      <w:marTop w:val="0"/>
      <w:marBottom w:val="0"/>
      <w:divBdr>
        <w:top w:val="none" w:sz="0" w:space="0" w:color="auto"/>
        <w:left w:val="none" w:sz="0" w:space="0" w:color="auto"/>
        <w:bottom w:val="none" w:sz="0" w:space="0" w:color="auto"/>
        <w:right w:val="none" w:sz="0" w:space="0" w:color="auto"/>
      </w:divBdr>
    </w:div>
    <w:div w:id="1138497280">
      <w:bodyDiv w:val="1"/>
      <w:marLeft w:val="0"/>
      <w:marRight w:val="0"/>
      <w:marTop w:val="0"/>
      <w:marBottom w:val="0"/>
      <w:divBdr>
        <w:top w:val="none" w:sz="0" w:space="0" w:color="auto"/>
        <w:left w:val="none" w:sz="0" w:space="0" w:color="auto"/>
        <w:bottom w:val="none" w:sz="0" w:space="0" w:color="auto"/>
        <w:right w:val="none" w:sz="0" w:space="0" w:color="auto"/>
      </w:divBdr>
    </w:div>
    <w:div w:id="1153326894">
      <w:bodyDiv w:val="1"/>
      <w:marLeft w:val="0"/>
      <w:marRight w:val="0"/>
      <w:marTop w:val="0"/>
      <w:marBottom w:val="0"/>
      <w:divBdr>
        <w:top w:val="none" w:sz="0" w:space="0" w:color="auto"/>
        <w:left w:val="none" w:sz="0" w:space="0" w:color="auto"/>
        <w:bottom w:val="none" w:sz="0" w:space="0" w:color="auto"/>
        <w:right w:val="none" w:sz="0" w:space="0" w:color="auto"/>
      </w:divBdr>
    </w:div>
    <w:div w:id="1250844808">
      <w:bodyDiv w:val="1"/>
      <w:marLeft w:val="0"/>
      <w:marRight w:val="0"/>
      <w:marTop w:val="0"/>
      <w:marBottom w:val="0"/>
      <w:divBdr>
        <w:top w:val="none" w:sz="0" w:space="0" w:color="auto"/>
        <w:left w:val="none" w:sz="0" w:space="0" w:color="auto"/>
        <w:bottom w:val="none" w:sz="0" w:space="0" w:color="auto"/>
        <w:right w:val="none" w:sz="0" w:space="0" w:color="auto"/>
      </w:divBdr>
    </w:div>
    <w:div w:id="1268654556">
      <w:bodyDiv w:val="1"/>
      <w:marLeft w:val="0"/>
      <w:marRight w:val="0"/>
      <w:marTop w:val="0"/>
      <w:marBottom w:val="0"/>
      <w:divBdr>
        <w:top w:val="none" w:sz="0" w:space="0" w:color="auto"/>
        <w:left w:val="none" w:sz="0" w:space="0" w:color="auto"/>
        <w:bottom w:val="none" w:sz="0" w:space="0" w:color="auto"/>
        <w:right w:val="none" w:sz="0" w:space="0" w:color="auto"/>
      </w:divBdr>
    </w:div>
    <w:div w:id="1329793810">
      <w:bodyDiv w:val="1"/>
      <w:marLeft w:val="0"/>
      <w:marRight w:val="0"/>
      <w:marTop w:val="0"/>
      <w:marBottom w:val="0"/>
      <w:divBdr>
        <w:top w:val="none" w:sz="0" w:space="0" w:color="auto"/>
        <w:left w:val="none" w:sz="0" w:space="0" w:color="auto"/>
        <w:bottom w:val="none" w:sz="0" w:space="0" w:color="auto"/>
        <w:right w:val="none" w:sz="0" w:space="0" w:color="auto"/>
      </w:divBdr>
    </w:div>
    <w:div w:id="1354259970">
      <w:bodyDiv w:val="1"/>
      <w:marLeft w:val="0"/>
      <w:marRight w:val="0"/>
      <w:marTop w:val="0"/>
      <w:marBottom w:val="0"/>
      <w:divBdr>
        <w:top w:val="none" w:sz="0" w:space="0" w:color="auto"/>
        <w:left w:val="none" w:sz="0" w:space="0" w:color="auto"/>
        <w:bottom w:val="none" w:sz="0" w:space="0" w:color="auto"/>
        <w:right w:val="none" w:sz="0" w:space="0" w:color="auto"/>
      </w:divBdr>
    </w:div>
    <w:div w:id="1370835557">
      <w:bodyDiv w:val="1"/>
      <w:marLeft w:val="0"/>
      <w:marRight w:val="0"/>
      <w:marTop w:val="0"/>
      <w:marBottom w:val="0"/>
      <w:divBdr>
        <w:top w:val="none" w:sz="0" w:space="0" w:color="auto"/>
        <w:left w:val="none" w:sz="0" w:space="0" w:color="auto"/>
        <w:bottom w:val="none" w:sz="0" w:space="0" w:color="auto"/>
        <w:right w:val="none" w:sz="0" w:space="0" w:color="auto"/>
      </w:divBdr>
    </w:div>
    <w:div w:id="1527714565">
      <w:bodyDiv w:val="1"/>
      <w:marLeft w:val="0"/>
      <w:marRight w:val="0"/>
      <w:marTop w:val="0"/>
      <w:marBottom w:val="0"/>
      <w:divBdr>
        <w:top w:val="none" w:sz="0" w:space="0" w:color="auto"/>
        <w:left w:val="none" w:sz="0" w:space="0" w:color="auto"/>
        <w:bottom w:val="none" w:sz="0" w:space="0" w:color="auto"/>
        <w:right w:val="none" w:sz="0" w:space="0" w:color="auto"/>
      </w:divBdr>
    </w:div>
    <w:div w:id="1611627746">
      <w:bodyDiv w:val="1"/>
      <w:marLeft w:val="0"/>
      <w:marRight w:val="0"/>
      <w:marTop w:val="0"/>
      <w:marBottom w:val="0"/>
      <w:divBdr>
        <w:top w:val="none" w:sz="0" w:space="0" w:color="auto"/>
        <w:left w:val="none" w:sz="0" w:space="0" w:color="auto"/>
        <w:bottom w:val="none" w:sz="0" w:space="0" w:color="auto"/>
        <w:right w:val="none" w:sz="0" w:space="0" w:color="auto"/>
      </w:divBdr>
    </w:div>
    <w:div w:id="1657878181">
      <w:bodyDiv w:val="1"/>
      <w:marLeft w:val="0"/>
      <w:marRight w:val="0"/>
      <w:marTop w:val="0"/>
      <w:marBottom w:val="0"/>
      <w:divBdr>
        <w:top w:val="none" w:sz="0" w:space="0" w:color="auto"/>
        <w:left w:val="none" w:sz="0" w:space="0" w:color="auto"/>
        <w:bottom w:val="none" w:sz="0" w:space="0" w:color="auto"/>
        <w:right w:val="none" w:sz="0" w:space="0" w:color="auto"/>
      </w:divBdr>
    </w:div>
    <w:div w:id="1684628350">
      <w:bodyDiv w:val="1"/>
      <w:marLeft w:val="0"/>
      <w:marRight w:val="0"/>
      <w:marTop w:val="0"/>
      <w:marBottom w:val="0"/>
      <w:divBdr>
        <w:top w:val="none" w:sz="0" w:space="0" w:color="auto"/>
        <w:left w:val="none" w:sz="0" w:space="0" w:color="auto"/>
        <w:bottom w:val="none" w:sz="0" w:space="0" w:color="auto"/>
        <w:right w:val="none" w:sz="0" w:space="0" w:color="auto"/>
      </w:divBdr>
    </w:div>
    <w:div w:id="1806003249">
      <w:bodyDiv w:val="1"/>
      <w:marLeft w:val="0"/>
      <w:marRight w:val="0"/>
      <w:marTop w:val="0"/>
      <w:marBottom w:val="0"/>
      <w:divBdr>
        <w:top w:val="none" w:sz="0" w:space="0" w:color="auto"/>
        <w:left w:val="none" w:sz="0" w:space="0" w:color="auto"/>
        <w:bottom w:val="none" w:sz="0" w:space="0" w:color="auto"/>
        <w:right w:val="none" w:sz="0" w:space="0" w:color="auto"/>
      </w:divBdr>
    </w:div>
    <w:div w:id="1824080140">
      <w:bodyDiv w:val="1"/>
      <w:marLeft w:val="0"/>
      <w:marRight w:val="0"/>
      <w:marTop w:val="0"/>
      <w:marBottom w:val="0"/>
      <w:divBdr>
        <w:top w:val="none" w:sz="0" w:space="0" w:color="auto"/>
        <w:left w:val="none" w:sz="0" w:space="0" w:color="auto"/>
        <w:bottom w:val="none" w:sz="0" w:space="0" w:color="auto"/>
        <w:right w:val="none" w:sz="0" w:space="0" w:color="auto"/>
      </w:divBdr>
    </w:div>
    <w:div w:id="1848445555">
      <w:bodyDiv w:val="1"/>
      <w:marLeft w:val="0"/>
      <w:marRight w:val="0"/>
      <w:marTop w:val="0"/>
      <w:marBottom w:val="0"/>
      <w:divBdr>
        <w:top w:val="none" w:sz="0" w:space="0" w:color="auto"/>
        <w:left w:val="none" w:sz="0" w:space="0" w:color="auto"/>
        <w:bottom w:val="none" w:sz="0" w:space="0" w:color="auto"/>
        <w:right w:val="none" w:sz="0" w:space="0" w:color="auto"/>
      </w:divBdr>
    </w:div>
    <w:div w:id="1873031228">
      <w:bodyDiv w:val="1"/>
      <w:marLeft w:val="0"/>
      <w:marRight w:val="0"/>
      <w:marTop w:val="0"/>
      <w:marBottom w:val="0"/>
      <w:divBdr>
        <w:top w:val="none" w:sz="0" w:space="0" w:color="auto"/>
        <w:left w:val="none" w:sz="0" w:space="0" w:color="auto"/>
        <w:bottom w:val="none" w:sz="0" w:space="0" w:color="auto"/>
        <w:right w:val="none" w:sz="0" w:space="0" w:color="auto"/>
      </w:divBdr>
    </w:div>
    <w:div w:id="1884443349">
      <w:bodyDiv w:val="1"/>
      <w:marLeft w:val="0"/>
      <w:marRight w:val="0"/>
      <w:marTop w:val="0"/>
      <w:marBottom w:val="0"/>
      <w:divBdr>
        <w:top w:val="none" w:sz="0" w:space="0" w:color="auto"/>
        <w:left w:val="none" w:sz="0" w:space="0" w:color="auto"/>
        <w:bottom w:val="none" w:sz="0" w:space="0" w:color="auto"/>
        <w:right w:val="none" w:sz="0" w:space="0" w:color="auto"/>
      </w:divBdr>
    </w:div>
    <w:div w:id="1897207096">
      <w:bodyDiv w:val="1"/>
      <w:marLeft w:val="0"/>
      <w:marRight w:val="0"/>
      <w:marTop w:val="0"/>
      <w:marBottom w:val="0"/>
      <w:divBdr>
        <w:top w:val="none" w:sz="0" w:space="0" w:color="auto"/>
        <w:left w:val="none" w:sz="0" w:space="0" w:color="auto"/>
        <w:bottom w:val="none" w:sz="0" w:space="0" w:color="auto"/>
        <w:right w:val="none" w:sz="0" w:space="0" w:color="auto"/>
      </w:divBdr>
    </w:div>
    <w:div w:id="1941334721">
      <w:bodyDiv w:val="1"/>
      <w:marLeft w:val="0"/>
      <w:marRight w:val="0"/>
      <w:marTop w:val="0"/>
      <w:marBottom w:val="0"/>
      <w:divBdr>
        <w:top w:val="none" w:sz="0" w:space="0" w:color="auto"/>
        <w:left w:val="none" w:sz="0" w:space="0" w:color="auto"/>
        <w:bottom w:val="none" w:sz="0" w:space="0" w:color="auto"/>
        <w:right w:val="none" w:sz="0" w:space="0" w:color="auto"/>
      </w:divBdr>
    </w:div>
    <w:div w:id="1950968226">
      <w:bodyDiv w:val="1"/>
      <w:marLeft w:val="0"/>
      <w:marRight w:val="0"/>
      <w:marTop w:val="0"/>
      <w:marBottom w:val="0"/>
      <w:divBdr>
        <w:top w:val="none" w:sz="0" w:space="0" w:color="auto"/>
        <w:left w:val="none" w:sz="0" w:space="0" w:color="auto"/>
        <w:bottom w:val="none" w:sz="0" w:space="0" w:color="auto"/>
        <w:right w:val="none" w:sz="0" w:space="0" w:color="auto"/>
      </w:divBdr>
    </w:div>
    <w:div w:id="1976107932">
      <w:bodyDiv w:val="1"/>
      <w:marLeft w:val="0"/>
      <w:marRight w:val="0"/>
      <w:marTop w:val="0"/>
      <w:marBottom w:val="0"/>
      <w:divBdr>
        <w:top w:val="none" w:sz="0" w:space="0" w:color="auto"/>
        <w:left w:val="none" w:sz="0" w:space="0" w:color="auto"/>
        <w:bottom w:val="none" w:sz="0" w:space="0" w:color="auto"/>
        <w:right w:val="none" w:sz="0" w:space="0" w:color="auto"/>
      </w:divBdr>
    </w:div>
    <w:div w:id="1992640272">
      <w:bodyDiv w:val="1"/>
      <w:marLeft w:val="0"/>
      <w:marRight w:val="0"/>
      <w:marTop w:val="0"/>
      <w:marBottom w:val="0"/>
      <w:divBdr>
        <w:top w:val="none" w:sz="0" w:space="0" w:color="auto"/>
        <w:left w:val="none" w:sz="0" w:space="0" w:color="auto"/>
        <w:bottom w:val="none" w:sz="0" w:space="0" w:color="auto"/>
        <w:right w:val="none" w:sz="0" w:space="0" w:color="auto"/>
      </w:divBdr>
    </w:div>
    <w:div w:id="2028409256">
      <w:bodyDiv w:val="1"/>
      <w:marLeft w:val="0"/>
      <w:marRight w:val="0"/>
      <w:marTop w:val="0"/>
      <w:marBottom w:val="0"/>
      <w:divBdr>
        <w:top w:val="none" w:sz="0" w:space="0" w:color="auto"/>
        <w:left w:val="none" w:sz="0" w:space="0" w:color="auto"/>
        <w:bottom w:val="none" w:sz="0" w:space="0" w:color="auto"/>
        <w:right w:val="none" w:sz="0" w:space="0" w:color="auto"/>
      </w:divBdr>
    </w:div>
    <w:div w:id="2051954041">
      <w:bodyDiv w:val="1"/>
      <w:marLeft w:val="0"/>
      <w:marRight w:val="0"/>
      <w:marTop w:val="0"/>
      <w:marBottom w:val="0"/>
      <w:divBdr>
        <w:top w:val="none" w:sz="0" w:space="0" w:color="auto"/>
        <w:left w:val="none" w:sz="0" w:space="0" w:color="auto"/>
        <w:bottom w:val="none" w:sz="0" w:space="0" w:color="auto"/>
        <w:right w:val="none" w:sz="0" w:space="0" w:color="auto"/>
      </w:divBdr>
    </w:div>
    <w:div w:id="2102070435">
      <w:bodyDiv w:val="1"/>
      <w:marLeft w:val="0"/>
      <w:marRight w:val="0"/>
      <w:marTop w:val="0"/>
      <w:marBottom w:val="0"/>
      <w:divBdr>
        <w:top w:val="none" w:sz="0" w:space="0" w:color="auto"/>
        <w:left w:val="none" w:sz="0" w:space="0" w:color="auto"/>
        <w:bottom w:val="none" w:sz="0" w:space="0" w:color="auto"/>
        <w:right w:val="none" w:sz="0" w:space="0" w:color="auto"/>
      </w:divBdr>
    </w:div>
    <w:div w:id="2116485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isfer_cueva@hot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5281/zenodo.1047225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8133998-BCB2-7A42-8BB3-7F3D1F814315}">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B6355B-AF48-46BD-8A37-EDCEDAC94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40</Pages>
  <Words>9620</Words>
  <Characters>56753</Characters>
  <Application>Microsoft Office Word</Application>
  <DocSecurity>0</DocSecurity>
  <Lines>1112</Lines>
  <Paragraphs>403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65995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Cueva</dc:creator>
  <cp:keywords/>
  <dc:description/>
  <cp:lastModifiedBy>Luis Cueva</cp:lastModifiedBy>
  <cp:revision>3</cp:revision>
  <dcterms:created xsi:type="dcterms:W3CDTF">2025-01-24T15:55:00Z</dcterms:created>
  <dcterms:modified xsi:type="dcterms:W3CDTF">2025-01-24T15:57:00Z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http://www.zotero.org/styles/acta-amazonica</vt:lpwstr>
  </property>
  <property fmtid="{D5CDD505-2E9C-101B-9397-08002B2CF9AE}" pid="3" name="Mendeley Recent Style Name 0_1">
    <vt:lpwstr>Acta Amazonica</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http://www.zotero.org/styles/taylor-and-francis-council-of-science-editors-author-date</vt:lpwstr>
  </property>
  <property fmtid="{D5CDD505-2E9C-101B-9397-08002B2CF9AE}" pid="21" name="Mendeley Recent Style Name 9_1">
    <vt:lpwstr>Taylor &amp; Francis - Council of Science Editors (author-date)</vt:lpwstr>
  </property>
  <property fmtid="{D5CDD505-2E9C-101B-9397-08002B2CF9AE}" pid="22" name="Mendeley Document_1">
    <vt:lpwstr>True</vt:lpwstr>
  </property>
  <property fmtid="{D5CDD505-2E9C-101B-9397-08002B2CF9AE}" pid="23" name="Mendeley Unique User Id_1">
    <vt:lpwstr>65af6748-df82-38e5-bb37-555b1474fc41</vt:lpwstr>
  </property>
  <property fmtid="{D5CDD505-2E9C-101B-9397-08002B2CF9AE}" pid="24" name="Mendeley Citation Style_1">
    <vt:lpwstr>http://www.zotero.org/styles/apa</vt:lpwstr>
  </property>
  <property fmtid="{D5CDD505-2E9C-101B-9397-08002B2CF9AE}" pid="25" name="GrammarlyDocumentId">
    <vt:lpwstr>916bad8f4645717646727bcaaced2caf84a11f71e82f61a89399c808762d5989</vt:lpwstr>
  </property>
</Properties>
</file>