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93CE79" w14:textId="42D79702" w:rsidR="00846FEA" w:rsidRPr="003A1CA0" w:rsidRDefault="00846FEA">
      <w:pPr>
        <w:spacing w:line="276" w:lineRule="auto"/>
        <w:jc w:val="left"/>
        <w:rPr>
          <w:sz w:val="44"/>
          <w:szCs w:val="44"/>
          <w:lang w:val="es-CR"/>
        </w:rPr>
        <w:sectPr w:rsidR="00846FEA" w:rsidRPr="003A1CA0" w:rsidSect="00295FDF">
          <w:footerReference w:type="default" r:id="rId8"/>
          <w:footerReference w:type="first" r:id="rId9"/>
          <w:pgSz w:w="12240" w:h="15840"/>
          <w:pgMar w:top="1418" w:right="1418" w:bottom="1418" w:left="1985" w:header="709" w:footer="709" w:gutter="0"/>
          <w:pgNumType w:fmt="lowerRoman" w:start="1"/>
          <w:cols w:space="708"/>
          <w:titlePg/>
          <w:docGrid w:linePitch="360"/>
        </w:sectPr>
      </w:pPr>
      <w:bookmarkStart w:id="0" w:name="_Toc269936274"/>
      <w:bookmarkStart w:id="1" w:name="_Toc269942302"/>
      <w:bookmarkStart w:id="2" w:name="_Toc269944303"/>
      <w:bookmarkStart w:id="3" w:name="_Toc269944988"/>
      <w:bookmarkStart w:id="4" w:name="_Toc270016703"/>
      <w:bookmarkStart w:id="5" w:name="_Toc270017570"/>
      <w:bookmarkStart w:id="6" w:name="_Toc323235852"/>
      <w:bookmarkStart w:id="7" w:name="_Toc323236063"/>
      <w:bookmarkStart w:id="8" w:name="_Toc323280114"/>
      <w:bookmarkStart w:id="9" w:name="_Toc323785095"/>
      <w:bookmarkStart w:id="10" w:name="_Toc323887840"/>
      <w:bookmarkStart w:id="11" w:name="_Toc324201014"/>
      <w:bookmarkStart w:id="12" w:name="_Toc363433070"/>
    </w:p>
    <w:p w14:paraId="6B20BB22" w14:textId="02A77003" w:rsidR="007412B4" w:rsidRPr="003A1CA0" w:rsidRDefault="007412B4" w:rsidP="00BC2355">
      <w:pPr>
        <w:jc w:val="center"/>
        <w:rPr>
          <w:sz w:val="44"/>
          <w:szCs w:val="44"/>
          <w:lang w:val="es-CR"/>
        </w:rPr>
      </w:pPr>
      <w:r w:rsidRPr="003A1CA0">
        <w:rPr>
          <w:sz w:val="44"/>
          <w:szCs w:val="44"/>
          <w:lang w:val="es-CR"/>
        </w:rPr>
        <w:lastRenderedPageBreak/>
        <w:t>UNIVERSIDAD DE COSTA RICA</w:t>
      </w:r>
    </w:p>
    <w:p w14:paraId="61B7E815" w14:textId="77777777" w:rsidR="007412B4" w:rsidRPr="003A1CA0" w:rsidRDefault="007412B4" w:rsidP="00BC2355">
      <w:pPr>
        <w:jc w:val="center"/>
        <w:rPr>
          <w:sz w:val="44"/>
          <w:szCs w:val="44"/>
          <w:lang w:val="es-CR"/>
        </w:rPr>
      </w:pPr>
      <w:r w:rsidRPr="003A1CA0">
        <w:rPr>
          <w:sz w:val="44"/>
          <w:szCs w:val="44"/>
          <w:lang w:val="es-CR"/>
        </w:rPr>
        <w:t>SISTEMA DE ESTUDIOS DE POSGRADO</w:t>
      </w:r>
    </w:p>
    <w:p w14:paraId="6A557728" w14:textId="77777777" w:rsidR="007412B4" w:rsidRPr="003A1CA0" w:rsidRDefault="007412B4" w:rsidP="007412B4">
      <w:pPr>
        <w:jc w:val="center"/>
        <w:rPr>
          <w:lang w:val="es-CR"/>
        </w:rPr>
      </w:pPr>
    </w:p>
    <w:p w14:paraId="6BC9261A" w14:textId="0D91F4A2" w:rsidR="007412B4" w:rsidRPr="003A1CA0" w:rsidRDefault="007412B4" w:rsidP="007412B4">
      <w:pPr>
        <w:jc w:val="center"/>
        <w:rPr>
          <w:sz w:val="36"/>
          <w:szCs w:val="36"/>
          <w:lang w:val="es-CR"/>
        </w:rPr>
      </w:pPr>
      <w:r w:rsidRPr="003A1CA0">
        <w:rPr>
          <w:sz w:val="36"/>
          <w:szCs w:val="36"/>
          <w:lang w:val="es-CR"/>
        </w:rPr>
        <w:t xml:space="preserve">MANEJO PRE-TRANS Y POST OPERATORIO DE LA ISQUEMIA </w:t>
      </w:r>
      <w:r w:rsidR="00EA2516" w:rsidRPr="003A1CA0">
        <w:rPr>
          <w:sz w:val="36"/>
          <w:szCs w:val="36"/>
          <w:lang w:val="es-CR"/>
        </w:rPr>
        <w:t>MEDULAR</w:t>
      </w:r>
      <w:r w:rsidRPr="003A1CA0">
        <w:rPr>
          <w:sz w:val="36"/>
          <w:szCs w:val="36"/>
          <w:lang w:val="es-CR"/>
        </w:rPr>
        <w:t xml:space="preserve"> EN CIRUG</w:t>
      </w:r>
      <w:r w:rsidR="00B05F46">
        <w:rPr>
          <w:sz w:val="36"/>
          <w:szCs w:val="36"/>
          <w:lang w:val="es-ES"/>
        </w:rPr>
        <w:t>Í</w:t>
      </w:r>
      <w:r w:rsidRPr="003A1CA0">
        <w:rPr>
          <w:sz w:val="36"/>
          <w:szCs w:val="36"/>
          <w:lang w:val="es-CR"/>
        </w:rPr>
        <w:t xml:space="preserve">A </w:t>
      </w:r>
      <w:r w:rsidR="003C51C0" w:rsidRPr="003A1CA0">
        <w:rPr>
          <w:sz w:val="36"/>
          <w:szCs w:val="36"/>
          <w:lang w:val="es-CR"/>
        </w:rPr>
        <w:t>AÓRTICA</w:t>
      </w:r>
    </w:p>
    <w:p w14:paraId="2C102726" w14:textId="29928509" w:rsidR="007412B4" w:rsidRPr="003A1CA0" w:rsidRDefault="007412B4" w:rsidP="007412B4">
      <w:pPr>
        <w:jc w:val="center"/>
        <w:rPr>
          <w:sz w:val="32"/>
          <w:szCs w:val="32"/>
          <w:lang w:val="es-CR"/>
        </w:rPr>
      </w:pPr>
      <w:r w:rsidRPr="003A1CA0">
        <w:rPr>
          <w:sz w:val="32"/>
          <w:szCs w:val="32"/>
          <w:lang w:val="es-CR"/>
        </w:rPr>
        <w:t>Tesis sometida a la consideración de la Comisión del Programa de Estudios de Posgrado en Vascular Periférico para optar al grado y título de Especialista en Cirugía Vascular Periféric</w:t>
      </w:r>
      <w:r w:rsidR="00F02EAC">
        <w:rPr>
          <w:sz w:val="32"/>
          <w:szCs w:val="32"/>
          <w:lang w:val="es-CR"/>
        </w:rPr>
        <w:t>a</w:t>
      </w:r>
      <w:r w:rsidR="003C51C0" w:rsidRPr="003A1CA0">
        <w:rPr>
          <w:sz w:val="32"/>
          <w:szCs w:val="32"/>
          <w:lang w:val="es-CR"/>
        </w:rPr>
        <w:t>.</w:t>
      </w:r>
    </w:p>
    <w:p w14:paraId="7938DD58" w14:textId="77777777" w:rsidR="007412B4" w:rsidRPr="003A1CA0" w:rsidRDefault="007412B4" w:rsidP="007412B4">
      <w:pPr>
        <w:jc w:val="center"/>
        <w:rPr>
          <w:lang w:val="es-CR"/>
        </w:rPr>
      </w:pPr>
    </w:p>
    <w:p w14:paraId="159083AA" w14:textId="11F4BE7A" w:rsidR="007412B4" w:rsidRPr="003A1CA0" w:rsidRDefault="007412B4" w:rsidP="007412B4">
      <w:pPr>
        <w:jc w:val="center"/>
        <w:rPr>
          <w:sz w:val="28"/>
          <w:szCs w:val="28"/>
          <w:lang w:val="es-CR"/>
        </w:rPr>
      </w:pPr>
      <w:r w:rsidRPr="003A1CA0">
        <w:rPr>
          <w:sz w:val="28"/>
          <w:szCs w:val="28"/>
          <w:lang w:val="es-CR"/>
        </w:rPr>
        <w:t>Dr. Christopher Mac Courtney Arias</w:t>
      </w:r>
    </w:p>
    <w:p w14:paraId="753BF967" w14:textId="77777777" w:rsidR="007877DD" w:rsidRPr="003A1CA0" w:rsidRDefault="007877DD" w:rsidP="007412B4">
      <w:pPr>
        <w:jc w:val="center"/>
        <w:rPr>
          <w:sz w:val="28"/>
          <w:szCs w:val="28"/>
          <w:lang w:val="es-CR"/>
        </w:rPr>
      </w:pPr>
    </w:p>
    <w:p w14:paraId="4BF03FBD" w14:textId="77777777" w:rsidR="007412B4" w:rsidRPr="003A1CA0" w:rsidRDefault="007412B4" w:rsidP="007412B4">
      <w:pPr>
        <w:jc w:val="center"/>
        <w:rPr>
          <w:sz w:val="28"/>
          <w:szCs w:val="28"/>
          <w:lang w:val="es-CR"/>
        </w:rPr>
      </w:pPr>
      <w:r w:rsidRPr="003A1CA0">
        <w:rPr>
          <w:sz w:val="28"/>
          <w:szCs w:val="28"/>
          <w:lang w:val="es-CR"/>
        </w:rPr>
        <w:t>Ciudad Universitaria Rodrigo Facio, Costa Rica</w:t>
      </w:r>
    </w:p>
    <w:p w14:paraId="414659C5" w14:textId="77777777" w:rsidR="007412B4" w:rsidRPr="003A1CA0" w:rsidRDefault="007412B4" w:rsidP="007412B4">
      <w:pPr>
        <w:jc w:val="center"/>
        <w:rPr>
          <w:sz w:val="28"/>
          <w:szCs w:val="28"/>
          <w:lang w:val="es-CR"/>
        </w:rPr>
        <w:sectPr w:rsidR="007412B4" w:rsidRPr="003A1CA0" w:rsidSect="00295FDF">
          <w:pgSz w:w="12240" w:h="15840"/>
          <w:pgMar w:top="1418" w:right="1418" w:bottom="1418" w:left="1985" w:header="709" w:footer="709" w:gutter="0"/>
          <w:pgNumType w:fmt="lowerRoman" w:start="1"/>
          <w:cols w:space="708"/>
          <w:titlePg/>
          <w:docGrid w:linePitch="360"/>
        </w:sectPr>
      </w:pPr>
      <w:r w:rsidRPr="003A1CA0">
        <w:rPr>
          <w:sz w:val="28"/>
          <w:szCs w:val="28"/>
          <w:lang w:val="es-CR"/>
        </w:rPr>
        <w:t>2020</w:t>
      </w:r>
    </w:p>
    <w:p w14:paraId="3230B5E8" w14:textId="77777777" w:rsidR="007412B4" w:rsidRPr="003A1CA0" w:rsidRDefault="007412B4" w:rsidP="00B05F46">
      <w:pPr>
        <w:pStyle w:val="Title"/>
      </w:pPr>
      <w:bookmarkStart w:id="13" w:name="_Toc47027822"/>
      <w:r w:rsidRPr="00B05F46">
        <w:lastRenderedPageBreak/>
        <w:t>Dedicatoria</w:t>
      </w:r>
      <w:bookmarkEnd w:id="13"/>
    </w:p>
    <w:p w14:paraId="5FED21FD" w14:textId="77777777" w:rsidR="00B05F46" w:rsidRDefault="00B05F46" w:rsidP="00B05F46">
      <w:pPr>
        <w:spacing w:line="276" w:lineRule="auto"/>
        <w:ind w:firstLine="0"/>
        <w:jc w:val="left"/>
        <w:rPr>
          <w:sz w:val="48"/>
          <w:lang w:val="es-CR"/>
        </w:rPr>
      </w:pPr>
    </w:p>
    <w:p w14:paraId="734F9559" w14:textId="23E6118A" w:rsidR="007412B4" w:rsidRDefault="00B05F46" w:rsidP="00AD46AD">
      <w:pPr>
        <w:rPr>
          <w:sz w:val="48"/>
          <w:lang w:val="es-CR"/>
        </w:rPr>
      </w:pPr>
      <w:r>
        <w:rPr>
          <w:lang w:val="es-CR"/>
        </w:rPr>
        <w:t xml:space="preserve">El futuro </w:t>
      </w:r>
      <w:r w:rsidR="009C46A7">
        <w:rPr>
          <w:lang w:val="es-CR"/>
        </w:rPr>
        <w:t>está</w:t>
      </w:r>
      <w:r w:rsidR="00B66441">
        <w:rPr>
          <w:lang w:val="es-CR"/>
        </w:rPr>
        <w:t xml:space="preserve"> basado en la formación y crecimiento de las nuevas generaciones, a estos les dedico el tiempo y trabajo impuesto en </w:t>
      </w:r>
      <w:r w:rsidR="00557900">
        <w:rPr>
          <w:lang w:val="es-CR"/>
        </w:rPr>
        <w:t xml:space="preserve">el desarrollo </w:t>
      </w:r>
      <w:r w:rsidR="00B66441">
        <w:rPr>
          <w:lang w:val="es-CR"/>
        </w:rPr>
        <w:t>de esta investigación.</w:t>
      </w:r>
      <w:r w:rsidR="007412B4" w:rsidRPr="003A1CA0">
        <w:rPr>
          <w:sz w:val="48"/>
          <w:lang w:val="es-CR"/>
        </w:rPr>
        <w:br w:type="page"/>
      </w:r>
    </w:p>
    <w:p w14:paraId="1FAED3A9" w14:textId="77777777" w:rsidR="00B05F46" w:rsidRPr="003A1CA0" w:rsidRDefault="00B05F46" w:rsidP="00B05F46">
      <w:pPr>
        <w:spacing w:line="276" w:lineRule="auto"/>
        <w:ind w:firstLine="0"/>
        <w:jc w:val="left"/>
        <w:rPr>
          <w:sz w:val="48"/>
          <w:lang w:val="es-CR"/>
        </w:rPr>
      </w:pPr>
    </w:p>
    <w:p w14:paraId="4B4693B7" w14:textId="28B4E635" w:rsidR="007412B4" w:rsidRDefault="007412B4" w:rsidP="00B05F46">
      <w:pPr>
        <w:pStyle w:val="Title"/>
      </w:pPr>
      <w:bookmarkStart w:id="14" w:name="_Toc47027823"/>
      <w:r w:rsidRPr="00B05F46">
        <w:t>Agradecimientos</w:t>
      </w:r>
      <w:bookmarkEnd w:id="14"/>
    </w:p>
    <w:p w14:paraId="3EF05233" w14:textId="248E4B4A" w:rsidR="00B05F46" w:rsidRDefault="00B05F46" w:rsidP="00B05F46">
      <w:pPr>
        <w:rPr>
          <w:lang w:val="es-CR"/>
        </w:rPr>
      </w:pPr>
    </w:p>
    <w:p w14:paraId="01EB2AC8" w14:textId="2EA9ED81" w:rsidR="00B05F46" w:rsidRDefault="00B05F46" w:rsidP="00AD46AD">
      <w:pPr>
        <w:rPr>
          <w:lang w:val="es-CR"/>
        </w:rPr>
      </w:pPr>
      <w:r>
        <w:rPr>
          <w:lang w:val="es-CR"/>
        </w:rPr>
        <w:t xml:space="preserve">El proceso de formación consta de muchos años de </w:t>
      </w:r>
      <w:r w:rsidR="009C46A7">
        <w:rPr>
          <w:lang w:val="es-CR"/>
        </w:rPr>
        <w:t>dedicación</w:t>
      </w:r>
      <w:r>
        <w:rPr>
          <w:lang w:val="es-CR"/>
        </w:rPr>
        <w:t xml:space="preserve"> y sacrificios, de la mano siempre de compañeros y amigos que ayudan a la formación integral de un profesional.</w:t>
      </w:r>
    </w:p>
    <w:p w14:paraId="2947FC97" w14:textId="0FE5EA72" w:rsidR="00B05F46" w:rsidRPr="00B05F46" w:rsidRDefault="00B05F46" w:rsidP="00AD46AD">
      <w:pPr>
        <w:rPr>
          <w:lang w:val="es-CR"/>
        </w:rPr>
      </w:pPr>
      <w:r>
        <w:rPr>
          <w:lang w:val="es-CR"/>
        </w:rPr>
        <w:t xml:space="preserve">Este proceso no pudo haber sido posible sin mis tutores y maestros, con su dedicación, tiempo y paciencia agradecido por siempre. De la misma forma que este documento de investigación no pudo haber sido posible sin mi amigo y mejor R1 </w:t>
      </w:r>
      <w:r w:rsidR="009C46A7">
        <w:rPr>
          <w:lang w:val="es-CR"/>
        </w:rPr>
        <w:t>Raúl</w:t>
      </w:r>
      <w:r>
        <w:rPr>
          <w:lang w:val="es-CR"/>
        </w:rPr>
        <w:t xml:space="preserve"> Sandoval.</w:t>
      </w:r>
    </w:p>
    <w:p w14:paraId="21F30E61" w14:textId="2622E703" w:rsidR="007877DD" w:rsidRPr="00C02B51" w:rsidRDefault="007412B4" w:rsidP="00C02B51">
      <w:pPr>
        <w:spacing w:line="276" w:lineRule="auto"/>
        <w:ind w:firstLine="0"/>
        <w:jc w:val="left"/>
        <w:rPr>
          <w:sz w:val="48"/>
          <w:lang w:val="es-CR"/>
        </w:rPr>
      </w:pPr>
      <w:r w:rsidRPr="003A1CA0">
        <w:rPr>
          <w:sz w:val="48"/>
          <w:lang w:val="es-CR"/>
        </w:rPr>
        <w:br w:type="page"/>
      </w:r>
    </w:p>
    <w:p w14:paraId="5695E2DF" w14:textId="2F77AEF2" w:rsidR="007412B4" w:rsidRPr="00C02B51" w:rsidRDefault="00C02B51" w:rsidP="00C02B51">
      <w:pPr>
        <w:ind w:firstLine="0"/>
        <w:jc w:val="thaiDistribute"/>
        <w:rPr>
          <w:b/>
          <w:bCs/>
          <w:lang w:val="es-CR"/>
        </w:rPr>
      </w:pPr>
      <w:r w:rsidRPr="00C02B51">
        <w:rPr>
          <w:sz w:val="44"/>
          <w:szCs w:val="44"/>
          <w:lang w:val="es-CR"/>
        </w:rPr>
        <w:lastRenderedPageBreak/>
        <w:drawing>
          <wp:inline distT="0" distB="0" distL="0" distR="0" wp14:anchorId="0B93F973" wp14:editId="4D6012A3">
            <wp:extent cx="5592418" cy="7949486"/>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00474" cy="7960937"/>
                    </a:xfrm>
                    <a:prstGeom prst="rect">
                      <a:avLst/>
                    </a:prstGeom>
                  </pic:spPr>
                </pic:pic>
              </a:graphicData>
            </a:graphic>
          </wp:inline>
        </w:drawing>
      </w:r>
      <w:bookmarkStart w:id="15" w:name="_GoBack"/>
      <w:bookmarkEnd w:id="15"/>
      <w:r w:rsidR="007412B4" w:rsidRPr="00C83CD9">
        <w:rPr>
          <w:b/>
          <w:bCs/>
        </w:rPr>
        <w:br w:type="page"/>
      </w:r>
    </w:p>
    <w:p w14:paraId="741C1338" w14:textId="6D06E789" w:rsidR="00CE2C09" w:rsidRPr="003A1CA0" w:rsidRDefault="007412B4" w:rsidP="00B05F46">
      <w:pPr>
        <w:pStyle w:val="Title"/>
      </w:pPr>
      <w:bookmarkStart w:id="16" w:name="_Toc47027825"/>
      <w:bookmarkEnd w:id="0"/>
      <w:bookmarkEnd w:id="1"/>
      <w:bookmarkEnd w:id="2"/>
      <w:bookmarkEnd w:id="3"/>
      <w:bookmarkEnd w:id="4"/>
      <w:bookmarkEnd w:id="5"/>
      <w:bookmarkEnd w:id="6"/>
      <w:bookmarkEnd w:id="7"/>
      <w:bookmarkEnd w:id="8"/>
      <w:bookmarkEnd w:id="9"/>
      <w:bookmarkEnd w:id="10"/>
      <w:bookmarkEnd w:id="11"/>
      <w:bookmarkEnd w:id="12"/>
      <w:r w:rsidRPr="003A1CA0">
        <w:lastRenderedPageBreak/>
        <w:t>Tabla de Contenidos</w:t>
      </w:r>
      <w:bookmarkEnd w:id="16"/>
    </w:p>
    <w:sdt>
      <w:sdtPr>
        <w:rPr>
          <w:rFonts w:eastAsiaTheme="minorHAnsi" w:cstheme="minorBidi"/>
          <w:bCs w:val="0"/>
          <w:iCs w:val="0"/>
          <w:szCs w:val="22"/>
          <w:lang w:val="en-US" w:bidi="en-US"/>
        </w:rPr>
        <w:id w:val="756257799"/>
        <w:docPartObj>
          <w:docPartGallery w:val="Table of Contents"/>
          <w:docPartUnique/>
        </w:docPartObj>
      </w:sdtPr>
      <w:sdtEndPr>
        <w:rPr>
          <w:b/>
          <w:noProof/>
        </w:rPr>
      </w:sdtEndPr>
      <w:sdtContent>
        <w:p w14:paraId="169D776D" w14:textId="19B0D2A6" w:rsidR="00F33A14" w:rsidRPr="003A1CA0" w:rsidRDefault="00F33A14">
          <w:pPr>
            <w:pStyle w:val="TOCHeading"/>
          </w:pPr>
        </w:p>
        <w:p w14:paraId="70252DB5" w14:textId="7D225A7F" w:rsidR="00E77640" w:rsidRDefault="00F33A14">
          <w:pPr>
            <w:pStyle w:val="TOC1"/>
            <w:rPr>
              <w:rFonts w:asciiTheme="minorHAnsi" w:eastAsiaTheme="minorEastAsia" w:hAnsiTheme="minorHAnsi" w:cstheme="minorBidi"/>
              <w:b w:val="0"/>
              <w:sz w:val="22"/>
              <w:lang w:val="es-CR" w:eastAsia="es-CR" w:bidi="ar-SA"/>
            </w:rPr>
          </w:pPr>
          <w:r w:rsidRPr="003A1CA0">
            <w:rPr>
              <w:lang w:val="es-CR"/>
            </w:rPr>
            <w:fldChar w:fldCharType="begin"/>
          </w:r>
          <w:r w:rsidRPr="003A1CA0">
            <w:rPr>
              <w:lang w:val="es-CR"/>
            </w:rPr>
            <w:instrText xml:space="preserve"> TOC \o "1-3" \h \z \u </w:instrText>
          </w:r>
          <w:r w:rsidRPr="003A1CA0">
            <w:rPr>
              <w:lang w:val="es-CR"/>
            </w:rPr>
            <w:fldChar w:fldCharType="separate"/>
          </w:r>
          <w:hyperlink w:anchor="_Toc47027822" w:history="1">
            <w:r w:rsidR="00E77640" w:rsidRPr="00A45653">
              <w:rPr>
                <w:rStyle w:val="Hyperlink"/>
              </w:rPr>
              <w:t>Dedicatoria</w:t>
            </w:r>
            <w:r w:rsidR="00E77640">
              <w:rPr>
                <w:webHidden/>
              </w:rPr>
              <w:tab/>
            </w:r>
            <w:r w:rsidR="00E77640">
              <w:rPr>
                <w:webHidden/>
              </w:rPr>
              <w:fldChar w:fldCharType="begin"/>
            </w:r>
            <w:r w:rsidR="00E77640">
              <w:rPr>
                <w:webHidden/>
              </w:rPr>
              <w:instrText xml:space="preserve"> PAGEREF _Toc47027822 \h </w:instrText>
            </w:r>
            <w:r w:rsidR="00E77640">
              <w:rPr>
                <w:webHidden/>
              </w:rPr>
            </w:r>
            <w:r w:rsidR="00E77640">
              <w:rPr>
                <w:webHidden/>
              </w:rPr>
              <w:fldChar w:fldCharType="separate"/>
            </w:r>
            <w:r w:rsidR="00E77640">
              <w:rPr>
                <w:webHidden/>
              </w:rPr>
              <w:t>i</w:t>
            </w:r>
            <w:r w:rsidR="00E77640">
              <w:rPr>
                <w:webHidden/>
              </w:rPr>
              <w:fldChar w:fldCharType="end"/>
            </w:r>
          </w:hyperlink>
        </w:p>
        <w:p w14:paraId="5D5760FA" w14:textId="5ACF3762" w:rsidR="00E77640" w:rsidRDefault="00C1293C">
          <w:pPr>
            <w:pStyle w:val="TOC1"/>
            <w:rPr>
              <w:rFonts w:asciiTheme="minorHAnsi" w:eastAsiaTheme="minorEastAsia" w:hAnsiTheme="minorHAnsi" w:cstheme="minorBidi"/>
              <w:b w:val="0"/>
              <w:sz w:val="22"/>
              <w:lang w:val="es-CR" w:eastAsia="es-CR" w:bidi="ar-SA"/>
            </w:rPr>
          </w:pPr>
          <w:hyperlink w:anchor="_Toc47027823" w:history="1">
            <w:r w:rsidR="00E77640" w:rsidRPr="00A45653">
              <w:rPr>
                <w:rStyle w:val="Hyperlink"/>
              </w:rPr>
              <w:t>Agradecimientos</w:t>
            </w:r>
            <w:r w:rsidR="00E77640">
              <w:rPr>
                <w:webHidden/>
              </w:rPr>
              <w:tab/>
            </w:r>
            <w:r w:rsidR="00E77640">
              <w:rPr>
                <w:webHidden/>
              </w:rPr>
              <w:fldChar w:fldCharType="begin"/>
            </w:r>
            <w:r w:rsidR="00E77640">
              <w:rPr>
                <w:webHidden/>
              </w:rPr>
              <w:instrText xml:space="preserve"> PAGEREF _Toc47027823 \h </w:instrText>
            </w:r>
            <w:r w:rsidR="00E77640">
              <w:rPr>
                <w:webHidden/>
              </w:rPr>
            </w:r>
            <w:r w:rsidR="00E77640">
              <w:rPr>
                <w:webHidden/>
              </w:rPr>
              <w:fldChar w:fldCharType="separate"/>
            </w:r>
            <w:r w:rsidR="00E77640">
              <w:rPr>
                <w:webHidden/>
              </w:rPr>
              <w:t>ii</w:t>
            </w:r>
            <w:r w:rsidR="00E77640">
              <w:rPr>
                <w:webHidden/>
              </w:rPr>
              <w:fldChar w:fldCharType="end"/>
            </w:r>
          </w:hyperlink>
        </w:p>
        <w:p w14:paraId="7C304A22" w14:textId="4FD59E26" w:rsidR="00E77640" w:rsidRDefault="00C1293C">
          <w:pPr>
            <w:pStyle w:val="TOC1"/>
            <w:rPr>
              <w:rFonts w:asciiTheme="minorHAnsi" w:eastAsiaTheme="minorEastAsia" w:hAnsiTheme="minorHAnsi" w:cstheme="minorBidi"/>
              <w:b w:val="0"/>
              <w:sz w:val="22"/>
              <w:lang w:val="es-CR" w:eastAsia="es-CR" w:bidi="ar-SA"/>
            </w:rPr>
          </w:pPr>
          <w:hyperlink w:anchor="_Toc47027824" w:history="1">
            <w:r w:rsidR="00E77640" w:rsidRPr="00A45653">
              <w:rPr>
                <w:rStyle w:val="Hyperlink"/>
              </w:rPr>
              <w:t>Hoja de Aprobación</w:t>
            </w:r>
            <w:r w:rsidR="00E77640">
              <w:rPr>
                <w:webHidden/>
              </w:rPr>
              <w:tab/>
            </w:r>
            <w:r w:rsidR="00E77640">
              <w:rPr>
                <w:webHidden/>
              </w:rPr>
              <w:fldChar w:fldCharType="begin"/>
            </w:r>
            <w:r w:rsidR="00E77640">
              <w:rPr>
                <w:webHidden/>
              </w:rPr>
              <w:instrText xml:space="preserve"> PAGEREF _Toc47027824 \h </w:instrText>
            </w:r>
            <w:r w:rsidR="00E77640">
              <w:rPr>
                <w:webHidden/>
              </w:rPr>
            </w:r>
            <w:r w:rsidR="00E77640">
              <w:rPr>
                <w:webHidden/>
              </w:rPr>
              <w:fldChar w:fldCharType="separate"/>
            </w:r>
            <w:r w:rsidR="00E77640">
              <w:rPr>
                <w:webHidden/>
              </w:rPr>
              <w:t>iii</w:t>
            </w:r>
            <w:r w:rsidR="00E77640">
              <w:rPr>
                <w:webHidden/>
              </w:rPr>
              <w:fldChar w:fldCharType="end"/>
            </w:r>
          </w:hyperlink>
        </w:p>
        <w:p w14:paraId="6398E918" w14:textId="5C8168AB" w:rsidR="00E77640" w:rsidRDefault="00C1293C">
          <w:pPr>
            <w:pStyle w:val="TOC1"/>
            <w:rPr>
              <w:rFonts w:asciiTheme="minorHAnsi" w:eastAsiaTheme="minorEastAsia" w:hAnsiTheme="minorHAnsi" w:cstheme="minorBidi"/>
              <w:b w:val="0"/>
              <w:sz w:val="22"/>
              <w:lang w:val="es-CR" w:eastAsia="es-CR" w:bidi="ar-SA"/>
            </w:rPr>
          </w:pPr>
          <w:hyperlink w:anchor="_Toc47027825" w:history="1">
            <w:r w:rsidR="00E77640" w:rsidRPr="00A45653">
              <w:rPr>
                <w:rStyle w:val="Hyperlink"/>
              </w:rPr>
              <w:t>Tabla de Contenidos</w:t>
            </w:r>
            <w:r w:rsidR="00E77640">
              <w:rPr>
                <w:webHidden/>
              </w:rPr>
              <w:tab/>
            </w:r>
            <w:r w:rsidR="00E77640">
              <w:rPr>
                <w:webHidden/>
              </w:rPr>
              <w:fldChar w:fldCharType="begin"/>
            </w:r>
            <w:r w:rsidR="00E77640">
              <w:rPr>
                <w:webHidden/>
              </w:rPr>
              <w:instrText xml:space="preserve"> PAGEREF _Toc47027825 \h </w:instrText>
            </w:r>
            <w:r w:rsidR="00E77640">
              <w:rPr>
                <w:webHidden/>
              </w:rPr>
            </w:r>
            <w:r w:rsidR="00E77640">
              <w:rPr>
                <w:webHidden/>
              </w:rPr>
              <w:fldChar w:fldCharType="separate"/>
            </w:r>
            <w:r w:rsidR="00E77640">
              <w:rPr>
                <w:webHidden/>
              </w:rPr>
              <w:t>iv</w:t>
            </w:r>
            <w:r w:rsidR="00E77640">
              <w:rPr>
                <w:webHidden/>
              </w:rPr>
              <w:fldChar w:fldCharType="end"/>
            </w:r>
          </w:hyperlink>
        </w:p>
        <w:p w14:paraId="7C33298A" w14:textId="1FB13C2F" w:rsidR="00E77640" w:rsidRDefault="00C1293C">
          <w:pPr>
            <w:pStyle w:val="TOC1"/>
            <w:rPr>
              <w:rFonts w:asciiTheme="minorHAnsi" w:eastAsiaTheme="minorEastAsia" w:hAnsiTheme="minorHAnsi" w:cstheme="minorBidi"/>
              <w:b w:val="0"/>
              <w:sz w:val="22"/>
              <w:lang w:val="es-CR" w:eastAsia="es-CR" w:bidi="ar-SA"/>
            </w:rPr>
          </w:pPr>
          <w:hyperlink w:anchor="_Toc47027826" w:history="1">
            <w:r w:rsidR="00E77640" w:rsidRPr="00A45653">
              <w:rPr>
                <w:rStyle w:val="Hyperlink"/>
              </w:rPr>
              <w:t>Resumen</w:t>
            </w:r>
            <w:r w:rsidR="00E77640">
              <w:rPr>
                <w:webHidden/>
              </w:rPr>
              <w:tab/>
            </w:r>
            <w:r w:rsidR="00E77640">
              <w:rPr>
                <w:webHidden/>
              </w:rPr>
              <w:fldChar w:fldCharType="begin"/>
            </w:r>
            <w:r w:rsidR="00E77640">
              <w:rPr>
                <w:webHidden/>
              </w:rPr>
              <w:instrText xml:space="preserve"> PAGEREF _Toc47027826 \h </w:instrText>
            </w:r>
            <w:r w:rsidR="00E77640">
              <w:rPr>
                <w:webHidden/>
              </w:rPr>
            </w:r>
            <w:r w:rsidR="00E77640">
              <w:rPr>
                <w:webHidden/>
              </w:rPr>
              <w:fldChar w:fldCharType="separate"/>
            </w:r>
            <w:r w:rsidR="00E77640">
              <w:rPr>
                <w:webHidden/>
              </w:rPr>
              <w:t>vi</w:t>
            </w:r>
            <w:r w:rsidR="00E77640">
              <w:rPr>
                <w:webHidden/>
              </w:rPr>
              <w:fldChar w:fldCharType="end"/>
            </w:r>
          </w:hyperlink>
        </w:p>
        <w:p w14:paraId="51CD7B95" w14:textId="2DFED151" w:rsidR="00E77640" w:rsidRDefault="00C1293C">
          <w:pPr>
            <w:pStyle w:val="TOC1"/>
            <w:rPr>
              <w:rFonts w:asciiTheme="minorHAnsi" w:eastAsiaTheme="minorEastAsia" w:hAnsiTheme="minorHAnsi" w:cstheme="minorBidi"/>
              <w:b w:val="0"/>
              <w:sz w:val="22"/>
              <w:lang w:val="es-CR" w:eastAsia="es-CR" w:bidi="ar-SA"/>
            </w:rPr>
          </w:pPr>
          <w:hyperlink w:anchor="_Toc47027827" w:history="1">
            <w:r w:rsidR="00E77640" w:rsidRPr="00A45653">
              <w:rPr>
                <w:rStyle w:val="Hyperlink"/>
              </w:rPr>
              <w:t>Abstract</w:t>
            </w:r>
            <w:r w:rsidR="00E77640">
              <w:rPr>
                <w:webHidden/>
              </w:rPr>
              <w:tab/>
            </w:r>
            <w:r w:rsidR="00E77640">
              <w:rPr>
                <w:webHidden/>
              </w:rPr>
              <w:fldChar w:fldCharType="begin"/>
            </w:r>
            <w:r w:rsidR="00E77640">
              <w:rPr>
                <w:webHidden/>
              </w:rPr>
              <w:instrText xml:space="preserve"> PAGEREF _Toc47027827 \h </w:instrText>
            </w:r>
            <w:r w:rsidR="00E77640">
              <w:rPr>
                <w:webHidden/>
              </w:rPr>
            </w:r>
            <w:r w:rsidR="00E77640">
              <w:rPr>
                <w:webHidden/>
              </w:rPr>
              <w:fldChar w:fldCharType="separate"/>
            </w:r>
            <w:r w:rsidR="00E77640">
              <w:rPr>
                <w:webHidden/>
              </w:rPr>
              <w:t>vii</w:t>
            </w:r>
            <w:r w:rsidR="00E77640">
              <w:rPr>
                <w:webHidden/>
              </w:rPr>
              <w:fldChar w:fldCharType="end"/>
            </w:r>
          </w:hyperlink>
        </w:p>
        <w:p w14:paraId="530AE50F" w14:textId="184B278F" w:rsidR="00E77640" w:rsidRDefault="00C1293C">
          <w:pPr>
            <w:pStyle w:val="TOC1"/>
            <w:rPr>
              <w:rFonts w:asciiTheme="minorHAnsi" w:eastAsiaTheme="minorEastAsia" w:hAnsiTheme="minorHAnsi" w:cstheme="minorBidi"/>
              <w:b w:val="0"/>
              <w:sz w:val="22"/>
              <w:lang w:val="es-CR" w:eastAsia="es-CR" w:bidi="ar-SA"/>
            </w:rPr>
          </w:pPr>
          <w:hyperlink w:anchor="_Toc47027828" w:history="1">
            <w:r w:rsidR="00E77640" w:rsidRPr="00A45653">
              <w:rPr>
                <w:rStyle w:val="Hyperlink"/>
              </w:rPr>
              <w:t>Lista de Tablas</w:t>
            </w:r>
            <w:r w:rsidR="00E77640">
              <w:rPr>
                <w:webHidden/>
              </w:rPr>
              <w:tab/>
            </w:r>
            <w:r w:rsidR="00E77640">
              <w:rPr>
                <w:webHidden/>
              </w:rPr>
              <w:fldChar w:fldCharType="begin"/>
            </w:r>
            <w:r w:rsidR="00E77640">
              <w:rPr>
                <w:webHidden/>
              </w:rPr>
              <w:instrText xml:space="preserve"> PAGEREF _Toc47027828 \h </w:instrText>
            </w:r>
            <w:r w:rsidR="00E77640">
              <w:rPr>
                <w:webHidden/>
              </w:rPr>
            </w:r>
            <w:r w:rsidR="00E77640">
              <w:rPr>
                <w:webHidden/>
              </w:rPr>
              <w:fldChar w:fldCharType="separate"/>
            </w:r>
            <w:r w:rsidR="00E77640">
              <w:rPr>
                <w:webHidden/>
              </w:rPr>
              <w:t>viii</w:t>
            </w:r>
            <w:r w:rsidR="00E77640">
              <w:rPr>
                <w:webHidden/>
              </w:rPr>
              <w:fldChar w:fldCharType="end"/>
            </w:r>
          </w:hyperlink>
        </w:p>
        <w:p w14:paraId="640259CC" w14:textId="7CA3D07B" w:rsidR="00E77640" w:rsidRDefault="00C1293C">
          <w:pPr>
            <w:pStyle w:val="TOC1"/>
            <w:rPr>
              <w:rFonts w:asciiTheme="minorHAnsi" w:eastAsiaTheme="minorEastAsia" w:hAnsiTheme="minorHAnsi" w:cstheme="minorBidi"/>
              <w:b w:val="0"/>
              <w:sz w:val="22"/>
              <w:lang w:val="es-CR" w:eastAsia="es-CR" w:bidi="ar-SA"/>
            </w:rPr>
          </w:pPr>
          <w:hyperlink w:anchor="_Toc47027829" w:history="1">
            <w:r w:rsidR="00E77640" w:rsidRPr="00A45653">
              <w:rPr>
                <w:rStyle w:val="Hyperlink"/>
              </w:rPr>
              <w:t>Lista de Imágenes</w:t>
            </w:r>
            <w:r w:rsidR="00E77640">
              <w:rPr>
                <w:webHidden/>
              </w:rPr>
              <w:tab/>
            </w:r>
            <w:r w:rsidR="00E77640">
              <w:rPr>
                <w:webHidden/>
              </w:rPr>
              <w:fldChar w:fldCharType="begin"/>
            </w:r>
            <w:r w:rsidR="00E77640">
              <w:rPr>
                <w:webHidden/>
              </w:rPr>
              <w:instrText xml:space="preserve"> PAGEREF _Toc47027829 \h </w:instrText>
            </w:r>
            <w:r w:rsidR="00E77640">
              <w:rPr>
                <w:webHidden/>
              </w:rPr>
            </w:r>
            <w:r w:rsidR="00E77640">
              <w:rPr>
                <w:webHidden/>
              </w:rPr>
              <w:fldChar w:fldCharType="separate"/>
            </w:r>
            <w:r w:rsidR="00E77640">
              <w:rPr>
                <w:webHidden/>
              </w:rPr>
              <w:t>ix</w:t>
            </w:r>
            <w:r w:rsidR="00E77640">
              <w:rPr>
                <w:webHidden/>
              </w:rPr>
              <w:fldChar w:fldCharType="end"/>
            </w:r>
          </w:hyperlink>
        </w:p>
        <w:p w14:paraId="493BCFC9" w14:textId="7738BD62" w:rsidR="00E77640" w:rsidRDefault="00C1293C">
          <w:pPr>
            <w:pStyle w:val="TOC1"/>
            <w:rPr>
              <w:rFonts w:asciiTheme="minorHAnsi" w:eastAsiaTheme="minorEastAsia" w:hAnsiTheme="minorHAnsi" w:cstheme="minorBidi"/>
              <w:b w:val="0"/>
              <w:sz w:val="22"/>
              <w:lang w:val="es-CR" w:eastAsia="es-CR" w:bidi="ar-SA"/>
            </w:rPr>
          </w:pPr>
          <w:hyperlink w:anchor="_Toc47027830" w:history="1">
            <w:r w:rsidR="00E77640" w:rsidRPr="00A45653">
              <w:rPr>
                <w:rStyle w:val="Hyperlink"/>
              </w:rPr>
              <w:t>Lista de Abreviaturas</w:t>
            </w:r>
            <w:r w:rsidR="00E77640">
              <w:rPr>
                <w:webHidden/>
              </w:rPr>
              <w:tab/>
            </w:r>
            <w:r w:rsidR="00E77640">
              <w:rPr>
                <w:webHidden/>
              </w:rPr>
              <w:fldChar w:fldCharType="begin"/>
            </w:r>
            <w:r w:rsidR="00E77640">
              <w:rPr>
                <w:webHidden/>
              </w:rPr>
              <w:instrText xml:space="preserve"> PAGEREF _Toc47027830 \h </w:instrText>
            </w:r>
            <w:r w:rsidR="00E77640">
              <w:rPr>
                <w:webHidden/>
              </w:rPr>
            </w:r>
            <w:r w:rsidR="00E77640">
              <w:rPr>
                <w:webHidden/>
              </w:rPr>
              <w:fldChar w:fldCharType="separate"/>
            </w:r>
            <w:r w:rsidR="00E77640">
              <w:rPr>
                <w:webHidden/>
              </w:rPr>
              <w:t>x</w:t>
            </w:r>
            <w:r w:rsidR="00E77640">
              <w:rPr>
                <w:webHidden/>
              </w:rPr>
              <w:fldChar w:fldCharType="end"/>
            </w:r>
          </w:hyperlink>
        </w:p>
        <w:p w14:paraId="169F2258" w14:textId="6D435628" w:rsidR="00E77640" w:rsidRDefault="00C1293C">
          <w:pPr>
            <w:pStyle w:val="TOC1"/>
            <w:rPr>
              <w:rFonts w:asciiTheme="minorHAnsi" w:eastAsiaTheme="minorEastAsia" w:hAnsiTheme="minorHAnsi" w:cstheme="minorBidi"/>
              <w:b w:val="0"/>
              <w:sz w:val="22"/>
              <w:lang w:val="es-CR" w:eastAsia="es-CR" w:bidi="ar-SA"/>
            </w:rPr>
          </w:pPr>
          <w:hyperlink w:anchor="_Toc47027831" w:history="1">
            <w:r w:rsidR="00E77640" w:rsidRPr="00A45653">
              <w:rPr>
                <w:rStyle w:val="Hyperlink"/>
              </w:rPr>
              <w:t>Introducción</w:t>
            </w:r>
            <w:r w:rsidR="00E77640">
              <w:rPr>
                <w:webHidden/>
              </w:rPr>
              <w:tab/>
            </w:r>
            <w:r w:rsidR="00E77640">
              <w:rPr>
                <w:webHidden/>
              </w:rPr>
              <w:fldChar w:fldCharType="begin"/>
            </w:r>
            <w:r w:rsidR="00E77640">
              <w:rPr>
                <w:webHidden/>
              </w:rPr>
              <w:instrText xml:space="preserve"> PAGEREF _Toc47027831 \h </w:instrText>
            </w:r>
            <w:r w:rsidR="00E77640">
              <w:rPr>
                <w:webHidden/>
              </w:rPr>
            </w:r>
            <w:r w:rsidR="00E77640">
              <w:rPr>
                <w:webHidden/>
              </w:rPr>
              <w:fldChar w:fldCharType="separate"/>
            </w:r>
            <w:r w:rsidR="00E77640">
              <w:rPr>
                <w:webHidden/>
              </w:rPr>
              <w:t>1</w:t>
            </w:r>
            <w:r w:rsidR="00E77640">
              <w:rPr>
                <w:webHidden/>
              </w:rPr>
              <w:fldChar w:fldCharType="end"/>
            </w:r>
          </w:hyperlink>
        </w:p>
        <w:p w14:paraId="71F55904" w14:textId="37B5D1D9" w:rsidR="00E77640" w:rsidRDefault="00C1293C">
          <w:pPr>
            <w:pStyle w:val="TOC3"/>
            <w:tabs>
              <w:tab w:val="right" w:leader="dot" w:pos="8828"/>
            </w:tabs>
            <w:rPr>
              <w:rFonts w:asciiTheme="minorHAnsi" w:hAnsiTheme="minorHAnsi"/>
              <w:noProof/>
              <w:lang w:val="es-CR" w:eastAsia="es-CR"/>
            </w:rPr>
          </w:pPr>
          <w:hyperlink w:anchor="_Toc47027832" w:history="1">
            <w:r w:rsidR="00E77640" w:rsidRPr="00A45653">
              <w:rPr>
                <w:rStyle w:val="Hyperlink"/>
                <w:noProof/>
                <w:lang w:val="es-CR" w:bidi="en-US"/>
              </w:rPr>
              <w:t>Objetivo general:</w:t>
            </w:r>
            <w:r w:rsidR="00E77640">
              <w:rPr>
                <w:noProof/>
                <w:webHidden/>
              </w:rPr>
              <w:tab/>
            </w:r>
            <w:r w:rsidR="00E77640">
              <w:rPr>
                <w:noProof/>
                <w:webHidden/>
              </w:rPr>
              <w:fldChar w:fldCharType="begin"/>
            </w:r>
            <w:r w:rsidR="00E77640">
              <w:rPr>
                <w:noProof/>
                <w:webHidden/>
              </w:rPr>
              <w:instrText xml:space="preserve"> PAGEREF _Toc47027832 \h </w:instrText>
            </w:r>
            <w:r w:rsidR="00E77640">
              <w:rPr>
                <w:noProof/>
                <w:webHidden/>
              </w:rPr>
            </w:r>
            <w:r w:rsidR="00E77640">
              <w:rPr>
                <w:noProof/>
                <w:webHidden/>
              </w:rPr>
              <w:fldChar w:fldCharType="separate"/>
            </w:r>
            <w:r w:rsidR="00E77640">
              <w:rPr>
                <w:noProof/>
                <w:webHidden/>
              </w:rPr>
              <w:t>3</w:t>
            </w:r>
            <w:r w:rsidR="00E77640">
              <w:rPr>
                <w:noProof/>
                <w:webHidden/>
              </w:rPr>
              <w:fldChar w:fldCharType="end"/>
            </w:r>
          </w:hyperlink>
        </w:p>
        <w:p w14:paraId="6C64E07E" w14:textId="7A503527" w:rsidR="00E77640" w:rsidRDefault="00C1293C">
          <w:pPr>
            <w:pStyle w:val="TOC3"/>
            <w:tabs>
              <w:tab w:val="right" w:leader="dot" w:pos="8828"/>
            </w:tabs>
            <w:rPr>
              <w:rFonts w:asciiTheme="minorHAnsi" w:hAnsiTheme="minorHAnsi"/>
              <w:noProof/>
              <w:lang w:val="es-CR" w:eastAsia="es-CR"/>
            </w:rPr>
          </w:pPr>
          <w:hyperlink w:anchor="_Toc47027833" w:history="1">
            <w:r w:rsidR="00E77640" w:rsidRPr="00A45653">
              <w:rPr>
                <w:rStyle w:val="Hyperlink"/>
                <w:noProof/>
                <w:lang w:val="es-CR" w:bidi="en-US"/>
              </w:rPr>
              <w:t>Objetivos específicos:</w:t>
            </w:r>
            <w:r w:rsidR="00E77640">
              <w:rPr>
                <w:noProof/>
                <w:webHidden/>
              </w:rPr>
              <w:tab/>
            </w:r>
            <w:r w:rsidR="00E77640">
              <w:rPr>
                <w:noProof/>
                <w:webHidden/>
              </w:rPr>
              <w:fldChar w:fldCharType="begin"/>
            </w:r>
            <w:r w:rsidR="00E77640">
              <w:rPr>
                <w:noProof/>
                <w:webHidden/>
              </w:rPr>
              <w:instrText xml:space="preserve"> PAGEREF _Toc47027833 \h </w:instrText>
            </w:r>
            <w:r w:rsidR="00E77640">
              <w:rPr>
                <w:noProof/>
                <w:webHidden/>
              </w:rPr>
            </w:r>
            <w:r w:rsidR="00E77640">
              <w:rPr>
                <w:noProof/>
                <w:webHidden/>
              </w:rPr>
              <w:fldChar w:fldCharType="separate"/>
            </w:r>
            <w:r w:rsidR="00E77640">
              <w:rPr>
                <w:noProof/>
                <w:webHidden/>
              </w:rPr>
              <w:t>3</w:t>
            </w:r>
            <w:r w:rsidR="00E77640">
              <w:rPr>
                <w:noProof/>
                <w:webHidden/>
              </w:rPr>
              <w:fldChar w:fldCharType="end"/>
            </w:r>
          </w:hyperlink>
        </w:p>
        <w:p w14:paraId="75052D4B" w14:textId="7689F60E" w:rsidR="00E77640" w:rsidRDefault="00C1293C">
          <w:pPr>
            <w:pStyle w:val="TOC1"/>
            <w:rPr>
              <w:rFonts w:asciiTheme="minorHAnsi" w:eastAsiaTheme="minorEastAsia" w:hAnsiTheme="minorHAnsi" w:cstheme="minorBidi"/>
              <w:b w:val="0"/>
              <w:sz w:val="22"/>
              <w:lang w:val="es-CR" w:eastAsia="es-CR" w:bidi="ar-SA"/>
            </w:rPr>
          </w:pPr>
          <w:hyperlink w:anchor="_Toc47027834" w:history="1">
            <w:r w:rsidR="00E77640" w:rsidRPr="00A45653">
              <w:rPr>
                <w:rStyle w:val="Hyperlink"/>
              </w:rPr>
              <w:t>Isquemia medular (SCI)</w:t>
            </w:r>
            <w:r w:rsidR="00E77640">
              <w:rPr>
                <w:webHidden/>
              </w:rPr>
              <w:tab/>
            </w:r>
            <w:r w:rsidR="00E77640">
              <w:rPr>
                <w:webHidden/>
              </w:rPr>
              <w:fldChar w:fldCharType="begin"/>
            </w:r>
            <w:r w:rsidR="00E77640">
              <w:rPr>
                <w:webHidden/>
              </w:rPr>
              <w:instrText xml:space="preserve"> PAGEREF _Toc47027834 \h </w:instrText>
            </w:r>
            <w:r w:rsidR="00E77640">
              <w:rPr>
                <w:webHidden/>
              </w:rPr>
            </w:r>
            <w:r w:rsidR="00E77640">
              <w:rPr>
                <w:webHidden/>
              </w:rPr>
              <w:fldChar w:fldCharType="separate"/>
            </w:r>
            <w:r w:rsidR="00E77640">
              <w:rPr>
                <w:webHidden/>
              </w:rPr>
              <w:t>4</w:t>
            </w:r>
            <w:r w:rsidR="00E77640">
              <w:rPr>
                <w:webHidden/>
              </w:rPr>
              <w:fldChar w:fldCharType="end"/>
            </w:r>
          </w:hyperlink>
        </w:p>
        <w:p w14:paraId="62A78942" w14:textId="444DBF5A" w:rsidR="00E77640" w:rsidRDefault="00C1293C">
          <w:pPr>
            <w:pStyle w:val="TOC2"/>
            <w:rPr>
              <w:rFonts w:asciiTheme="minorHAnsi" w:hAnsiTheme="minorHAnsi"/>
              <w:b w:val="0"/>
              <w:lang w:val="es-CR" w:eastAsia="es-CR" w:bidi="ar-SA"/>
            </w:rPr>
          </w:pPr>
          <w:hyperlink w:anchor="_Toc47027835" w:history="1">
            <w:r w:rsidR="00E77640" w:rsidRPr="00A45653">
              <w:rPr>
                <w:rStyle w:val="Hyperlink"/>
                <w:lang w:val="es-CR"/>
              </w:rPr>
              <w:t>Anatomía quirúrgica de la médula espinal</w:t>
            </w:r>
            <w:r w:rsidR="00E77640">
              <w:rPr>
                <w:webHidden/>
              </w:rPr>
              <w:tab/>
            </w:r>
            <w:r w:rsidR="00E77640">
              <w:rPr>
                <w:webHidden/>
              </w:rPr>
              <w:fldChar w:fldCharType="begin"/>
            </w:r>
            <w:r w:rsidR="00E77640">
              <w:rPr>
                <w:webHidden/>
              </w:rPr>
              <w:instrText xml:space="preserve"> PAGEREF _Toc47027835 \h </w:instrText>
            </w:r>
            <w:r w:rsidR="00E77640">
              <w:rPr>
                <w:webHidden/>
              </w:rPr>
            </w:r>
            <w:r w:rsidR="00E77640">
              <w:rPr>
                <w:webHidden/>
              </w:rPr>
              <w:fldChar w:fldCharType="separate"/>
            </w:r>
            <w:r w:rsidR="00E77640">
              <w:rPr>
                <w:webHidden/>
              </w:rPr>
              <w:t>7</w:t>
            </w:r>
            <w:r w:rsidR="00E77640">
              <w:rPr>
                <w:webHidden/>
              </w:rPr>
              <w:fldChar w:fldCharType="end"/>
            </w:r>
          </w:hyperlink>
        </w:p>
        <w:p w14:paraId="5049A249" w14:textId="24E77C05" w:rsidR="00E77640" w:rsidRDefault="00C1293C">
          <w:pPr>
            <w:pStyle w:val="TOC3"/>
            <w:tabs>
              <w:tab w:val="right" w:leader="dot" w:pos="8828"/>
            </w:tabs>
            <w:rPr>
              <w:rFonts w:asciiTheme="minorHAnsi" w:hAnsiTheme="minorHAnsi"/>
              <w:noProof/>
              <w:lang w:val="es-CR" w:eastAsia="es-CR"/>
            </w:rPr>
          </w:pPr>
          <w:hyperlink w:anchor="_Toc47027836" w:history="1">
            <w:r w:rsidR="00E77640" w:rsidRPr="00A45653">
              <w:rPr>
                <w:rStyle w:val="Hyperlink"/>
                <w:noProof/>
                <w:lang w:val="es-CR" w:bidi="en-US"/>
              </w:rPr>
              <w:t>Anatomía arterial de la médula espinal.</w:t>
            </w:r>
            <w:r w:rsidR="00E77640">
              <w:rPr>
                <w:noProof/>
                <w:webHidden/>
              </w:rPr>
              <w:tab/>
            </w:r>
            <w:r w:rsidR="00E77640">
              <w:rPr>
                <w:noProof/>
                <w:webHidden/>
              </w:rPr>
              <w:fldChar w:fldCharType="begin"/>
            </w:r>
            <w:r w:rsidR="00E77640">
              <w:rPr>
                <w:noProof/>
                <w:webHidden/>
              </w:rPr>
              <w:instrText xml:space="preserve"> PAGEREF _Toc47027836 \h </w:instrText>
            </w:r>
            <w:r w:rsidR="00E77640">
              <w:rPr>
                <w:noProof/>
                <w:webHidden/>
              </w:rPr>
            </w:r>
            <w:r w:rsidR="00E77640">
              <w:rPr>
                <w:noProof/>
                <w:webHidden/>
              </w:rPr>
              <w:fldChar w:fldCharType="separate"/>
            </w:r>
            <w:r w:rsidR="00E77640">
              <w:rPr>
                <w:noProof/>
                <w:webHidden/>
              </w:rPr>
              <w:t>10</w:t>
            </w:r>
            <w:r w:rsidR="00E77640">
              <w:rPr>
                <w:noProof/>
                <w:webHidden/>
              </w:rPr>
              <w:fldChar w:fldCharType="end"/>
            </w:r>
          </w:hyperlink>
        </w:p>
        <w:p w14:paraId="33E3A748" w14:textId="430885D3" w:rsidR="00E77640" w:rsidRDefault="00C1293C">
          <w:pPr>
            <w:pStyle w:val="TOC3"/>
            <w:tabs>
              <w:tab w:val="right" w:leader="dot" w:pos="8828"/>
            </w:tabs>
            <w:rPr>
              <w:rFonts w:asciiTheme="minorHAnsi" w:hAnsiTheme="minorHAnsi"/>
              <w:noProof/>
              <w:lang w:val="es-CR" w:eastAsia="es-CR"/>
            </w:rPr>
          </w:pPr>
          <w:hyperlink w:anchor="_Toc47027837" w:history="1">
            <w:r w:rsidR="00E77640" w:rsidRPr="00A45653">
              <w:rPr>
                <w:rStyle w:val="Hyperlink"/>
                <w:noProof/>
                <w:lang w:val="es-CR" w:bidi="en-US"/>
              </w:rPr>
              <w:t>Vías colaterales</w:t>
            </w:r>
            <w:r w:rsidR="00E77640">
              <w:rPr>
                <w:noProof/>
                <w:webHidden/>
              </w:rPr>
              <w:tab/>
            </w:r>
            <w:r w:rsidR="00E77640">
              <w:rPr>
                <w:noProof/>
                <w:webHidden/>
              </w:rPr>
              <w:fldChar w:fldCharType="begin"/>
            </w:r>
            <w:r w:rsidR="00E77640">
              <w:rPr>
                <w:noProof/>
                <w:webHidden/>
              </w:rPr>
              <w:instrText xml:space="preserve"> PAGEREF _Toc47027837 \h </w:instrText>
            </w:r>
            <w:r w:rsidR="00E77640">
              <w:rPr>
                <w:noProof/>
                <w:webHidden/>
              </w:rPr>
            </w:r>
            <w:r w:rsidR="00E77640">
              <w:rPr>
                <w:noProof/>
                <w:webHidden/>
              </w:rPr>
              <w:fldChar w:fldCharType="separate"/>
            </w:r>
            <w:r w:rsidR="00E77640">
              <w:rPr>
                <w:noProof/>
                <w:webHidden/>
              </w:rPr>
              <w:t>16</w:t>
            </w:r>
            <w:r w:rsidR="00E77640">
              <w:rPr>
                <w:noProof/>
                <w:webHidden/>
              </w:rPr>
              <w:fldChar w:fldCharType="end"/>
            </w:r>
          </w:hyperlink>
        </w:p>
        <w:p w14:paraId="3F954A0D" w14:textId="020E076B" w:rsidR="00E77640" w:rsidRDefault="00C1293C">
          <w:pPr>
            <w:pStyle w:val="TOC2"/>
            <w:rPr>
              <w:rFonts w:asciiTheme="minorHAnsi" w:hAnsiTheme="minorHAnsi"/>
              <w:b w:val="0"/>
              <w:lang w:val="es-CR" w:eastAsia="es-CR" w:bidi="ar-SA"/>
            </w:rPr>
          </w:pPr>
          <w:hyperlink w:anchor="_Toc47027838" w:history="1">
            <w:r w:rsidR="00E77640" w:rsidRPr="00A45653">
              <w:rPr>
                <w:rStyle w:val="Hyperlink"/>
                <w:lang w:val="es-CR"/>
              </w:rPr>
              <w:t>Fisiopatología</w:t>
            </w:r>
            <w:r w:rsidR="00E77640">
              <w:rPr>
                <w:webHidden/>
              </w:rPr>
              <w:tab/>
            </w:r>
            <w:r w:rsidR="00E77640">
              <w:rPr>
                <w:webHidden/>
              </w:rPr>
              <w:fldChar w:fldCharType="begin"/>
            </w:r>
            <w:r w:rsidR="00E77640">
              <w:rPr>
                <w:webHidden/>
              </w:rPr>
              <w:instrText xml:space="preserve"> PAGEREF _Toc47027838 \h </w:instrText>
            </w:r>
            <w:r w:rsidR="00E77640">
              <w:rPr>
                <w:webHidden/>
              </w:rPr>
            </w:r>
            <w:r w:rsidR="00E77640">
              <w:rPr>
                <w:webHidden/>
              </w:rPr>
              <w:fldChar w:fldCharType="separate"/>
            </w:r>
            <w:r w:rsidR="00E77640">
              <w:rPr>
                <w:webHidden/>
              </w:rPr>
              <w:t>16</w:t>
            </w:r>
            <w:r w:rsidR="00E77640">
              <w:rPr>
                <w:webHidden/>
              </w:rPr>
              <w:fldChar w:fldCharType="end"/>
            </w:r>
          </w:hyperlink>
        </w:p>
        <w:p w14:paraId="5D46A6D8" w14:textId="2451DEEA" w:rsidR="00E77640" w:rsidRDefault="00C1293C">
          <w:pPr>
            <w:pStyle w:val="TOC2"/>
            <w:rPr>
              <w:rFonts w:asciiTheme="minorHAnsi" w:hAnsiTheme="minorHAnsi"/>
              <w:b w:val="0"/>
              <w:lang w:val="es-CR" w:eastAsia="es-CR" w:bidi="ar-SA"/>
            </w:rPr>
          </w:pPr>
          <w:hyperlink w:anchor="_Toc47027839" w:history="1">
            <w:r w:rsidR="00E77640" w:rsidRPr="00A45653">
              <w:rPr>
                <w:rStyle w:val="Hyperlink"/>
                <w:lang w:val="es-CR"/>
              </w:rPr>
              <w:t>Factores de Riesgo</w:t>
            </w:r>
            <w:r w:rsidR="00E77640">
              <w:rPr>
                <w:webHidden/>
              </w:rPr>
              <w:tab/>
            </w:r>
            <w:r w:rsidR="00E77640">
              <w:rPr>
                <w:webHidden/>
              </w:rPr>
              <w:fldChar w:fldCharType="begin"/>
            </w:r>
            <w:r w:rsidR="00E77640">
              <w:rPr>
                <w:webHidden/>
              </w:rPr>
              <w:instrText xml:space="preserve"> PAGEREF _Toc47027839 \h </w:instrText>
            </w:r>
            <w:r w:rsidR="00E77640">
              <w:rPr>
                <w:webHidden/>
              </w:rPr>
            </w:r>
            <w:r w:rsidR="00E77640">
              <w:rPr>
                <w:webHidden/>
              </w:rPr>
              <w:fldChar w:fldCharType="separate"/>
            </w:r>
            <w:r w:rsidR="00E77640">
              <w:rPr>
                <w:webHidden/>
              </w:rPr>
              <w:t>18</w:t>
            </w:r>
            <w:r w:rsidR="00E77640">
              <w:rPr>
                <w:webHidden/>
              </w:rPr>
              <w:fldChar w:fldCharType="end"/>
            </w:r>
          </w:hyperlink>
        </w:p>
        <w:p w14:paraId="7A7B894D" w14:textId="083CEA0B" w:rsidR="00E77640" w:rsidRDefault="00C1293C">
          <w:pPr>
            <w:pStyle w:val="TOC1"/>
            <w:rPr>
              <w:rFonts w:asciiTheme="minorHAnsi" w:eastAsiaTheme="minorEastAsia" w:hAnsiTheme="minorHAnsi" w:cstheme="minorBidi"/>
              <w:b w:val="0"/>
              <w:sz w:val="22"/>
              <w:lang w:val="es-CR" w:eastAsia="es-CR" w:bidi="ar-SA"/>
            </w:rPr>
          </w:pPr>
          <w:hyperlink w:anchor="_Toc47027840" w:history="1">
            <w:r w:rsidR="00E77640" w:rsidRPr="00A45653">
              <w:rPr>
                <w:rStyle w:val="Hyperlink"/>
              </w:rPr>
              <w:t>Estrategias para disminución de riesgo de SCI</w:t>
            </w:r>
            <w:r w:rsidR="00E77640">
              <w:rPr>
                <w:webHidden/>
              </w:rPr>
              <w:tab/>
            </w:r>
            <w:r w:rsidR="00E77640">
              <w:rPr>
                <w:webHidden/>
              </w:rPr>
              <w:fldChar w:fldCharType="begin"/>
            </w:r>
            <w:r w:rsidR="00E77640">
              <w:rPr>
                <w:webHidden/>
              </w:rPr>
              <w:instrText xml:space="preserve"> PAGEREF _Toc47027840 \h </w:instrText>
            </w:r>
            <w:r w:rsidR="00E77640">
              <w:rPr>
                <w:webHidden/>
              </w:rPr>
            </w:r>
            <w:r w:rsidR="00E77640">
              <w:rPr>
                <w:webHidden/>
              </w:rPr>
              <w:fldChar w:fldCharType="separate"/>
            </w:r>
            <w:r w:rsidR="00E77640">
              <w:rPr>
                <w:webHidden/>
              </w:rPr>
              <w:t>19</w:t>
            </w:r>
            <w:r w:rsidR="00E77640">
              <w:rPr>
                <w:webHidden/>
              </w:rPr>
              <w:fldChar w:fldCharType="end"/>
            </w:r>
          </w:hyperlink>
        </w:p>
        <w:p w14:paraId="704F5132" w14:textId="7A81C7E6" w:rsidR="00E77640" w:rsidRDefault="00C1293C">
          <w:pPr>
            <w:pStyle w:val="TOC2"/>
            <w:rPr>
              <w:rFonts w:asciiTheme="minorHAnsi" w:hAnsiTheme="minorHAnsi"/>
              <w:b w:val="0"/>
              <w:lang w:val="es-CR" w:eastAsia="es-CR" w:bidi="ar-SA"/>
            </w:rPr>
          </w:pPr>
          <w:hyperlink w:anchor="_Toc47027841" w:history="1">
            <w:r w:rsidR="00E77640" w:rsidRPr="00A45653">
              <w:rPr>
                <w:rStyle w:val="Hyperlink"/>
                <w:rFonts w:eastAsia="Times New Roman"/>
                <w:lang w:val="es-CR"/>
              </w:rPr>
              <w:t xml:space="preserve">Manejo </w:t>
            </w:r>
            <w:r w:rsidR="00E77640" w:rsidRPr="00A45653">
              <w:rPr>
                <w:rStyle w:val="Hyperlink"/>
                <w:lang w:val="es-CR"/>
              </w:rPr>
              <w:t>Preoperatorio</w:t>
            </w:r>
            <w:r w:rsidR="00E77640">
              <w:rPr>
                <w:webHidden/>
              </w:rPr>
              <w:tab/>
            </w:r>
            <w:r w:rsidR="00E77640">
              <w:rPr>
                <w:webHidden/>
              </w:rPr>
              <w:fldChar w:fldCharType="begin"/>
            </w:r>
            <w:r w:rsidR="00E77640">
              <w:rPr>
                <w:webHidden/>
              </w:rPr>
              <w:instrText xml:space="preserve"> PAGEREF _Toc47027841 \h </w:instrText>
            </w:r>
            <w:r w:rsidR="00E77640">
              <w:rPr>
                <w:webHidden/>
              </w:rPr>
            </w:r>
            <w:r w:rsidR="00E77640">
              <w:rPr>
                <w:webHidden/>
              </w:rPr>
              <w:fldChar w:fldCharType="separate"/>
            </w:r>
            <w:r w:rsidR="00E77640">
              <w:rPr>
                <w:webHidden/>
              </w:rPr>
              <w:t>19</w:t>
            </w:r>
            <w:r w:rsidR="00E77640">
              <w:rPr>
                <w:webHidden/>
              </w:rPr>
              <w:fldChar w:fldCharType="end"/>
            </w:r>
          </w:hyperlink>
        </w:p>
        <w:p w14:paraId="2DEADFAE" w14:textId="789C4F72" w:rsidR="00E77640" w:rsidRDefault="00C1293C">
          <w:pPr>
            <w:pStyle w:val="TOC3"/>
            <w:tabs>
              <w:tab w:val="right" w:leader="dot" w:pos="8828"/>
            </w:tabs>
            <w:rPr>
              <w:rFonts w:asciiTheme="minorHAnsi" w:hAnsiTheme="minorHAnsi"/>
              <w:noProof/>
              <w:lang w:val="es-CR" w:eastAsia="es-CR"/>
            </w:rPr>
          </w:pPr>
          <w:hyperlink w:anchor="_Toc47027842" w:history="1">
            <w:r w:rsidR="00E77640" w:rsidRPr="00A45653">
              <w:rPr>
                <w:rStyle w:val="Hyperlink"/>
                <w:noProof/>
                <w:lang w:val="es-CR" w:bidi="en-US"/>
              </w:rPr>
              <w:t>Valoración preoperatoria</w:t>
            </w:r>
            <w:r w:rsidR="00E77640">
              <w:rPr>
                <w:noProof/>
                <w:webHidden/>
              </w:rPr>
              <w:tab/>
            </w:r>
            <w:r w:rsidR="00E77640">
              <w:rPr>
                <w:noProof/>
                <w:webHidden/>
              </w:rPr>
              <w:fldChar w:fldCharType="begin"/>
            </w:r>
            <w:r w:rsidR="00E77640">
              <w:rPr>
                <w:noProof/>
                <w:webHidden/>
              </w:rPr>
              <w:instrText xml:space="preserve"> PAGEREF _Toc47027842 \h </w:instrText>
            </w:r>
            <w:r w:rsidR="00E77640">
              <w:rPr>
                <w:noProof/>
                <w:webHidden/>
              </w:rPr>
            </w:r>
            <w:r w:rsidR="00E77640">
              <w:rPr>
                <w:noProof/>
                <w:webHidden/>
              </w:rPr>
              <w:fldChar w:fldCharType="separate"/>
            </w:r>
            <w:r w:rsidR="00E77640">
              <w:rPr>
                <w:noProof/>
                <w:webHidden/>
              </w:rPr>
              <w:t>20</w:t>
            </w:r>
            <w:r w:rsidR="00E77640">
              <w:rPr>
                <w:noProof/>
                <w:webHidden/>
              </w:rPr>
              <w:fldChar w:fldCharType="end"/>
            </w:r>
          </w:hyperlink>
        </w:p>
        <w:p w14:paraId="2693DB12" w14:textId="1C75A423" w:rsidR="00E77640" w:rsidRDefault="00C1293C">
          <w:pPr>
            <w:pStyle w:val="TOC3"/>
            <w:tabs>
              <w:tab w:val="right" w:leader="dot" w:pos="8828"/>
            </w:tabs>
            <w:rPr>
              <w:rFonts w:asciiTheme="minorHAnsi" w:hAnsiTheme="minorHAnsi"/>
              <w:noProof/>
              <w:lang w:val="es-CR" w:eastAsia="es-CR"/>
            </w:rPr>
          </w:pPr>
          <w:hyperlink w:anchor="_Toc47027843" w:history="1">
            <w:r w:rsidR="00E77640" w:rsidRPr="00A45653">
              <w:rPr>
                <w:rStyle w:val="Hyperlink"/>
                <w:noProof/>
                <w:lang w:val="es-CR" w:bidi="en-US"/>
              </w:rPr>
              <w:t>Manejo Presión Arterial</w:t>
            </w:r>
            <w:r w:rsidR="00E77640">
              <w:rPr>
                <w:noProof/>
                <w:webHidden/>
              </w:rPr>
              <w:tab/>
            </w:r>
            <w:r w:rsidR="00E77640">
              <w:rPr>
                <w:noProof/>
                <w:webHidden/>
              </w:rPr>
              <w:fldChar w:fldCharType="begin"/>
            </w:r>
            <w:r w:rsidR="00E77640">
              <w:rPr>
                <w:noProof/>
                <w:webHidden/>
              </w:rPr>
              <w:instrText xml:space="preserve"> PAGEREF _Toc47027843 \h </w:instrText>
            </w:r>
            <w:r w:rsidR="00E77640">
              <w:rPr>
                <w:noProof/>
                <w:webHidden/>
              </w:rPr>
            </w:r>
            <w:r w:rsidR="00E77640">
              <w:rPr>
                <w:noProof/>
                <w:webHidden/>
              </w:rPr>
              <w:fldChar w:fldCharType="separate"/>
            </w:r>
            <w:r w:rsidR="00E77640">
              <w:rPr>
                <w:noProof/>
                <w:webHidden/>
              </w:rPr>
              <w:t>21</w:t>
            </w:r>
            <w:r w:rsidR="00E77640">
              <w:rPr>
                <w:noProof/>
                <w:webHidden/>
              </w:rPr>
              <w:fldChar w:fldCharType="end"/>
            </w:r>
          </w:hyperlink>
        </w:p>
        <w:p w14:paraId="1148189C" w14:textId="71053BF0" w:rsidR="00E77640" w:rsidRDefault="00C1293C">
          <w:pPr>
            <w:pStyle w:val="TOC3"/>
            <w:tabs>
              <w:tab w:val="right" w:leader="dot" w:pos="8828"/>
            </w:tabs>
            <w:rPr>
              <w:rFonts w:asciiTheme="minorHAnsi" w:hAnsiTheme="minorHAnsi"/>
              <w:noProof/>
              <w:lang w:val="es-CR" w:eastAsia="es-CR"/>
            </w:rPr>
          </w:pPr>
          <w:hyperlink w:anchor="_Toc47027844" w:history="1">
            <w:r w:rsidR="00E77640" w:rsidRPr="00A45653">
              <w:rPr>
                <w:rStyle w:val="Hyperlink"/>
                <w:noProof/>
                <w:lang w:val="es-CR" w:bidi="en-US"/>
              </w:rPr>
              <w:t>Tratamiento farmacológico</w:t>
            </w:r>
            <w:r w:rsidR="00E77640">
              <w:rPr>
                <w:noProof/>
                <w:webHidden/>
              </w:rPr>
              <w:tab/>
            </w:r>
            <w:r w:rsidR="00E77640">
              <w:rPr>
                <w:noProof/>
                <w:webHidden/>
              </w:rPr>
              <w:fldChar w:fldCharType="begin"/>
            </w:r>
            <w:r w:rsidR="00E77640">
              <w:rPr>
                <w:noProof/>
                <w:webHidden/>
              </w:rPr>
              <w:instrText xml:space="preserve"> PAGEREF _Toc47027844 \h </w:instrText>
            </w:r>
            <w:r w:rsidR="00E77640">
              <w:rPr>
                <w:noProof/>
                <w:webHidden/>
              </w:rPr>
            </w:r>
            <w:r w:rsidR="00E77640">
              <w:rPr>
                <w:noProof/>
                <w:webHidden/>
              </w:rPr>
              <w:fldChar w:fldCharType="separate"/>
            </w:r>
            <w:r w:rsidR="00E77640">
              <w:rPr>
                <w:noProof/>
                <w:webHidden/>
              </w:rPr>
              <w:t>21</w:t>
            </w:r>
            <w:r w:rsidR="00E77640">
              <w:rPr>
                <w:noProof/>
                <w:webHidden/>
              </w:rPr>
              <w:fldChar w:fldCharType="end"/>
            </w:r>
          </w:hyperlink>
        </w:p>
        <w:p w14:paraId="15E4CEB3" w14:textId="35A03B37" w:rsidR="00E77640" w:rsidRDefault="00C1293C">
          <w:pPr>
            <w:pStyle w:val="TOC3"/>
            <w:tabs>
              <w:tab w:val="right" w:leader="dot" w:pos="8828"/>
            </w:tabs>
            <w:rPr>
              <w:rFonts w:asciiTheme="minorHAnsi" w:hAnsiTheme="minorHAnsi"/>
              <w:noProof/>
              <w:lang w:val="es-CR" w:eastAsia="es-CR"/>
            </w:rPr>
          </w:pPr>
          <w:hyperlink w:anchor="_Toc47027845" w:history="1">
            <w:r w:rsidR="00E77640" w:rsidRPr="00A45653">
              <w:rPr>
                <w:rStyle w:val="Hyperlink"/>
                <w:noProof/>
                <w:lang w:val="es-CR" w:bidi="en-US"/>
              </w:rPr>
              <w:t>Procedimientos escalonados</w:t>
            </w:r>
            <w:r w:rsidR="00E77640">
              <w:rPr>
                <w:noProof/>
                <w:webHidden/>
              </w:rPr>
              <w:tab/>
            </w:r>
            <w:r w:rsidR="00E77640">
              <w:rPr>
                <w:noProof/>
                <w:webHidden/>
              </w:rPr>
              <w:fldChar w:fldCharType="begin"/>
            </w:r>
            <w:r w:rsidR="00E77640">
              <w:rPr>
                <w:noProof/>
                <w:webHidden/>
              </w:rPr>
              <w:instrText xml:space="preserve"> PAGEREF _Toc47027845 \h </w:instrText>
            </w:r>
            <w:r w:rsidR="00E77640">
              <w:rPr>
                <w:noProof/>
                <w:webHidden/>
              </w:rPr>
            </w:r>
            <w:r w:rsidR="00E77640">
              <w:rPr>
                <w:noProof/>
                <w:webHidden/>
              </w:rPr>
              <w:fldChar w:fldCharType="separate"/>
            </w:r>
            <w:r w:rsidR="00E77640">
              <w:rPr>
                <w:noProof/>
                <w:webHidden/>
              </w:rPr>
              <w:t>21</w:t>
            </w:r>
            <w:r w:rsidR="00E77640">
              <w:rPr>
                <w:noProof/>
                <w:webHidden/>
              </w:rPr>
              <w:fldChar w:fldCharType="end"/>
            </w:r>
          </w:hyperlink>
        </w:p>
        <w:p w14:paraId="05DA5B15" w14:textId="38410B12" w:rsidR="00E77640" w:rsidRDefault="00C1293C">
          <w:pPr>
            <w:pStyle w:val="TOC3"/>
            <w:tabs>
              <w:tab w:val="right" w:leader="dot" w:pos="8828"/>
            </w:tabs>
            <w:rPr>
              <w:rFonts w:asciiTheme="minorHAnsi" w:hAnsiTheme="minorHAnsi"/>
              <w:noProof/>
              <w:lang w:val="es-CR" w:eastAsia="es-CR"/>
            </w:rPr>
          </w:pPr>
          <w:hyperlink w:anchor="_Toc47027846" w:history="1">
            <w:r w:rsidR="00E77640" w:rsidRPr="00A45653">
              <w:rPr>
                <w:rStyle w:val="Hyperlink"/>
                <w:noProof/>
                <w:lang w:val="es-CR" w:bidi="en-US"/>
              </w:rPr>
              <w:t>Perfusión de extremidades inferiores</w:t>
            </w:r>
            <w:r w:rsidR="00E77640">
              <w:rPr>
                <w:noProof/>
                <w:webHidden/>
              </w:rPr>
              <w:tab/>
            </w:r>
            <w:r w:rsidR="00E77640">
              <w:rPr>
                <w:noProof/>
                <w:webHidden/>
              </w:rPr>
              <w:fldChar w:fldCharType="begin"/>
            </w:r>
            <w:r w:rsidR="00E77640">
              <w:rPr>
                <w:noProof/>
                <w:webHidden/>
              </w:rPr>
              <w:instrText xml:space="preserve"> PAGEREF _Toc47027846 \h </w:instrText>
            </w:r>
            <w:r w:rsidR="00E77640">
              <w:rPr>
                <w:noProof/>
                <w:webHidden/>
              </w:rPr>
            </w:r>
            <w:r w:rsidR="00E77640">
              <w:rPr>
                <w:noProof/>
                <w:webHidden/>
              </w:rPr>
              <w:fldChar w:fldCharType="separate"/>
            </w:r>
            <w:r w:rsidR="00E77640">
              <w:rPr>
                <w:noProof/>
                <w:webHidden/>
              </w:rPr>
              <w:t>22</w:t>
            </w:r>
            <w:r w:rsidR="00E77640">
              <w:rPr>
                <w:noProof/>
                <w:webHidden/>
              </w:rPr>
              <w:fldChar w:fldCharType="end"/>
            </w:r>
          </w:hyperlink>
        </w:p>
        <w:p w14:paraId="24E4F4FF" w14:textId="3F0F8558" w:rsidR="00E77640" w:rsidRDefault="00C1293C">
          <w:pPr>
            <w:pStyle w:val="TOC2"/>
            <w:rPr>
              <w:rFonts w:asciiTheme="minorHAnsi" w:hAnsiTheme="minorHAnsi"/>
              <w:b w:val="0"/>
              <w:lang w:val="es-CR" w:eastAsia="es-CR" w:bidi="ar-SA"/>
            </w:rPr>
          </w:pPr>
          <w:hyperlink w:anchor="_Toc47027847" w:history="1">
            <w:r w:rsidR="00E77640" w:rsidRPr="00A45653">
              <w:rPr>
                <w:rStyle w:val="Hyperlink"/>
                <w:rFonts w:eastAsia="Times New Roman"/>
                <w:lang w:val="es-CR"/>
              </w:rPr>
              <w:t>Manejo transoperatorio</w:t>
            </w:r>
            <w:r w:rsidR="00E77640">
              <w:rPr>
                <w:webHidden/>
              </w:rPr>
              <w:tab/>
            </w:r>
            <w:r w:rsidR="00E77640">
              <w:rPr>
                <w:webHidden/>
              </w:rPr>
              <w:fldChar w:fldCharType="begin"/>
            </w:r>
            <w:r w:rsidR="00E77640">
              <w:rPr>
                <w:webHidden/>
              </w:rPr>
              <w:instrText xml:space="preserve"> PAGEREF _Toc47027847 \h </w:instrText>
            </w:r>
            <w:r w:rsidR="00E77640">
              <w:rPr>
                <w:webHidden/>
              </w:rPr>
            </w:r>
            <w:r w:rsidR="00E77640">
              <w:rPr>
                <w:webHidden/>
              </w:rPr>
              <w:fldChar w:fldCharType="separate"/>
            </w:r>
            <w:r w:rsidR="00E77640">
              <w:rPr>
                <w:webHidden/>
              </w:rPr>
              <w:t>24</w:t>
            </w:r>
            <w:r w:rsidR="00E77640">
              <w:rPr>
                <w:webHidden/>
              </w:rPr>
              <w:fldChar w:fldCharType="end"/>
            </w:r>
          </w:hyperlink>
        </w:p>
        <w:p w14:paraId="7E978F3C" w14:textId="1EE7D2E1" w:rsidR="00E77640" w:rsidRDefault="00C1293C">
          <w:pPr>
            <w:pStyle w:val="TOC3"/>
            <w:tabs>
              <w:tab w:val="right" w:leader="dot" w:pos="8828"/>
            </w:tabs>
            <w:rPr>
              <w:rFonts w:asciiTheme="minorHAnsi" w:hAnsiTheme="minorHAnsi"/>
              <w:noProof/>
              <w:lang w:val="es-CR" w:eastAsia="es-CR"/>
            </w:rPr>
          </w:pPr>
          <w:hyperlink w:anchor="_Toc47027848" w:history="1">
            <w:r w:rsidR="00E77640" w:rsidRPr="00A45653">
              <w:rPr>
                <w:rStyle w:val="Hyperlink"/>
                <w:noProof/>
                <w:lang w:val="es-CR" w:bidi="en-US"/>
              </w:rPr>
              <w:t>Neuromonitoreo</w:t>
            </w:r>
            <w:r w:rsidR="00E77640">
              <w:rPr>
                <w:noProof/>
                <w:webHidden/>
              </w:rPr>
              <w:tab/>
            </w:r>
            <w:r w:rsidR="00E77640">
              <w:rPr>
                <w:noProof/>
                <w:webHidden/>
              </w:rPr>
              <w:fldChar w:fldCharType="begin"/>
            </w:r>
            <w:r w:rsidR="00E77640">
              <w:rPr>
                <w:noProof/>
                <w:webHidden/>
              </w:rPr>
              <w:instrText xml:space="preserve"> PAGEREF _Toc47027848 \h </w:instrText>
            </w:r>
            <w:r w:rsidR="00E77640">
              <w:rPr>
                <w:noProof/>
                <w:webHidden/>
              </w:rPr>
            </w:r>
            <w:r w:rsidR="00E77640">
              <w:rPr>
                <w:noProof/>
                <w:webHidden/>
              </w:rPr>
              <w:fldChar w:fldCharType="separate"/>
            </w:r>
            <w:r w:rsidR="00E77640">
              <w:rPr>
                <w:noProof/>
                <w:webHidden/>
              </w:rPr>
              <w:t>27</w:t>
            </w:r>
            <w:r w:rsidR="00E77640">
              <w:rPr>
                <w:noProof/>
                <w:webHidden/>
              </w:rPr>
              <w:fldChar w:fldCharType="end"/>
            </w:r>
          </w:hyperlink>
        </w:p>
        <w:p w14:paraId="175EDE45" w14:textId="29A2B760" w:rsidR="00E77640" w:rsidRDefault="00C1293C">
          <w:pPr>
            <w:pStyle w:val="TOC3"/>
            <w:tabs>
              <w:tab w:val="right" w:leader="dot" w:pos="8828"/>
            </w:tabs>
            <w:rPr>
              <w:rFonts w:asciiTheme="minorHAnsi" w:hAnsiTheme="minorHAnsi"/>
              <w:noProof/>
              <w:lang w:val="es-CR" w:eastAsia="es-CR"/>
            </w:rPr>
          </w:pPr>
          <w:hyperlink w:anchor="_Toc47027849" w:history="1">
            <w:r w:rsidR="00E77640" w:rsidRPr="00A45653">
              <w:rPr>
                <w:rStyle w:val="Hyperlink"/>
                <w:noProof/>
                <w:lang w:val="es-CR" w:bidi="en-US"/>
              </w:rPr>
              <w:t>Espectroscopia cercana a Infrarrojo (NIRS)</w:t>
            </w:r>
            <w:r w:rsidR="00E77640">
              <w:rPr>
                <w:noProof/>
                <w:webHidden/>
              </w:rPr>
              <w:tab/>
            </w:r>
            <w:r w:rsidR="00E77640">
              <w:rPr>
                <w:noProof/>
                <w:webHidden/>
              </w:rPr>
              <w:fldChar w:fldCharType="begin"/>
            </w:r>
            <w:r w:rsidR="00E77640">
              <w:rPr>
                <w:noProof/>
                <w:webHidden/>
              </w:rPr>
              <w:instrText xml:space="preserve"> PAGEREF _Toc47027849 \h </w:instrText>
            </w:r>
            <w:r w:rsidR="00E77640">
              <w:rPr>
                <w:noProof/>
                <w:webHidden/>
              </w:rPr>
            </w:r>
            <w:r w:rsidR="00E77640">
              <w:rPr>
                <w:noProof/>
                <w:webHidden/>
              </w:rPr>
              <w:fldChar w:fldCharType="separate"/>
            </w:r>
            <w:r w:rsidR="00E77640">
              <w:rPr>
                <w:noProof/>
                <w:webHidden/>
              </w:rPr>
              <w:t>29</w:t>
            </w:r>
            <w:r w:rsidR="00E77640">
              <w:rPr>
                <w:noProof/>
                <w:webHidden/>
              </w:rPr>
              <w:fldChar w:fldCharType="end"/>
            </w:r>
          </w:hyperlink>
        </w:p>
        <w:p w14:paraId="2D81BF14" w14:textId="694B004A" w:rsidR="00E77640" w:rsidRDefault="00C1293C">
          <w:pPr>
            <w:pStyle w:val="TOC3"/>
            <w:tabs>
              <w:tab w:val="right" w:leader="dot" w:pos="8828"/>
            </w:tabs>
            <w:rPr>
              <w:rFonts w:asciiTheme="minorHAnsi" w:hAnsiTheme="minorHAnsi"/>
              <w:noProof/>
              <w:lang w:val="es-CR" w:eastAsia="es-CR"/>
            </w:rPr>
          </w:pPr>
          <w:hyperlink w:anchor="_Toc47027850" w:history="1">
            <w:r w:rsidR="00E77640" w:rsidRPr="00A45653">
              <w:rPr>
                <w:rStyle w:val="Hyperlink"/>
                <w:noProof/>
                <w:lang w:val="es-CR" w:bidi="en-US"/>
              </w:rPr>
              <w:t>Manejo Presión Arterial</w:t>
            </w:r>
            <w:r w:rsidR="00E77640">
              <w:rPr>
                <w:noProof/>
                <w:webHidden/>
              </w:rPr>
              <w:tab/>
            </w:r>
            <w:r w:rsidR="00E77640">
              <w:rPr>
                <w:noProof/>
                <w:webHidden/>
              </w:rPr>
              <w:fldChar w:fldCharType="begin"/>
            </w:r>
            <w:r w:rsidR="00E77640">
              <w:rPr>
                <w:noProof/>
                <w:webHidden/>
              </w:rPr>
              <w:instrText xml:space="preserve"> PAGEREF _Toc47027850 \h </w:instrText>
            </w:r>
            <w:r w:rsidR="00E77640">
              <w:rPr>
                <w:noProof/>
                <w:webHidden/>
              </w:rPr>
            </w:r>
            <w:r w:rsidR="00E77640">
              <w:rPr>
                <w:noProof/>
                <w:webHidden/>
              </w:rPr>
              <w:fldChar w:fldCharType="separate"/>
            </w:r>
            <w:r w:rsidR="00E77640">
              <w:rPr>
                <w:noProof/>
                <w:webHidden/>
              </w:rPr>
              <w:t>30</w:t>
            </w:r>
            <w:r w:rsidR="00E77640">
              <w:rPr>
                <w:noProof/>
                <w:webHidden/>
              </w:rPr>
              <w:fldChar w:fldCharType="end"/>
            </w:r>
          </w:hyperlink>
        </w:p>
        <w:p w14:paraId="658C3D14" w14:textId="1CD38BB6" w:rsidR="00E77640" w:rsidRDefault="00C1293C">
          <w:pPr>
            <w:pStyle w:val="TOC3"/>
            <w:tabs>
              <w:tab w:val="right" w:leader="dot" w:pos="8828"/>
            </w:tabs>
            <w:rPr>
              <w:rFonts w:asciiTheme="minorHAnsi" w:hAnsiTheme="minorHAnsi"/>
              <w:noProof/>
              <w:lang w:val="es-CR" w:eastAsia="es-CR"/>
            </w:rPr>
          </w:pPr>
          <w:hyperlink w:anchor="_Toc47027851" w:history="1">
            <w:r w:rsidR="00E77640" w:rsidRPr="00A45653">
              <w:rPr>
                <w:rStyle w:val="Hyperlink"/>
                <w:noProof/>
                <w:lang w:val="es-CR" w:bidi="en-US"/>
              </w:rPr>
              <w:t>Drenaje de LCR</w:t>
            </w:r>
            <w:r w:rsidR="00E77640">
              <w:rPr>
                <w:noProof/>
                <w:webHidden/>
              </w:rPr>
              <w:tab/>
            </w:r>
            <w:r w:rsidR="00E77640">
              <w:rPr>
                <w:noProof/>
                <w:webHidden/>
              </w:rPr>
              <w:fldChar w:fldCharType="begin"/>
            </w:r>
            <w:r w:rsidR="00E77640">
              <w:rPr>
                <w:noProof/>
                <w:webHidden/>
              </w:rPr>
              <w:instrText xml:space="preserve"> PAGEREF _Toc47027851 \h </w:instrText>
            </w:r>
            <w:r w:rsidR="00E77640">
              <w:rPr>
                <w:noProof/>
                <w:webHidden/>
              </w:rPr>
            </w:r>
            <w:r w:rsidR="00E77640">
              <w:rPr>
                <w:noProof/>
                <w:webHidden/>
              </w:rPr>
              <w:fldChar w:fldCharType="separate"/>
            </w:r>
            <w:r w:rsidR="00E77640">
              <w:rPr>
                <w:noProof/>
                <w:webHidden/>
              </w:rPr>
              <w:t>30</w:t>
            </w:r>
            <w:r w:rsidR="00E77640">
              <w:rPr>
                <w:noProof/>
                <w:webHidden/>
              </w:rPr>
              <w:fldChar w:fldCharType="end"/>
            </w:r>
          </w:hyperlink>
        </w:p>
        <w:p w14:paraId="501007CC" w14:textId="0DBA8ACB" w:rsidR="00E77640" w:rsidRDefault="00C1293C">
          <w:pPr>
            <w:pStyle w:val="TOC3"/>
            <w:tabs>
              <w:tab w:val="right" w:leader="dot" w:pos="8828"/>
            </w:tabs>
            <w:rPr>
              <w:rFonts w:asciiTheme="minorHAnsi" w:hAnsiTheme="minorHAnsi"/>
              <w:noProof/>
              <w:lang w:val="es-CR" w:eastAsia="es-CR"/>
            </w:rPr>
          </w:pPr>
          <w:hyperlink w:anchor="_Toc47027852" w:history="1">
            <w:r w:rsidR="00E77640" w:rsidRPr="00A45653">
              <w:rPr>
                <w:rStyle w:val="Hyperlink"/>
                <w:noProof/>
                <w:lang w:val="es-CR" w:bidi="en-US"/>
              </w:rPr>
              <w:t>Hipotermia neuroprotectora</w:t>
            </w:r>
            <w:r w:rsidR="00E77640">
              <w:rPr>
                <w:noProof/>
                <w:webHidden/>
              </w:rPr>
              <w:tab/>
            </w:r>
            <w:r w:rsidR="00E77640">
              <w:rPr>
                <w:noProof/>
                <w:webHidden/>
              </w:rPr>
              <w:fldChar w:fldCharType="begin"/>
            </w:r>
            <w:r w:rsidR="00E77640">
              <w:rPr>
                <w:noProof/>
                <w:webHidden/>
              </w:rPr>
              <w:instrText xml:space="preserve"> PAGEREF _Toc47027852 \h </w:instrText>
            </w:r>
            <w:r w:rsidR="00E77640">
              <w:rPr>
                <w:noProof/>
                <w:webHidden/>
              </w:rPr>
            </w:r>
            <w:r w:rsidR="00E77640">
              <w:rPr>
                <w:noProof/>
                <w:webHidden/>
              </w:rPr>
              <w:fldChar w:fldCharType="separate"/>
            </w:r>
            <w:r w:rsidR="00E77640">
              <w:rPr>
                <w:noProof/>
                <w:webHidden/>
              </w:rPr>
              <w:t>31</w:t>
            </w:r>
            <w:r w:rsidR="00E77640">
              <w:rPr>
                <w:noProof/>
                <w:webHidden/>
              </w:rPr>
              <w:fldChar w:fldCharType="end"/>
            </w:r>
          </w:hyperlink>
        </w:p>
        <w:p w14:paraId="12080DA8" w14:textId="398C65CB" w:rsidR="00E77640" w:rsidRDefault="00C1293C">
          <w:pPr>
            <w:pStyle w:val="TOC3"/>
            <w:tabs>
              <w:tab w:val="right" w:leader="dot" w:pos="8828"/>
            </w:tabs>
            <w:rPr>
              <w:rFonts w:asciiTheme="minorHAnsi" w:hAnsiTheme="minorHAnsi"/>
              <w:noProof/>
              <w:lang w:val="es-CR" w:eastAsia="es-CR"/>
            </w:rPr>
          </w:pPr>
          <w:hyperlink w:anchor="_Toc47027853" w:history="1">
            <w:r w:rsidR="00E77640" w:rsidRPr="00A45653">
              <w:rPr>
                <w:rStyle w:val="Hyperlink"/>
                <w:noProof/>
                <w:lang w:val="es-CR" w:bidi="en-US"/>
              </w:rPr>
              <w:t>Tratamiento farmacológico</w:t>
            </w:r>
            <w:r w:rsidR="00E77640">
              <w:rPr>
                <w:noProof/>
                <w:webHidden/>
              </w:rPr>
              <w:tab/>
            </w:r>
            <w:r w:rsidR="00E77640">
              <w:rPr>
                <w:noProof/>
                <w:webHidden/>
              </w:rPr>
              <w:fldChar w:fldCharType="begin"/>
            </w:r>
            <w:r w:rsidR="00E77640">
              <w:rPr>
                <w:noProof/>
                <w:webHidden/>
              </w:rPr>
              <w:instrText xml:space="preserve"> PAGEREF _Toc47027853 \h </w:instrText>
            </w:r>
            <w:r w:rsidR="00E77640">
              <w:rPr>
                <w:noProof/>
                <w:webHidden/>
              </w:rPr>
            </w:r>
            <w:r w:rsidR="00E77640">
              <w:rPr>
                <w:noProof/>
                <w:webHidden/>
              </w:rPr>
              <w:fldChar w:fldCharType="separate"/>
            </w:r>
            <w:r w:rsidR="00E77640">
              <w:rPr>
                <w:noProof/>
                <w:webHidden/>
              </w:rPr>
              <w:t>31</w:t>
            </w:r>
            <w:r w:rsidR="00E77640">
              <w:rPr>
                <w:noProof/>
                <w:webHidden/>
              </w:rPr>
              <w:fldChar w:fldCharType="end"/>
            </w:r>
          </w:hyperlink>
        </w:p>
        <w:p w14:paraId="5A0092C3" w14:textId="4079B79C" w:rsidR="00E77640" w:rsidRDefault="00C1293C">
          <w:pPr>
            <w:pStyle w:val="TOC2"/>
            <w:rPr>
              <w:rFonts w:asciiTheme="minorHAnsi" w:hAnsiTheme="minorHAnsi"/>
              <w:b w:val="0"/>
              <w:lang w:val="es-CR" w:eastAsia="es-CR" w:bidi="ar-SA"/>
            </w:rPr>
          </w:pPr>
          <w:hyperlink w:anchor="_Toc47027854" w:history="1">
            <w:r w:rsidR="00E77640" w:rsidRPr="00A45653">
              <w:rPr>
                <w:rStyle w:val="Hyperlink"/>
                <w:rFonts w:eastAsia="Times New Roman"/>
                <w:lang w:val="es-CR"/>
              </w:rPr>
              <w:t>Manejo postoperatorio</w:t>
            </w:r>
            <w:r w:rsidR="00E77640">
              <w:rPr>
                <w:webHidden/>
              </w:rPr>
              <w:tab/>
            </w:r>
            <w:r w:rsidR="00E77640">
              <w:rPr>
                <w:webHidden/>
              </w:rPr>
              <w:fldChar w:fldCharType="begin"/>
            </w:r>
            <w:r w:rsidR="00E77640">
              <w:rPr>
                <w:webHidden/>
              </w:rPr>
              <w:instrText xml:space="preserve"> PAGEREF _Toc47027854 \h </w:instrText>
            </w:r>
            <w:r w:rsidR="00E77640">
              <w:rPr>
                <w:webHidden/>
              </w:rPr>
            </w:r>
            <w:r w:rsidR="00E77640">
              <w:rPr>
                <w:webHidden/>
              </w:rPr>
              <w:fldChar w:fldCharType="separate"/>
            </w:r>
            <w:r w:rsidR="00E77640">
              <w:rPr>
                <w:webHidden/>
              </w:rPr>
              <w:t>31</w:t>
            </w:r>
            <w:r w:rsidR="00E77640">
              <w:rPr>
                <w:webHidden/>
              </w:rPr>
              <w:fldChar w:fldCharType="end"/>
            </w:r>
          </w:hyperlink>
        </w:p>
        <w:p w14:paraId="630B2D89" w14:textId="13AF7BF2" w:rsidR="00E77640" w:rsidRDefault="00C1293C">
          <w:pPr>
            <w:pStyle w:val="TOC3"/>
            <w:tabs>
              <w:tab w:val="right" w:leader="dot" w:pos="8828"/>
            </w:tabs>
            <w:rPr>
              <w:rFonts w:asciiTheme="minorHAnsi" w:hAnsiTheme="minorHAnsi"/>
              <w:noProof/>
              <w:lang w:val="es-CR" w:eastAsia="es-CR"/>
            </w:rPr>
          </w:pPr>
          <w:hyperlink w:anchor="_Toc47027855" w:history="1">
            <w:r w:rsidR="00E77640" w:rsidRPr="00A45653">
              <w:rPr>
                <w:rStyle w:val="Hyperlink"/>
                <w:noProof/>
                <w:lang w:val="es-CR" w:bidi="en-US"/>
              </w:rPr>
              <w:t>Manejo Presión Arterial</w:t>
            </w:r>
            <w:r w:rsidR="00E77640">
              <w:rPr>
                <w:noProof/>
                <w:webHidden/>
              </w:rPr>
              <w:tab/>
            </w:r>
            <w:r w:rsidR="00E77640">
              <w:rPr>
                <w:noProof/>
                <w:webHidden/>
              </w:rPr>
              <w:fldChar w:fldCharType="begin"/>
            </w:r>
            <w:r w:rsidR="00E77640">
              <w:rPr>
                <w:noProof/>
                <w:webHidden/>
              </w:rPr>
              <w:instrText xml:space="preserve"> PAGEREF _Toc47027855 \h </w:instrText>
            </w:r>
            <w:r w:rsidR="00E77640">
              <w:rPr>
                <w:noProof/>
                <w:webHidden/>
              </w:rPr>
            </w:r>
            <w:r w:rsidR="00E77640">
              <w:rPr>
                <w:noProof/>
                <w:webHidden/>
              </w:rPr>
              <w:fldChar w:fldCharType="separate"/>
            </w:r>
            <w:r w:rsidR="00E77640">
              <w:rPr>
                <w:noProof/>
                <w:webHidden/>
              </w:rPr>
              <w:t>32</w:t>
            </w:r>
            <w:r w:rsidR="00E77640">
              <w:rPr>
                <w:noProof/>
                <w:webHidden/>
              </w:rPr>
              <w:fldChar w:fldCharType="end"/>
            </w:r>
          </w:hyperlink>
        </w:p>
        <w:p w14:paraId="3EDED3C9" w14:textId="639A36F3" w:rsidR="00E77640" w:rsidRDefault="00C1293C">
          <w:pPr>
            <w:pStyle w:val="TOC3"/>
            <w:tabs>
              <w:tab w:val="right" w:leader="dot" w:pos="8828"/>
            </w:tabs>
            <w:rPr>
              <w:rFonts w:asciiTheme="minorHAnsi" w:hAnsiTheme="minorHAnsi"/>
              <w:noProof/>
              <w:lang w:val="es-CR" w:eastAsia="es-CR"/>
            </w:rPr>
          </w:pPr>
          <w:hyperlink w:anchor="_Toc47027856" w:history="1">
            <w:r w:rsidR="00E77640" w:rsidRPr="00A45653">
              <w:rPr>
                <w:rStyle w:val="Hyperlink"/>
                <w:noProof/>
                <w:lang w:val="es-CR" w:bidi="en-US"/>
              </w:rPr>
              <w:t>Hemoglobina</w:t>
            </w:r>
            <w:r w:rsidR="00E77640">
              <w:rPr>
                <w:noProof/>
                <w:webHidden/>
              </w:rPr>
              <w:tab/>
            </w:r>
            <w:r w:rsidR="00E77640">
              <w:rPr>
                <w:noProof/>
                <w:webHidden/>
              </w:rPr>
              <w:fldChar w:fldCharType="begin"/>
            </w:r>
            <w:r w:rsidR="00E77640">
              <w:rPr>
                <w:noProof/>
                <w:webHidden/>
              </w:rPr>
              <w:instrText xml:space="preserve"> PAGEREF _Toc47027856 \h </w:instrText>
            </w:r>
            <w:r w:rsidR="00E77640">
              <w:rPr>
                <w:noProof/>
                <w:webHidden/>
              </w:rPr>
            </w:r>
            <w:r w:rsidR="00E77640">
              <w:rPr>
                <w:noProof/>
                <w:webHidden/>
              </w:rPr>
              <w:fldChar w:fldCharType="separate"/>
            </w:r>
            <w:r w:rsidR="00E77640">
              <w:rPr>
                <w:noProof/>
                <w:webHidden/>
              </w:rPr>
              <w:t>32</w:t>
            </w:r>
            <w:r w:rsidR="00E77640">
              <w:rPr>
                <w:noProof/>
                <w:webHidden/>
              </w:rPr>
              <w:fldChar w:fldCharType="end"/>
            </w:r>
          </w:hyperlink>
        </w:p>
        <w:p w14:paraId="056F98E5" w14:textId="119186C5" w:rsidR="00E77640" w:rsidRDefault="00C1293C">
          <w:pPr>
            <w:pStyle w:val="TOC3"/>
            <w:tabs>
              <w:tab w:val="right" w:leader="dot" w:pos="8828"/>
            </w:tabs>
            <w:rPr>
              <w:rFonts w:asciiTheme="minorHAnsi" w:hAnsiTheme="minorHAnsi"/>
              <w:noProof/>
              <w:lang w:val="es-CR" w:eastAsia="es-CR"/>
            </w:rPr>
          </w:pPr>
          <w:hyperlink w:anchor="_Toc47027857" w:history="1">
            <w:r w:rsidR="00E77640" w:rsidRPr="00A45653">
              <w:rPr>
                <w:rStyle w:val="Hyperlink"/>
                <w:noProof/>
                <w:lang w:val="es-CR" w:bidi="en-US"/>
              </w:rPr>
              <w:t>Drenaje de LCR</w:t>
            </w:r>
            <w:r w:rsidR="00E77640">
              <w:rPr>
                <w:noProof/>
                <w:webHidden/>
              </w:rPr>
              <w:tab/>
            </w:r>
            <w:r w:rsidR="00E77640">
              <w:rPr>
                <w:noProof/>
                <w:webHidden/>
              </w:rPr>
              <w:fldChar w:fldCharType="begin"/>
            </w:r>
            <w:r w:rsidR="00E77640">
              <w:rPr>
                <w:noProof/>
                <w:webHidden/>
              </w:rPr>
              <w:instrText xml:space="preserve"> PAGEREF _Toc47027857 \h </w:instrText>
            </w:r>
            <w:r w:rsidR="00E77640">
              <w:rPr>
                <w:noProof/>
                <w:webHidden/>
              </w:rPr>
            </w:r>
            <w:r w:rsidR="00E77640">
              <w:rPr>
                <w:noProof/>
                <w:webHidden/>
              </w:rPr>
              <w:fldChar w:fldCharType="separate"/>
            </w:r>
            <w:r w:rsidR="00E77640">
              <w:rPr>
                <w:noProof/>
                <w:webHidden/>
              </w:rPr>
              <w:t>32</w:t>
            </w:r>
            <w:r w:rsidR="00E77640">
              <w:rPr>
                <w:noProof/>
                <w:webHidden/>
              </w:rPr>
              <w:fldChar w:fldCharType="end"/>
            </w:r>
          </w:hyperlink>
        </w:p>
        <w:p w14:paraId="2549389F" w14:textId="67BF7129" w:rsidR="00E77640" w:rsidRDefault="00C1293C">
          <w:pPr>
            <w:pStyle w:val="TOC3"/>
            <w:tabs>
              <w:tab w:val="right" w:leader="dot" w:pos="8828"/>
            </w:tabs>
            <w:rPr>
              <w:rFonts w:asciiTheme="minorHAnsi" w:hAnsiTheme="minorHAnsi"/>
              <w:noProof/>
              <w:lang w:val="es-CR" w:eastAsia="es-CR"/>
            </w:rPr>
          </w:pPr>
          <w:hyperlink w:anchor="_Toc47027858" w:history="1">
            <w:r w:rsidR="00E77640" w:rsidRPr="00A45653">
              <w:rPr>
                <w:rStyle w:val="Hyperlink"/>
                <w:noProof/>
                <w:lang w:val="es-CR" w:bidi="en-US"/>
              </w:rPr>
              <w:t>Déficit neurológico tardío</w:t>
            </w:r>
            <w:r w:rsidR="00E77640">
              <w:rPr>
                <w:noProof/>
                <w:webHidden/>
              </w:rPr>
              <w:tab/>
            </w:r>
            <w:r w:rsidR="00E77640">
              <w:rPr>
                <w:noProof/>
                <w:webHidden/>
              </w:rPr>
              <w:fldChar w:fldCharType="begin"/>
            </w:r>
            <w:r w:rsidR="00E77640">
              <w:rPr>
                <w:noProof/>
                <w:webHidden/>
              </w:rPr>
              <w:instrText xml:space="preserve"> PAGEREF _Toc47027858 \h </w:instrText>
            </w:r>
            <w:r w:rsidR="00E77640">
              <w:rPr>
                <w:noProof/>
                <w:webHidden/>
              </w:rPr>
            </w:r>
            <w:r w:rsidR="00E77640">
              <w:rPr>
                <w:noProof/>
                <w:webHidden/>
              </w:rPr>
              <w:fldChar w:fldCharType="separate"/>
            </w:r>
            <w:r w:rsidR="00E77640">
              <w:rPr>
                <w:noProof/>
                <w:webHidden/>
              </w:rPr>
              <w:t>33</w:t>
            </w:r>
            <w:r w:rsidR="00E77640">
              <w:rPr>
                <w:noProof/>
                <w:webHidden/>
              </w:rPr>
              <w:fldChar w:fldCharType="end"/>
            </w:r>
          </w:hyperlink>
        </w:p>
        <w:p w14:paraId="050E04C8" w14:textId="44860B46" w:rsidR="00E77640" w:rsidRDefault="00C1293C">
          <w:pPr>
            <w:pStyle w:val="TOC3"/>
            <w:tabs>
              <w:tab w:val="right" w:leader="dot" w:pos="8828"/>
            </w:tabs>
            <w:rPr>
              <w:rFonts w:asciiTheme="minorHAnsi" w:hAnsiTheme="minorHAnsi"/>
              <w:noProof/>
              <w:lang w:val="es-CR" w:eastAsia="es-CR"/>
            </w:rPr>
          </w:pPr>
          <w:hyperlink w:anchor="_Toc47027859" w:history="1">
            <w:r w:rsidR="00E77640" w:rsidRPr="00A45653">
              <w:rPr>
                <w:rStyle w:val="Hyperlink"/>
                <w:noProof/>
                <w:lang w:val="es-CR" w:bidi="en-US"/>
              </w:rPr>
              <w:t>Seguimiento postoperatorio</w:t>
            </w:r>
            <w:r w:rsidR="00E77640">
              <w:rPr>
                <w:noProof/>
                <w:webHidden/>
              </w:rPr>
              <w:tab/>
            </w:r>
            <w:r w:rsidR="00E77640">
              <w:rPr>
                <w:noProof/>
                <w:webHidden/>
              </w:rPr>
              <w:fldChar w:fldCharType="begin"/>
            </w:r>
            <w:r w:rsidR="00E77640">
              <w:rPr>
                <w:noProof/>
                <w:webHidden/>
              </w:rPr>
              <w:instrText xml:space="preserve"> PAGEREF _Toc47027859 \h </w:instrText>
            </w:r>
            <w:r w:rsidR="00E77640">
              <w:rPr>
                <w:noProof/>
                <w:webHidden/>
              </w:rPr>
            </w:r>
            <w:r w:rsidR="00E77640">
              <w:rPr>
                <w:noProof/>
                <w:webHidden/>
              </w:rPr>
              <w:fldChar w:fldCharType="separate"/>
            </w:r>
            <w:r w:rsidR="00E77640">
              <w:rPr>
                <w:noProof/>
                <w:webHidden/>
              </w:rPr>
              <w:t>33</w:t>
            </w:r>
            <w:r w:rsidR="00E77640">
              <w:rPr>
                <w:noProof/>
                <w:webHidden/>
              </w:rPr>
              <w:fldChar w:fldCharType="end"/>
            </w:r>
          </w:hyperlink>
        </w:p>
        <w:p w14:paraId="05DA180B" w14:textId="141ED18B" w:rsidR="00E77640" w:rsidRDefault="00C1293C">
          <w:pPr>
            <w:pStyle w:val="TOC1"/>
            <w:rPr>
              <w:rFonts w:asciiTheme="minorHAnsi" w:eastAsiaTheme="minorEastAsia" w:hAnsiTheme="minorHAnsi" w:cstheme="minorBidi"/>
              <w:b w:val="0"/>
              <w:sz w:val="22"/>
              <w:lang w:val="es-CR" w:eastAsia="es-CR" w:bidi="ar-SA"/>
            </w:rPr>
          </w:pPr>
          <w:hyperlink w:anchor="_Toc47027860" w:history="1">
            <w:r w:rsidR="00E77640" w:rsidRPr="00A45653">
              <w:rPr>
                <w:rStyle w:val="Hyperlink"/>
              </w:rPr>
              <w:t>Conclusiones</w:t>
            </w:r>
            <w:r w:rsidR="00E77640">
              <w:rPr>
                <w:webHidden/>
              </w:rPr>
              <w:tab/>
            </w:r>
            <w:r w:rsidR="00E77640">
              <w:rPr>
                <w:webHidden/>
              </w:rPr>
              <w:fldChar w:fldCharType="begin"/>
            </w:r>
            <w:r w:rsidR="00E77640">
              <w:rPr>
                <w:webHidden/>
              </w:rPr>
              <w:instrText xml:space="preserve"> PAGEREF _Toc47027860 \h </w:instrText>
            </w:r>
            <w:r w:rsidR="00E77640">
              <w:rPr>
                <w:webHidden/>
              </w:rPr>
            </w:r>
            <w:r w:rsidR="00E77640">
              <w:rPr>
                <w:webHidden/>
              </w:rPr>
              <w:fldChar w:fldCharType="separate"/>
            </w:r>
            <w:r w:rsidR="00E77640">
              <w:rPr>
                <w:webHidden/>
              </w:rPr>
              <w:t>35</w:t>
            </w:r>
            <w:r w:rsidR="00E77640">
              <w:rPr>
                <w:webHidden/>
              </w:rPr>
              <w:fldChar w:fldCharType="end"/>
            </w:r>
          </w:hyperlink>
        </w:p>
        <w:p w14:paraId="1AD917FE" w14:textId="1C66D906" w:rsidR="00E77640" w:rsidRDefault="00C1293C">
          <w:pPr>
            <w:pStyle w:val="TOC1"/>
            <w:rPr>
              <w:rFonts w:asciiTheme="minorHAnsi" w:eastAsiaTheme="minorEastAsia" w:hAnsiTheme="minorHAnsi" w:cstheme="minorBidi"/>
              <w:b w:val="0"/>
              <w:sz w:val="22"/>
              <w:lang w:val="es-CR" w:eastAsia="es-CR" w:bidi="ar-SA"/>
            </w:rPr>
          </w:pPr>
          <w:hyperlink w:anchor="_Toc47027861" w:history="1">
            <w:r w:rsidR="00E77640" w:rsidRPr="00A45653">
              <w:rPr>
                <w:rStyle w:val="Hyperlink"/>
              </w:rPr>
              <w:t>Bibliografía</w:t>
            </w:r>
            <w:r w:rsidR="00E77640">
              <w:rPr>
                <w:webHidden/>
              </w:rPr>
              <w:tab/>
            </w:r>
            <w:r w:rsidR="00E77640">
              <w:rPr>
                <w:webHidden/>
              </w:rPr>
              <w:fldChar w:fldCharType="begin"/>
            </w:r>
            <w:r w:rsidR="00E77640">
              <w:rPr>
                <w:webHidden/>
              </w:rPr>
              <w:instrText xml:space="preserve"> PAGEREF _Toc47027861 \h </w:instrText>
            </w:r>
            <w:r w:rsidR="00E77640">
              <w:rPr>
                <w:webHidden/>
              </w:rPr>
            </w:r>
            <w:r w:rsidR="00E77640">
              <w:rPr>
                <w:webHidden/>
              </w:rPr>
              <w:fldChar w:fldCharType="separate"/>
            </w:r>
            <w:r w:rsidR="00E77640">
              <w:rPr>
                <w:webHidden/>
              </w:rPr>
              <w:t>36</w:t>
            </w:r>
            <w:r w:rsidR="00E77640">
              <w:rPr>
                <w:webHidden/>
              </w:rPr>
              <w:fldChar w:fldCharType="end"/>
            </w:r>
          </w:hyperlink>
        </w:p>
        <w:p w14:paraId="31FB41E7" w14:textId="157A3561" w:rsidR="00F33A14" w:rsidRPr="003A1CA0" w:rsidRDefault="00F33A14">
          <w:pPr>
            <w:rPr>
              <w:lang w:val="es-CR"/>
            </w:rPr>
          </w:pPr>
          <w:r w:rsidRPr="003A1CA0">
            <w:rPr>
              <w:b/>
              <w:bCs/>
              <w:noProof/>
              <w:lang w:val="es-CR"/>
            </w:rPr>
            <w:fldChar w:fldCharType="end"/>
          </w:r>
        </w:p>
      </w:sdtContent>
    </w:sdt>
    <w:p w14:paraId="5FA4AB9E" w14:textId="77777777" w:rsidR="001E54AD" w:rsidRPr="003A1CA0" w:rsidRDefault="001E54AD" w:rsidP="001E54AD">
      <w:pPr>
        <w:tabs>
          <w:tab w:val="left" w:pos="7888"/>
        </w:tabs>
        <w:rPr>
          <w:rFonts w:cs="Times New Roman"/>
          <w:lang w:val="es-CR" w:bidi="ar-SA"/>
        </w:rPr>
      </w:pPr>
    </w:p>
    <w:p w14:paraId="08E3D932" w14:textId="77777777" w:rsidR="00846FEA" w:rsidRPr="003A1CA0" w:rsidRDefault="00846FEA">
      <w:pPr>
        <w:spacing w:line="276" w:lineRule="auto"/>
        <w:jc w:val="left"/>
        <w:rPr>
          <w:rFonts w:eastAsia="Times New Roman" w:cstheme="majorBidi"/>
          <w:bCs/>
          <w:spacing w:val="5"/>
          <w:kern w:val="28"/>
          <w:sz w:val="48"/>
          <w:szCs w:val="52"/>
          <w:lang w:val="es-CR"/>
        </w:rPr>
      </w:pPr>
      <w:r w:rsidRPr="003A1CA0">
        <w:rPr>
          <w:rFonts w:eastAsia="Times New Roman"/>
          <w:lang w:val="es-CR"/>
        </w:rPr>
        <w:br w:type="page"/>
      </w:r>
    </w:p>
    <w:p w14:paraId="7D087083" w14:textId="334F6BB5" w:rsidR="007412B4" w:rsidRPr="003A1CA0" w:rsidRDefault="007412B4" w:rsidP="00B05F46">
      <w:pPr>
        <w:pStyle w:val="Title"/>
      </w:pPr>
      <w:bookmarkStart w:id="17" w:name="_Toc47027826"/>
      <w:r w:rsidRPr="003A1CA0">
        <w:lastRenderedPageBreak/>
        <w:t>Resumen</w:t>
      </w:r>
      <w:bookmarkEnd w:id="17"/>
    </w:p>
    <w:p w14:paraId="45DE27A8" w14:textId="59AD62B0" w:rsidR="00C83CD9" w:rsidRDefault="00C83CD9" w:rsidP="004437E4">
      <w:pPr>
        <w:spacing w:line="240" w:lineRule="auto"/>
        <w:rPr>
          <w:lang w:val="es-CR"/>
        </w:rPr>
      </w:pPr>
      <w:r w:rsidRPr="003A1CA0">
        <w:rPr>
          <w:lang w:val="es-CR"/>
        </w:rPr>
        <w:t>La isquemia medular (SCI por sus siglas en inglés) es una complicación devastadora, poco común y difícil de predecir de la cirugía aórtica toracoabdominal. Los síntomas pueden ser transitorios o permanentes y severidad clínica de la SCI depende de la extensión del área de la médula espinal afectada</w:t>
      </w:r>
      <w:r w:rsidR="00F01770">
        <w:rPr>
          <w:lang w:val="es-CR"/>
        </w:rPr>
        <w:t xml:space="preserve"> </w:t>
      </w:r>
      <w:r w:rsidRPr="003A1CA0">
        <w:rPr>
          <w:lang w:val="es-CR"/>
        </w:rPr>
        <w:fldChar w:fldCharType="begin" w:fldLock="1"/>
      </w:r>
      <w:r w:rsidR="001A1B73">
        <w:rPr>
          <w:lang w:val="es-CR"/>
        </w:rPr>
        <w:instrText>ADDIN CSL_CITATION {"citationItems":[{"id":"ITEM-1","itemData":{"DOI":"10.1007/s00772-018-0410-z","ISSN":"14343932","abstract":"Background: Spinal cord ischemia with development of paraplegia is the most relevant complication of thoracoabdominal aortic surgery caused by compromising the segmental arteries. To prevent this devastating complication in endovascular aortic surgery, staging procedures have been developed to reinforce collateral blood flood to the spinal cord. Results: In patients with a medium to high risk for spinal cord ischemia, staged aortic repair is recommended. The classical staged repair is the two-step repair with delayed implantation of the aortic stent grafts. Additionally, more recent methods for short-term salvage of segmental artery perfusion by leaving an endoleak have been developed. Perfusion branches, delayed bridging stents as well as the open branch technique are among these methods. The latest option of staged repair is minimally invasive segmental artery embolization. Conclusion: Besides the nonsurgical options for monitoring and therapy of spinal cord ischemia, various staging procedures are available, which can be implemented depending on the patient and the aortic anatomy. Evidence that underlines staged repair for endovascular treatment of thoracoabdominal aortic pathologies is mostly based on retrospective studies.","author":[{"dropping-particle":"","family":"Heidemann","given":"F.","non-dropping-particle":"","parse-names":false,"suffix":""},{"dropping-particle":"","family":"Tsilimparis","given":"N.","non-dropping-particle":"","parse-names":false,"suffix":""},{"dropping-particle":"","family":"Rohlffs","given":"F.","non-dropping-particle":"","parse-names":false,"suffix":""},{"dropping-particle":"","family":"Debus","given":"E. S.","non-dropping-particle":"","parse-names":false,"suffix":""},{"dropping-particle":"","family":"Larena-Avellaneda","given":"A.","non-dropping-particle":"","parse-names":false,"suffix":""},{"dropping-particle":"","family":"Wipper","given":"S.","non-dropping-particle":"","parse-names":false,"suffix":""},{"dropping-particle":"","family":"Kölbel","given":"T.","non-dropping-particle":"","parse-names":false,"suffix":""}],"container-title":"Gefasschirurgie","id":"ITEM-1","issue":"July","issued":{"date-parts":[["2018"]]},"page":"39-45","title":"Staged procedures for prevention of spinal cord ischemia in endovascular aortic surgery","type":"article-journal","volume":"23"},"uris":["http://www.mendeley.com/documents/?uuid=e47c5a9d-5c3c-47b4-8254-1cea3ae4a567"]}],"mendeley":{"formattedCitation":"(Heidemann et al., 2018)","plainTextFormattedCitation":"(Heidemann et al., 2018)","previouslyFormattedCitation":"(Heidemann et al., 2018)"},"properties":{"noteIndex":0},"schema":"https://github.com/citation-style-language/schema/raw/master/csl-citation.json"}</w:instrText>
      </w:r>
      <w:r w:rsidRPr="003A1CA0">
        <w:rPr>
          <w:lang w:val="es-CR"/>
        </w:rPr>
        <w:fldChar w:fldCharType="separate"/>
      </w:r>
      <w:r w:rsidR="00FA7019" w:rsidRPr="00FA7019">
        <w:rPr>
          <w:noProof/>
          <w:lang w:val="es-CR"/>
        </w:rPr>
        <w:t>(Heidemann et al., 2018)</w:t>
      </w:r>
      <w:r w:rsidRPr="003A1CA0">
        <w:rPr>
          <w:lang w:val="es-CR"/>
        </w:rPr>
        <w:fldChar w:fldCharType="end"/>
      </w:r>
      <w:r w:rsidRPr="003A1CA0">
        <w:rPr>
          <w:lang w:val="es-CR"/>
        </w:rPr>
        <w:t>.</w:t>
      </w:r>
    </w:p>
    <w:p w14:paraId="6899FC82" w14:textId="6BAFEF6C" w:rsidR="00C83CD9" w:rsidRPr="003A1CA0" w:rsidRDefault="00C83CD9" w:rsidP="004437E4">
      <w:pPr>
        <w:spacing w:line="240" w:lineRule="auto"/>
        <w:rPr>
          <w:lang w:val="es-CR"/>
        </w:rPr>
      </w:pPr>
      <w:r w:rsidRPr="003A1CA0">
        <w:rPr>
          <w:lang w:val="es-CR"/>
        </w:rPr>
        <w:t xml:space="preserve">La incidencia de SCI posterior a la reparación </w:t>
      </w:r>
      <w:r w:rsidR="004B5779">
        <w:rPr>
          <w:lang w:val="es-CR"/>
        </w:rPr>
        <w:t>e</w:t>
      </w:r>
      <w:r w:rsidRPr="003A1CA0">
        <w:rPr>
          <w:lang w:val="es-CR"/>
        </w:rPr>
        <w:t>ndovascular de</w:t>
      </w:r>
      <w:r w:rsidR="004B5779">
        <w:rPr>
          <w:lang w:val="es-CR"/>
        </w:rPr>
        <w:t>l</w:t>
      </w:r>
      <w:r w:rsidRPr="003A1CA0">
        <w:rPr>
          <w:lang w:val="es-CR"/>
        </w:rPr>
        <w:t xml:space="preserve"> </w:t>
      </w:r>
      <w:r w:rsidR="004B5779">
        <w:rPr>
          <w:lang w:val="es-CR"/>
        </w:rPr>
        <w:t>a</w:t>
      </w:r>
      <w:r w:rsidRPr="003A1CA0">
        <w:rPr>
          <w:lang w:val="es-CR"/>
        </w:rPr>
        <w:t xml:space="preserve">neurisma </w:t>
      </w:r>
      <w:r w:rsidR="004B5779">
        <w:rPr>
          <w:lang w:val="es-CR"/>
        </w:rPr>
        <w:t>a</w:t>
      </w:r>
      <w:r w:rsidRPr="003A1CA0">
        <w:rPr>
          <w:lang w:val="es-CR"/>
        </w:rPr>
        <w:t>órtico (EVAR por sus siglas en inglés) es directamente proporcional a la extensión de la aorta cubierta durante la reparación. Específicamente para EVAR la incidencia de SCI es entre 0.2% y 0.3%</w:t>
      </w:r>
      <w:r w:rsidR="00F01770">
        <w:rPr>
          <w:lang w:val="es-CR"/>
        </w:rPr>
        <w:t xml:space="preserve"> </w:t>
      </w:r>
      <w:r w:rsidRPr="003A1CA0">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sidRPr="003A1CA0">
        <w:rPr>
          <w:lang w:val="es-CR"/>
        </w:rPr>
        <w:fldChar w:fldCharType="separate"/>
      </w:r>
      <w:r w:rsidR="0091486C" w:rsidRPr="0091486C">
        <w:rPr>
          <w:noProof/>
          <w:lang w:val="es-CR"/>
        </w:rPr>
        <w:t>(Oderich, 2017)</w:t>
      </w:r>
      <w:r w:rsidRPr="003A1CA0">
        <w:rPr>
          <w:lang w:val="es-CR"/>
        </w:rPr>
        <w:fldChar w:fldCharType="end"/>
      </w:r>
      <w:r w:rsidRPr="003A1CA0">
        <w:rPr>
          <w:lang w:val="es-CR"/>
        </w:rPr>
        <w:t>.</w:t>
      </w:r>
    </w:p>
    <w:p w14:paraId="7679057A" w14:textId="69CAF3FD" w:rsidR="00C83CD9" w:rsidRDefault="00C83CD9" w:rsidP="004437E4">
      <w:pPr>
        <w:spacing w:line="240" w:lineRule="auto"/>
        <w:rPr>
          <w:lang w:val="es-CR"/>
        </w:rPr>
      </w:pPr>
      <w:r w:rsidRPr="003A1CA0">
        <w:rPr>
          <w:lang w:val="es-CR"/>
        </w:rPr>
        <w:t>En la reparación endovascular de aneurisma aórtico torácico (TEVAR por sus siglas en inglés) la incidencia aumenta a un 1.2%-10%</w:t>
      </w:r>
      <w:r w:rsidR="001A1B73">
        <w:rPr>
          <w:lang w:val="es-CR"/>
        </w:rPr>
        <w:t xml:space="preserve"> </w:t>
      </w:r>
      <w:r w:rsidRPr="003A1CA0">
        <w:rPr>
          <w:lang w:val="es-CR"/>
        </w:rPr>
        <w:fldChar w:fldCharType="begin" w:fldLock="1"/>
      </w:r>
      <w:r w:rsidR="001A1B73">
        <w:rPr>
          <w:lang w:val="es-CR"/>
        </w:rPr>
        <w:instrText>ADDIN CSL_CITATION {"citationItems":[{"id":"ITEM-1","itemData":{"DOI":"10.1016/j.ejvs.2007.11.005","ISSN":"10785884","abstract":"Objectives: Endovascular repair of descending thoracic aortic lesions is associated with a substantial risk of perioperative spinal cord ischaemia (SCI) which may lead to permanent paraplegia. We performed a retrospective analysis of our experience in the endovascular treatment of descending thoracic aortic lesions to define the incidence of SCI and to identify factors that contributed to its development. Methods: 67 consecutive patients underwent stent graft repair for descending thoracic aortic lesions including degenerative aneurysm (n = 19), type B dissection (acute n = 2, chronic n = 15), traumatic rupture (acute n = 14, chronic n = 4), penetrating aortic ulcer (n = 5), anastomotic false aneurysm (n = 4), mycotic aneurysm (n = 3) and embolic aortic lesion (n = 1) between June 2000 and June 2005. All procedures were performed with the patient under general anaesthesia and strict blood pressure monitoring. No patient had intra-operative monitoring of spinal evoked potential or cerebrospinal fluid (CSF) drainage to prevent SCI. Neurological evaluation was realized after recovery from general anaesthesia. Fifteen factors, including nature of aortic disease, length of aortic coverage, number of stent-grafts, coverage of the distal third of the thoracic aorta and subclavian artery coverage, were investigated as possible predictors of postoperative SCI. Results: Five patients (7.5%) had postoperative neurological deficits (immediate n = 2, delayed n = 3) referable to SCI. Univariate analysis showed that length of aortic coverage (p &lt; 0.001) and number of stent-grafts deployed (p = 0.02) were significant predictors of SCI. Multivariate logistic regression analysis showed that length of aortic coverage was the only independent significant predictor of SCI. ROC curve analysis revealed 205 mm of aortic length coverage as the threshold for increased risk of postoperative SCI (p = 0.001), with specificity and sensitivity of 95.2 and 80% respectively. Conclusion: In our study, length of aortic coverage is the only independent predictive factor of SCI after endovascular treatment with 205 mm as a threshold for increased risk. Hence, methods to prevent SCI, especially those aimed at restoration of an adequate spinal cord perfusion pressure, should be offered to patients requiring extensive coverage of the descending thoracic aorta. © 2007 European Society for Vascular Surgery.","author":[{"dropping-particle":"","family":"Amabile","given":"P.","non-dropping-particle":"","parse-names":false,"suffix":""},{"dropping-particle":"","family":"Grisoli","given":"D.","non-dropping-particle":"","parse-names":false,"suffix":""},{"dropping-particle":"","family":"Giorgi","given":"R.","non-dropping-particle":"","parse-names":false,"suffix":""},{"dropping-particle":"","family":"Bartoli","given":"J. M.","non-dropping-particle":"","parse-names":false,"suffix":""},{"dropping-particle":"","family":"Piquet","given":"P.","non-dropping-particle":"","parse-names":false,"suffix":""}],"container-title":"European Journal of Vascular and Endovascular Surgery","id":"ITEM-1","issue":"4","issued":{"date-parts":[["2008"]]},"page":"455-461","title":"Incidence and Determinants of Spinal Cord Ischaemia in Stent-graft Repair of the Thoracic Aorta","type":"article-journal","volume":"35"},"uris":["http://www.mendeley.com/documents/?uuid=e2e2acb8-99f6-4681-be19-f2f092a8c2b8"]},{"id":"ITEM-2","itemData":{"DOI":"10.3390/cells9020501","ISSN":"2073-4409","abstract":"Spinal cord ischemia (SCI) is a clinical complication following aortic repair that significantly impairs the quality and expectancy of life. Despite some strategies, like cerebrospinal fluid drainage, the occurrence of neurological symptoms, such as paraplegia and paraparesis, remains unpredictable. Beside the major blood supply through conduit arteries, a huge collateral network protects the central nervous system from ischemia—the paraspinous and the intraspinal compartment. The intraspinal arcades maintain perfusion pressure following a sudden inflow interruption, whereas the paraspinal system first needs to undergo arteriogenesis to ensure sufficient blood supply after an acute ischemic insult. The so-called steal phenomenon can even worsen the postoperative situation by causing the hypoperfusion of the spine when, shortly after thoracoabdominal aortic aneurysm (TAAA) surgery, muscles connected with the network divert blood and cause additional stress. Vessels are a conglomeration of different cell types involved in adapting to stress, like endothelial cells, smooth muscle cells, and pericytes. This adaption to stress is subdivided in three phases—initiation, growth, and the maturation phase. In fields of endovascular aortic aneurysm repair, pre-operative selective segmental artery occlusion may enable the development of a sufficient collateral network by stimulating collateral vessel growth, which, again, may prevent spinal cord ischemia. Among others, the major signaling pathways include the phosphoinositide 3 kinase (PI3K) pathway/the antiapoptotic kinase (AKT) pathway/the endothelial nitric oxide synthase (eNOS) pathway, the Erk1, the delta-like ligand (DII), the jagged (Jag)/NOTCH pathway, and the midkine regulatory cytokine signaling pathways.","author":[{"dropping-particle":"","family":"Simon","given":"Florian","non-dropping-particle":"","parse-names":false,"suffix":""},{"dropping-particle":"","family":"Wagenhäuser","given":"Markus Udo","non-dropping-particle":"","parse-names":false,"suffix":""},{"dropping-particle":"","family":"Busch","given":"Albert","non-dropping-particle":"","parse-names":false,"suffix":""},{"dropping-particle":"","family":"Schelzig","given":"Hubert","non-dropping-particle":"","parse-names":false,"suffix":""},{"dropping-particle":"","family":"Gombert","given":"Alexander","non-dropping-particle":"","parse-names":false,"suffix":""}],"container-title":"Cells","id":"ITEM-2","issue":"2","issued":{"date-parts":[["2020"]]},"page":"501","title":"Arteriogenesis of the Spinal Cord—The Network Challenge","type":"article-journal","volume":"9"},"uris":["http://www.mendeley.com/documents/?uuid=93c937d5-351e-43ab-bfc4-3971a4e568ed"]},{"id":"ITEM-3","itemData":{"DOI":"10.1016/j.ejvs.2014.05.020","ISSN":"15322165","abstract":"Objective To report experience with the concept of temporary aneurysm sac perfusion (TASP) and second stage side branch completion to prevent severe spinal cord ischemia (SCI) after branched endovascular aortic repair (bEVAR) for thoracoabdominal aortic aneurysm (TAAA).\nMethods Patients were treated for TAAA with bEVAR between January 2009 and September 2012. TASP was performed by non-completion of side branches to one of the reno-visceral arteries, distal aortic or iliac extensions with secondary side branch completion. Primary endpoints of the study were overall technical success, side branch patency, perioperative mortality, and the rate of severe SCI.\nResults Eighty-three patients were treated for TAAA with branched aortic stent grafts with (n = 40) or without (n = 43) TASP. Overall technical success, including aneurysm exclusion, absence of persistent type I or III endoleak, TASP side branch patency, and secondary side branch completion was 35/40 (88%). Secondary TASP side branch completion was performed after a median of 48 days (range 1-370 days). The rate of early re-interventions for reno-visceral side branch complications was 8/283 (3%) and 6/83 (7%) for perioperative mortality, with three patients in both groups. Severe SCI or paraplegia was observed in 11/83 (13%) of the patients and reduced in the TASP group (2/40) compared with the non-TASP group (9/43; p =.03), especially in Crawford I-III aneurysms (1/29 vs. 7/24; p =.01). However, one TASP patient died 4 months after bEVAR during the TASP interval from suspected aorto-bronchial fistula.\nConclusion The concept of TASP after bEVAR for TAAA is feasible and seems to reduce the risk of SCI. Early side TASP branch completion within 4 weeks is recommended to reduce the risk of rupture, although, according to the individual clinical presentation, a longer TASP interval might improve neurological rehabilitation from SCI.","author":[{"dropping-particle":"","family":"Kasprzak","given":"P. M.","non-dropping-particle":"","parse-names":false,"suffix":""},{"dropping-particle":"","family":"Gallis","given":"K.","non-dropping-particle":"","parse-names":false,"suffix":""},{"dropping-particle":"","family":"Cucuruz","given":"B.","non-dropping-particle":"","parse-names":false,"suffix":""},{"dropping-particle":"","family":"Pfister","given":"K.","non-dropping-particle":"","parse-names":false,"suffix":""},{"dropping-particle":"","family":"Janotta","given":"M.","non-dropping-particle":"","parse-names":false,"suffix":""},{"dropping-particle":"","family":"Kopp","given":"R.","non-dropping-particle":"","parse-names":false,"suffix":""}],"container-title":"European Journal of Vascular and Endovascular Surgery","id":"ITEM-3","issue":"3","issued":{"date-parts":[["2014"]]},"page":"258-265","title":"Editor's choice - Temporary aneurysm sac perfusion as an adjunct for prevention of spinal cord ischemia after branched endovascular repair of thoracoabdominal aneurysms","type":"article-journal","volume":"48"},"uris":["http://www.mendeley.com/documents/?uuid=43890eae-9e19-4da1-a408-ce18f4773491"]},{"id":"ITEM-4","itemData":{"DOI":"10.1016/j.athoracsur.2005.04.027","ISSN":"00034975","abstract":"Background. Paraplegia is a recognized complication after endovascular stent repair of descending thoracic aortic aneurysms. A management algorithm employing neurologic assessment, somatosensory evoked potential monitoring, arterial pressure augmentation, and cerebrospinal fluid drainage evolved to decrease the risk of postoperative paraplegia. Methods. Patients in thoracic aortic aneurysm stent trials from 1999 to 2004 were analyzed for paraplegic complications. Lower extremity strength was assessed after anesthesia and in the intensive care unit. A loss of lower extremity somatosensory evoked potential or lower extremity strength was treated emergently to maintain a mean arterial pressure 90 mmHg or greater and a cerebrospinal fluid pressure 10 mm Hg or less. Results. Seventy-five patients (male = 49, female = 26, age = 75 ± 7.4 years) had descending thoracic aortic aneurysms repaired with endovascular stenting. Lumbar cerebrospinal fluid drainage (n = 23) and somatosensory evoked potential monitoring (n = 15) were performed selectively in patients with significant aneurysm extent or with prior abdominal aortic aneurysm repair (n = 17). Spinal cord ischemia occurred in 5 patients (6.6%); two had lower extremity somatosensory evoked potential loss after stent deployment and 4 developed delayed-onset paraplegia. Two had full recovery in response to arterial pressure augmentation alone. Two had full recovery and one had near-complete recovery in response to arterial pressure augmentation and cerebrospinal fluid drainage. Spinal cord ischemia was associated with retroperitoneal bleed (n = 1), prior abdominal aortic aneurysm repair (n = 2), iliac artery injury (n = 1), and atheroembolism (n = 1). Conclusions. Early detection and intervention to augment spinal cord perfusion pressure was effective for decreasing the magnitude of injury or preventing permanent paraplegia from spinal cord ischemia after endovascular stent repair of descending thoracic aortic aneurysm. Routine somatosensory evoked potential monitoring, serial neurologic assessment, arterial pressure augmentation, and cerebrospinal fluid drainage may benefit patients at risk for paraplegia. © 2005 by The Society of Thoracic Surgeons.","author":[{"dropping-particle":"","family":"Cheung","given":"Albert T.","non-dropping-particle":"","parse-names":false,"suffix":""},{"dropping-particle":"","family":"Pochettino","given":"Alberto","non-dropping-particle":"","parse-names":false,"suffix":""},{"dropping-particle":"","family":"McGarvey","given":"Michael L.","non-dropping-particle":"","parse-names":false,"suffix":""},{"dropping-particle":"","family":"Appoo","given":"Jehangir J.","non-dropping-particle":"","parse-names":false,"suffix":""},{"dropping-particle":"","family":"Fairman","given":"Ronald M.","non-dropping-particle":"","parse-names":false,"suffix":""},{"dropping-particle":"","family":"Carpenter","given":"Jeffrey P.","non-dropping-particle":"","parse-names":false,"suffix":""},{"dropping-particle":"","family":"Moser","given":"William G.","non-dropping-particle":"","parse-names":false,"suffix":""},{"dropping-particle":"","family":"Woo","given":"Edward Y.","non-dropping-particle":"","parse-names":false,"suffix":""},{"dropping-particle":"","family":"Bavaria","given":"Joseph E.","non-dropping-particle":"","parse-names":false,"suffix":""}],"container-title":"Annals of Thoracic Surgery","id":"ITEM-4","issue":"4","issued":{"date-parts":[["2005"]]},"page":"1280-1289","title":"Strategies to manage paraplegia risk after endovascular stent repair of descending thoracic aortic aneurysms","type":"article-journal","volume":"80"},"uris":["http://www.mendeley.com/documents/?uuid=1469668d-0d4e-43be-ae80-474b86f32152"]},{"id":"ITEM-5","itemData":{"DOI":"10.1016/j.ejvs.2018.02.002","ISSN":"15322165","abstract":"Introduction: The incidence of spinal cord ischaemia (SCI) and subsequent paraplegia after thoracic endovascular aneurysm repair (TEVAR) and thoraco-abdominal endovascular aneurysm repair is estimated to be between 2.5% and 8%. The aim of this review is to provide an overview of SCI preventive strategies in TEVAR and thoraco-abdominal repair and recommend an optimal strategy. Methods: Medline, Embase, and the Cochrane Library were searched for studies on TEVAR, thoraco-abdominal endovascular repair, and the use of SCI preventive measures. The review was reported according to the PRISMA statement. Results: The final analysis included 43 studies (7168 patients). All studies are cohort studies (non-comparative cohorts n = 37, comparative cohorts n = 6) and largely performed retrospectively (n = 27). The included studies had an average MINORS score of 9 (range 6–13) for non-comparative studies and 15.5 (range 12–18) for comparative studies. Transient SCI occurred in 5.7% (450/7,168, 95% CI 4.5–6.9%), permanent SCI in 2.2% (232/7,168, 95% CI 1.6–2.8%). There was a trend towards increased SCI incidence for more “high risk” cohorts. Avoidance of hypotension resulted in a slightly lower permanent SCI rate 1.8% (102/4216, 95% CI 1.2–2.3%) than the overall cohort. A very low SCI estimate (transient and permanent) was found in the subgroup of studies (2 studies, n = 248) using (mild) peri-operative hypothermia (transient SCI 0.8%, permanent SCI 0.4%). In the subgroup using temporary permissive endoleak, there was a transient SCI estimate (15.4%), with a permanent SCI estimate of 4.8%. The remaining preventive measures did not significantly impact transient or permanent SCI estimates. Conclusion: Low overall transient and permanent SCI rates are achieved during endovascular thoracic and thoraco-abdominal aortic repair. Based on the presented data, the use of selective spinal fluid drainage in high risk patients seems justified. Peri-operative hypotension should be avoided and treated where possible. The use of mild hypothermia is promising in small cohorts, but requires further evaluation. Further high quality data are essential to establish a definitive preventive strategy.","author":[{"dropping-particle":"","family":"Dijkstra","given":"Martijn L.","non-dropping-particle":"","parse-names":false,"suffix":""},{"dropping-particle":"","family":"Vainas","given":"Tryfon","non-dropping-particle":"","parse-names":false,"suffix":""},{"dropping-particle":"","family":"Zeebregts","given":"Clark J.","non-dropping-particle":"","parse-names":false,"suffix":""},{"dropping-particle":"","family":"Hooft","given":"Lotty","non-dropping-particle":"","parse-names":false,"suffix":""},{"dropping-particle":"","family":"Laan","given":"Maarten J.","non-dropping-particle":"van der","parse-names":false,"suffix":""}],"container-title":"European Journal of Vascular and Endovascular Surgery","id":"ITEM-5","issue":"6","issued":{"date-parts":[["2018"]]},"page":"829-841","publisher":"Elsevier Ltd","title":"Editor's Choice – Spinal Cord Ischaemia in Endovascular Thoracic and Thoraco-abdominal Aortic Repair: Review of Preventive Strategies","type":"article-journal","volume":"55"},"uris":["http://www.mendeley.com/documents/?uuid=c6fc200f-fd47-44ff-86a3-489958af0d83"]}],"mendeley":{"formattedCitation":"(Amabile et al., 2008; Cheung et al., 2005; Dijkstra et al., 2018; Kasprzak et al., 2014; Simon et al., 2020)","plainTextFormattedCitation":"(Amabile et al., 2008; Cheung et al., 2005; Dijkstra et al., 2018; Kasprzak et al., 2014; Simon et al., 2020)","previouslyFormattedCitation":"(Amabile et al., 2008; Cheung et al., 2005; Dijkstra et al., 2018; Kasprzak et al., 2014; Simon et al., 2020)"},"properties":{"noteIndex":0},"schema":"https://github.com/citation-style-language/schema/raw/master/csl-citation.json"}</w:instrText>
      </w:r>
      <w:r w:rsidRPr="003A1CA0">
        <w:rPr>
          <w:lang w:val="es-CR"/>
        </w:rPr>
        <w:fldChar w:fldCharType="separate"/>
      </w:r>
      <w:r w:rsidR="00FA7019" w:rsidRPr="00FA7019">
        <w:rPr>
          <w:noProof/>
          <w:lang w:val="es-CR"/>
        </w:rPr>
        <w:t>(Amabile et al., 2008; Cheung et al., 2005; Dijkstra et al., 2018; Kasprzak et al., 2014; Simon et al., 2020)</w:t>
      </w:r>
      <w:r w:rsidRPr="003A1CA0">
        <w:rPr>
          <w:lang w:val="es-CR"/>
        </w:rPr>
        <w:fldChar w:fldCharType="end"/>
      </w:r>
      <w:r w:rsidRPr="003A1CA0">
        <w:rPr>
          <w:lang w:val="es-CR"/>
        </w:rPr>
        <w:t xml:space="preserve">. </w:t>
      </w:r>
      <w:r w:rsidR="004B5779">
        <w:rPr>
          <w:lang w:val="es-CR"/>
        </w:rPr>
        <w:t>Siendo l</w:t>
      </w:r>
      <w:r w:rsidRPr="003A1CA0">
        <w:rPr>
          <w:lang w:val="es-CR"/>
        </w:rPr>
        <w:t>a incidencia de la reparación abierta de aneurisma aórtico toracoabdominal (TAAA por sus siglas en inglés)</w:t>
      </w:r>
      <w:r w:rsidR="004B5779">
        <w:rPr>
          <w:lang w:val="es-CR"/>
        </w:rPr>
        <w:t xml:space="preserve"> </w:t>
      </w:r>
      <w:r w:rsidRPr="003A1CA0">
        <w:rPr>
          <w:lang w:val="es-CR"/>
        </w:rPr>
        <w:t>alrededor de un 2-19%</w:t>
      </w:r>
      <w:r w:rsidR="001A1B73">
        <w:rPr>
          <w:lang w:val="es-CR"/>
        </w:rPr>
        <w:t xml:space="preserve"> </w:t>
      </w:r>
      <w:r w:rsidRPr="003A1CA0">
        <w:rPr>
          <w:lang w:val="es-CR"/>
        </w:rPr>
        <w:fldChar w:fldCharType="begin" w:fldLock="1"/>
      </w:r>
      <w:r w:rsidR="001A1B73">
        <w:rPr>
          <w:lang w:val="es-CR"/>
        </w:rPr>
        <w:instrText>ADDIN CSL_CITATION {"citationItems":[{"id":"ITEM-1","itemData":{"DOI":"10.3390/cells9020501","ISSN":"2073-4409","abstract":"Spinal cord ischemia (SCI) is a clinical complication following aortic repair that significantly impairs the quality and expectancy of life. Despite some strategies, like cerebrospinal fluid drainage, the occurrence of neurological symptoms, such as paraplegia and paraparesis, remains unpredictable. Beside the major blood supply through conduit arteries, a huge collateral network protects the central nervous system from ischemia—the paraspinous and the intraspinal compartment. The intraspinal arcades maintain perfusion pressure following a sudden inflow interruption, whereas the paraspinal system first needs to undergo arteriogenesis to ensure sufficient blood supply after an acute ischemic insult. The so-called steal phenomenon can even worsen the postoperative situation by causing the hypoperfusion of the spine when, shortly after thoracoabdominal aortic aneurysm (TAAA) surgery, muscles connected with the network divert blood and cause additional stress. Vessels are a conglomeration of different cell types involved in adapting to stress, like endothelial cells, smooth muscle cells, and pericytes. This adaption to stress is subdivided in three phases—initiation, growth, and the maturation phase. In fields of endovascular aortic aneurysm repair, pre-operative selective segmental artery occlusion may enable the development of a sufficient collateral network by stimulating collateral vessel growth, which, again, may prevent spinal cord ischemia. Among others, the major signaling pathways include the phosphoinositide 3 kinase (PI3K) pathway/the antiapoptotic kinase (AKT) pathway/the endothelial nitric oxide synthase (eNOS) pathway, the Erk1, the delta-like ligand (DII), the jagged (Jag)/NOTCH pathway, and the midkine regulatory cytokine signaling pathways.","author":[{"dropping-particle":"","family":"Simon","given":"Florian","non-dropping-particle":"","parse-names":false,"suffix":""},{"dropping-particle":"","family":"Wagenhäuser","given":"Markus Udo","non-dropping-particle":"","parse-names":false,"suffix":""},{"dropping-particle":"","family":"Busch","given":"Albert","non-dropping-particle":"","parse-names":false,"suffix":""},{"dropping-particle":"","family":"Schelzig","given":"Hubert","non-dropping-particle":"","parse-names":false,"suffix":""},{"dropping-particle":"","family":"Gombert","given":"Alexander","non-dropping-particle":"","parse-names":false,"suffix":""}],"container-title":"Cells","id":"ITEM-1","issue":"2","issued":{"date-parts":[["2020"]]},"page":"501","title":"Arteriogenesis of the Spinal Cord—The Network Challenge","type":"article-journal","volume":"9"},"uris":["http://www.mendeley.com/documents/?uuid=93c937d5-351e-43ab-bfc4-3971a4e568ed"]}],"mendeley":{"formattedCitation":"(Simon et al., 2020)","plainTextFormattedCitation":"(Simon et al., 2020)","previouslyFormattedCitation":"(Simon et al., 2020)"},"properties":{"noteIndex":0},"schema":"https://github.com/citation-style-language/schema/raw/master/csl-citation.json"}</w:instrText>
      </w:r>
      <w:r w:rsidRPr="003A1CA0">
        <w:rPr>
          <w:lang w:val="es-CR"/>
        </w:rPr>
        <w:fldChar w:fldCharType="separate"/>
      </w:r>
      <w:r w:rsidR="00FA7019" w:rsidRPr="00FA7019">
        <w:rPr>
          <w:noProof/>
          <w:lang w:val="es-CR"/>
        </w:rPr>
        <w:t>(Simon et al., 2020)</w:t>
      </w:r>
      <w:r w:rsidRPr="003A1CA0">
        <w:rPr>
          <w:lang w:val="es-CR"/>
        </w:rPr>
        <w:fldChar w:fldCharType="end"/>
      </w:r>
      <w:r w:rsidRPr="003A1CA0">
        <w:rPr>
          <w:lang w:val="es-CR"/>
        </w:rPr>
        <w:t>; en casos de reparaciones extensas de TAAA Crawford tipo II la incidencia puede aumentar hasta un 22%</w:t>
      </w:r>
      <w:r w:rsidR="001A1B73">
        <w:rPr>
          <w:lang w:val="es-CR"/>
        </w:rPr>
        <w:t xml:space="preserve"> </w:t>
      </w:r>
      <w:r w:rsidRPr="003A1CA0">
        <w:rPr>
          <w:lang w:val="es-CR"/>
        </w:rPr>
        <w:fldChar w:fldCharType="begin" w:fldLock="1"/>
      </w:r>
      <w:r w:rsidR="001A1B73">
        <w:rPr>
          <w:lang w:val="es-CR"/>
        </w:rPr>
        <w:instrText>ADDIN CSL_CITATION {"citationItems":[{"id":"ITEM-1","itemData":{"ISSN":"00219509","PMID":"26731537","abstract":"Despite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Surgery","id":"ITEM-1","issue":"2","issued":{"date-parts":[["2016"]]},"page":"191-201","title":"Spinal cord ischemia is multifactorial: What is the best protocol?","type":"article-journal","volume":"57"},"uris":["http://www.mendeley.com/documents/?uuid=0524e5a3-e7a6-44c1-b114-0a26090a5229"]},{"id":"ITEM-2","itemData":{"DOI":"10.12945/j.aorta.2015.14-045","ISSN":"2325-4637","abstract":"Based on a Presentation at the 2013 VEITH Symposium, November 19–23, 2013 (New York, NY, USA)Background: Spinal cord ischemia (SCI) is one of the most feared complications following the repair of thoraco- abdominal aortic aneurysms (TAAA). Endovascular repair of TAAA is now possible with branched stent grafts, but spinal cord ischaemia rates are still unacceptably high. A number of techniques have been utilized to reduce these levels, however, SCI remains a challenge to endovascular repair of TAAA. The use of sac perfusion branches aims to reduce the incidence of this catastrophic complication.Methods: A retrospective analysis of all patients undergoing branched endovascular aortic repair for all thoraco-abdominal aneurysms (TAAA) using custom made devices during January 2008 to August 2014. We describe a two staged technique in which perfusion of segmental vessels is maintained by a temporary endoleak through an open perfusion branch, incorporated within the branched stent graft, followed by a closure of this branch at a later date to complete exclusion of the aneurysm.Results: Forty-seven patients underwent TAAA repair. Twenty-five (53%) had a two-stage procedure using either a sac perfusion branch or a target vessel to perfuse the sac. Nine patients (19.15%) suffered some form of SCI with eight patients having temporary SCI (lasting less than 72 hours) and one patient having permanent SCI. Of eight patients that had temporary spinal cord ischemia, all had a perfusion strategy. There was one case of permanent SCI (2.13%).Conclusion: Sac perfusion branches provide a safe method for preventing SCI, however this needs to be used in conjunction with controlling MAP and CSF drainage.","author":[{"dropping-particle":"","family":"Jayia","given":"Parveen","non-dropping-particle":"","parse-names":false,"suffix":""},{"dropping-particle":"","family":"Constantinou","given":"Jason","non-dropping-particle":"","parse-names":false,"suffix":""},{"dropping-particle":"","family":"Hamilton","given":"Hamish","non-dropping-particle":"","parse-names":false,"suffix":""},{"dropping-particle":"","family":"Ivancev","given":"Krassi","non-dropping-particle":"","parse-names":false,"suffix":""}],"container-title":"Aorta","id":"ITEM-2","issue":"02","issued":{"date-parts":[["2015"]]},"page":"56-60","title":"Temporary Perfusion Branches to Decrease Spinal Cord Ischemia in the Endovascular Treatment of Thoraco-Abdominal Aortic Aneurysms","type":"article-journal","volume":"03"},"uris":["http://www.mendeley.com/documents/?uuid=7020fa33-dad5-470a-be42-c93c1b418e47"]},{"id":"ITEM-3","itemData":{"DOI":"10.1007/s00540-010-1044-9","ISSN":"09138668","abstract":"Purpose: Monitoring motor evoked potentials (MEPs) has been recognized as a highly reliable method to detect intraoperative spinal cord ischemia (SCI) in aortic repair. However, the data regarding the sensitivity and specificity of MEPs for predicting postoperative paraplegia are limited. We retrospectively assessed the value of intraoperative MEP amplitudes for predicting postoperative paraplegia. Methods: The medical records of 44 patients were reviewed. A train-of-five stimulation was delivered to C3-C4, and MEPs were recorded from the abductor pollicis brevis and the tibialis anterior muscles. The cutoff point for detecting SCI was set at 75% decrease of the baseline MEP. Receiver operating characteristic curves were applied at various cutoff points. Results: Three patients (6.8%) had postoperative paraplegia. The minimum MEP during surgery had 100% sensitivity and 64.9% specificity in predicting paraplegia, and the MEP at the end of surgery had 66.7% sensitivity and 78.0% specificity in predicting paraplegia: only 1 patient, who had borderline paraplegia (right monoparesis), showed a false-negative result. Receiver operating characteristic curves indicated that adequate cutoff points for the minimum MEP during surgery and for the MEP amplitude at the end of surgery were a 75-90% decrease and a 64-75% decrease of the baseline MEP, respectively. Conclusion: Monitoring MEPs had relatively high sensitivity and acceptable specificity, with the cutoff point set at 75% decrease of the baseline MEP, for predicting paraplegia and paraparesis. Because of the small sample in our study, further investigations would be necessary to investigate an adequate cutoff point that could predict postoperative paraplegia. © 2010 Japanese Society of Anesthesiologists.","author":[{"dropping-particle":"","family":"Horiuchi","given":"Toshinori","non-dropping-particle":"","parse-names":false,"suffix":""},{"dropping-particle":"","family":"Kawaguchi","given":"Masahiko","non-dropping-particle":"","parse-names":false,"suffix":""},{"dropping-particle":"","family":"Inoue","given":"Satoki","non-dropping-particle":"","parse-names":false,"suffix":""},{"dropping-particle":"","family":"Hayashi","given":"Hironobu","non-dropping-particle":"","parse-names":false,"suffix":""},{"dropping-particle":"","family":"Abe","given":"Ryuichi","non-dropping-particle":"","parse-names":false,"suffix":""},{"dropping-particle":"","family":"Tabayashi","given":"Nobuoki","non-dropping-particle":"","parse-names":false,"suffix":""},{"dropping-particle":"","family":"Taniguchi","given":"Shigeki","non-dropping-particle":"","parse-names":false,"suffix":""},{"dropping-particle":"","family":"Furuya","given":"Hitoshi","non-dropping-particle":"","parse-names":false,"suffix":""}],"container-title":"Journal of Anesthesia","id":"ITEM-3","issue":"1","issued":{"date-parts":[["2011"]]},"page":"18-28","title":"Assessment of intraoperative motor evoked potentials for predicting postoperative paraplegia in thoracic and thoracoabdominal aortic aneurysm repair","type":"article-journal","volume":"25"},"uris":["http://www.mendeley.com/documents/?uuid=4998d038-6e8d-4920-8de0-cdeba8a27d93"]}],"mendeley":{"formattedCitation":"(Horiuchi et al., 2011; Jayia et al., 2015; Germano Melissano et al., 2016)","plainTextFormattedCitation":"(Horiuchi et al., 2011; Jayia et al., 2015; Germano Melissano et al., 2016)","previouslyFormattedCitation":"(Horiuchi et al., 2011; Jayia et al., 2015; Germano Melissano et al., 2016)"},"properties":{"noteIndex":0},"schema":"https://github.com/citation-style-language/schema/raw/master/csl-citation.json"}</w:instrText>
      </w:r>
      <w:r w:rsidRPr="003A1CA0">
        <w:rPr>
          <w:lang w:val="es-CR"/>
        </w:rPr>
        <w:fldChar w:fldCharType="separate"/>
      </w:r>
      <w:r w:rsidR="00FA7019" w:rsidRPr="00FA7019">
        <w:rPr>
          <w:noProof/>
          <w:lang w:val="es-CR"/>
        </w:rPr>
        <w:t>(Horiuchi et al., 2011; Jayia et al., 2015; Germano Melissano et al., 2016)</w:t>
      </w:r>
      <w:r w:rsidRPr="003A1CA0">
        <w:rPr>
          <w:lang w:val="es-CR"/>
        </w:rPr>
        <w:fldChar w:fldCharType="end"/>
      </w:r>
      <w:r w:rsidRPr="003A1CA0">
        <w:rPr>
          <w:lang w:val="es-CR"/>
        </w:rPr>
        <w:t>.</w:t>
      </w:r>
    </w:p>
    <w:p w14:paraId="17344D6B" w14:textId="7B2541A3" w:rsidR="00C83CD9" w:rsidRDefault="00C83CD9" w:rsidP="004437E4">
      <w:pPr>
        <w:spacing w:line="240" w:lineRule="auto"/>
        <w:rPr>
          <w:lang w:val="es-CR"/>
        </w:rPr>
      </w:pPr>
      <w:r w:rsidRPr="003A1CA0">
        <w:rPr>
          <w:lang w:val="es-CR"/>
        </w:rPr>
        <w:t>El riesgo de SCI es variable y depende del número de factores predisponentes.</w:t>
      </w:r>
      <w:r>
        <w:rPr>
          <w:lang w:val="es-CR"/>
        </w:rPr>
        <w:t xml:space="preserve"> La estratificación del riesgo es fundamental realizar un planteamiento individualizado para </w:t>
      </w:r>
      <w:r w:rsidR="004437E4">
        <w:rPr>
          <w:lang w:val="es-CR"/>
        </w:rPr>
        <w:t xml:space="preserve">cada </w:t>
      </w:r>
      <w:r>
        <w:rPr>
          <w:lang w:val="es-CR"/>
        </w:rPr>
        <w:t>paciente.</w:t>
      </w:r>
    </w:p>
    <w:p w14:paraId="0146E32F" w14:textId="7A9EE528" w:rsidR="00C83CD9" w:rsidRDefault="00C83CD9" w:rsidP="004437E4">
      <w:pPr>
        <w:spacing w:line="240" w:lineRule="auto"/>
        <w:rPr>
          <w:lang w:val="es-CR"/>
        </w:rPr>
      </w:pPr>
      <w:r>
        <w:rPr>
          <w:lang w:val="es-CR"/>
        </w:rPr>
        <w:t>Anatómicamente la v</w:t>
      </w:r>
      <w:r w:rsidRPr="00C83CD9">
        <w:rPr>
          <w:lang w:val="es-CR"/>
        </w:rPr>
        <w:t>isualización directa de la vasculatura de la médula espinal es clínicamente compleja</w:t>
      </w:r>
      <w:r w:rsidR="004B5779">
        <w:rPr>
          <w:lang w:val="es-CR"/>
        </w:rPr>
        <w:t>, por lo tanto e</w:t>
      </w:r>
      <w:r w:rsidRPr="00C83CD9">
        <w:rPr>
          <w:lang w:val="es-CR"/>
        </w:rPr>
        <w:t>s esencial el entendimiento completo de la anatomía vascular de la médula espinal para desarrollar estrategias óptimas que prevengan la SCI en el perioperatorio</w:t>
      </w:r>
      <w:r w:rsidR="001A1B73">
        <w:rPr>
          <w:lang w:val="es-CR"/>
        </w:rPr>
        <w:t xml:space="preserve"> </w:t>
      </w:r>
      <w:r>
        <w:rPr>
          <w:lang w:val="es-CR"/>
        </w:rPr>
        <w:fldChar w:fldCharType="begin" w:fldLock="1"/>
      </w:r>
      <w:r w:rsidR="001A1B73">
        <w:rPr>
          <w:lang w:val="es-CR"/>
        </w:rPr>
        <w:instrText>ADDIN CSL_CITATION {"citationItems":[{"id":"ITEM-1","itemData":{"DOI":"10.1016/j.jvs.2005.04.016","ISSN":"07415214","abstract":"Objectives: Neurologic deficit after endovascular treatment of the thoracic aorta is a complication reported with variable frequency that may be associated with severe morbidity and mortality. The mechanism of spinal cord ischemia appears to be multifactorial and remains ill-defined. We reviewed our experience to investigate the determinants of paraplegia after stent-graft repair of the thoracic aorta, identify patients at risk, and assess the effectiveness of ancillary techniques. Methods: Over a 5-year period (June 1999 to December 2004), 103 patients underwent elective endovascular repair of the thoracic aorta at a university referral center. Indications for treatment were atherosclerotic aneurysms in 88 patients, chronic type B dissection in 10 patients, and penetrating aortic ulcer in 5 patients. Four of the 103 patients affected with thoracoabdominal aortic aneurysms had hybrid procedures and were excluded from the cumulative analysis. Twelve patients with zone 0 and zone 1 aortic arch aneurysms were operated on with synchronous or staged surgical aortic debranching. Preoperative cerebrospinal fluid (CSF) drainage was instituted in seven selected patients. Neurologic deficits were assessed by an independent neurologist and classified as immediate or delayed. Patient demographics and perioperative factors related to the endovascular procedure were evaluated by using univariate statistical analyses. Results: A primary technical success was achieved in 94 patients (94.9%). At a mean follow-up of 34 ± 14 months, a midterm clinical success was obtained in 90 patients (90.9%). Four patients (4.04%) had delayed neurologic deficit that completely resolved after the institution of CSF drainage, steroids administration, and arterial pressure pharmacologic adjustment. None of the four patients who underwent hybrid procedures for thoracoabdominal aortic aneurysms had paraplegia or paraparesis. Univariate analyses identified only a perioperative lowest mean arterial pressure (MAP) of &lt;70 mm Hg as a significant risk factor (P &lt; .0001). Conclusion: Perioperative hypotension (MAP &lt;70 mm Hg) was found to be a significant predictor of spinal cord ischemia; hence, careful monitoring and prompt correction of arterial pressure may prevent the development of paraplegia. When the latter occurred, reduction of the CSF pressure by drainage was useful. Patients with a previous or synchronous abdominal aortic repair may also benefit from CSF drainage as a perioperative adju…","author":[{"dropping-particle":"","family":"Chiesa","given":"Roberto","non-dropping-particle":"","parse-names":false,"suffix":""},{"dropping-particle":"","family":"Melissano","given":"Germano","non-dropping-particle":"","parse-names":false,"suffix":""},{"dropping-particle":"","family":"Marrocco-Trischitta","given":"Massimiliano M.","non-dropping-particle":"","parse-names":false,"suffix":""},{"dropping-particle":"","family":"Civilini","given":"Efrem","non-dropping-particle":"","parse-names":false,"suffix":""},{"dropping-particle":"","family":"Setacci","given":"Francesco","non-dropping-particle":"","parse-names":false,"suffix":""}],"container-title":"Journal of Vascular Surgery","id":"ITEM-1","issue":"1","issued":{"date-parts":[["2005"]]},"page":"11-17","title":"Spinal cord ischemia after elective stent-graft repair of the thoracic aorta","type":"article-journal","volume":"42"},"uris":["http://www.mendeley.com/documents/?uuid=642e3736-5b76-4280-9878-493ae1e28023"]}],"mendeley":{"formattedCitation":"(Chiesa et al., 2005)","plainTextFormattedCitation":"(Chiesa et al., 2005)","previouslyFormattedCitation":"(Chiesa et al., 2005)"},"properties":{"noteIndex":0},"schema":"https://github.com/citation-style-language/schema/raw/master/csl-citation.json"}</w:instrText>
      </w:r>
      <w:r>
        <w:rPr>
          <w:lang w:val="es-CR"/>
        </w:rPr>
        <w:fldChar w:fldCharType="separate"/>
      </w:r>
      <w:r w:rsidR="00FA7019" w:rsidRPr="00FA7019">
        <w:rPr>
          <w:noProof/>
          <w:lang w:val="es-CR"/>
        </w:rPr>
        <w:t>(Chiesa et al., 2005)</w:t>
      </w:r>
      <w:r>
        <w:rPr>
          <w:lang w:val="es-CR"/>
        </w:rPr>
        <w:fldChar w:fldCharType="end"/>
      </w:r>
      <w:r w:rsidRPr="00C83CD9">
        <w:rPr>
          <w:lang w:val="es-CR"/>
        </w:rPr>
        <w:t>.</w:t>
      </w:r>
    </w:p>
    <w:p w14:paraId="6112C6CD" w14:textId="4AFA8F4B" w:rsidR="00C83CD9" w:rsidRDefault="00C83CD9" w:rsidP="004437E4">
      <w:pPr>
        <w:spacing w:line="240" w:lineRule="auto"/>
        <w:rPr>
          <w:lang w:val="es-CR"/>
        </w:rPr>
      </w:pPr>
      <w:r w:rsidRPr="003A1CA0">
        <w:rPr>
          <w:lang w:val="es-CR"/>
        </w:rPr>
        <w:t>El uso generalizado de medidas complementarias para mejorar el aporte sanguíneo medular transoperatorio es ampliamente usado. Estrategias preoperatorias, transoperatorias y postoperatorias son aplicadas para maximizar la perfusión de la médula espinal con el fin de evitar SCI</w:t>
      </w:r>
      <w:r w:rsidR="001A1B73">
        <w:rPr>
          <w:lang w:val="es-CR"/>
        </w:rPr>
        <w:t xml:space="preserve"> </w:t>
      </w:r>
      <w:r w:rsidRPr="003A1CA0">
        <w:rPr>
          <w:lang w:val="es-CR"/>
        </w:rPr>
        <w:fldChar w:fldCharType="begin" w:fldLock="1"/>
      </w:r>
      <w:r w:rsidR="0091486C">
        <w:rPr>
          <w:lang w:val="es-CR"/>
        </w:rPr>
        <w:instrText>ADDIN CSL_CITATION {"citationItems":[{"id":"ITEM-1","itemData":{"DOI":"10.1016/j.jvs.2015.12.062","ISSN":"10976809","abstract":"Objective Transient and permanent paraparesis and paraplegia (spinal cord injury [SCI]) are reported in up to 13% of patients undergoing thoracic endovascular aortic repair (TEVAR) for descending thoracic aortic aneurysm, thoracoabdominal aortic aneurysm, and thoracic aortic dissection. We hypothesize that aggressive intraoperative and postoperative neuroprotective interventions prevent or significantly reduce all SCI in TEVAR. Methods Using a prospectively maintained, Institutional Review Board-approved database, we retrospectively reviewed all TEVARs performed in a university tertiary referral center from 2005 to 2014 to study the incidence of all transient and permanent lower extremity SCI. Only TEVARs for traumatic aortic tear were excluded. Arch debranching and carotid subclavian bypass were performed before TEVAR in patients with arch involvement. All patients had moderate systemic hypothermia (34°C), mean arterial pressure ≥90 mm Hg, and hemoglobin ≥10 g/dL. Patients received mannitol (12.5 g), methylprednisolone (30 mg/kg), and naloxone (1 μg/kg/h). Patients in whom &gt;12 cm of aortic coverage was planned had spinal fluid drained to a pressure of &lt;8 mm Hg intraoperatively and postoperatively until normal leg strength was confirmed. The main outcome measure was transient or permanent SCI. Results One hundred fifty-five patients had TEVAR between 2005 and 2014. Mean age was 74 years, and 56.1% were male. Descending thoracic aortic aneurysm was present in 91.6%, thoracoabdominal aortic aneurysm in 8.4%, and dissection in 28.8%. Presentation was acute in 42.5%. The procedure included carotid-subclavian bypass in 18.7% of patients. Seventy-two percent of patients had spinal fluid drainage. Mean aortic coverage was 25 cm. Eighty-one percent of patients had &gt;12 cm aortic coverage, and 49% had complete coverage of the thoracic aorta (coverage from subclavian to celiac artery). In-hospital mortality was 1.94%. Stroke occurred in 1.32% of patients. No patient had renal failure. SCI occurred in 0.65% (1 of 154) of patients. Conclusions SCI in TEVAR can be significantly reduced by using proactive intraoperative and postoperative neuroprotective interventions that prolong spinal cord ischemic tolerance and increase spinal cord perfusion and oxygen delivery.","author":[{"dropping-particle":"","family":"Acher","given":"Charles W.","non-dropping-particle":"","parse-names":false,"suffix":""},{"dropping-particle":"","family":"Acher","given":"Charles W.","non-dropping-particle":"","parse-names":false,"suffix":""},{"dropping-particle":"","family":"Marks","given":"Erich","non-dropping-particle":"","parse-names":false,"suffix":""},{"dropping-particle":"","family":"Wynn","given":"Martha","non-dropping-particle":"","parse-names":false,"suffix":""}],"container-title":"Journal of Vascular Surgery","id":"ITEM-1","issue":"6","issued":{"date-parts":[["2016"]]},"page":"1458-1465","publisher":"Society for Vascular Surgery","title":"Intraoperative neuroprotective interventions prevent spinal cord ischemia and injury in thoracic endovascular aortic repair","type":"article-journal","volume":"63"},"uris":["http://www.mendeley.com/documents/?uuid=04a935de-f654-49cd-b304-0cf3f8acc927"]},{"id":"ITEM-2","itemData":{"DOI":"10.1002/9781118504536","ISBN":"9781118504536","abstract":"Saves Time and Effort Find everything you need on the most advanced treatments for aortic and structural heart disease in one easy-to-reference book - Procedure videos included Percutaneous valve repair and replacement is one of the hottest topics in interventional cardiology. Substantial research has underscored the efficacy of emergent minimally-invasive procedures, and as a result percutaneous techniques are rapidly displacing surgical options as the treatment of choice for patients with aortic and structural heart disease. Until now, you have been forced to gather information about the latest advances in endovascular and hybrid therapies in piecemeal fashion, via journal articles or by attending seminars on individual techniques. Now, for the first time, you can get everything you need to add new techniques to your repertoire or achieve true mastery of procedures you have already begun to practice in one convenient book. Master Leading-Edge TherapiesPractical, Step-by-Step Guide to the Latest Endovascular and Hybrid Techniques Edited by two of the most experienced practitioners in the field, Endovascular and Hybrid Therapies for Structural Heart and Aortic Disease covers everything interventionalists, radiologists, cardiac sugeons, and vascular surgeons need to know to master leading-edge therapies, including: Equipment selection and preparation Expert tips and tricks on individual therapies Use of advanced imaging modalities like CT and real-time MRI Optimal management of complications and proper patient follow-up A review of the pertinent anatomy, information on patient evaluation Complex procedures and possible complications Essential hot topics: Hybrid Endovascular Aortic Arch Surgery, Technique of Thoracic Endografting for Thoracic Aneurysm using the Approved Gore TAG Device, Endovascular Robotics for Complex Aortic Intervention, and Transcatheter Closure of Mitral and Aortic Paravalvular Leaks, and more! Plus, each chapter is fully illustrated in color, and a companion website includes video clips of procedures covered in the text. Order your copy today!.","author":[{"dropping-particle":"","family":"Kpodonu","given":"Jacques","non-dropping-particle":"","parse-names":false,"suffix":""},{"dropping-particle":"","family":"Bonan","given":"Raoul","non-dropping-particle":"","parse-names":false,"suffix":""}],"container-title":"Endovascular and Hybrid Therapies for Structural Heart and Aortic Disease","edition":"1","editor":[{"dropping-particle":"","family":"Kpodonu","given":"Jacques","non-dropping-particle":"","parse-names":false,"suffix":""},{"dropping-particle":"","family":"Bonan","given":"Raoul","non-dropping-particle":"","parse-names":false,"suffix":""}],"id":"ITEM-2","issued":{"date-parts":[["2013"]]},"publisher":"John Wiley &amp; Sons, Ltd","publisher-place":"Oxford, UK","title":"Endovascular and hybrid therapies for structural heart and aortic disease","type":"book"},"uris":["http://www.mendeley.com/documents/?uuid=a2e3896f-4479-4b7f-aa8e-2012ef93f6fc"]}],"mendeley":{"formattedCitation":"(Acher et al., 2016; Kpodonu &amp; Bonan, 2013)","plainTextFormattedCitation":"(Acher et al., 2016; Kpodonu &amp; Bonan, 2013)","previouslyFormattedCitation":"(Acher et al., 2016; Kpodonu &amp; Bonan, 2013)"},"properties":{"noteIndex":0},"schema":"https://github.com/citation-style-language/schema/raw/master/csl-citation.json"}</w:instrText>
      </w:r>
      <w:r w:rsidRPr="003A1CA0">
        <w:rPr>
          <w:lang w:val="es-CR"/>
        </w:rPr>
        <w:fldChar w:fldCharType="separate"/>
      </w:r>
      <w:r w:rsidR="001A1B73" w:rsidRPr="001A1B73">
        <w:rPr>
          <w:noProof/>
          <w:lang w:val="es-CR"/>
        </w:rPr>
        <w:t>(Acher et al., 2016; Kpodonu &amp; Bonan, 2013)</w:t>
      </w:r>
      <w:r w:rsidRPr="003A1CA0">
        <w:rPr>
          <w:lang w:val="es-CR"/>
        </w:rPr>
        <w:fldChar w:fldCharType="end"/>
      </w:r>
      <w:r w:rsidRPr="003A1CA0">
        <w:rPr>
          <w:lang w:val="es-CR"/>
        </w:rPr>
        <w:t>.</w:t>
      </w:r>
    </w:p>
    <w:p w14:paraId="6CEF6BB8" w14:textId="2304E8D3" w:rsidR="00C83CD9" w:rsidRPr="00AD46AD" w:rsidRDefault="00C83CD9" w:rsidP="00AD46AD">
      <w:pPr>
        <w:spacing w:line="240" w:lineRule="auto"/>
        <w:rPr>
          <w:rFonts w:ascii="Times New Roman" w:eastAsia="Times New Roman" w:hAnsi="Times New Roman" w:cs="Times New Roman"/>
          <w:szCs w:val="24"/>
          <w:lang w:val="es-CR" w:eastAsia="zh-CN" w:bidi="ar-SA"/>
        </w:rPr>
      </w:pPr>
      <w:r>
        <w:rPr>
          <w:lang w:val="es-CR"/>
        </w:rPr>
        <w:t>A</w:t>
      </w:r>
      <w:r w:rsidRPr="00C83CD9">
        <w:rPr>
          <w:lang w:val="es-CR"/>
        </w:rPr>
        <w:t xml:space="preserve"> nivel institucional los hospitales clase A </w:t>
      </w:r>
      <w:r w:rsidR="004437E4">
        <w:rPr>
          <w:lang w:val="es-CR"/>
        </w:rPr>
        <w:t xml:space="preserve">de la CCSS </w:t>
      </w:r>
      <w:r w:rsidRPr="00C83CD9">
        <w:rPr>
          <w:lang w:val="es-CR"/>
        </w:rPr>
        <w:t xml:space="preserve">se verían beneficiados al implementar protocolos de manejo pre-trans y postoperatorio de la SCI. El ERAS </w:t>
      </w:r>
      <w:r w:rsidR="00617B23">
        <w:rPr>
          <w:lang w:val="es-CR"/>
        </w:rPr>
        <w:t>(</w:t>
      </w:r>
      <w:r w:rsidR="005154F2">
        <w:rPr>
          <w:lang w:val="es-CR"/>
        </w:rPr>
        <w:t>E</w:t>
      </w:r>
      <w:r w:rsidR="00617B23">
        <w:rPr>
          <w:lang w:val="es-CR"/>
        </w:rPr>
        <w:t xml:space="preserve">nhanced </w:t>
      </w:r>
      <w:r w:rsidR="005154F2">
        <w:rPr>
          <w:lang w:val="es-CR"/>
        </w:rPr>
        <w:t>R</w:t>
      </w:r>
      <w:r w:rsidR="00617B23">
        <w:rPr>
          <w:lang w:val="es-CR"/>
        </w:rPr>
        <w:t xml:space="preserve">ecovery </w:t>
      </w:r>
      <w:r w:rsidR="005154F2">
        <w:rPr>
          <w:lang w:val="es-CR"/>
        </w:rPr>
        <w:t>A</w:t>
      </w:r>
      <w:r w:rsidR="00617B23">
        <w:rPr>
          <w:lang w:val="es-CR"/>
        </w:rPr>
        <w:t xml:space="preserve">fter </w:t>
      </w:r>
      <w:r w:rsidR="005154F2">
        <w:rPr>
          <w:lang w:val="es-CR"/>
        </w:rPr>
        <w:t>S</w:t>
      </w:r>
      <w:r w:rsidR="00617B23">
        <w:rPr>
          <w:lang w:val="es-CR"/>
        </w:rPr>
        <w:t xml:space="preserve">urgery por sus siglas en inglés) </w:t>
      </w:r>
      <w:r w:rsidR="005154F2">
        <w:rPr>
          <w:lang w:val="es-CR"/>
        </w:rPr>
        <w:t>consta de protocolos multimodales perioperatorios realizados con el fin de mantener la función orgánica fisiológica disminuyendo el estrés causado por la injuria quirúrgica, consta de</w:t>
      </w:r>
      <w:r w:rsidR="00617B23">
        <w:rPr>
          <w:lang w:val="es-CR"/>
        </w:rPr>
        <w:t xml:space="preserve"> </w:t>
      </w:r>
      <w:r w:rsidRPr="00C83CD9">
        <w:rPr>
          <w:lang w:val="es-CR"/>
        </w:rPr>
        <w:t>una herramienta actualizada que puede servir de base para la estandarización de</w:t>
      </w:r>
      <w:r w:rsidR="004B5779">
        <w:rPr>
          <w:lang w:val="es-CR"/>
        </w:rPr>
        <w:t xml:space="preserve"> tales</w:t>
      </w:r>
      <w:r w:rsidRPr="00C83CD9">
        <w:rPr>
          <w:lang w:val="es-CR"/>
        </w:rPr>
        <w:t xml:space="preserve"> procesos.</w:t>
      </w:r>
    </w:p>
    <w:p w14:paraId="657D7459" w14:textId="410D608A" w:rsidR="00C83CD9" w:rsidRPr="004437E4" w:rsidRDefault="004437E4" w:rsidP="004437E4">
      <w:pPr>
        <w:spacing w:line="240" w:lineRule="auto"/>
        <w:ind w:firstLine="0"/>
        <w:rPr>
          <w:sz w:val="20"/>
          <w:szCs w:val="18"/>
          <w:lang w:val="es-CR"/>
        </w:rPr>
      </w:pPr>
      <w:r w:rsidRPr="004437E4">
        <w:rPr>
          <w:b/>
          <w:bCs/>
          <w:sz w:val="20"/>
          <w:szCs w:val="18"/>
          <w:lang w:val="es-CR"/>
        </w:rPr>
        <w:t>Palabras clave:</w:t>
      </w:r>
      <w:r w:rsidRPr="004437E4">
        <w:rPr>
          <w:sz w:val="20"/>
          <w:szCs w:val="18"/>
          <w:lang w:val="es-CR"/>
        </w:rPr>
        <w:t xml:space="preserve"> TEVAR, Isquemia medular, Drenaje LCR; SSEP, MEP, aneurisma aórtico, prevención, protocolo.</w:t>
      </w:r>
    </w:p>
    <w:p w14:paraId="388EEEF0" w14:textId="77A3A2E2" w:rsidR="007412B4" w:rsidRPr="00AD46AD" w:rsidRDefault="007412B4" w:rsidP="00B05F46">
      <w:pPr>
        <w:pStyle w:val="Title"/>
        <w:rPr>
          <w:lang w:val="en-US"/>
        </w:rPr>
      </w:pPr>
      <w:bookmarkStart w:id="18" w:name="_Toc47027827"/>
      <w:r w:rsidRPr="00AD46AD">
        <w:rPr>
          <w:lang w:val="en-US"/>
        </w:rPr>
        <w:lastRenderedPageBreak/>
        <w:t>Abstract</w:t>
      </w:r>
      <w:bookmarkEnd w:id="18"/>
    </w:p>
    <w:p w14:paraId="292D1E5E" w14:textId="327F3DAA" w:rsidR="004437E4" w:rsidRPr="004437E4" w:rsidRDefault="004437E4" w:rsidP="004437E4">
      <w:pPr>
        <w:spacing w:line="240" w:lineRule="auto"/>
      </w:pPr>
      <w:r>
        <w:t>Spinal cord ischemia</w:t>
      </w:r>
      <w:r w:rsidRPr="004437E4">
        <w:t xml:space="preserve"> (SCI) is a devastating, uncommon, and</w:t>
      </w:r>
      <w:r w:rsidR="004B5779">
        <w:t xml:space="preserve"> a</w:t>
      </w:r>
      <w:r w:rsidRPr="004437E4">
        <w:t xml:space="preserve"> difficult to predict complication of thoracoabdominal aortic surgery. Symptoms can be transient or permanent</w:t>
      </w:r>
      <w:r>
        <w:t>. T</w:t>
      </w:r>
      <w:r w:rsidRPr="004437E4">
        <w:t xml:space="preserve">he clinical severity depends on the extent of </w:t>
      </w:r>
      <w:r>
        <w:t xml:space="preserve">the </w:t>
      </w:r>
      <w:r w:rsidRPr="004437E4">
        <w:t>spinal cord</w:t>
      </w:r>
      <w:r>
        <w:t xml:space="preserve"> affected area</w:t>
      </w:r>
      <w:r w:rsidR="001A1B73">
        <w:t xml:space="preserve"> </w:t>
      </w:r>
      <w:r w:rsidRPr="003A1CA0">
        <w:rPr>
          <w:lang w:val="es-CR"/>
        </w:rPr>
        <w:fldChar w:fldCharType="begin" w:fldLock="1"/>
      </w:r>
      <w:r w:rsidR="001A1B73">
        <w:instrText>ADDIN CSL_CITATION {"citationItems":[{"id":"ITEM-1","itemData":{"DOI":"10.1007/s00772-018-0410-z","ISSN":"14343932","abstract":"Background: Spinal cord ischemia with development of paraplegia is the most relevant complication of thoracoabdominal aortic surgery caused by compromising the segmental arteries. To prevent this devastating complication in endovascular aortic surgery, staging procedures have been developed to reinforce collateral blood flood to the spinal cord. Results: In patients with a medium to high risk for spinal cord ischemia, staged aortic repair is recommended. The classical staged repair is the two-step repair with delayed implantation of the aortic stent grafts. Additionally, more recent methods for short-term salvage of segmental artery perfusion by leaving an endoleak have been developed. Perfusion branches, delayed bridging stents as well as the open branch technique are among these methods. The latest option of staged repair is minimally invasive segmental artery embolization. Conclusion: Besides the nonsurgical options for monitoring and therapy of spinal cord ischemia, various staging procedures are available, which can be implemented depending on the patient and the aortic anatomy. Evidence that underlines staged repair for endovascular treatment of thoracoabdominal aortic pathologies is mostly based on retrospective studies.","author":[{"dropping-particle":"","family":"Heidemann","given":"F.","non-dropping-particle":"","parse-names":false,"suffix":""},{"dropping-particle":"","family":"Tsilimparis","given":"N.","non-dropping-particle":"","parse-names":false,"suffix":""},{"dropping-particle":"","family":"Rohlffs","given":"F.","non-dropping-particle":"","parse-names":false,"suffix":""},{"dropping-particle":"","family":"Debus","given":"E. S.","non-dropping-particle":"","parse-names":false,"suffix":""},{"dropping-particle":"","family":"Larena-Avellaneda","given":"A.","non-dropping-particle":"","parse-names":false,"suffix":""},{"dropping-particle":"","family":"Wipper","given":"S.","non-dropping-particle":"","parse-names":false,"suffix":""},{"dropping-particle":"","family":"Kölbel","given":"T.","non-dropping-particle":"","parse-names":false,"suffix":""}],"container-title":"Gefasschirurgie","id":"ITEM-1","issue":"July","issued":{"date-parts":[["2018"]]},"page":"39-45","title":"Staged procedures for prevention of spinal cord ischemia in endovascular aortic surgery","type":"article-journal","volume":"23"},"uris":["http://www.mendeley.com/documents/?uuid=e47c5a9d-5c3c-47b4-8254-1cea3ae4a567"]}],"mendeley":{"formattedCitation":"(Heidemann et al., 2018)","plainTextFormattedCitation":"(Heidemann et al., 2018)","previouslyFormattedCitation":"(Heidemann et al., 2018)"},"properties":{"noteIndex":0},"schema":"https://github.com/citation-style-language/schema/raw/master/csl-citation.json"}</w:instrText>
      </w:r>
      <w:r w:rsidRPr="003A1CA0">
        <w:rPr>
          <w:lang w:val="es-CR"/>
        </w:rPr>
        <w:fldChar w:fldCharType="separate"/>
      </w:r>
      <w:r w:rsidR="00FA7019" w:rsidRPr="00FA7019">
        <w:rPr>
          <w:noProof/>
        </w:rPr>
        <w:t>(Heidemann et al., 2018)</w:t>
      </w:r>
      <w:r w:rsidRPr="003A1CA0">
        <w:rPr>
          <w:lang w:val="es-CR"/>
        </w:rPr>
        <w:fldChar w:fldCharType="end"/>
      </w:r>
      <w:r w:rsidRPr="0010512C">
        <w:t>.</w:t>
      </w:r>
    </w:p>
    <w:p w14:paraId="42F2C966" w14:textId="6F8EEBA0" w:rsidR="004437E4" w:rsidRPr="004437E4" w:rsidRDefault="004437E4" w:rsidP="004437E4">
      <w:pPr>
        <w:spacing w:line="240" w:lineRule="auto"/>
      </w:pPr>
      <w:r w:rsidRPr="004437E4">
        <w:t>The incidence of SCI following Endovascular Aortic Aneurysm (EVAR) repair is directly proportional to the extent of the covered aorta during repair. Specifically for EVAR, the incidence of SCI is between 0.2% and 0.3%</w:t>
      </w:r>
      <w:r w:rsidR="001A1B73">
        <w:t xml:space="preserve"> </w:t>
      </w:r>
      <w:r w:rsidRPr="003A1CA0">
        <w:rPr>
          <w:lang w:val="es-CR"/>
        </w:rPr>
        <w:fldChar w:fldCharType="begin" w:fldLock="1"/>
      </w:r>
      <w:r w:rsidR="0091486C">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sidRPr="003A1CA0">
        <w:rPr>
          <w:lang w:val="es-CR"/>
        </w:rPr>
        <w:fldChar w:fldCharType="separate"/>
      </w:r>
      <w:r w:rsidR="0091486C" w:rsidRPr="0091486C">
        <w:rPr>
          <w:noProof/>
        </w:rPr>
        <w:t>(Oderich, 2017)</w:t>
      </w:r>
      <w:r w:rsidRPr="003A1CA0">
        <w:rPr>
          <w:lang w:val="es-CR"/>
        </w:rPr>
        <w:fldChar w:fldCharType="end"/>
      </w:r>
      <w:r w:rsidRPr="004437E4">
        <w:t>.</w:t>
      </w:r>
    </w:p>
    <w:p w14:paraId="7725324E" w14:textId="40017A63" w:rsidR="004437E4" w:rsidRPr="004437E4" w:rsidRDefault="004437E4" w:rsidP="004437E4">
      <w:pPr>
        <w:spacing w:line="240" w:lineRule="auto"/>
      </w:pPr>
      <w:r w:rsidRPr="004437E4">
        <w:t xml:space="preserve">In endovascular thoracic aortic aneurysm repair (TEVAR) the incidence increases to 1.2%-10% </w:t>
      </w:r>
      <w:r w:rsidRPr="003A1CA0">
        <w:rPr>
          <w:lang w:val="es-CR"/>
        </w:rPr>
        <w:fldChar w:fldCharType="begin" w:fldLock="1"/>
      </w:r>
      <w:r w:rsidR="001A1B73">
        <w:instrText>ADDIN CSL_CITATION {"citationItems":[{"id":"ITEM-1","itemData":{"DOI":"10.1016/j.ejvs.2007.11.005","ISSN":"10785884","abstract":"Objectives: Endovascular repair of descending thoracic aortic lesions is associated with a substantial risk of perioperative spinal cord ischaemia (SCI) which may lead to permanent paraplegia. We performed a retrospective analysis of our experience in the endovascular treatment of descending thoracic aortic lesions to define the incidence of SCI and to identify factors that contributed to its development. Methods: 67 consecutive patients underwent stent graft repair for descending thoracic aortic lesions including degenerative aneurysm (n = 19), type B dissection (acute n = 2, chronic n = 15), traumatic rupture (acute n = 14, chronic n = 4), penetrating aortic ulcer (n = 5), anastomotic false aneurysm (n = 4), mycotic aneurysm (n = 3) and embolic aortic lesion (n = 1) between June 2000 and June 2005. All procedures were performed with the patient under general anaesthesia and strict blood pressure monitoring. No patient had intra-operative monitoring of spinal evoked potential or cerebrospinal fluid (CSF) drainage to prevent SCI. Neurological evaluation was realized after recovery from general anaesthesia. Fifteen factors, including nature of aortic disease, length of aortic coverage, number of stent-grafts, coverage of the distal third of the thoracic aorta and subclavian artery coverage, were investigated as possible predictors of postoperative SCI. Results: Five patients (7.5%) had postoperative neurological deficits (immediate n = 2, delayed n = 3) referable to SCI. Univariate analysis showed that length of aortic coverage (p &lt; 0.001) and number of stent-grafts deployed (p = 0.02) were significant predictors of SCI. Multivariate logistic regression analysis showed that length of aortic coverage was the only independent significant predictor of SCI. ROC curve analysis revealed 205 mm of aortic length coverage as the threshold for increased risk of postoperative SCI (p = 0.001), with specificity and sensitivity of 95.2 and 80% respectively. Conclusion: In our study, length of aortic coverage is the only independent predictive factor of SCI after endovascular treatment with 205 mm as a threshold for increased risk. Hence, methods to prevent SCI, especially those aimed at restoration of an adequate spinal cord perfusion pressure, should be offered to patients requiring extensive coverage of the descending thoracic aorta. © 2007 European Society for Vascular Surgery.","author":[{"dropping-particle":"","family":"Amabile","given":"P.","non-dropping-particle":"","parse-names":false,"suffix":""},{"dropping-particle":"","family":"Grisoli","given":"D.","non-dropping-particle":"","parse-names":false,"suffix":""},{"dropping-particle":"","family":"Giorgi","given":"R.","non-dropping-particle":"","parse-names":false,"suffix":""},{"dropping-particle":"","family":"Bartoli","given":"J. M.","non-dropping-particle":"","parse-names":false,"suffix":""},{"dropping-particle":"","family":"Piquet","given":"P.","non-dropping-particle":"","parse-names":false,"suffix":""}],"container-title":"European Journal of Vascular and Endovascular Surgery","id":"ITEM-1","issue":"4","issued":{"date-parts":[["2008"]]},"page":"455-461","title":"Incidence and Determinants of Spinal Cord Ischaemia in Stent-graft Repair of the Thoracic Aorta","type":"article-journal","volume":"35"},"uris":["http://www.mendeley.com/documents/?uuid=e2e2acb8-99f6-4681-be19-f2f092a8c2b8"]},{"id":"ITEM-2","itemData":{"DOI":"10.3390/cells9020501","ISSN":"2073-4409","abstract":"Spinal cord ischemia (SCI) is a clinical complication following aortic repair that significantly impairs the quality and expectancy of life. Despite some strategies, like cerebrospinal fluid drainage, the occurrence of neurological symptoms, such as paraplegia and paraparesis, remains unpredictable. Beside the major blood supply through conduit arteries, a huge collateral network protects the central nervous system from ischemia—the paraspinous and the intraspinal compartment. The intraspinal arcades maintain perfusion pressure following a sudden inflow interruption, whereas the paraspinal system first needs to undergo arteriogenesis to ensure sufficient blood supply after an acute ischemic insult. The so-called steal phenomenon can even worsen the postoperative situation by causing the hypoperfusion of the spine when, shortly after thoracoabdominal aortic aneurysm (TAAA) surgery, muscles connected with the network divert blood and cause additional stress. Vessels are a conglomeration of different cell types involved in adapting to stress, like endothelial cells, smooth muscle cells, and pericytes. This adaption to stress is subdivided in three phases—initiation, growth, and the maturation phase. In fields of endovascular aortic aneurysm repair, pre-operative selective segmental artery occlusion may enable the development of a sufficient collateral network by stimulating collateral vessel growth, which, again, may prevent spinal cord ischemia. Among others, the major signaling pathways include the phosphoinositide 3 kinase (PI3K) pathway/the antiapoptotic kinase (AKT) pathway/the endothelial nitric oxide synthase (eNOS) pathway, the Erk1, the delta-like ligand (DII), the jagged (Jag)/NOTCH pathway, and the midkine regulatory cytokine signaling pathways.","author":[{"dropping-particle":"","family":"Simon","given":"Florian","non-dropping-particle":"","parse-names":false,"suffix":""},{"dropping-particle":"","family":"Wagenhäuser","given":"Markus Udo","non-dropping-particle":"","parse-names":false,"suffix":""},{"dropping-particle":"","family":"Busch","given":"Albert","non-dropping-particle":"","parse-names":false,"suffix":""},{"dropping-particle":"","family":"Schelzig","given":"Hubert","non-dropping-particle":"","parse-names":false,"suffix":""},{"dropping-particle":"","family":"Gombert","given":"Alexander","non-dropping-particle":"","parse-names":false,"suffix":""}],"container-title":"Cells","id":"ITEM-2","issue":"2","issued":{"date-parts":[["2020"]]},"page":"501","title":"Arteriogenesis of the Spinal Cord—The Network Challenge","type":"article-journal","volume":"9"},"uris":["http://www.mendeley.com/documents/?uuid=93c937d5-351e-43ab-bfc4-3971a4e568ed"]},{"id":"ITEM-3","itemData":{"DOI":"10.1016/j.ejvs.2014.05.020","ISSN":"15322165","abstract":"Objective To report experience with the concept of temporary aneurysm sac perfusion (TASP) and second stage side branch completion to prevent severe spinal cord ischemia (SCI) after branched endovascular aortic repair (bEVAR) for thoracoabdominal aortic aneurysm (TAAA).\nMethods Patients were treated for TAAA with bEVAR between January 2009 and September 2012. TASP was performed by non-completion of side branches to one of the reno-visceral arteries, distal aortic or iliac extensions with secondary side branch completion. Primary endpoints of the study were overall technical success, side branch patency, perioperative mortality, and the rate of severe SCI.\nResults Eighty-three patients were treated for TAAA with branched aortic stent grafts with (n = 40) or without (n = 43) TASP. Overall technical success, including aneurysm exclusion, absence of persistent type I or III endoleak, TASP side branch patency, and secondary side branch completion was 35/40 (88%). Secondary TASP side branch completion was performed after a median of 48 days (range 1-370 days). The rate of early re-interventions for reno-visceral side branch complications was 8/283 (3%) and 6/83 (7%) for perioperative mortality, with three patients in both groups. Severe SCI or paraplegia was observed in 11/83 (13%) of the patients and reduced in the TASP group (2/40) compared with the non-TASP group (9/43; p =.03), especially in Crawford I-III aneurysms (1/29 vs. 7/24; p =.01). However, one TASP patient died 4 months after bEVAR during the TASP interval from suspected aorto-bronchial fistula.\nConclusion The concept of TASP after bEVAR for TAAA is feasible and seems to reduce the risk of SCI. Early side TASP branch completion within 4 weeks is recommended to reduce the risk of rupture, although, according to the individual clinical presentation, a longer TASP interval might improve neurological rehabilitation from SCI.","author":[{"dropping-particle":"","family":"Kasprzak","given":"P. M.","non-dropping-particle":"","parse-names":false,"suffix":""},{"dropping-particle":"","family":"Gallis","given":"K.","non-dropping-particle":"","parse-names":false,"suffix":""},{"dropping-particle":"","family":"Cucuruz","given":"B.","non-dropping-particle":"","parse-names":false,"suffix":""},{"dropping-particle":"","family":"Pfister","given":"K.","non-dropping-particle":"","parse-names":false,"suffix":""},{"dropping-particle":"","family":"Janotta","given":"M.","non-dropping-particle":"","parse-names":false,"suffix":""},{"dropping-particle":"","family":"Kopp","given":"R.","non-dropping-particle":"","parse-names":false,"suffix":""}],"container-title":"European Journal of Vascular and Endovascular Surgery","id":"ITEM-3","issue":"3","issued":{"date-parts":[["2014"]]},"page":"258-265","title":"Editor's choice - Temporary aneurysm sac perfusion as an adjunct for prevention of spinal cord ischemia after branched endovascular repair of thoracoabdominal aneurysms","type":"article-journal","volume":"48"},"uris":["http://www.mendeley.com/documents/?uuid=43890eae-9e19-4da1-a408-ce18f4773491"]},{"id":"ITEM-4","itemData":{"DOI":"10.1016/j.athoracsur.2005.04.027","ISSN":"00034975","abstract":"Background. Paraplegia is a recognized complication after endovascular stent repair of descending thoracic aortic aneurysms. A management algorithm employing neurologic assessment, somatosensory evoked potential monitoring, arterial pressure augmentation, and cerebrospinal fluid drainage evolved to decrease the risk of postoperative paraplegia. Methods. Patients in thoracic aortic aneurysm stent trials from 1999 to 2004 were analyzed for paraplegic complications. Lower extremity strength was assessed after anesthesia and in the intensive care unit. A loss of lower extremity somatosensory evoked potential or lower extremity strength was treated emergently to maintain a mean arterial pressure 90 mmHg or greater and a cerebrospinal fluid pressure 10 mm Hg or less. Results. Seventy-five patients (male = 49, female = 26, age = 75 ± 7.4 years) had descending thoracic aortic aneurysms repaired with endovascular stenting. Lumbar cerebrospinal fluid drainage (n = 23) and somatosensory evoked potential monitoring (n = 15) were performed selectively in patients with significant aneurysm extent or with prior abdominal aortic aneurysm repair (n = 17). Spinal cord ischemia occurred in 5 patients (6.6%); two had lower extremity somatosensory evoked potential loss after stent deployment and 4 developed delayed-onset paraplegia. Two had full recovery in response to arterial pressure augmentation alone. Two had full recovery and one had near-complete recovery in response to arterial pressure augmentation and cerebrospinal fluid drainage. Spinal cord ischemia was associated with retroperitoneal bleed (n = 1), prior abdominal aortic aneurysm repair (n = 2), iliac artery injury (n = 1), and atheroembolism (n = 1). Conclusions. Early detection and intervention to augment spinal cord perfusion pressure was effective for decreasing the magnitude of injury or preventing permanent paraplegia from spinal cord ischemia after endovascular stent repair of descending thoracic aortic aneurysm. Routine somatosensory evoked potential monitoring, serial neurologic assessment, arterial pressure augmentation, and cerebrospinal fluid drainage may benefit patients at risk for paraplegia. © 2005 by The Society of Thoracic Surgeons.","author":[{"dropping-particle":"","family":"Cheung","given":"Albert T.","non-dropping-particle":"","parse-names":false,"suffix":""},{"dropping-particle":"","family":"Pochettino","given":"Alberto","non-dropping-particle":"","parse-names":false,"suffix":""},{"dropping-particle":"","family":"McGarvey","given":"Michael L.","non-dropping-particle":"","parse-names":false,"suffix":""},{"dropping-particle":"","family":"Appoo","given":"Jehangir J.","non-dropping-particle":"","parse-names":false,"suffix":""},{"dropping-particle":"","family":"Fairman","given":"Ronald M.","non-dropping-particle":"","parse-names":false,"suffix":""},{"dropping-particle":"","family":"Carpenter","given":"Jeffrey P.","non-dropping-particle":"","parse-names":false,"suffix":""},{"dropping-particle":"","family":"Moser","given":"William G.","non-dropping-particle":"","parse-names":false,"suffix":""},{"dropping-particle":"","family":"Woo","given":"Edward Y.","non-dropping-particle":"","parse-names":false,"suffix":""},{"dropping-particle":"","family":"Bavaria","given":"Joseph E.","non-dropping-particle":"","parse-names":false,"suffix":""}],"container-title":"Annals of Thoracic Surgery","id":"ITEM-4","issue":"4","issued":{"date-parts":[["2005"]]},"page":"1280-1289","title":"Strategies to manage paraplegia risk after endovascular stent repair of descending thoracic aortic aneurysms","type":"article-journal","volume":"80"},"uris":["http://www.mendeley.com/documents/?uuid=1469668d-0d4e-43be-ae80-474b86f32152"]},{"id":"ITEM-5","itemData":{"DOI":"10.1016/j.ejvs.2018.02.002","ISSN":"15322165","abstract":"Introduction: The incidence of spinal cord ischaemia (SCI) and subsequent paraplegia after thoracic endovascular aneurysm repair (TEVAR) and thoraco-abdominal endovascular aneurysm repair is estimated to be between 2.5% and 8%. The aim of this review is to provide an overview of SCI preventive strategies in TEVAR and thoraco-abdominal repair and recommend an optimal strategy. Methods: Medline, Embase, and the Cochrane Library were searched for studies on TEVAR, thoraco-abdominal endovascular repair, and the use of SCI preventive measures. The review was reported according to the PRISMA statement. Results: The final analysis included 43 studies (7168 patients). All studies are cohort studies (non-comparative cohorts n = 37, comparative cohorts n = 6) and largely performed retrospectively (n = 27). The included studies had an average MINORS score of 9 (range 6–13) for non-comparative studies and 15.5 (range 12–18) for comparative studies. Transient SCI occurred in 5.7% (450/7,168, 95% CI 4.5–6.9%), permanent SCI in 2.2% (232/7,168, 95% CI 1.6–2.8%). There was a trend towards increased SCI incidence for more “high risk” cohorts. Avoidance of hypotension resulted in a slightly lower permanent SCI rate 1.8% (102/4216, 95% CI 1.2–2.3%) than the overall cohort. A very low SCI estimate (transient and permanent) was found in the subgroup of studies (2 studies, n = 248) using (mild) peri-operative hypothermia (transient SCI 0.8%, permanent SCI 0.4%). In the subgroup using temporary permissive endoleak, there was a transient SCI estimate (15.4%), with a permanent SCI estimate of 4.8%. The remaining preventive measures did not significantly impact transient or permanent SCI estimates. Conclusion: Low overall transient and permanent SCI rates are achieved during endovascular thoracic and thoraco-abdominal aortic repair. Based on the presented data, the use of selective spinal fluid drainage in high risk patients seems justified. Peri-operative hypotension should be avoided and treated where possible. The use of mild hypothermia is promising in small cohorts, but requires further evaluation. Further high quality data are essential to establish a definitive preventive strategy.","author":[{"dropping-particle":"","family":"Dijkstra","given":"Martijn L.","non-dropping-particle":"","parse-names":false,"su</w:instrText>
      </w:r>
      <w:r w:rsidR="001A1B73" w:rsidRPr="00E77640">
        <w:instrText>ffix":""},{"dropping-particle":"","family":"Vainas","given":"Tryfon","non-dropping-particle":"","parse-names":false,"suffix":""},{"dropping-particle":"","family":"Zeebregts","given":"Clark J.","non-dropping-particle":"","parse-names":false,"suffix":""},{"dropping-particle":"","family":"Hooft","given":"Lotty","non-dropping-particle":"","parse-names":false,"suffix":""},{"dropping-particle":"","family":"Laan","given":"Maarten J.","non-dropping-particle":"van der","parse-names":false,"suffix":""}],"container-title":"European Journal of Vascular and Endovascular Surgery","id":"ITEM-5","issue":"6","issued":{"date-parts":[["2018"]]},"page":"829-841","publisher":"Elsevier Ltd","title":"Editor's Choice – Spinal Cord Ischaemia in Endovascular Thoracic and Thoraco-abdominal Aortic Repair: Review of Preventive Strategies","type":"article-journal","volume":"55"},"uris":["http://www.mendeley.com/documents/?uuid=c6fc200f-fd47-44ff-86a3-489958af0d83"]}],"mendeley":{"formattedCitation":"(Amabile et al., 2008; Cheung et al., 2005; Dijkstra et al., 2018; Kasprzak et al., 2014; Simon et al., 2020)","plainTextFormattedCitation":"(Amabile et al., 2008; Cheung et al., 2005; Dijkstra et al., 2018; Kasprzak et al., 2014; Simon et al., 2020)","previouslyFormattedCitation":"(Amabile et al., 2008; Cheung et al., 2005; Dijkstra et al., 2018; Kasprzak et al., 2014; Simon et al., 2020)"},"properties":{"noteIndex":0},"schema":"https://github.com/citation-style-language/schema/raw/master/csl-citation.json"}</w:instrText>
      </w:r>
      <w:r w:rsidRPr="003A1CA0">
        <w:rPr>
          <w:lang w:val="es-CR"/>
        </w:rPr>
        <w:fldChar w:fldCharType="separate"/>
      </w:r>
      <w:r w:rsidR="00FA7019" w:rsidRPr="00E77640">
        <w:rPr>
          <w:noProof/>
        </w:rPr>
        <w:t>(Amabile et al., 2008; Cheung et al., 2005; Dijkstra et al., 2018; Kasprzak et al., 2014; Simon et al., 2020)</w:t>
      </w:r>
      <w:r w:rsidRPr="003A1CA0">
        <w:rPr>
          <w:lang w:val="es-CR"/>
        </w:rPr>
        <w:fldChar w:fldCharType="end"/>
      </w:r>
      <w:r w:rsidRPr="00E77640">
        <w:t xml:space="preserve">. </w:t>
      </w:r>
      <w:r>
        <w:t>Op</w:t>
      </w:r>
      <w:r w:rsidRPr="004437E4">
        <w:t>en thoracoabdominal aortic aneurysm repair (TAAA) incidence is around 2-19%</w:t>
      </w:r>
      <w:r w:rsidR="001A1B73">
        <w:t xml:space="preserve"> </w:t>
      </w:r>
      <w:r w:rsidRPr="003A1CA0">
        <w:rPr>
          <w:lang w:val="es-CR"/>
        </w:rPr>
        <w:fldChar w:fldCharType="begin" w:fldLock="1"/>
      </w:r>
      <w:r w:rsidR="001A1B73">
        <w:instrText>ADDIN CSL_CITATION {"citationItems":[{"id":"ITEM-1","itemData":{"DOI":"10.3390/cells9020501","ISSN":"2073-4409","abstract":"Spinal cord ischemia (SCI) is a clinical complication following aortic repair that significantly impairs the quality and expectancy of life. Despite some strategies, like cerebrospinal fluid drainage, the occurrence of neurological symptoms, such as paraplegia and paraparesis, remains unpredictable. Beside the major blood supply through conduit arteries, a huge collateral network protects the central nervous system from ischemia—the paraspinous and the intraspinal compartment. The intraspinal arcades maintain perfusion pressure following a sudden inflow interruption, whereas the paraspinal system first needs to undergo arteriogenesis to ensure sufficient blood supply after an acute ischemic insult. The so-called steal phenomenon can even worsen the postoperative situation by causing the hypoperfusion of the spine when, shortly after thoracoabdominal aortic aneurysm (TAAA) surgery, muscles connected with the network divert blood and cause additional stress. Vessels are a conglomeration of different cell types involved in adapting to stress, like endothelial cells, smooth muscle cells, and pericytes. This adaption to stress is subdivided in three phases—initiation, growth, and the maturation phase. In fields of endovascular aortic aneurysm repair, pre-operative selective segmental artery occlusion may enable the development of a sufficient collateral network by stimulating collateral vessel growth, which, again, may prevent spinal cord ischemia. Among others, the major signaling pathways include the phosphoinositide 3 kinase (PI3K) pathway/the antiapoptotic kinase (AKT) pathway/the endothelial nitric oxide synthase (eNOS) pathway, the Erk1, the delta-like ligand (DII), the jagged (Jag)/NOTCH pathway, and the midkine regulatory cytokine signaling pathways.","author":[{"dropping-particle":"","family":"Simon","given":"Florian","non-dropping-particle":"","parse-names":false,"suffix":""},{"dropping-particle":"","family":"Wagenhäuser","given":"Markus Udo","non-dropping-particle":"","parse-names":false,"suffix":""},{"dropping-particle":"","family":"Busch","given":"Albert","non-dropping-particle":"","parse-names":false,"suffix":""},{"dropping-particle":"","family":"Schelzig","given":"Hubert","non-dropping-particle":"","parse-names":false,"suffix":""},{"dropping-particle":"","family":"Gombert","given":"Alexander","non-dropping-particle":"","parse-names":false,"suffix":""}],"container-title":"Cells","id":"ITEM-1","issue":"2","issued":{"date-parts":[["2020"]]},"page":"501","title":"Arteriogenesis of the Spinal Cord—The Network Challenge","type":"article-journal","volume":"9"},"uris":["http://www.mendeley.com/documents/?uuid=93c937d5-351e-43ab-bfc4-3971a4e568ed"]}],"mendeley":{"formattedCitation":"(Simon et al., 2020)","plainTextFormattedCitation":"(Simon et al., 2020)","previouslyFormattedCitation":"(Simon et al., 2020)"},"properties":{"noteIndex":0},"schema":"https://github.com/citation-style-language/schema/raw/master/csl-citation.json"}</w:instrText>
      </w:r>
      <w:r w:rsidRPr="003A1CA0">
        <w:rPr>
          <w:lang w:val="es-CR"/>
        </w:rPr>
        <w:fldChar w:fldCharType="separate"/>
      </w:r>
      <w:r w:rsidR="00FA7019" w:rsidRPr="00FA7019">
        <w:rPr>
          <w:noProof/>
        </w:rPr>
        <w:t>(Simon et al., 2020)</w:t>
      </w:r>
      <w:r w:rsidRPr="003A1CA0">
        <w:rPr>
          <w:lang w:val="es-CR"/>
        </w:rPr>
        <w:fldChar w:fldCharType="end"/>
      </w:r>
      <w:r w:rsidRPr="004437E4">
        <w:t xml:space="preserve">; </w:t>
      </w:r>
      <w:r>
        <w:t>it</w:t>
      </w:r>
      <w:r w:rsidRPr="004437E4">
        <w:t xml:space="preserve"> may increase up to 22% </w:t>
      </w:r>
      <w:r w:rsidRPr="003A1CA0">
        <w:rPr>
          <w:lang w:val="es-CR"/>
        </w:rPr>
        <w:fldChar w:fldCharType="begin" w:fldLock="1"/>
      </w:r>
      <w:r w:rsidR="001A1B73">
        <w:rPr>
          <w:lang w:val="es-CR"/>
        </w:rPr>
        <w:instrText>ADDIN CSL_CITATION {"citationItems":[{"id":"ITEM-1","itemData":{"ISSN":"00219509","PMID":"26731537","abstract":"Despite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Surgery","id":"ITEM-1","issue":"2","issued":{"date-parts":[["2016"]]},"page":"191-201","title":"Spinal cord ischemia is multifactorial: What is the best protocol?","type":"article-journal","volume":"57"},"uris":["http://www.mendeley.com/documents/?uuid=0524e5a3-e7a6-44c1-b114-0a26090a5229"]},{"id":"ITEM-2","itemData":{"DOI":"10.12945/j.aorta.2015.14-045","ISSN":"2325-4637","abstract":"Based on a Presentation at the 2013 VEITH Symposium, November 19–23, 2013 (New York, NY, USA)Background: Spinal cord ischemia (SCI) is one of the most feared complications following the repair of thoraco- abdominal aortic aneurysms (TAAA). Endovascular repair of TAAA is now possible with branched stent grafts, but spinal cord ischaemia rates are still unacceptably high. A number of techniques have been utilized to reduce these levels, however, SCI remains a challenge to endovascular repair of TAAA. The use of sac perfusion branches aims to reduce the incidence of this catastrophic complication.Methods: A retrospective analysis of all patients undergoing branched endovascular aortic repair for all thoraco-abdominal aneurysms (TAAA) using custom made devices during January 2008 to August 2014. We describe a two staged technique in which perfusion of segmental vessels is maintained by a temporary endoleak through an open perfusion branch, incorporated within the branched stent graft, followed by a closure of this branch at a later date to complete exclusion of the aneurysm.Results: Forty-seven patients underwent TAAA repair. Twenty-five (53%) had a two-stage procedure using either a sac perfusion branch or a target vessel to perfuse the sac. Nine patients (19.15%) suffered some form of SCI with eight patients having temporary SCI (lasting less than 72 hours) and one patient having permanent SCI. Of eight patients that had temporary spinal cord ischemia, all had a perfusion strategy. There was one case of permanent SCI (2.13%).Conclusion: Sac perfusion branches provide a safe method for preventing SCI, however this needs to be used in conjunction with controlling MAP and CSF drainage.","author":[{"dropping-particle":"","family":"Jayia","given":"Parveen","non-dropping-particle":"","parse-names":false,"suffix":""},{"dropping-particle":"","family":"Constantinou","given":"Jason","non-dropping-particle":"","parse-names":false,"suffix":""},{"dropping-particle":"","family":"Hamilton","given":"Hamish","non-dropping-particle":"","parse-names":false,"suffix":""},{"dropping-particle":"","family":"Ivancev","given":"Krassi","non-dropping-particle":"","parse-names":false,"suffix":""}],"container-title":"Aorta","id":"ITEM-2","issue":"02","issued":{"date-parts":[["2015"]]},"page":"56-60","title":"Temporary Perfusion Branches to Decrease Spinal Cord Ischemia in the Endovascular Treatment of Thoraco-Abdominal Aortic Aneurysms","type":"article-journal","volume":"03"},"uris":["http://www.mendeley.com/documents/?uuid=7020fa33-dad5-470a-be42-c93c1b418e47"]},{"id":"ITEM-3","itemData":{"DOI":"10.1007/s00540-010-1044-9","ISSN":"09138668","abstract":"Purpose: Monitoring motor evoked potentials (MEPs) has been recognized as a highly reliable method to detect intraoperative spinal cord ischemia (SCI) in aortic repair. However, the data regarding the sensitivity and specificity of MEPs for predicting postoperative paraplegia are limited. We retrospectively assessed the value of intraoperative MEP amplitudes for predicting postoperative paraplegia. Methods: The medical records of 44 patients were reviewed. A train-of-five stimulation was delivered to C3-C4, and MEPs were recorded from the abductor pollicis brevis and the tibialis anterior muscles. The cutoff point for detecting SCI was set at 75% decrease of the baseline MEP. Receiver operating characteristic curves were applied at various cutoff points. Results: Three patients (6.8%) had postoperative paraplegia. The minimum MEP during surgery had 100% sensitivity and 64.9% specificity in predicting paraplegia, and the MEP at the end of surgery had 66.7% sensitivity and 78.0% specificity in predicting paraplegia: only 1 patient, who had borderline paraplegia (right monoparesis), showed a false-negative result. Receiver operating characteristic curves indicated that adequate cutoff points for the minimum MEP during surgery and for the MEP amplitude at the end of surgery were a 75-90% decrease and a 64-75% decrease of the baseline MEP, respectively. Conclusion: Monitoring MEPs had relatively high sensitivity and acceptable specificity, with the cutoff point set at 75% decrease of the baseline MEP, for predicting paraplegia and paraparesis. Because of the small sample in our study, further investigations would be necessary to investigate an adequate cutoff point that could predict postoperative paraplegia. © 2010 Japanese Society of Anesthesiologists.","author":[{"dropping-particle":"","family":"Horiuchi","given":"Toshinori","non-dropping-particle":"","parse-names":false,"suffix":""},{"dropping-particle":"","family":"Kawaguchi","given":"Masahiko","non-dropping-particle":"","parse-names":false,"suffix":""},{"dropping-particle":"","family":"Inoue","given":"Satoki","non-dropping-parti</w:instrText>
      </w:r>
      <w:r w:rsidR="001A1B73" w:rsidRPr="001A1B73">
        <w:instrText>cle":"","parse-names":false,"suffix":""},{"dropping-particle":"","family":"Hayashi","given":"Hironobu","non-dropping-particle":"","parse-names":false,"suffix":""},{"dropping-particle":"","family":"Abe","given":"Ryuichi","non-dropping-particle":"","parse-names":false,"suffix":""},{"dropping-particle":"","family":"Tabayashi","given":"Nobuoki","non-dropping-particle":"","parse-names":false,"suffix":""},{"dropping-particle":"","family":"Taniguchi","given":"Shigeki","non-dropping-particle":"","parse-names":false,"suffix":""},{"dropping-particle":"","family":"Furuya","given":"Hitoshi","non-dropping-particle":"","parse-names":false,"suffix":""}],"container-title":"Journal of Anesthesia","id":"ITEM-3","issue":"1","issued":{"date-parts":[["2011"]]},"page":"18-28","title":"Assessment of intraoperative motor evoked potentials for predicting postoperative paraplegia in thoracic and thoracoabdominal aortic aneurysm repair","type":"article-journal","volume":"25"},"uris":["http://www.mendeley.com/documents/?uuid=4998d038-6e8d-4920-8de0-cdeba8a27d93"]}],"mendeley":{"formattedCitation":"(Horiuchi et al., 2011; Jayia et al., 2015; Germano Melissano et al., 2016)","plainTextFormattedCitation":"(Horiuchi et al., 2011; Jayia et al., 2015; Germano Melissano et al., 2016)","previouslyFormattedCitation":"(Horiuchi et al., 2011; Jayia et al., 2015; Germano Melissano et al., 2016)"},"properties":{"noteIndex":0},"schema":"https://github.com/citation-style-language/schema/raw/master/csl-citation.json"}</w:instrText>
      </w:r>
      <w:r w:rsidRPr="003A1CA0">
        <w:rPr>
          <w:lang w:val="es-CR"/>
        </w:rPr>
        <w:fldChar w:fldCharType="separate"/>
      </w:r>
      <w:r w:rsidR="00FA7019" w:rsidRPr="00FA7019">
        <w:rPr>
          <w:noProof/>
        </w:rPr>
        <w:t>(Horiuchi et al., 2011; Jayia et al., 2015; Germano Melissano et al., 2016)</w:t>
      </w:r>
      <w:r w:rsidRPr="003A1CA0">
        <w:rPr>
          <w:lang w:val="es-CR"/>
        </w:rPr>
        <w:fldChar w:fldCharType="end"/>
      </w:r>
      <w:r>
        <w:t xml:space="preserve"> </w:t>
      </w:r>
      <w:r w:rsidRPr="004437E4">
        <w:t>in cases of extensive Crawford type II TAAA repairs</w:t>
      </w:r>
      <w:r>
        <w:t>.</w:t>
      </w:r>
    </w:p>
    <w:p w14:paraId="6907DBE3" w14:textId="392169C2" w:rsidR="004437E4" w:rsidRPr="004437E4" w:rsidRDefault="004437E4" w:rsidP="004437E4">
      <w:pPr>
        <w:spacing w:line="240" w:lineRule="auto"/>
      </w:pPr>
      <w:r w:rsidRPr="004437E4">
        <w:t xml:space="preserve">The risk of SCI is variable, and </w:t>
      </w:r>
      <w:r>
        <w:t xml:space="preserve">it </w:t>
      </w:r>
      <w:r w:rsidRPr="004437E4">
        <w:t xml:space="preserve">depends on the number of predisposing factors. Risk stratification is essential to carry out an individualized approach for </w:t>
      </w:r>
      <w:r>
        <w:t>each</w:t>
      </w:r>
      <w:r w:rsidRPr="004437E4">
        <w:t xml:space="preserve"> patient.</w:t>
      </w:r>
    </w:p>
    <w:p w14:paraId="6D8B6F8D" w14:textId="13C0F0CC" w:rsidR="004437E4" w:rsidRPr="004437E4" w:rsidRDefault="004437E4" w:rsidP="004437E4">
      <w:pPr>
        <w:spacing w:line="240" w:lineRule="auto"/>
      </w:pPr>
      <w:r w:rsidRPr="004437E4">
        <w:t xml:space="preserve">Anatomically direct visualization </w:t>
      </w:r>
      <w:r>
        <w:t>of the spinal cord</w:t>
      </w:r>
      <w:r w:rsidRPr="004437E4">
        <w:t xml:space="preserve"> vasculature is clinically complex. </w:t>
      </w:r>
      <w:r w:rsidR="003D0723">
        <w:t>C</w:t>
      </w:r>
      <w:r w:rsidRPr="004437E4">
        <w:t xml:space="preserve">omplete understanding spinal cord </w:t>
      </w:r>
      <w:r w:rsidR="003D0723" w:rsidRPr="003D0723">
        <w:t xml:space="preserve">vascular anatomy </w:t>
      </w:r>
      <w:r w:rsidRPr="004437E4">
        <w:t xml:space="preserve">is essential to develop optimal strategies </w:t>
      </w:r>
      <w:r w:rsidR="003D0723">
        <w:t>to</w:t>
      </w:r>
      <w:r w:rsidRPr="004437E4">
        <w:t xml:space="preserve"> prevent SCI in the perioperative period</w:t>
      </w:r>
      <w:r w:rsidR="001A1B73">
        <w:t xml:space="preserve"> </w:t>
      </w:r>
      <w:r w:rsidR="003D0723">
        <w:rPr>
          <w:lang w:val="es-CR"/>
        </w:rPr>
        <w:fldChar w:fldCharType="begin" w:fldLock="1"/>
      </w:r>
      <w:r w:rsidR="001A1B73">
        <w:instrText>ADDIN CSL_CITATION {"citationItems":[{"id":"ITEM-1","itemData":{"DOI":"10.1016/j.jvs.2005.04.016","ISSN":"07415214","abstract":"Objectives: Neurologic deficit after endovascular treatment of the thoracic aorta is a complication reported with variable frequency that may be associated with severe morbidity and mortality. The mechanism of spinal cord ischemia appears to be multifactorial and remains ill-defined. We reviewed our experience to investigate the determinants of paraplegia after stent-graft repair of the thoracic aorta, identify patients at risk, and assess the effectiveness of ancillary techniques. Methods: Over a 5-year period (June 1999 to December 2004), 103 patients underwent elective endovascular repair of the thoracic aorta at a university referral center. Indications for treatment were atherosclerotic aneurysms in 88 patients, chronic type B dissection in 10 patients, and penetrating aortic ulcer in 5 patients. Four of the 103 patients affected with thoracoabdominal aortic aneurysms had hybrid procedures and were excluded from the cumulative analysis. Twelve patients with zone 0 and zone 1 aortic arch aneurysms were operated on with synchronous or staged surgical aortic debranching. Preoperative cerebrospinal fluid (CSF) drainage was instituted in seven selected patients. Neurologic deficits were assessed by an independent neurologist and classified as immediate or delayed. Patient demographics and perioperative factors related to the endovascular procedure were evaluated by using univariate statistical analyses. Results: A primary technical success was achieved in 94 patients (94.9%). At a mean follow-up of 34 ± 14 months, a midterm clinical success was obtained in 90 patients (90.9%). Four patients (4.04%) had delayed neurologic deficit that completely resolved after the institution of CSF drainage, steroids administration, and arterial pressure pharmacologic adjustment. None of the four patients who underwent hybrid procedures for thoracoabdominal aortic aneurysms had paraplegia or paraparesis. Univariate analyses identified only a perioperative lowest mean arterial pressure (MAP) of &lt;70 mm Hg as a significant risk factor (P &lt; .0001). Conclusion: Perioperative hypotension (MAP &lt;70 mm Hg) was found to be a significant predictor of spinal cord ischemia; hence, careful monitoring and prompt correction of arterial pressure may prevent the development of paraplegia. When the latter occurred, reduction of the CSF pressure by drainage was useful. Patients with a previous or synchronous abdominal aortic repair may also benefit from CSF drainage as a perioperative adju…","author":[{"dropping-particle":"","family":"Chiesa","given":"Roberto","non-dropping-particle":"","parse-names":false,"suffix":""},{"dropping-particle":"","family":"Melissano","given":"Germano","non-dropping-particle":"","parse-names":false,"suffix":""},{"dropping-particle":"","family":"Marrocco-Trischitta","given":"Massimiliano M.","non-dropping-particle":"","parse-names":false,"suffix":""},{"dropping-particle":"","family":"Civilini","given":"Efrem","non-dropping-particle":"","parse-names":false,"suffix":""},{"dropping-particle":"","family":"Setacci","given":"Francesco","non-dropping-particle":"","parse-names":false,"suffix":""}],"container-title":"Journal of Vascular Surgery","id":"ITEM-1","issue":"1","issued":{"date-parts":[["2005"]]},"page":"11-17","title":"Spinal cord ischemia after elective stent-graft repair of the thoracic aorta","type":"article-journal","volume":"42"},"uris":["http://www.mendeley.com/documents/?uuid=642e3736-5b76-4280-9878-493ae1e28023"]}],"mendeley":{"formattedCitation":"(Chiesa et al., 2005)","plainTextFormattedCitation":"(Chiesa et al., 2005)","previouslyFormattedCitation":"(Chiesa et al., 2005)"},"properties":{"noteIndex":0},"schema":"https://github.com/citation-style-language/schema/raw/master/csl-citation.json"}</w:instrText>
      </w:r>
      <w:r w:rsidR="003D0723">
        <w:rPr>
          <w:lang w:val="es-CR"/>
        </w:rPr>
        <w:fldChar w:fldCharType="separate"/>
      </w:r>
      <w:r w:rsidR="00FA7019" w:rsidRPr="00FA7019">
        <w:rPr>
          <w:noProof/>
        </w:rPr>
        <w:t>(Chiesa et al., 2005)</w:t>
      </w:r>
      <w:r w:rsidR="003D0723">
        <w:rPr>
          <w:lang w:val="es-CR"/>
        </w:rPr>
        <w:fldChar w:fldCharType="end"/>
      </w:r>
      <w:r w:rsidR="003D0723" w:rsidRPr="003D0723">
        <w:t>.</w:t>
      </w:r>
    </w:p>
    <w:p w14:paraId="19435721" w14:textId="5F4AA2FD" w:rsidR="004437E4" w:rsidRPr="004437E4" w:rsidRDefault="003D0723" w:rsidP="004437E4">
      <w:pPr>
        <w:spacing w:line="240" w:lineRule="auto"/>
      </w:pPr>
      <w:r>
        <w:t>C</w:t>
      </w:r>
      <w:r w:rsidR="004437E4" w:rsidRPr="004437E4">
        <w:t>omplementary measures to improve intraoperative medullary blood supply is widely used.</w:t>
      </w:r>
      <w:r w:rsidRPr="003D0723">
        <w:t xml:space="preserve"> </w:t>
      </w:r>
      <w:r>
        <w:t>T</w:t>
      </w:r>
      <w:r w:rsidRPr="003D0723">
        <w:t>o avoid SCI</w:t>
      </w:r>
      <w:r>
        <w:t xml:space="preserve"> p</w:t>
      </w:r>
      <w:r w:rsidR="004437E4" w:rsidRPr="004437E4">
        <w:t>re</w:t>
      </w:r>
      <w:r>
        <w:t>-trans and posto</w:t>
      </w:r>
      <w:r w:rsidR="004437E4" w:rsidRPr="004437E4">
        <w:t>perative</w:t>
      </w:r>
      <w:r>
        <w:t xml:space="preserve"> </w:t>
      </w:r>
      <w:r w:rsidR="004437E4" w:rsidRPr="004437E4">
        <w:t>strategies are applied to maximize perfusion of the spinal cord</w:t>
      </w:r>
      <w:r w:rsidR="001A1B73">
        <w:t xml:space="preserve"> </w:t>
      </w:r>
      <w:r w:rsidRPr="003A1CA0">
        <w:rPr>
          <w:lang w:val="es-CR"/>
        </w:rPr>
        <w:fldChar w:fldCharType="begin" w:fldLock="1"/>
      </w:r>
      <w:r w:rsidR="0091486C">
        <w:instrText>ADDIN CSL_CITATION {"citationItems":[{"id":"ITEM-1","itemData":{"DOI":"10.1016/j.jvs.2015.12.062","ISSN":"10976809","abstract":"Objective Transient and permanent paraparesis and paraplegia (spinal cord injury [SCI]) are reported in up to 13% of patients undergoing thoracic endovascular aortic repair (TEVAR) for descending thoracic aortic aneurysm, thoracoabdominal aortic aneurysm, and thoracic aortic dissection. We hypothesize that aggressive intraoperative and postoperative neuroprotective interventions prevent or significantly reduce all SCI in TEVAR. Methods Using a prospectively maintained, Institutional Review Board-approved database, we retrospectively reviewed all TEVARs performed in a university tertiary referral center from 2005 to 2014 to study the incidence of all transient and permanent lower extremity SCI. Only TEVARs for traumatic aortic tear were excluded. Arch debranching and carotid subclavian bypass were performed before TEVAR in patients with arch involvement. All patients had moderate systemic hypothermia (34°C), mean arterial pressure ≥90 mm Hg, and hemoglobin ≥10 g/dL. Patients received mannitol (12.5 g), methylprednisolone (30 mg/kg), and naloxone (1 μg/kg/h). Patients in whom &gt;12 cm of aortic coverage was planned had spinal fluid drained to a pressure of &lt;8 mm Hg intraoperatively and postoperatively until normal leg strength was confirmed. The main outcome measure was transient or permanent SCI. Results One hundred fifty-five patients had TEVAR between 2005 and 2014. Mean age was 74 years, and 56.1% were male. Descending thoracic aortic aneurysm was present in 91.6%, thoracoabdominal aortic aneurysm in 8.4%, and dissection in 28.8%. Presentation was acute in 42.5%. The procedure included carotid-subclavian bypass in 18.7% of patients. Seventy-two percent of patients had spinal fluid drainage. Mean aortic coverage was 25 cm. Eighty-one percent of patients had &gt;12 cm aortic coverage, and 49% had complete coverage of the thoracic aorta (coverage from subclavian to celiac artery). In-hospital mortality was 1.94%. Stroke occurred in 1.32% of patients. No patient had renal failure. SCI occurred in 0.65% (1 of 154) of patients. Conclusions SCI in TEVAR can be significantly reduced by using proactive intraoperative and postoperative neuroprotective interventions that prolong spinal cord ischemic tolerance and increase spinal cord perfusion and oxygen delivery.","author":[{"dropping-particle":"","family":"Acher","given":"Charles W.","non-dropping-particle":"","parse-names":false,"suffix":""},{"dropping-particle":"","family":"Acher","given":"Charles W.","non-dropping-particle":"","parse-names":false,"suffix":""},{"dropping-particle":"","family":"Marks","given":"Erich","non-dropping-particle":"","parse-names":false,"suffix":""},{"dropping-particle":"","family":"Wynn","given":"Martha","non-dropping-particle":"","parse-names":false,"suffix":""}],"container-title":"Journal of Vascular Surgery","id":"ITEM-1","issue":"6","issued":{"date-parts":[["2016"]]},"page":"1458-1465","publisher":"Society for Vascular Surgery","title":"Intraoperative neuroprotective interventions prevent spinal cord ischemia and injury in thoracic endovascular aortic repair","type":"article-journal","volume":"63"},"uris":["http://www.mendeley.com/documents/?uuid=04a935de-f654-49cd-b304-0cf3f8acc927"]},{"id":"ITEM-2","itemData":{"DOI":"10.1002/9781118504536","ISBN":"9781118504536","abstract":"Saves Time and Effort Find everything you need on the most advanced treatments for aortic and structural heart disease in one easy-to-reference book - Procedure videos included Percutaneous valve repair and replacement is one of the hottest topics in interventional cardiology. Substantial research has underscored the efficacy of emergent minimally-invasive procedures, and as a result percutaneous techniques are rapidly displacing surgical options as the treatment of choice for patients with aortic and structural heart disease. Until now, you have been forced to gather information about the latest advances in endovascular and hybrid therapies in piecemeal fashion, via journal articles or by attending seminars on individual techniques. Now, for the first time, you can get everything you need to add new techniques to your repertoire or achieve true mastery of procedures you have already begun to practice in one convenient book. Master Leading-Edge TherapiesPractical, Step-by-Step Guide to the Latest Endovascular and Hybrid Techniques Edited by two of the most experienced practitioners in the field, Endovascular and Hybrid Therapies for Structural Heart and Aortic Disease covers everything interventionalists, radiologists, cardiac sugeons, and vascular surgeons need to know to master leading-edge therapies, including: Equipment selection and preparation Expert tips and tricks on individual therapies Use of advanced imaging modalities like CT and real-time MRI Optimal management of complications and proper patient follow-up A review of the pertinent anatomy, information on patient evaluation Complex procedures and possible complications Essential hot topics: Hybrid Endovascular Aortic Arch Surgery, Technique of Thoracic Endografting for Thoracic Aneurysm using the Approved Gore TAG Device, Endovascular Robotics for Complex Aortic Intervention, and Transcatheter Closure of Mitral and Aortic Paravalvular Leaks, and more! Plus, each chapter is fully illustrated in color, and a companion website includes video clips of procedures covered in the text. Order your copy today!.","author":[{"dropping-particle":"","family":"Kpodonu","given":"Jacques","non-dropping-particle":"","parse-names":false,"suffix":""},{"dropping-particle":"","family":"Bonan","given":"Raoul","non-dropping-particle":"","parse-names":false,"suffix":""}],"container-title":"Endovascular and Hybrid Therapies for Structural Heart and Aortic Disease","edition":"1","editor":[{"dropping-particle":"","family":"Kpodonu","given":"Jacques","non-dropping-particle":"","parse-names":false,"suffix":""},{"dropping-particle":"","family":"Bonan","given":"Raoul","non-dropping-particle":"","parse-names":false,"suffix":""}],"id":"ITEM-2","issued":{"date-parts":[["2013"]]},"publisher":"John Wiley &amp; Sons, Ltd","publisher-place":"Oxford, UK","title":"Endovascular and hybrid therapies for structural heart and aortic disease","type":"book"},"uris":["http://www.mendeley.com/documents/?uuid=a2e3896f-4479-4b7f-aa8e-2012ef93f6fc"]}],"mendeley":{"formattedCitation":"(Acher et al., 2016; Kpodonu &amp; Bonan, 2013)","plainTextFormattedCitation":"(Acher et al., 2016; Kpodonu &amp; Bonan, 2013)","previouslyFormattedCitation":"(Acher et al., 2016; Kpodonu &amp; Bonan, 2013)"},"properties":{"noteIndex":0},"schema":"https://github.com/citation-style-language/schema/raw/master/csl-citation.json"}</w:instrText>
      </w:r>
      <w:r w:rsidRPr="003A1CA0">
        <w:rPr>
          <w:lang w:val="es-CR"/>
        </w:rPr>
        <w:fldChar w:fldCharType="separate"/>
      </w:r>
      <w:r w:rsidR="001A1B73" w:rsidRPr="0091486C">
        <w:rPr>
          <w:noProof/>
        </w:rPr>
        <w:t>(Acher et al., 2016; Kpodonu &amp; Bonan, 2013)</w:t>
      </w:r>
      <w:r w:rsidRPr="003A1CA0">
        <w:rPr>
          <w:lang w:val="es-CR"/>
        </w:rPr>
        <w:fldChar w:fldCharType="end"/>
      </w:r>
      <w:r w:rsidR="004437E4" w:rsidRPr="004437E4">
        <w:t>.</w:t>
      </w:r>
    </w:p>
    <w:p w14:paraId="7F42ABF4" w14:textId="14DDA779" w:rsidR="005154F2" w:rsidRPr="005154F2" w:rsidRDefault="003D0723" w:rsidP="005154F2">
      <w:pPr>
        <w:spacing w:line="240" w:lineRule="auto"/>
      </w:pPr>
      <w:r>
        <w:t>C</w:t>
      </w:r>
      <w:r w:rsidRPr="003D0723">
        <w:t xml:space="preserve">lass A hospitals </w:t>
      </w:r>
      <w:r>
        <w:t xml:space="preserve">in the CCSS </w:t>
      </w:r>
      <w:r w:rsidR="004437E4" w:rsidRPr="004437E4">
        <w:t>would benefit from implementing SCI protocols. ERAS</w:t>
      </w:r>
      <w:r w:rsidR="005154F2">
        <w:t xml:space="preserve"> </w:t>
      </w:r>
      <w:r w:rsidR="005154F2" w:rsidRPr="00AD46AD">
        <w:t xml:space="preserve">(Enhanced Recovery After Surgery) which consists of </w:t>
      </w:r>
      <w:r w:rsidR="009C46A7" w:rsidRPr="00AD46AD">
        <w:t>different</w:t>
      </w:r>
      <w:r w:rsidR="005154F2" w:rsidRPr="00AD46AD">
        <w:t xml:space="preserve"> multimodal</w:t>
      </w:r>
      <w:r w:rsidR="004437E4" w:rsidRPr="004437E4">
        <w:t xml:space="preserve"> </w:t>
      </w:r>
      <w:r w:rsidR="005154F2">
        <w:t xml:space="preserve">perioperative protocols established with an end to maintain the physiological function of the organs by diminishing the stress implied with the surgical procedure, </w:t>
      </w:r>
      <w:r w:rsidR="004437E4" w:rsidRPr="004437E4">
        <w:t xml:space="preserve">is an updated tool that </w:t>
      </w:r>
      <w:r w:rsidR="004B5779">
        <w:t>may</w:t>
      </w:r>
      <w:r w:rsidR="004437E4" w:rsidRPr="004437E4">
        <w:t xml:space="preserve"> serve as a basis for </w:t>
      </w:r>
      <w:r w:rsidR="00AD46AD" w:rsidRPr="004437E4">
        <w:t>standardizing</w:t>
      </w:r>
      <w:r w:rsidR="004437E4" w:rsidRPr="004437E4">
        <w:t xml:space="preserve"> processes.</w:t>
      </w:r>
    </w:p>
    <w:p w14:paraId="57E17497" w14:textId="77777777" w:rsidR="005154F2" w:rsidRPr="004437E4" w:rsidRDefault="005154F2" w:rsidP="004437E4">
      <w:pPr>
        <w:spacing w:line="240" w:lineRule="auto"/>
      </w:pPr>
    </w:p>
    <w:p w14:paraId="5BACB621" w14:textId="0986B436" w:rsidR="004437E4" w:rsidRPr="003D0723" w:rsidRDefault="004437E4" w:rsidP="004437E4">
      <w:pPr>
        <w:spacing w:line="240" w:lineRule="auto"/>
        <w:rPr>
          <w:sz w:val="20"/>
          <w:szCs w:val="18"/>
        </w:rPr>
      </w:pPr>
      <w:r w:rsidRPr="003D0723">
        <w:rPr>
          <w:b/>
          <w:bCs/>
          <w:sz w:val="20"/>
          <w:szCs w:val="18"/>
        </w:rPr>
        <w:t>Key words:</w:t>
      </w:r>
      <w:r w:rsidRPr="003D0723">
        <w:rPr>
          <w:sz w:val="20"/>
          <w:szCs w:val="18"/>
        </w:rPr>
        <w:t xml:space="preserve"> TEVAR, spinal ischemia, CSF drainage; SSEP, MEP, aortic aneurysm, prevention, protocol.</w:t>
      </w:r>
    </w:p>
    <w:p w14:paraId="3A544E00" w14:textId="77777777" w:rsidR="007412B4" w:rsidRPr="004437E4" w:rsidRDefault="007412B4">
      <w:pPr>
        <w:spacing w:line="276" w:lineRule="auto"/>
        <w:jc w:val="left"/>
        <w:rPr>
          <w:rFonts w:eastAsia="Times New Roman" w:cstheme="majorBidi"/>
          <w:bCs/>
          <w:spacing w:val="5"/>
          <w:kern w:val="28"/>
          <w:sz w:val="48"/>
          <w:szCs w:val="52"/>
        </w:rPr>
      </w:pPr>
      <w:r w:rsidRPr="004437E4">
        <w:rPr>
          <w:rFonts w:eastAsia="Times New Roman"/>
        </w:rPr>
        <w:br w:type="page"/>
      </w:r>
    </w:p>
    <w:p w14:paraId="3544E3FD" w14:textId="70980D3F" w:rsidR="007412B4" w:rsidRPr="0010512C" w:rsidRDefault="007412B4" w:rsidP="00B05F46">
      <w:pPr>
        <w:pStyle w:val="Title"/>
      </w:pPr>
      <w:bookmarkStart w:id="19" w:name="_Toc47027828"/>
      <w:r w:rsidRPr="0010512C">
        <w:lastRenderedPageBreak/>
        <w:t>Lista de Tablas</w:t>
      </w:r>
      <w:bookmarkEnd w:id="19"/>
    </w:p>
    <w:p w14:paraId="666B3A46" w14:textId="6BD2C3CD" w:rsidR="003A1CA0" w:rsidRPr="0010512C" w:rsidRDefault="003A1CA0" w:rsidP="003A1CA0">
      <w:pPr>
        <w:ind w:left="709" w:firstLine="0"/>
        <w:rPr>
          <w:lang w:val="es-CR"/>
        </w:rPr>
      </w:pPr>
      <w:r w:rsidRPr="0010512C">
        <w:rPr>
          <w:b/>
          <w:bCs/>
          <w:lang w:val="es-CR"/>
        </w:rPr>
        <w:t>Tabla 1.</w:t>
      </w:r>
      <w:r w:rsidRPr="0010512C">
        <w:rPr>
          <w:lang w:val="es-CR"/>
        </w:rPr>
        <w:t xml:space="preserve"> Escala de Tarlov</w:t>
      </w:r>
    </w:p>
    <w:p w14:paraId="3AA77AF4" w14:textId="77777777" w:rsidR="003A1CA0" w:rsidRPr="0010512C" w:rsidRDefault="003A1CA0" w:rsidP="003A1CA0">
      <w:pPr>
        <w:ind w:left="709" w:firstLine="0"/>
        <w:rPr>
          <w:lang w:val="es-CR"/>
        </w:rPr>
      </w:pPr>
      <w:r w:rsidRPr="0010512C">
        <w:rPr>
          <w:b/>
          <w:bCs/>
          <w:lang w:val="es-CR"/>
        </w:rPr>
        <w:t>Tabla 2.</w:t>
      </w:r>
      <w:r w:rsidRPr="0010512C">
        <w:rPr>
          <w:lang w:val="es-CR"/>
        </w:rPr>
        <w:t xml:space="preserve"> Factores de Riesgo PreQx</w:t>
      </w:r>
    </w:p>
    <w:p w14:paraId="4624AF38" w14:textId="77777777" w:rsidR="003A1CA0" w:rsidRPr="0010512C" w:rsidRDefault="003A1CA0" w:rsidP="003A1CA0">
      <w:pPr>
        <w:ind w:left="709" w:firstLine="0"/>
        <w:rPr>
          <w:lang w:val="es-CR"/>
        </w:rPr>
      </w:pPr>
      <w:r w:rsidRPr="0010512C">
        <w:rPr>
          <w:b/>
          <w:bCs/>
          <w:lang w:val="es-CR"/>
        </w:rPr>
        <w:t>Tabla 3.</w:t>
      </w:r>
      <w:r w:rsidRPr="0010512C">
        <w:rPr>
          <w:lang w:val="es-CR"/>
        </w:rPr>
        <w:t xml:space="preserve"> Factores de Riesgo Transoperatorios</w:t>
      </w:r>
    </w:p>
    <w:p w14:paraId="0862C340" w14:textId="77777777" w:rsidR="003A1CA0" w:rsidRPr="0010512C" w:rsidRDefault="003A1CA0" w:rsidP="003A1CA0">
      <w:pPr>
        <w:ind w:left="709" w:firstLine="0"/>
        <w:rPr>
          <w:lang w:val="es-CR"/>
        </w:rPr>
      </w:pPr>
      <w:r w:rsidRPr="0010512C">
        <w:rPr>
          <w:b/>
          <w:bCs/>
          <w:lang w:val="es-CR"/>
        </w:rPr>
        <w:t>Tabla 4</w:t>
      </w:r>
      <w:r w:rsidRPr="0010512C">
        <w:rPr>
          <w:lang w:val="es-CR"/>
        </w:rPr>
        <w:t>. Mecanismo de protección farmacológica</w:t>
      </w:r>
    </w:p>
    <w:p w14:paraId="11B823BC" w14:textId="1C9D6003" w:rsidR="007412B4" w:rsidRPr="0010512C" w:rsidRDefault="003A1CA0" w:rsidP="003A1CA0">
      <w:pPr>
        <w:ind w:left="709" w:firstLine="0"/>
        <w:rPr>
          <w:rFonts w:eastAsia="Times New Roman" w:cstheme="majorBidi"/>
          <w:bCs/>
          <w:spacing w:val="5"/>
          <w:kern w:val="28"/>
          <w:sz w:val="48"/>
          <w:szCs w:val="52"/>
          <w:lang w:val="es-CR"/>
        </w:rPr>
      </w:pPr>
      <w:r w:rsidRPr="0010512C">
        <w:rPr>
          <w:b/>
          <w:bCs/>
          <w:lang w:val="es-CR"/>
        </w:rPr>
        <w:t>Tabla 5.</w:t>
      </w:r>
      <w:r w:rsidRPr="0010512C">
        <w:rPr>
          <w:lang w:val="es-CR"/>
        </w:rPr>
        <w:t xml:space="preserve"> Recomendaciones ERAS manejo Postoperatorio</w:t>
      </w:r>
      <w:r w:rsidR="007412B4" w:rsidRPr="0010512C">
        <w:rPr>
          <w:rFonts w:eastAsia="Times New Roman"/>
          <w:lang w:val="es-CR"/>
        </w:rPr>
        <w:br w:type="page"/>
      </w:r>
    </w:p>
    <w:p w14:paraId="0114B041" w14:textId="1A508F7B" w:rsidR="007412B4" w:rsidRPr="0010512C" w:rsidRDefault="007412B4" w:rsidP="00B05F46">
      <w:pPr>
        <w:pStyle w:val="Title"/>
      </w:pPr>
      <w:bookmarkStart w:id="20" w:name="_Toc47027829"/>
      <w:r w:rsidRPr="0010512C">
        <w:lastRenderedPageBreak/>
        <w:t xml:space="preserve">Lista de </w:t>
      </w:r>
      <w:r w:rsidR="003A1CA0" w:rsidRPr="0010512C">
        <w:t>Imágenes</w:t>
      </w:r>
      <w:bookmarkEnd w:id="20"/>
    </w:p>
    <w:p w14:paraId="734DC1BD" w14:textId="77777777" w:rsidR="003A1CA0" w:rsidRPr="0010512C" w:rsidRDefault="003A1CA0" w:rsidP="003A1CA0">
      <w:pPr>
        <w:jc w:val="left"/>
        <w:rPr>
          <w:lang w:val="es-CR"/>
        </w:rPr>
      </w:pPr>
      <w:r w:rsidRPr="0010512C">
        <w:rPr>
          <w:b/>
          <w:bCs/>
          <w:lang w:val="es-CR"/>
        </w:rPr>
        <w:t>Imagen 1.</w:t>
      </w:r>
      <w:r w:rsidRPr="0010512C">
        <w:rPr>
          <w:lang w:val="es-CR"/>
        </w:rPr>
        <w:t xml:space="preserve"> Sistema intrínseco y extrínseco</w:t>
      </w:r>
    </w:p>
    <w:p w14:paraId="090E5B30" w14:textId="77777777" w:rsidR="003A1CA0" w:rsidRPr="0010512C" w:rsidRDefault="003A1CA0" w:rsidP="003A1CA0">
      <w:pPr>
        <w:jc w:val="left"/>
        <w:rPr>
          <w:lang w:val="es-CR"/>
        </w:rPr>
      </w:pPr>
      <w:r w:rsidRPr="0010512C">
        <w:rPr>
          <w:b/>
          <w:bCs/>
          <w:lang w:val="es-CR"/>
        </w:rPr>
        <w:t>Imagen 2.</w:t>
      </w:r>
      <w:r w:rsidRPr="0010512C">
        <w:rPr>
          <w:lang w:val="es-CR"/>
        </w:rPr>
        <w:t xml:space="preserve"> Irrigación de la médula espinal</w:t>
      </w:r>
    </w:p>
    <w:p w14:paraId="06CCE6BB" w14:textId="77777777" w:rsidR="003A1CA0" w:rsidRPr="0010512C" w:rsidRDefault="003A1CA0" w:rsidP="003A1CA0">
      <w:pPr>
        <w:jc w:val="left"/>
        <w:rPr>
          <w:lang w:val="es-CR"/>
        </w:rPr>
      </w:pPr>
      <w:r w:rsidRPr="0010512C">
        <w:rPr>
          <w:b/>
          <w:bCs/>
          <w:lang w:val="es-CR"/>
        </w:rPr>
        <w:t>Imagen 3.</w:t>
      </w:r>
      <w:r w:rsidRPr="0010512C">
        <w:rPr>
          <w:lang w:val="es-CR"/>
        </w:rPr>
        <w:t xml:space="preserve"> A. Adamkiewicz</w:t>
      </w:r>
    </w:p>
    <w:p w14:paraId="7DBC4070" w14:textId="77777777" w:rsidR="003A1CA0" w:rsidRPr="0010512C" w:rsidRDefault="003A1CA0" w:rsidP="003A1CA0">
      <w:pPr>
        <w:jc w:val="left"/>
        <w:rPr>
          <w:lang w:val="es-CR"/>
        </w:rPr>
      </w:pPr>
      <w:r w:rsidRPr="0010512C">
        <w:rPr>
          <w:b/>
          <w:bCs/>
          <w:lang w:val="es-CR"/>
        </w:rPr>
        <w:t>Imagen 4.</w:t>
      </w:r>
      <w:r w:rsidRPr="0010512C">
        <w:rPr>
          <w:lang w:val="es-CR"/>
        </w:rPr>
        <w:t xml:space="preserve"> Anatomía vascular médula espinal</w:t>
      </w:r>
    </w:p>
    <w:p w14:paraId="3A0104D8" w14:textId="77777777" w:rsidR="003A1CA0" w:rsidRPr="003A1CA0" w:rsidRDefault="003A1CA0" w:rsidP="003A1CA0">
      <w:pPr>
        <w:ind w:left="709" w:firstLine="0"/>
        <w:jc w:val="left"/>
        <w:rPr>
          <w:lang w:val="es-CR"/>
        </w:rPr>
      </w:pPr>
      <w:r w:rsidRPr="0010512C">
        <w:rPr>
          <w:b/>
          <w:bCs/>
          <w:lang w:val="es-CR"/>
        </w:rPr>
        <w:t>Imagen 5.</w:t>
      </w:r>
      <w:r w:rsidRPr="0010512C">
        <w:rPr>
          <w:lang w:val="es-CR"/>
        </w:rPr>
        <w:t xml:space="preserve"> A. introductores transfermoral</w:t>
      </w:r>
      <w:r w:rsidRPr="003A1CA0">
        <w:rPr>
          <w:lang w:val="es-CR"/>
        </w:rPr>
        <w:t>es b. Shunt transfemoral con introductor pequeño c. conducto femoral e iliaco.</w:t>
      </w:r>
    </w:p>
    <w:p w14:paraId="5423AB8F" w14:textId="77777777" w:rsidR="003A1CA0" w:rsidRPr="003A1CA0" w:rsidRDefault="003A1CA0" w:rsidP="003A1CA0">
      <w:pPr>
        <w:jc w:val="left"/>
        <w:rPr>
          <w:lang w:val="es-CR"/>
        </w:rPr>
      </w:pPr>
      <w:r w:rsidRPr="003A1CA0">
        <w:rPr>
          <w:b/>
          <w:bCs/>
          <w:lang w:val="es-CR"/>
        </w:rPr>
        <w:t>Imagen 6.</w:t>
      </w:r>
      <w:r w:rsidRPr="003A1CA0">
        <w:rPr>
          <w:lang w:val="es-CR"/>
        </w:rPr>
        <w:t xml:space="preserve"> Acceso femoral percutáneo.</w:t>
      </w:r>
    </w:p>
    <w:p w14:paraId="777965A9" w14:textId="77777777" w:rsidR="003A1CA0" w:rsidRPr="003A1CA0" w:rsidRDefault="003A1CA0" w:rsidP="003A1CA0">
      <w:pPr>
        <w:jc w:val="left"/>
        <w:rPr>
          <w:lang w:val="es-CR"/>
        </w:rPr>
      </w:pPr>
      <w:r w:rsidRPr="003A1CA0">
        <w:rPr>
          <w:b/>
          <w:bCs/>
          <w:lang w:val="es-CR"/>
        </w:rPr>
        <w:t>Imagen 7.</w:t>
      </w:r>
      <w:r w:rsidRPr="003A1CA0">
        <w:rPr>
          <w:lang w:val="es-CR"/>
        </w:rPr>
        <w:t xml:space="preserve"> Algoritmo de maniobras intraoperatorias</w:t>
      </w:r>
    </w:p>
    <w:p w14:paraId="073E0700" w14:textId="77777777" w:rsidR="003A1CA0" w:rsidRPr="003A1CA0" w:rsidRDefault="003A1CA0" w:rsidP="003A1CA0">
      <w:pPr>
        <w:jc w:val="left"/>
        <w:rPr>
          <w:lang w:val="es-CR"/>
        </w:rPr>
      </w:pPr>
      <w:r w:rsidRPr="003A1CA0">
        <w:rPr>
          <w:b/>
          <w:bCs/>
          <w:lang w:val="es-CR"/>
        </w:rPr>
        <w:t>Imagen 8.</w:t>
      </w:r>
      <w:r w:rsidRPr="003A1CA0">
        <w:rPr>
          <w:lang w:val="es-CR"/>
        </w:rPr>
        <w:t xml:space="preserve"> Colocación de electrodos del EEG</w:t>
      </w:r>
    </w:p>
    <w:p w14:paraId="35D2650A" w14:textId="719F2F30" w:rsidR="007412B4" w:rsidRPr="003A1CA0" w:rsidRDefault="003A1CA0" w:rsidP="003A1CA0">
      <w:pPr>
        <w:jc w:val="left"/>
        <w:rPr>
          <w:rFonts w:cstheme="majorBidi"/>
          <w:bCs/>
          <w:spacing w:val="5"/>
          <w:kern w:val="28"/>
          <w:sz w:val="48"/>
          <w:szCs w:val="52"/>
          <w:lang w:val="es-CR"/>
        </w:rPr>
      </w:pPr>
      <w:r w:rsidRPr="003A1CA0">
        <w:rPr>
          <w:b/>
          <w:bCs/>
          <w:lang w:val="es-CR"/>
        </w:rPr>
        <w:t>Imagen 9.</w:t>
      </w:r>
      <w:r w:rsidRPr="003A1CA0">
        <w:rPr>
          <w:lang w:val="es-CR"/>
        </w:rPr>
        <w:t xml:space="preserve"> Vías neuronales de SSEP y MEP</w:t>
      </w:r>
      <w:r w:rsidR="007412B4" w:rsidRPr="003A1CA0">
        <w:rPr>
          <w:lang w:val="es-CR"/>
        </w:rPr>
        <w:br w:type="page"/>
      </w:r>
    </w:p>
    <w:p w14:paraId="14DDDF3F" w14:textId="77777777" w:rsidR="00846FEA" w:rsidRPr="003A1CA0" w:rsidRDefault="007412B4" w:rsidP="00B05F46">
      <w:pPr>
        <w:pStyle w:val="Title"/>
      </w:pPr>
      <w:bookmarkStart w:id="21" w:name="_Toc47027830"/>
      <w:r w:rsidRPr="003A1CA0">
        <w:lastRenderedPageBreak/>
        <w:t>Lista de Abreviaturas</w:t>
      </w:r>
      <w:bookmarkEnd w:id="21"/>
    </w:p>
    <w:p w14:paraId="0C934A15" w14:textId="1A3E89BE" w:rsidR="0042699C" w:rsidRPr="003A1CA0" w:rsidRDefault="003C51C0" w:rsidP="007B0B9B">
      <w:pPr>
        <w:pStyle w:val="ListParagraph"/>
        <w:numPr>
          <w:ilvl w:val="0"/>
          <w:numId w:val="9"/>
        </w:numPr>
        <w:rPr>
          <w:lang w:val="es-CR"/>
        </w:rPr>
      </w:pPr>
      <w:r w:rsidRPr="003A1CA0">
        <w:rPr>
          <w:b/>
          <w:bCs/>
          <w:lang w:val="es-CR"/>
        </w:rPr>
        <w:t>A.</w:t>
      </w:r>
      <w:r w:rsidR="0042699C" w:rsidRPr="003A1CA0">
        <w:rPr>
          <w:b/>
          <w:bCs/>
          <w:lang w:val="es-CR"/>
        </w:rPr>
        <w:t>:</w:t>
      </w:r>
      <w:r w:rsidR="0042699C" w:rsidRPr="003A1CA0">
        <w:rPr>
          <w:lang w:val="es-CR"/>
        </w:rPr>
        <w:t xml:space="preserve"> Arteria</w:t>
      </w:r>
    </w:p>
    <w:p w14:paraId="098DB68A" w14:textId="369091E7" w:rsidR="0042699C" w:rsidRPr="003A1CA0" w:rsidRDefault="0042699C" w:rsidP="007B0B9B">
      <w:pPr>
        <w:pStyle w:val="ListParagraph"/>
        <w:numPr>
          <w:ilvl w:val="0"/>
          <w:numId w:val="9"/>
        </w:numPr>
        <w:rPr>
          <w:lang w:val="es-CR"/>
        </w:rPr>
      </w:pPr>
      <w:r w:rsidRPr="003A1CA0">
        <w:rPr>
          <w:b/>
          <w:bCs/>
          <w:lang w:val="es-CR"/>
        </w:rPr>
        <w:t xml:space="preserve">AHA: </w:t>
      </w:r>
      <w:r w:rsidRPr="003A1CA0">
        <w:rPr>
          <w:lang w:val="es-CR"/>
        </w:rPr>
        <w:t>Asociación Americana del Corazón por sus siglas en inglés: American Heart Association</w:t>
      </w:r>
    </w:p>
    <w:p w14:paraId="1CA0745F" w14:textId="3F40F1A6" w:rsidR="0042699C" w:rsidRPr="003A1CA0" w:rsidRDefault="0042699C" w:rsidP="007B0B9B">
      <w:pPr>
        <w:pStyle w:val="ListParagraph"/>
        <w:numPr>
          <w:ilvl w:val="0"/>
          <w:numId w:val="9"/>
        </w:numPr>
        <w:rPr>
          <w:lang w:val="es-CR"/>
        </w:rPr>
      </w:pPr>
      <w:r w:rsidRPr="003A1CA0">
        <w:rPr>
          <w:b/>
          <w:bCs/>
          <w:lang w:val="es-CR"/>
        </w:rPr>
        <w:t xml:space="preserve">ASA: </w:t>
      </w:r>
      <w:r w:rsidRPr="003A1CA0">
        <w:rPr>
          <w:lang w:val="es-CR"/>
        </w:rPr>
        <w:t>Arteria Espinal Anterior</w:t>
      </w:r>
    </w:p>
    <w:p w14:paraId="529D28BE" w14:textId="007187F7" w:rsidR="0042699C" w:rsidRPr="003A1CA0" w:rsidRDefault="0042699C" w:rsidP="007B0B9B">
      <w:pPr>
        <w:pStyle w:val="ListParagraph"/>
        <w:numPr>
          <w:ilvl w:val="0"/>
          <w:numId w:val="9"/>
        </w:numPr>
        <w:rPr>
          <w:lang w:val="es-CR"/>
        </w:rPr>
      </w:pPr>
      <w:r w:rsidRPr="003A1CA0">
        <w:rPr>
          <w:b/>
          <w:bCs/>
          <w:lang w:val="es-CR"/>
        </w:rPr>
        <w:t xml:space="preserve">CANCARE: </w:t>
      </w:r>
      <w:r w:rsidRPr="003A1CA0">
        <w:rPr>
          <w:lang w:val="es-CR"/>
        </w:rPr>
        <w:t>Canadian Cardiovascular Critical Care</w:t>
      </w:r>
    </w:p>
    <w:p w14:paraId="7230DEC2" w14:textId="08A559CB" w:rsidR="0042699C" w:rsidRPr="003A1CA0" w:rsidRDefault="0042699C" w:rsidP="007B0B9B">
      <w:pPr>
        <w:pStyle w:val="ListParagraph"/>
        <w:numPr>
          <w:ilvl w:val="0"/>
          <w:numId w:val="9"/>
        </w:numPr>
        <w:rPr>
          <w:lang w:val="es-CR"/>
        </w:rPr>
      </w:pPr>
      <w:r w:rsidRPr="003A1CA0">
        <w:rPr>
          <w:b/>
          <w:bCs/>
          <w:lang w:val="es-CR"/>
        </w:rPr>
        <w:t>CCSS:</w:t>
      </w:r>
      <w:r w:rsidRPr="003A1CA0">
        <w:rPr>
          <w:lang w:val="es-CR"/>
        </w:rPr>
        <w:t xml:space="preserve"> Caja Costarricense de Seguro Social</w:t>
      </w:r>
    </w:p>
    <w:p w14:paraId="57DE9B3B" w14:textId="4FD84309" w:rsidR="0042699C" w:rsidRPr="003A1CA0" w:rsidRDefault="0042699C" w:rsidP="007B0B9B">
      <w:pPr>
        <w:pStyle w:val="ListParagraph"/>
        <w:numPr>
          <w:ilvl w:val="0"/>
          <w:numId w:val="9"/>
        </w:numPr>
        <w:rPr>
          <w:lang w:val="es-CR"/>
        </w:rPr>
      </w:pPr>
      <w:r w:rsidRPr="003A1CA0">
        <w:rPr>
          <w:b/>
          <w:bCs/>
          <w:lang w:val="es-CR"/>
        </w:rPr>
        <w:t>DM:</w:t>
      </w:r>
      <w:r w:rsidRPr="003A1CA0">
        <w:rPr>
          <w:lang w:val="es-CR"/>
        </w:rPr>
        <w:t xml:space="preserve"> Diabetes Mellitus</w:t>
      </w:r>
    </w:p>
    <w:p w14:paraId="11F60FDC" w14:textId="4EFA633C" w:rsidR="0042699C" w:rsidRPr="003A1CA0" w:rsidRDefault="0042699C" w:rsidP="007B0B9B">
      <w:pPr>
        <w:pStyle w:val="ListParagraph"/>
        <w:numPr>
          <w:ilvl w:val="0"/>
          <w:numId w:val="9"/>
        </w:numPr>
        <w:rPr>
          <w:lang w:val="es-CR"/>
        </w:rPr>
      </w:pPr>
      <w:r w:rsidRPr="003A1CA0">
        <w:rPr>
          <w:b/>
          <w:bCs/>
          <w:lang w:val="es-CR"/>
        </w:rPr>
        <w:t xml:space="preserve">EAC: </w:t>
      </w:r>
      <w:r w:rsidRPr="003A1CA0">
        <w:rPr>
          <w:lang w:val="es-CR"/>
        </w:rPr>
        <w:t>Enfermedad Arterial Coronaria</w:t>
      </w:r>
    </w:p>
    <w:p w14:paraId="27CB3434" w14:textId="3FE3824C" w:rsidR="0042699C" w:rsidRPr="003A1CA0" w:rsidRDefault="0042699C" w:rsidP="007B0B9B">
      <w:pPr>
        <w:pStyle w:val="ListParagraph"/>
        <w:numPr>
          <w:ilvl w:val="0"/>
          <w:numId w:val="9"/>
        </w:numPr>
        <w:rPr>
          <w:lang w:val="es-CR"/>
        </w:rPr>
      </w:pPr>
      <w:r w:rsidRPr="003A1CA0">
        <w:rPr>
          <w:b/>
          <w:bCs/>
          <w:lang w:val="es-CR"/>
        </w:rPr>
        <w:t xml:space="preserve">EAP: </w:t>
      </w:r>
      <w:r w:rsidRPr="003A1CA0">
        <w:rPr>
          <w:lang w:val="es-CR"/>
        </w:rPr>
        <w:t>Enfermedad Arterial periférica</w:t>
      </w:r>
    </w:p>
    <w:p w14:paraId="399E7B18" w14:textId="6125133C" w:rsidR="0042699C" w:rsidRPr="003A1CA0" w:rsidRDefault="0042699C" w:rsidP="007B0B9B">
      <w:pPr>
        <w:pStyle w:val="ListParagraph"/>
        <w:numPr>
          <w:ilvl w:val="0"/>
          <w:numId w:val="9"/>
        </w:numPr>
        <w:rPr>
          <w:lang w:val="es-CR"/>
        </w:rPr>
      </w:pPr>
      <w:r w:rsidRPr="003A1CA0">
        <w:rPr>
          <w:b/>
          <w:bCs/>
          <w:lang w:val="es-CR"/>
        </w:rPr>
        <w:t xml:space="preserve">ECV: </w:t>
      </w:r>
      <w:r w:rsidRPr="003A1CA0">
        <w:rPr>
          <w:lang w:val="es-CR"/>
        </w:rPr>
        <w:t>Enfermedad Cerebrovascular</w:t>
      </w:r>
    </w:p>
    <w:p w14:paraId="0FE51725" w14:textId="2C4B8815" w:rsidR="0042699C" w:rsidRPr="003A1CA0" w:rsidRDefault="0042699C" w:rsidP="007B0B9B">
      <w:pPr>
        <w:pStyle w:val="ListParagraph"/>
        <w:numPr>
          <w:ilvl w:val="0"/>
          <w:numId w:val="9"/>
        </w:numPr>
        <w:rPr>
          <w:lang w:val="es-CR"/>
        </w:rPr>
      </w:pPr>
      <w:r w:rsidRPr="003A1CA0">
        <w:rPr>
          <w:b/>
          <w:bCs/>
          <w:lang w:val="es-CR"/>
        </w:rPr>
        <w:t xml:space="preserve">EEG: </w:t>
      </w:r>
      <w:r w:rsidRPr="003A1CA0">
        <w:rPr>
          <w:lang w:val="es-CR"/>
        </w:rPr>
        <w:t>Electroencefalograma</w:t>
      </w:r>
    </w:p>
    <w:p w14:paraId="62B5AE98" w14:textId="7FB0B8BD" w:rsidR="0042699C" w:rsidRPr="003A1CA0" w:rsidRDefault="0042699C" w:rsidP="007B0B9B">
      <w:pPr>
        <w:pStyle w:val="ListParagraph"/>
        <w:numPr>
          <w:ilvl w:val="0"/>
          <w:numId w:val="9"/>
        </w:numPr>
        <w:rPr>
          <w:lang w:val="es-CR"/>
        </w:rPr>
      </w:pPr>
      <w:r w:rsidRPr="003A1CA0">
        <w:rPr>
          <w:b/>
          <w:bCs/>
          <w:lang w:val="es-CR"/>
        </w:rPr>
        <w:t xml:space="preserve">EPOC: </w:t>
      </w:r>
      <w:r w:rsidRPr="003A1CA0">
        <w:rPr>
          <w:lang w:val="es-CR"/>
        </w:rPr>
        <w:t>Enfermedad Pulmonar crónica Obstructiva</w:t>
      </w:r>
    </w:p>
    <w:p w14:paraId="6EF7FA59" w14:textId="647D6989" w:rsidR="0042699C" w:rsidRPr="003A1CA0" w:rsidRDefault="0042699C" w:rsidP="007B0B9B">
      <w:pPr>
        <w:pStyle w:val="ListParagraph"/>
        <w:numPr>
          <w:ilvl w:val="0"/>
          <w:numId w:val="9"/>
        </w:numPr>
        <w:rPr>
          <w:lang w:val="es-CR"/>
        </w:rPr>
      </w:pPr>
      <w:r w:rsidRPr="003A1CA0">
        <w:rPr>
          <w:b/>
          <w:bCs/>
          <w:lang w:val="es-CR"/>
        </w:rPr>
        <w:t xml:space="preserve">ERAS: </w:t>
      </w:r>
      <w:r w:rsidRPr="003A1CA0">
        <w:rPr>
          <w:lang w:val="es-CR"/>
        </w:rPr>
        <w:t>Enhaced recovery after surgery</w:t>
      </w:r>
    </w:p>
    <w:p w14:paraId="3A4C0F36" w14:textId="1D92A079" w:rsidR="0042699C" w:rsidRPr="003A1CA0" w:rsidRDefault="0042699C" w:rsidP="007B0B9B">
      <w:pPr>
        <w:pStyle w:val="ListParagraph"/>
        <w:numPr>
          <w:ilvl w:val="0"/>
          <w:numId w:val="9"/>
        </w:numPr>
        <w:rPr>
          <w:lang w:val="es-CR"/>
        </w:rPr>
      </w:pPr>
      <w:r w:rsidRPr="003A1CA0">
        <w:rPr>
          <w:b/>
          <w:bCs/>
          <w:lang w:val="es-CR"/>
        </w:rPr>
        <w:t xml:space="preserve">ERC: </w:t>
      </w:r>
      <w:r w:rsidRPr="003A1CA0">
        <w:rPr>
          <w:lang w:val="es-CR"/>
        </w:rPr>
        <w:t>Enfermedad Renal Crónica</w:t>
      </w:r>
    </w:p>
    <w:p w14:paraId="12F04D3B" w14:textId="453848AF" w:rsidR="0042699C" w:rsidRPr="003A1CA0" w:rsidRDefault="0042699C" w:rsidP="007B0B9B">
      <w:pPr>
        <w:pStyle w:val="ListParagraph"/>
        <w:numPr>
          <w:ilvl w:val="0"/>
          <w:numId w:val="9"/>
        </w:numPr>
        <w:rPr>
          <w:lang w:val="es-CR"/>
        </w:rPr>
      </w:pPr>
      <w:r w:rsidRPr="003A1CA0">
        <w:rPr>
          <w:b/>
          <w:bCs/>
          <w:lang w:val="es-CR"/>
        </w:rPr>
        <w:t xml:space="preserve">EVAR: </w:t>
      </w:r>
      <w:r w:rsidRPr="003A1CA0">
        <w:rPr>
          <w:lang w:val="es-CR"/>
        </w:rPr>
        <w:t>Reparación endovascular de aneurisma aórtico por sus siglas en inglés: Thoracic Endovascular ane</w:t>
      </w:r>
      <w:r w:rsidR="00685D76">
        <w:rPr>
          <w:lang w:val="es-CR"/>
        </w:rPr>
        <w:t>u</w:t>
      </w:r>
      <w:r w:rsidRPr="003A1CA0">
        <w:rPr>
          <w:lang w:val="es-CR"/>
        </w:rPr>
        <w:t>rysm repair</w:t>
      </w:r>
    </w:p>
    <w:p w14:paraId="27CF9645" w14:textId="29EF7957" w:rsidR="0042699C" w:rsidRPr="003A1CA0" w:rsidRDefault="0042699C" w:rsidP="007B0B9B">
      <w:pPr>
        <w:pStyle w:val="ListParagraph"/>
        <w:numPr>
          <w:ilvl w:val="0"/>
          <w:numId w:val="9"/>
        </w:numPr>
        <w:rPr>
          <w:lang w:val="es-CR"/>
        </w:rPr>
      </w:pPr>
      <w:r w:rsidRPr="003A1CA0">
        <w:rPr>
          <w:b/>
          <w:bCs/>
          <w:lang w:val="es-CR"/>
        </w:rPr>
        <w:t>F</w:t>
      </w:r>
      <w:r w:rsidR="005154F2">
        <w:rPr>
          <w:b/>
          <w:bCs/>
          <w:lang w:val="es-CR"/>
        </w:rPr>
        <w:t>FR</w:t>
      </w:r>
      <w:r w:rsidRPr="003A1CA0">
        <w:rPr>
          <w:b/>
          <w:bCs/>
          <w:lang w:val="es-CR"/>
        </w:rPr>
        <w:t xml:space="preserve">R: </w:t>
      </w:r>
      <w:r w:rsidRPr="003A1CA0">
        <w:rPr>
          <w:lang w:val="es-CR"/>
        </w:rPr>
        <w:t>Factores de Riesgo</w:t>
      </w:r>
    </w:p>
    <w:p w14:paraId="61C493A1" w14:textId="7724F0F6" w:rsidR="0042699C" w:rsidRPr="003A1CA0" w:rsidRDefault="0042699C" w:rsidP="007B0B9B">
      <w:pPr>
        <w:pStyle w:val="ListParagraph"/>
        <w:numPr>
          <w:ilvl w:val="0"/>
          <w:numId w:val="9"/>
        </w:numPr>
        <w:rPr>
          <w:lang w:val="es-CR"/>
        </w:rPr>
      </w:pPr>
      <w:r w:rsidRPr="003A1CA0">
        <w:rPr>
          <w:b/>
          <w:bCs/>
          <w:lang w:val="es-CR"/>
        </w:rPr>
        <w:t>Hb</w:t>
      </w:r>
      <w:r w:rsidR="003C51C0" w:rsidRPr="003A1CA0">
        <w:rPr>
          <w:b/>
          <w:bCs/>
          <w:lang w:val="es-CR"/>
        </w:rPr>
        <w:t xml:space="preserve">: </w:t>
      </w:r>
      <w:r w:rsidRPr="003A1CA0">
        <w:rPr>
          <w:lang w:val="es-CR"/>
        </w:rPr>
        <w:t>Hemoglobina</w:t>
      </w:r>
    </w:p>
    <w:p w14:paraId="4D607B07" w14:textId="0C8316D5" w:rsidR="0042699C" w:rsidRPr="003A1CA0" w:rsidRDefault="0042699C" w:rsidP="007B0B9B">
      <w:pPr>
        <w:pStyle w:val="ListParagraph"/>
        <w:numPr>
          <w:ilvl w:val="0"/>
          <w:numId w:val="9"/>
        </w:numPr>
        <w:rPr>
          <w:lang w:val="es-CR"/>
        </w:rPr>
      </w:pPr>
      <w:r w:rsidRPr="003A1CA0">
        <w:rPr>
          <w:b/>
          <w:bCs/>
          <w:lang w:val="es-CR"/>
        </w:rPr>
        <w:t>HTA</w:t>
      </w:r>
      <w:r w:rsidR="003C51C0" w:rsidRPr="003A1CA0">
        <w:rPr>
          <w:b/>
          <w:bCs/>
          <w:lang w:val="es-CR"/>
        </w:rPr>
        <w:t xml:space="preserve">: </w:t>
      </w:r>
      <w:r w:rsidR="003C51C0" w:rsidRPr="003A1CA0">
        <w:rPr>
          <w:lang w:val="es-CR"/>
        </w:rPr>
        <w:t>Hipertensión</w:t>
      </w:r>
      <w:r w:rsidRPr="003A1CA0">
        <w:rPr>
          <w:lang w:val="es-CR"/>
        </w:rPr>
        <w:t xml:space="preserve"> Arterial</w:t>
      </w:r>
    </w:p>
    <w:p w14:paraId="095C98D5" w14:textId="051C9F76" w:rsidR="0042699C" w:rsidRPr="003A1CA0" w:rsidRDefault="0042699C" w:rsidP="007B0B9B">
      <w:pPr>
        <w:pStyle w:val="ListParagraph"/>
        <w:numPr>
          <w:ilvl w:val="0"/>
          <w:numId w:val="9"/>
        </w:numPr>
        <w:rPr>
          <w:lang w:val="es-CR"/>
        </w:rPr>
      </w:pPr>
      <w:r w:rsidRPr="003A1CA0">
        <w:rPr>
          <w:b/>
          <w:bCs/>
          <w:lang w:val="es-CR"/>
        </w:rPr>
        <w:t>I</w:t>
      </w:r>
      <w:r w:rsidR="003C51C0" w:rsidRPr="003A1CA0">
        <w:rPr>
          <w:b/>
          <w:bCs/>
          <w:lang w:val="es-CR"/>
        </w:rPr>
        <w:t xml:space="preserve">C: </w:t>
      </w:r>
      <w:r w:rsidRPr="003A1CA0">
        <w:rPr>
          <w:lang w:val="es-CR"/>
        </w:rPr>
        <w:t>Interconsulta</w:t>
      </w:r>
    </w:p>
    <w:p w14:paraId="405FDC53" w14:textId="12F485AF" w:rsidR="0042699C" w:rsidRDefault="0042699C" w:rsidP="007B0B9B">
      <w:pPr>
        <w:pStyle w:val="ListParagraph"/>
        <w:numPr>
          <w:ilvl w:val="0"/>
          <w:numId w:val="9"/>
        </w:numPr>
        <w:rPr>
          <w:lang w:val="es-CR"/>
        </w:rPr>
      </w:pPr>
      <w:r w:rsidRPr="003A1CA0">
        <w:rPr>
          <w:b/>
          <w:bCs/>
          <w:lang w:val="es-CR"/>
        </w:rPr>
        <w:t>LCR</w:t>
      </w:r>
      <w:r w:rsidR="003C51C0" w:rsidRPr="003A1CA0">
        <w:rPr>
          <w:b/>
          <w:bCs/>
          <w:lang w:val="es-CR"/>
        </w:rPr>
        <w:t xml:space="preserve">: </w:t>
      </w:r>
      <w:r w:rsidRPr="003A1CA0">
        <w:rPr>
          <w:lang w:val="es-CR"/>
        </w:rPr>
        <w:t>L</w:t>
      </w:r>
      <w:r w:rsidR="003C51C0" w:rsidRPr="003A1CA0">
        <w:rPr>
          <w:lang w:val="es-CR"/>
        </w:rPr>
        <w:t>í</w:t>
      </w:r>
      <w:r w:rsidRPr="003A1CA0">
        <w:rPr>
          <w:lang w:val="es-CR"/>
        </w:rPr>
        <w:t>quido Cefalorraquídeo</w:t>
      </w:r>
    </w:p>
    <w:p w14:paraId="49B9422C" w14:textId="78B43BF6" w:rsidR="003A1CA0" w:rsidRPr="003A1CA0" w:rsidRDefault="003A1CA0" w:rsidP="007B0B9B">
      <w:pPr>
        <w:pStyle w:val="ListParagraph"/>
        <w:numPr>
          <w:ilvl w:val="0"/>
          <w:numId w:val="9"/>
        </w:numPr>
        <w:rPr>
          <w:b/>
          <w:bCs/>
          <w:lang w:val="es-CR"/>
        </w:rPr>
      </w:pPr>
      <w:r w:rsidRPr="003A1CA0">
        <w:rPr>
          <w:b/>
          <w:bCs/>
          <w:lang w:val="es-CR"/>
        </w:rPr>
        <w:lastRenderedPageBreak/>
        <w:t>NIRS</w:t>
      </w:r>
      <w:r>
        <w:rPr>
          <w:b/>
          <w:bCs/>
          <w:lang w:val="es-CR"/>
        </w:rPr>
        <w:t xml:space="preserve">: </w:t>
      </w:r>
      <w:r w:rsidRPr="003A1CA0">
        <w:rPr>
          <w:lang w:val="es-CR"/>
        </w:rPr>
        <w:t>Espectroscopia cercana a Infrarrojo</w:t>
      </w:r>
    </w:p>
    <w:p w14:paraId="389437CA" w14:textId="1A8FA2E9" w:rsidR="0042699C" w:rsidRPr="003A1CA0" w:rsidRDefault="0042699C" w:rsidP="007B0B9B">
      <w:pPr>
        <w:pStyle w:val="ListParagraph"/>
        <w:numPr>
          <w:ilvl w:val="0"/>
          <w:numId w:val="9"/>
        </w:numPr>
        <w:rPr>
          <w:lang w:val="es-CR"/>
        </w:rPr>
      </w:pPr>
      <w:r w:rsidRPr="003A1CA0">
        <w:rPr>
          <w:b/>
          <w:bCs/>
          <w:lang w:val="es-CR"/>
        </w:rPr>
        <w:t>Qx</w:t>
      </w:r>
      <w:r w:rsidR="003C51C0" w:rsidRPr="003A1CA0">
        <w:rPr>
          <w:b/>
          <w:bCs/>
          <w:lang w:val="es-CR"/>
        </w:rPr>
        <w:t xml:space="preserve">: </w:t>
      </w:r>
      <w:r w:rsidR="003C51C0" w:rsidRPr="003A1CA0">
        <w:rPr>
          <w:lang w:val="es-CR"/>
        </w:rPr>
        <w:t>Quirúrgico</w:t>
      </w:r>
    </w:p>
    <w:p w14:paraId="292D1FD8" w14:textId="20D2358D" w:rsidR="0042699C" w:rsidRPr="003A1CA0" w:rsidRDefault="0042699C" w:rsidP="007B0B9B">
      <w:pPr>
        <w:pStyle w:val="ListParagraph"/>
        <w:numPr>
          <w:ilvl w:val="0"/>
          <w:numId w:val="9"/>
        </w:numPr>
        <w:rPr>
          <w:lang w:val="es-CR"/>
        </w:rPr>
      </w:pPr>
      <w:r w:rsidRPr="003A1CA0">
        <w:rPr>
          <w:b/>
          <w:bCs/>
          <w:lang w:val="es-CR"/>
        </w:rPr>
        <w:t>SCI</w:t>
      </w:r>
      <w:r w:rsidR="003C51C0" w:rsidRPr="003A1CA0">
        <w:rPr>
          <w:b/>
          <w:bCs/>
          <w:lang w:val="es-CR"/>
        </w:rPr>
        <w:t xml:space="preserve">: </w:t>
      </w:r>
      <w:r w:rsidRPr="003A1CA0">
        <w:rPr>
          <w:lang w:val="es-CR"/>
        </w:rPr>
        <w:t xml:space="preserve">Isquemia </w:t>
      </w:r>
      <w:r w:rsidR="00EA2516" w:rsidRPr="003A1CA0">
        <w:rPr>
          <w:lang w:val="es-CR"/>
        </w:rPr>
        <w:t>Medular</w:t>
      </w:r>
      <w:r w:rsidRPr="003A1CA0">
        <w:rPr>
          <w:lang w:val="es-CR"/>
        </w:rPr>
        <w:t xml:space="preserve"> por sus siglas en inglés: Spinal Cord Ischemia</w:t>
      </w:r>
    </w:p>
    <w:p w14:paraId="432B64AE" w14:textId="2580D9CF" w:rsidR="0042699C" w:rsidRPr="003A1CA0" w:rsidRDefault="0042699C" w:rsidP="007B0B9B">
      <w:pPr>
        <w:pStyle w:val="ListParagraph"/>
        <w:numPr>
          <w:ilvl w:val="0"/>
          <w:numId w:val="9"/>
        </w:numPr>
        <w:rPr>
          <w:lang w:val="es-CR"/>
        </w:rPr>
      </w:pPr>
      <w:r w:rsidRPr="003A1CA0">
        <w:rPr>
          <w:b/>
          <w:bCs/>
          <w:lang w:val="es-CR"/>
        </w:rPr>
        <w:t>SSEP</w:t>
      </w:r>
      <w:r w:rsidR="003C51C0" w:rsidRPr="003A1CA0">
        <w:rPr>
          <w:b/>
          <w:bCs/>
          <w:lang w:val="es-CR"/>
        </w:rPr>
        <w:t>:</w:t>
      </w:r>
      <w:r w:rsidR="003C51C0" w:rsidRPr="003A1CA0">
        <w:rPr>
          <w:lang w:val="es-CR"/>
        </w:rPr>
        <w:t xml:space="preserve"> </w:t>
      </w:r>
      <w:r w:rsidRPr="003A1CA0">
        <w:rPr>
          <w:lang w:val="es-CR"/>
        </w:rPr>
        <w:t>Potenciales Evocados Somatosensoriales</w:t>
      </w:r>
    </w:p>
    <w:p w14:paraId="72C23E6D" w14:textId="49242BBD" w:rsidR="0042699C" w:rsidRPr="003A1CA0" w:rsidRDefault="0042699C" w:rsidP="007B0B9B">
      <w:pPr>
        <w:pStyle w:val="ListParagraph"/>
        <w:numPr>
          <w:ilvl w:val="0"/>
          <w:numId w:val="9"/>
        </w:numPr>
        <w:rPr>
          <w:lang w:val="es-CR"/>
        </w:rPr>
      </w:pPr>
      <w:r w:rsidRPr="003A1CA0">
        <w:rPr>
          <w:b/>
          <w:bCs/>
          <w:lang w:val="es-CR"/>
        </w:rPr>
        <w:t>TAAA</w:t>
      </w:r>
      <w:r w:rsidRPr="003A1CA0">
        <w:rPr>
          <w:lang w:val="es-CR"/>
        </w:rPr>
        <w:tab/>
      </w:r>
      <w:r w:rsidR="003C51C0" w:rsidRPr="003A1CA0">
        <w:rPr>
          <w:b/>
          <w:bCs/>
          <w:lang w:val="es-CR"/>
        </w:rPr>
        <w:t>:</w:t>
      </w:r>
      <w:r w:rsidR="003C51C0" w:rsidRPr="003A1CA0">
        <w:rPr>
          <w:lang w:val="es-CR"/>
        </w:rPr>
        <w:t xml:space="preserve"> </w:t>
      </w:r>
      <w:r w:rsidRPr="003A1CA0">
        <w:rPr>
          <w:lang w:val="es-CR"/>
        </w:rPr>
        <w:t xml:space="preserve">Aneurisma </w:t>
      </w:r>
      <w:r w:rsidR="003C51C0" w:rsidRPr="003A1CA0">
        <w:rPr>
          <w:lang w:val="es-CR"/>
        </w:rPr>
        <w:t>aórtico</w:t>
      </w:r>
      <w:r w:rsidRPr="003A1CA0">
        <w:rPr>
          <w:lang w:val="es-CR"/>
        </w:rPr>
        <w:t xml:space="preserve"> toracoabdominal por sus siglas en </w:t>
      </w:r>
      <w:r w:rsidR="003A1CA0" w:rsidRPr="003A1CA0">
        <w:rPr>
          <w:lang w:val="es-CR"/>
        </w:rPr>
        <w:t>inglés</w:t>
      </w:r>
      <w:r w:rsidRPr="003A1CA0">
        <w:rPr>
          <w:lang w:val="es-CR"/>
        </w:rPr>
        <w:t xml:space="preserve">: Thoracoabdominal aortic aneurysm </w:t>
      </w:r>
    </w:p>
    <w:p w14:paraId="774D68BE" w14:textId="0BAECDD3" w:rsidR="0042699C" w:rsidRPr="003A1CA0" w:rsidRDefault="0042699C" w:rsidP="007B0B9B">
      <w:pPr>
        <w:pStyle w:val="ListParagraph"/>
        <w:numPr>
          <w:ilvl w:val="0"/>
          <w:numId w:val="9"/>
        </w:numPr>
        <w:rPr>
          <w:lang w:val="es-CR"/>
        </w:rPr>
      </w:pPr>
      <w:r w:rsidRPr="003A1CA0">
        <w:rPr>
          <w:b/>
          <w:bCs/>
          <w:lang w:val="es-CR"/>
        </w:rPr>
        <w:t>TEVAR</w:t>
      </w:r>
      <w:r w:rsidR="003C51C0" w:rsidRPr="003A1CA0">
        <w:rPr>
          <w:b/>
          <w:bCs/>
          <w:lang w:val="es-CR"/>
        </w:rPr>
        <w:t xml:space="preserve">: </w:t>
      </w:r>
      <w:r w:rsidRPr="003A1CA0">
        <w:rPr>
          <w:lang w:val="es-CR"/>
        </w:rPr>
        <w:t>Reparaci</w:t>
      </w:r>
      <w:r w:rsidR="003C51C0" w:rsidRPr="003A1CA0">
        <w:rPr>
          <w:lang w:val="es-CR"/>
        </w:rPr>
        <w:t>ó</w:t>
      </w:r>
      <w:r w:rsidRPr="003A1CA0">
        <w:rPr>
          <w:lang w:val="es-CR"/>
        </w:rPr>
        <w:t xml:space="preserve">n torácica endovascular de aneurisma </w:t>
      </w:r>
      <w:r w:rsidR="003C51C0" w:rsidRPr="003A1CA0">
        <w:rPr>
          <w:lang w:val="es-CR"/>
        </w:rPr>
        <w:t>aórtico</w:t>
      </w:r>
      <w:r w:rsidRPr="003A1CA0">
        <w:rPr>
          <w:lang w:val="es-CR"/>
        </w:rPr>
        <w:t xml:space="preserve"> por sus siglas en </w:t>
      </w:r>
      <w:r w:rsidR="003A1CA0" w:rsidRPr="003A1CA0">
        <w:rPr>
          <w:lang w:val="es-CR"/>
        </w:rPr>
        <w:t>inglés</w:t>
      </w:r>
      <w:r w:rsidRPr="003A1CA0">
        <w:rPr>
          <w:lang w:val="es-CR"/>
        </w:rPr>
        <w:t>: Thoracic Endovascular ane</w:t>
      </w:r>
      <w:r w:rsidR="003A1CA0" w:rsidRPr="003A1CA0">
        <w:rPr>
          <w:lang w:val="es-CR"/>
        </w:rPr>
        <w:t>u</w:t>
      </w:r>
      <w:r w:rsidRPr="003A1CA0">
        <w:rPr>
          <w:lang w:val="es-CR"/>
        </w:rPr>
        <w:t>rysm repair</w:t>
      </w:r>
    </w:p>
    <w:p w14:paraId="3F3C5495" w14:textId="5EB1F4FD" w:rsidR="007877DD" w:rsidRPr="003A1CA0" w:rsidRDefault="007877DD" w:rsidP="0042699C">
      <w:pPr>
        <w:pStyle w:val="ListParagraph"/>
        <w:ind w:left="1429" w:firstLine="0"/>
        <w:rPr>
          <w:lang w:val="es-CR"/>
        </w:rPr>
        <w:sectPr w:rsidR="007877DD" w:rsidRPr="003A1CA0" w:rsidSect="00846FEA">
          <w:footerReference w:type="first" r:id="rId11"/>
          <w:pgSz w:w="12240" w:h="15840"/>
          <w:pgMar w:top="1417" w:right="1701" w:bottom="1417" w:left="1701" w:header="708" w:footer="708" w:gutter="0"/>
          <w:pgNumType w:fmt="lowerRoman" w:start="1"/>
          <w:cols w:space="708"/>
          <w:docGrid w:linePitch="360"/>
        </w:sectPr>
      </w:pPr>
    </w:p>
    <w:p w14:paraId="27DA78A7" w14:textId="77777777" w:rsidR="009C46A7" w:rsidRDefault="009C46A7">
      <w:pPr>
        <w:spacing w:line="276" w:lineRule="auto"/>
        <w:ind w:firstLine="0"/>
        <w:jc w:val="left"/>
        <w:rPr>
          <w:rFonts w:eastAsiaTheme="majorEastAsia" w:cstheme="majorBidi"/>
          <w:b/>
          <w:iCs/>
          <w:spacing w:val="5"/>
          <w:kern w:val="28"/>
          <w:sz w:val="48"/>
          <w:szCs w:val="52"/>
          <w:lang w:val="es-CR"/>
        </w:rPr>
      </w:pPr>
      <w:r w:rsidRPr="00FA7019">
        <w:rPr>
          <w:lang w:val="es-CR"/>
        </w:rPr>
        <w:br w:type="page"/>
      </w:r>
    </w:p>
    <w:p w14:paraId="2310C248" w14:textId="166E7DBD" w:rsidR="007B4735" w:rsidRPr="003A1CA0" w:rsidRDefault="007542E9" w:rsidP="00B05F46">
      <w:pPr>
        <w:pStyle w:val="Title"/>
      </w:pPr>
      <w:bookmarkStart w:id="22" w:name="_Toc47027831"/>
      <w:r w:rsidRPr="003A1CA0">
        <w:lastRenderedPageBreak/>
        <w:t>Introducción</w:t>
      </w:r>
      <w:bookmarkEnd w:id="22"/>
    </w:p>
    <w:p w14:paraId="7F627A07" w14:textId="6CF6286F" w:rsidR="007877DD" w:rsidRPr="003A1CA0" w:rsidRDefault="007877DD" w:rsidP="007877DD">
      <w:pPr>
        <w:rPr>
          <w:lang w:val="es-CR"/>
        </w:rPr>
      </w:pPr>
      <w:r w:rsidRPr="003A1CA0">
        <w:rPr>
          <w:lang w:val="es-CR"/>
        </w:rPr>
        <w:t xml:space="preserve">La isquemia </w:t>
      </w:r>
      <w:r w:rsidR="00EA2516" w:rsidRPr="003A1CA0">
        <w:rPr>
          <w:lang w:val="es-CR"/>
        </w:rPr>
        <w:t>medular</w:t>
      </w:r>
      <w:r w:rsidRPr="003A1CA0">
        <w:rPr>
          <w:lang w:val="es-CR"/>
        </w:rPr>
        <w:t xml:space="preserve"> (SCI por sus siglas en inglés) es una complicación devastadora</w:t>
      </w:r>
      <w:r w:rsidR="00170ED1" w:rsidRPr="003A1CA0">
        <w:rPr>
          <w:lang w:val="es-CR"/>
        </w:rPr>
        <w:t>, poco común y difícil de predecir</w:t>
      </w:r>
      <w:r w:rsidRPr="003A1CA0">
        <w:rPr>
          <w:lang w:val="es-CR"/>
        </w:rPr>
        <w:t xml:space="preserve"> de la cirugía </w:t>
      </w:r>
      <w:r w:rsidR="003C51C0" w:rsidRPr="003A1CA0">
        <w:rPr>
          <w:lang w:val="es-CR"/>
        </w:rPr>
        <w:t>aórtica</w:t>
      </w:r>
      <w:r w:rsidRPr="003A1CA0">
        <w:rPr>
          <w:lang w:val="es-CR"/>
        </w:rPr>
        <w:t xml:space="preserve"> toracoabdominal</w:t>
      </w:r>
      <w:r w:rsidR="00170ED1" w:rsidRPr="003A1CA0">
        <w:rPr>
          <w:lang w:val="es-CR"/>
        </w:rPr>
        <w:t>. Los síntomas pueden ser transitorios o permanentes</w:t>
      </w:r>
      <w:r w:rsidR="006045CF" w:rsidRPr="003A1CA0">
        <w:rPr>
          <w:lang w:val="es-CR"/>
        </w:rPr>
        <w:t xml:space="preserve"> </w:t>
      </w:r>
      <w:r w:rsidR="00170ED1" w:rsidRPr="003A1CA0">
        <w:rPr>
          <w:lang w:val="es-CR"/>
        </w:rPr>
        <w:t xml:space="preserve">y </w:t>
      </w:r>
      <w:r w:rsidR="00FE1665">
        <w:rPr>
          <w:lang w:val="es-CR"/>
        </w:rPr>
        <w:t xml:space="preserve">la </w:t>
      </w:r>
      <w:r w:rsidRPr="003A1CA0">
        <w:rPr>
          <w:lang w:val="es-CR"/>
        </w:rPr>
        <w:t>severidad clínica depende de la extensión del área de la médula espinal afectada</w:t>
      </w:r>
      <w:r w:rsidR="001A1B73">
        <w:rPr>
          <w:lang w:val="es-CR"/>
        </w:rPr>
        <w:t xml:space="preserve"> </w:t>
      </w:r>
      <w:r w:rsidR="006045CF" w:rsidRPr="003A1CA0">
        <w:rPr>
          <w:lang w:val="es-CR"/>
        </w:rPr>
        <w:fldChar w:fldCharType="begin" w:fldLock="1"/>
      </w:r>
      <w:r w:rsidR="001A1B73">
        <w:rPr>
          <w:lang w:val="es-CR"/>
        </w:rPr>
        <w:instrText>ADDIN CSL_CITATION {"citationItems":[{"id":"ITEM-1","itemData":{"DOI":"10.1007/s00772-018-0410-z","ISSN":"14343932","abstract":"Background: Spinal cord ischemia with development of paraplegia is the most relevant complication of thoracoabdominal aortic surgery caused by compromising the segmental arteries. To prevent this devastating complication in endovascular aortic surgery, staging procedures have been developed to reinforce collateral blood flood to the spinal cord. Results: In patients with a medium to high risk for spinal cord ischemia, staged aortic repair is recommended. The classical staged repair is the two-step repair with delayed implantation of the aortic stent grafts. Additionally, more recent methods for short-term salvage of segmental artery perfusion by leaving an endoleak have been developed. Perfusion branches, delayed bridging stents as well as the open branch technique are among these methods. The latest option of staged repair is minimally invasive segmental artery embolization. Conclusion: Besides the nonsurgical options for monitoring and therapy of spinal cord ischemia, various staging procedures are available, which can be implemented depending on the patient and the aortic anatomy. Evidence that underlines staged repair for endovascular treatment of thoracoabdominal aortic pathologies is mostly based on retrospective studies.","author":[{"dropping-particle":"","family":"Heidemann","given":"F.","non-dropping-particle":"","parse-names":false,"suffix":""},{"dropping-particle":"","family":"Tsilimparis","given":"N.","non-dropping-particle":"","parse-names":false,"suffix":""},{"dropping-particle":"","family":"Rohlffs","given":"F.","non-dropping-particle":"","parse-names":false,"suffix":""},{"dropping-particle":"","family":"Debus","given":"E. S.","non-dropping-particle":"","parse-names":false,"suffix":""},{"dropping-particle":"","family":"Larena-Avellaneda","given":"A.","non-dropping-particle":"","parse-names":false,"suffix":""},{"dropping-particle":"","family":"Wipper","given":"S.","non-dropping-particle":"","parse-names":false,"suffix":""},{"dropping-particle":"","family":"Kölbel","given":"T.","non-dropping-particle":"","parse-names":false,"suffix":""}],"container-title":"Gefasschirurgie","id":"ITEM-1","issue":"July","issued":{"date-parts":[["2018"]]},"page":"39-45","title":"Staged procedures for prevention of spinal cord ischemia in endovascular aortic surgery","type":"article-journal","volume":"23"},"uris":["http://www.mendeley.com/documents/?uuid=e47c5a9d-5c3c-47b4-8254-1cea3ae4a567"]}],"mendeley":{"formattedCitation":"(Heidemann et al., 2018)","plainTextFormattedCitation":"(Heidemann et al., 2018)","previouslyFormattedCitation":"(Heidemann et al., 2018)"},"properties":{"noteIndex":0},"schema":"https://github.com/citation-style-language/schema/raw/master/csl-citation.json"}</w:instrText>
      </w:r>
      <w:r w:rsidR="006045CF" w:rsidRPr="003A1CA0">
        <w:rPr>
          <w:lang w:val="es-CR"/>
        </w:rPr>
        <w:fldChar w:fldCharType="separate"/>
      </w:r>
      <w:r w:rsidR="00FA7019" w:rsidRPr="00FA7019">
        <w:rPr>
          <w:noProof/>
          <w:lang w:val="es-CR"/>
        </w:rPr>
        <w:t>(Heidemann et al., 2018)</w:t>
      </w:r>
      <w:r w:rsidR="006045CF" w:rsidRPr="003A1CA0">
        <w:rPr>
          <w:lang w:val="es-CR"/>
        </w:rPr>
        <w:fldChar w:fldCharType="end"/>
      </w:r>
      <w:r w:rsidR="00170ED1" w:rsidRPr="003A1CA0">
        <w:rPr>
          <w:lang w:val="es-CR"/>
        </w:rPr>
        <w:t>.</w:t>
      </w:r>
    </w:p>
    <w:p w14:paraId="72BAE6ED" w14:textId="00A070CA" w:rsidR="007877DD" w:rsidRPr="003A1CA0" w:rsidRDefault="00537E6F" w:rsidP="007877DD">
      <w:pPr>
        <w:rPr>
          <w:lang w:val="es-CR"/>
        </w:rPr>
      </w:pPr>
      <w:r w:rsidRPr="003A1CA0">
        <w:rPr>
          <w:lang w:val="es-CR"/>
        </w:rPr>
        <w:t>D</w:t>
      </w:r>
      <w:r w:rsidR="007877DD" w:rsidRPr="003A1CA0">
        <w:rPr>
          <w:lang w:val="es-CR"/>
        </w:rPr>
        <w:t xml:space="preserve">esafortunadamente no se cuentan con datos epidemiológicos para determinar la prevalencia de SCI en pacientes postquirúrgicos de reparación </w:t>
      </w:r>
      <w:r w:rsidR="003C51C0" w:rsidRPr="003A1CA0">
        <w:rPr>
          <w:lang w:val="es-CR"/>
        </w:rPr>
        <w:t>aórtica</w:t>
      </w:r>
      <w:r w:rsidR="007877DD" w:rsidRPr="003A1CA0">
        <w:rPr>
          <w:lang w:val="es-CR"/>
        </w:rPr>
        <w:t xml:space="preserve"> en la </w:t>
      </w:r>
      <w:r w:rsidR="00170ED1" w:rsidRPr="003A1CA0">
        <w:rPr>
          <w:lang w:val="es-CR"/>
        </w:rPr>
        <w:t>Caja Costarricense del Seguro Social (</w:t>
      </w:r>
      <w:r w:rsidR="007877DD" w:rsidRPr="003A1CA0">
        <w:rPr>
          <w:lang w:val="es-CR"/>
        </w:rPr>
        <w:t>CCSS</w:t>
      </w:r>
      <w:r w:rsidR="00170ED1" w:rsidRPr="003A1CA0">
        <w:rPr>
          <w:lang w:val="es-CR"/>
        </w:rPr>
        <w:t>)</w:t>
      </w:r>
      <w:r w:rsidR="007877DD" w:rsidRPr="003A1CA0">
        <w:rPr>
          <w:lang w:val="es-CR"/>
        </w:rPr>
        <w:t>.</w:t>
      </w:r>
      <w:r w:rsidRPr="003A1CA0">
        <w:rPr>
          <w:lang w:val="es-CR"/>
        </w:rPr>
        <w:t xml:space="preserve"> Esta patología impacta gravemente la calidad de vida del paciente; por lo que l</w:t>
      </w:r>
      <w:r w:rsidR="00170ED1" w:rsidRPr="003A1CA0">
        <w:rPr>
          <w:lang w:val="es-CR"/>
        </w:rPr>
        <w:t xml:space="preserve">a </w:t>
      </w:r>
      <w:r w:rsidR="00984AE4" w:rsidRPr="003A1CA0">
        <w:rPr>
          <w:lang w:val="es-CR"/>
        </w:rPr>
        <w:t>prevención es el pilar del tratamiento</w:t>
      </w:r>
      <w:r w:rsidRPr="003A1CA0">
        <w:rPr>
          <w:lang w:val="es-CR"/>
        </w:rPr>
        <w:t>. E</w:t>
      </w:r>
      <w:r w:rsidR="00984AE4" w:rsidRPr="003A1CA0">
        <w:rPr>
          <w:lang w:val="es-CR"/>
        </w:rPr>
        <w:t>s necesario tener un adecuado conocimiento de la</w:t>
      </w:r>
      <w:r w:rsidR="00F43C26" w:rsidRPr="003A1CA0">
        <w:rPr>
          <w:lang w:val="es-CR"/>
        </w:rPr>
        <w:t xml:space="preserve"> anatomía y</w:t>
      </w:r>
      <w:r w:rsidR="00984AE4" w:rsidRPr="003A1CA0">
        <w:rPr>
          <w:lang w:val="es-CR"/>
        </w:rPr>
        <w:t xml:space="preserve"> fisiopatología con el fin de identificar tempranamente las </w:t>
      </w:r>
      <w:r w:rsidR="000F05C3">
        <w:rPr>
          <w:lang w:val="es-CR"/>
        </w:rPr>
        <w:t>potenciales causas desencadenantes de SCI.</w:t>
      </w:r>
    </w:p>
    <w:p w14:paraId="0F78A389" w14:textId="3A7A16BF" w:rsidR="007877DD" w:rsidRPr="003A1CA0" w:rsidRDefault="007877DD" w:rsidP="007877DD">
      <w:pPr>
        <w:rPr>
          <w:lang w:val="es-CR"/>
        </w:rPr>
      </w:pPr>
      <w:r w:rsidRPr="003A1CA0">
        <w:rPr>
          <w:lang w:val="es-CR"/>
        </w:rPr>
        <w:t xml:space="preserve">La Sociedad Canadiense de Cuidado Crítico Cardiovascular (CANCARE por sus siglas en inglés) publicó en marzo del 2020 un estudio basado en 2 cuestionarios dirigidos a Intensivistas, Cirujanos Cardiovasculares y Cirujanos Vasculares para determinar la </w:t>
      </w:r>
      <w:r w:rsidR="004414FE" w:rsidRPr="003A1CA0">
        <w:rPr>
          <w:lang w:val="es-CR"/>
        </w:rPr>
        <w:t>inconstancia</w:t>
      </w:r>
      <w:r w:rsidRPr="003A1CA0">
        <w:rPr>
          <w:lang w:val="es-CR"/>
        </w:rPr>
        <w:t xml:space="preserve"> en los distintos abordajes </w:t>
      </w:r>
      <w:r w:rsidR="000F05C3">
        <w:rPr>
          <w:lang w:val="es-CR"/>
        </w:rPr>
        <w:t xml:space="preserve">preventivos </w:t>
      </w:r>
      <w:r w:rsidRPr="003A1CA0">
        <w:rPr>
          <w:lang w:val="es-CR"/>
        </w:rPr>
        <w:t xml:space="preserve">y </w:t>
      </w:r>
      <w:r w:rsidR="000F05C3">
        <w:rPr>
          <w:lang w:val="es-CR"/>
        </w:rPr>
        <w:t xml:space="preserve">en el </w:t>
      </w:r>
      <w:r w:rsidRPr="003A1CA0">
        <w:rPr>
          <w:lang w:val="es-CR"/>
        </w:rPr>
        <w:t xml:space="preserve">manejo de </w:t>
      </w:r>
      <w:r w:rsidR="00170ED1" w:rsidRPr="003A1CA0">
        <w:rPr>
          <w:lang w:val="es-CR"/>
        </w:rPr>
        <w:t xml:space="preserve">isquemia </w:t>
      </w:r>
      <w:r w:rsidR="00EA2516" w:rsidRPr="003A1CA0">
        <w:rPr>
          <w:lang w:val="es-CR"/>
        </w:rPr>
        <w:t>medular</w:t>
      </w:r>
      <w:r w:rsidRPr="003A1CA0">
        <w:rPr>
          <w:lang w:val="es-CR"/>
        </w:rPr>
        <w:t xml:space="preserve"> en los centros de </w:t>
      </w:r>
      <w:r w:rsidR="006045CF" w:rsidRPr="003A1CA0">
        <w:rPr>
          <w:lang w:val="es-CR"/>
        </w:rPr>
        <w:t>s</w:t>
      </w:r>
      <w:r w:rsidRPr="003A1CA0">
        <w:rPr>
          <w:lang w:val="es-CR"/>
        </w:rPr>
        <w:t xml:space="preserve">alud </w:t>
      </w:r>
      <w:r w:rsidR="00B55228" w:rsidRPr="003A1CA0">
        <w:rPr>
          <w:lang w:val="es-CR"/>
        </w:rPr>
        <w:t>canadienses</w:t>
      </w:r>
      <w:r w:rsidRPr="003A1CA0">
        <w:rPr>
          <w:lang w:val="es-CR"/>
        </w:rPr>
        <w:t xml:space="preserve">. </w:t>
      </w:r>
      <w:r w:rsidR="000F05C3">
        <w:rPr>
          <w:lang w:val="es-CR"/>
        </w:rPr>
        <w:t>L</w:t>
      </w:r>
      <w:r w:rsidRPr="003A1CA0">
        <w:rPr>
          <w:lang w:val="es-CR"/>
        </w:rPr>
        <w:t xml:space="preserve">o </w:t>
      </w:r>
      <w:r w:rsidR="000F05C3">
        <w:rPr>
          <w:lang w:val="es-CR"/>
        </w:rPr>
        <w:t xml:space="preserve">que </w:t>
      </w:r>
      <w:r w:rsidRPr="003A1CA0">
        <w:rPr>
          <w:lang w:val="es-CR"/>
        </w:rPr>
        <w:t>más llama la atención</w:t>
      </w:r>
      <w:r w:rsidR="000F05C3">
        <w:rPr>
          <w:lang w:val="es-CR"/>
        </w:rPr>
        <w:t xml:space="preserve"> de los </w:t>
      </w:r>
      <w:r w:rsidR="000F05C3" w:rsidRPr="000F05C3">
        <w:rPr>
          <w:lang w:val="es-CR"/>
        </w:rPr>
        <w:t>resultados</w:t>
      </w:r>
      <w:r w:rsidRPr="003A1CA0">
        <w:rPr>
          <w:lang w:val="es-CR"/>
        </w:rPr>
        <w:t xml:space="preserve"> es la alta variabilidad del manejo p</w:t>
      </w:r>
      <w:r w:rsidR="004414FE">
        <w:rPr>
          <w:lang w:val="es-CR"/>
        </w:rPr>
        <w:t>e</w:t>
      </w:r>
      <w:r w:rsidRPr="003A1CA0">
        <w:rPr>
          <w:lang w:val="es-CR"/>
        </w:rPr>
        <w:t>r</w:t>
      </w:r>
      <w:r w:rsidR="004414FE">
        <w:rPr>
          <w:lang w:val="es-CR"/>
        </w:rPr>
        <w:t>i</w:t>
      </w:r>
      <w:r w:rsidRPr="003A1CA0">
        <w:rPr>
          <w:lang w:val="es-CR"/>
        </w:rPr>
        <w:t>operatorio entre especialistas</w:t>
      </w:r>
      <w:r w:rsidR="001A1B73">
        <w:rPr>
          <w:lang w:val="es-CR"/>
        </w:rPr>
        <w:t xml:space="preserve"> </w:t>
      </w:r>
      <w:r w:rsidR="00E164F8" w:rsidRPr="003A1CA0">
        <w:rPr>
          <w:lang w:val="es-CR"/>
        </w:rPr>
        <w:fldChar w:fldCharType="begin" w:fldLock="1"/>
      </w:r>
      <w:r w:rsidR="001A1B73">
        <w:rPr>
          <w:lang w:val="es-CR"/>
        </w:rPr>
        <w:instrText>ADDIN CSL_CITATION {"citationItems":[{"id":"ITEM-1","itemData":{"DOI":"10.1016/j.jtcvs.2020.03.034","ISSN":"00225223","author":[{"dropping-particle":"","family":"Chung","given":"Jennifer C.","non-dropping-particle":"","parse-names":false,"suffix":""},{"dropping-particle":"","family":"Lodewyks","given":"Carly L.","non-dropping-particle":"","parse-names":false,"suffix":""},{"dropping-particle":"","family":"Forbes","given":"Thomas L.","non-dropping-particle":"","parse-names":false,"suffix":""},{"dropping-particle":"","family":"Chu","given":"Michael W.A.","non-dropping-particle":"","parse-names":false,"suffix":""},{"dropping-particle":"","family":"Peterson","given":"Mark D.","non-dropping-particle":"","parse-names":false,"suffix":""},{"dropping-particle":"","family":"Arora","given":"Rakesh C.","non-dropping-particle":"","parse-names":false,"suffix":""},{"dropping-particle":"","family":"Ouzounian","given":"Maral","non-dropping-particle":"","parse-names":false,"suffix":""}],"container-title":"The Journal of Thoracic and Cardiovascular Surgery","id":"ITEM-1","issued":{"date-parts":[["2020"]]},"publisher":"Elsevier Inc.","title":"Prevention and management of spinal cord ischemia following aortic surgery: A survey of contemporary practice","type":"article-journal"},"uris":["http://www.mendeley.com/documents/?uuid=cfc9eb5b-a619-44c0-bcc2-8b7c5c90aefc"]}],"mendeley":{"formattedCitation":"(Chung et al., 2020)","plainTextFormattedCitation":"(Chung et al., 2020)","previouslyFormattedCitation":"(Chung et al., 2020)"},"properties":{"noteIndex":0},"schema":"https://github.com/citation-style-language/schema/raw/master/csl-citation.json"}</w:instrText>
      </w:r>
      <w:r w:rsidR="00E164F8" w:rsidRPr="003A1CA0">
        <w:rPr>
          <w:lang w:val="es-CR"/>
        </w:rPr>
        <w:fldChar w:fldCharType="separate"/>
      </w:r>
      <w:r w:rsidR="00FA7019" w:rsidRPr="00FA7019">
        <w:rPr>
          <w:noProof/>
          <w:lang w:val="es-CR"/>
        </w:rPr>
        <w:t>(Chung et al., 2020)</w:t>
      </w:r>
      <w:r w:rsidR="00E164F8" w:rsidRPr="003A1CA0">
        <w:rPr>
          <w:lang w:val="es-CR"/>
        </w:rPr>
        <w:fldChar w:fldCharType="end"/>
      </w:r>
      <w:r w:rsidR="00537E6F" w:rsidRPr="003A1CA0">
        <w:rPr>
          <w:lang w:val="es-CR"/>
        </w:rPr>
        <w:t>.</w:t>
      </w:r>
    </w:p>
    <w:p w14:paraId="1A467889" w14:textId="1CA3E300" w:rsidR="007877DD" w:rsidRPr="003A1CA0" w:rsidRDefault="007877DD" w:rsidP="007877DD">
      <w:pPr>
        <w:rPr>
          <w:lang w:val="es-CR"/>
        </w:rPr>
      </w:pPr>
      <w:r w:rsidRPr="003A1CA0">
        <w:rPr>
          <w:lang w:val="es-CR"/>
        </w:rPr>
        <w:t>Actualmente en la CCS</w:t>
      </w:r>
      <w:r w:rsidR="009A4348" w:rsidRPr="003A1CA0">
        <w:rPr>
          <w:lang w:val="es-CR"/>
        </w:rPr>
        <w:t>S</w:t>
      </w:r>
      <w:r w:rsidRPr="003A1CA0">
        <w:rPr>
          <w:lang w:val="es-CR"/>
        </w:rPr>
        <w:t xml:space="preserve"> no existe un protocolo institucional establecido para el manejo </w:t>
      </w:r>
      <w:r w:rsidR="005154F2">
        <w:rPr>
          <w:lang w:val="es-CR"/>
        </w:rPr>
        <w:t>perioperatorio</w:t>
      </w:r>
      <w:r w:rsidRPr="003A1CA0">
        <w:rPr>
          <w:lang w:val="es-CR"/>
        </w:rPr>
        <w:t xml:space="preserve"> de la isquemia </w:t>
      </w:r>
      <w:r w:rsidR="00EA2516" w:rsidRPr="003A1CA0">
        <w:rPr>
          <w:lang w:val="es-CR"/>
        </w:rPr>
        <w:t>medular</w:t>
      </w:r>
      <w:r w:rsidRPr="003A1CA0">
        <w:rPr>
          <w:lang w:val="es-CR"/>
        </w:rPr>
        <w:t xml:space="preserve"> secundaria a cirugía abierta o endovascular a</w:t>
      </w:r>
      <w:r w:rsidR="009A4348" w:rsidRPr="003A1CA0">
        <w:rPr>
          <w:lang w:val="es-CR"/>
        </w:rPr>
        <w:t>ó</w:t>
      </w:r>
      <w:r w:rsidRPr="003A1CA0">
        <w:rPr>
          <w:lang w:val="es-CR"/>
        </w:rPr>
        <w:t>rtic</w:t>
      </w:r>
      <w:r w:rsidR="000F05C3">
        <w:rPr>
          <w:lang w:val="es-CR"/>
        </w:rPr>
        <w:t>a</w:t>
      </w:r>
      <w:r w:rsidR="003C51C0" w:rsidRPr="003A1CA0">
        <w:rPr>
          <w:lang w:val="es-CR"/>
        </w:rPr>
        <w:t>.</w:t>
      </w:r>
      <w:r w:rsidRPr="003A1CA0">
        <w:rPr>
          <w:lang w:val="es-CR"/>
        </w:rPr>
        <w:t xml:space="preserve"> El</w:t>
      </w:r>
      <w:r w:rsidR="004414FE">
        <w:rPr>
          <w:lang w:val="es-CR"/>
        </w:rPr>
        <w:t xml:space="preserve"> abordaje del </w:t>
      </w:r>
      <w:r w:rsidRPr="003A1CA0">
        <w:rPr>
          <w:lang w:val="es-CR"/>
        </w:rPr>
        <w:t xml:space="preserve">paciente varía entre los hospitales clase A del </w:t>
      </w:r>
      <w:r w:rsidRPr="003A1CA0">
        <w:rPr>
          <w:lang w:val="es-CR"/>
        </w:rPr>
        <w:lastRenderedPageBreak/>
        <w:t xml:space="preserve">país; aunque las bases teóricas son similares, cada hospital tiene su forma de </w:t>
      </w:r>
      <w:r w:rsidR="00EE4E51">
        <w:rPr>
          <w:lang w:val="es-CR"/>
        </w:rPr>
        <w:t>tratar</w:t>
      </w:r>
      <w:r w:rsidRPr="003A1CA0">
        <w:rPr>
          <w:lang w:val="es-CR"/>
        </w:rPr>
        <w:t xml:space="preserve"> a los pacientes, siendo esto congruente con los resultados de</w:t>
      </w:r>
      <w:r w:rsidR="004414FE">
        <w:rPr>
          <w:lang w:val="es-CR"/>
        </w:rPr>
        <w:t>l</w:t>
      </w:r>
      <w:r w:rsidRPr="003A1CA0">
        <w:rPr>
          <w:lang w:val="es-CR"/>
        </w:rPr>
        <w:t xml:space="preserve"> CANCARE.</w:t>
      </w:r>
    </w:p>
    <w:p w14:paraId="6EC828F4" w14:textId="66155A5F" w:rsidR="007877DD" w:rsidRPr="00AD46AD" w:rsidRDefault="007877DD" w:rsidP="00AD46AD">
      <w:pPr>
        <w:rPr>
          <w:rFonts w:ascii="Times New Roman" w:hAnsi="Times New Roman"/>
          <w:lang w:val="es-CR" w:bidi="ar-SA"/>
        </w:rPr>
      </w:pPr>
      <w:r w:rsidRPr="003A1CA0">
        <w:rPr>
          <w:lang w:val="es-CR"/>
        </w:rPr>
        <w:t>La bibliografía consultada abarca l</w:t>
      </w:r>
      <w:r w:rsidR="00EE4E51">
        <w:rPr>
          <w:lang w:val="es-CR"/>
        </w:rPr>
        <w:t>ib</w:t>
      </w:r>
      <w:r w:rsidR="005154F2">
        <w:rPr>
          <w:lang w:val="es-CR"/>
        </w:rPr>
        <w:t>ro</w:t>
      </w:r>
      <w:r w:rsidR="00EE4E51">
        <w:rPr>
          <w:lang w:val="es-CR"/>
        </w:rPr>
        <w:t>s, gu</w:t>
      </w:r>
      <w:r w:rsidR="005154F2">
        <w:rPr>
          <w:lang w:val="es-CR"/>
        </w:rPr>
        <w:t>í</w:t>
      </w:r>
      <w:r w:rsidR="00EE4E51">
        <w:rPr>
          <w:lang w:val="es-CR"/>
        </w:rPr>
        <w:t>as internacionales y l</w:t>
      </w:r>
      <w:r w:rsidRPr="003A1CA0">
        <w:rPr>
          <w:lang w:val="es-CR"/>
        </w:rPr>
        <w:t xml:space="preserve">iteratura obtenida de </w:t>
      </w:r>
      <w:r w:rsidRPr="005A1463">
        <w:rPr>
          <w:lang w:val="es-CR"/>
        </w:rPr>
        <w:t>PubMed</w:t>
      </w:r>
      <w:r w:rsidR="005A1463" w:rsidRPr="005A1463">
        <w:rPr>
          <w:lang w:val="es-CR"/>
        </w:rPr>
        <w:t xml:space="preserve"> </w:t>
      </w:r>
      <w:hyperlink r:id="rId12" w:history="1">
        <w:r w:rsidR="005A1463" w:rsidRPr="00AD46AD">
          <w:rPr>
            <w:rStyle w:val="Hyperlink"/>
            <w:color w:val="auto"/>
            <w:lang w:val="es-CR"/>
          </w:rPr>
          <w:t>https://pubmed.ncbi.nlm.nih.gov/</w:t>
        </w:r>
      </w:hyperlink>
      <w:r w:rsidR="005A1463" w:rsidRPr="00AD46AD">
        <w:rPr>
          <w:lang w:val="es-CR"/>
        </w:rPr>
        <w:t xml:space="preserve"> entre enero</w:t>
      </w:r>
      <w:r w:rsidR="00F01770">
        <w:rPr>
          <w:lang w:val="es-CR"/>
        </w:rPr>
        <w:t xml:space="preserve"> 2019</w:t>
      </w:r>
      <w:r w:rsidR="005A1463" w:rsidRPr="00AD46AD">
        <w:rPr>
          <w:lang w:val="es-CR"/>
        </w:rPr>
        <w:t xml:space="preserve"> y </w:t>
      </w:r>
      <w:r w:rsidR="00F01770">
        <w:rPr>
          <w:lang w:val="es-CR"/>
        </w:rPr>
        <w:t>enero 2020</w:t>
      </w:r>
      <w:r w:rsidRPr="005A1463">
        <w:rPr>
          <w:lang w:val="es-CR"/>
        </w:rPr>
        <w:t xml:space="preserve">, </w:t>
      </w:r>
      <w:r w:rsidRPr="003A1CA0">
        <w:rPr>
          <w:lang w:val="es-CR"/>
        </w:rPr>
        <w:t xml:space="preserve">en la investigación inicial se utilizó la cadena de búsqueda booleana </w:t>
      </w:r>
      <w:r w:rsidRPr="003A1CA0">
        <w:rPr>
          <w:i/>
          <w:iCs/>
          <w:lang w:val="es-CR"/>
        </w:rPr>
        <w:t xml:space="preserve">“(spine or spinal) and cord and (Ischemic or ischemia) and (endovascular or thoracoabdominal or "aortic aneurysm") and (prevention or protocol or treatment)” </w:t>
      </w:r>
      <w:r w:rsidRPr="003A1CA0">
        <w:rPr>
          <w:lang w:val="es-CR"/>
        </w:rPr>
        <w:t xml:space="preserve">con lo que se obtuvieron 1319 resultados. Se seleccionaron artículos en inglés y español publicados entre 1982 y 2020. </w:t>
      </w:r>
    </w:p>
    <w:p w14:paraId="7AC7DFD3" w14:textId="5C38E1AD" w:rsidR="007877DD" w:rsidRPr="003A1CA0" w:rsidRDefault="007877DD" w:rsidP="007877DD">
      <w:pPr>
        <w:rPr>
          <w:lang w:val="es-CR"/>
        </w:rPr>
      </w:pPr>
      <w:r w:rsidRPr="003A1CA0">
        <w:rPr>
          <w:lang w:val="es-CR"/>
        </w:rPr>
        <w:t>El art</w:t>
      </w:r>
      <w:r w:rsidR="009A4348" w:rsidRPr="003A1CA0">
        <w:rPr>
          <w:lang w:val="es-CR"/>
        </w:rPr>
        <w:t>í</w:t>
      </w:r>
      <w:r w:rsidRPr="003A1CA0">
        <w:rPr>
          <w:lang w:val="es-CR"/>
        </w:rPr>
        <w:t>culo m</w:t>
      </w:r>
      <w:r w:rsidR="009A4348" w:rsidRPr="003A1CA0">
        <w:rPr>
          <w:lang w:val="es-CR"/>
        </w:rPr>
        <w:t>á</w:t>
      </w:r>
      <w:r w:rsidRPr="003A1CA0">
        <w:rPr>
          <w:lang w:val="es-CR"/>
        </w:rPr>
        <w:t>s antiguo tomado en cuenta para esta investigación data del año 1982 del Centro Médico de New York en donde se menciona que durante la época existía controversia e incertidumbre respecto al manejo preventivo de SCI; similar a la variabilidad en el manejo preoperatorio actual. Estos autores propusieron la utilización Potenciales Evocados Somatosensoriales (SSEP) como indicador altamente sensitivo de SCI estableciendo la base</w:t>
      </w:r>
      <w:r w:rsidR="009F2FEB" w:rsidRPr="003A1CA0">
        <w:rPr>
          <w:lang w:val="es-CR"/>
        </w:rPr>
        <w:t xml:space="preserve"> actual</w:t>
      </w:r>
      <w:r w:rsidRPr="003A1CA0">
        <w:rPr>
          <w:lang w:val="es-CR"/>
        </w:rPr>
        <w:t xml:space="preserve"> del monitoreo transoperatorio de SC</w:t>
      </w:r>
      <w:r w:rsidR="00EE4E51" w:rsidRPr="003A1CA0">
        <w:rPr>
          <w:lang w:val="es-CR"/>
        </w:rPr>
        <w:t>I</w:t>
      </w:r>
      <w:r w:rsidR="001A1B73">
        <w:rPr>
          <w:lang w:val="es-CR"/>
        </w:rPr>
        <w:t xml:space="preserve"> </w:t>
      </w:r>
      <w:r w:rsidR="00EE4E51" w:rsidRPr="003A1CA0">
        <w:rPr>
          <w:lang w:val="es-CR"/>
        </w:rPr>
        <w:fldChar w:fldCharType="begin" w:fldLock="1"/>
      </w:r>
      <w:r w:rsidR="001A1B73">
        <w:rPr>
          <w:lang w:val="es-CR"/>
        </w:rPr>
        <w:instrText>ADDIN CSL_CITATION {"citationItems":[{"id":"ITEM-1","itemData":{"DOI":"10.1097/00000658-198209000-00007","ISSN":"00034932","abstract":"Paraplegia has been an unpredictable, devastating complication following operations upon the thoracoabdominal aorta for over 30 years. The frequency ranges from 0.5% with operations for coarctation to as high as 15% following surgery for thoracoabdominal aneurysms. Both uncertainty and controversy exist about the value of different protective methods during aortic crossclamping (AXC): heparinized shunts, partial bypass, and reimplantation of intercostal arteries. This report describes the authors' initial clinical experience with a highly sensitive indicator of spinal cord ischemia, somatosensory evoked potentials (SEP) in an attempt to prevent paraplegia associated with surgical procedures on the thoracoabdominal aorta. Seven consecutive patients (one coarctation, five thoracic aneurysms, one thoracoabdominal aneurysm) underwent continuous operative monitoring of SEP. Cortical response to simultaneous electrical stimulation (20 mAmps, 0.6 mSec., 2.3 cps) of both the right and left posterior tibial nerves was recorded, before, during, and after AXC, and following operation. When ischemic changes were detected by SEP, increasing distal circulation by different maneuvers (heparinized shunt, femoral-femoral bypass, reimplantation of intercostal arteries) reversed these changes. In two patients with thoracic aneurysms, ischemic changes appeared within three minutes after AXC and all potentials disappeared in nine minutes. Rapid insertion of a graft (AXC 28 and 37 minutes) resulted in SEP return 40 minutes following restoration of flow. These changes were prevented by a heparinized shunt in two patients, femoral/femoral bypass in one, and T8-T9 intercostal reimplantation in one. No SEP changes occurred in the patient with coarctation. No postoperative neurologic complications occurred. Continuous operative monitoring of SEP has exciting possibilities for preventing paraplegia. It is simple, highly sensitive, and seems to provide a precise measurement of adequacy of circulation to the spinal cord.","author":[{"dropping-particle":"","family":"Cunningham","given":"J. N.","non-dropping-particle":"","parse-names":false,"suffix":""},{"dropping-particle":"","family":"Laschinger","given":"J. C.","non-dropping-particle":"","parse-names":false,"suffix":""},{"dropping-particle":"","family":"Merkin","given":"H. A.","non-dropping-particle":"","parse-names":false,"suffix":""},{"dropping-particle":"","family":"Nathan","given":"I. M.","non-dropping-particle":"","parse-names":false,"suffix":""},{"dropping-particle":"","family":"Colvin","given":"S.","non-dropping-particle":"","parse-names":false,"suffix":""},{"dropping-particle":"","family":"Ransohoff","given":"J.","non-dropping-particle":"","parse-names":false,"suffix":""},{"dropping-particle":"","family":"Spencer","given":"F. C.","non-dropping-particle":"","parse-names":false,"suffix":""}],"container-title":"Annals of Surgery","id":"ITEM-1","issue":"3","issued":{"date-parts":[["1982"]]},"page":"285-296","title":"Measurement of spinal cord ischemia during operations upon the thoracic aorta. Initial clinical experience","type":"article-journal","volume":"196"},"uris":["http://www.mendeley.com/documents/?uuid=c2750e23-2173-4332-ae81-e8e083df9beb"]}],"mendeley":{"formattedCitation":"(Cunningham et al., 1982)","plainTextFormattedCitation":"(Cunningham et al., 1982)","previouslyFormattedCitation":"(Cunningham et al., 1982)"},"properties":{"noteIndex":0},"schema":"https://github.com/citation-style-language/schema/raw/master/csl-citation.json"}</w:instrText>
      </w:r>
      <w:r w:rsidR="00EE4E51" w:rsidRPr="003A1CA0">
        <w:rPr>
          <w:lang w:val="es-CR"/>
        </w:rPr>
        <w:fldChar w:fldCharType="separate"/>
      </w:r>
      <w:r w:rsidR="00FA7019" w:rsidRPr="00FA7019">
        <w:rPr>
          <w:noProof/>
          <w:lang w:val="es-CR"/>
        </w:rPr>
        <w:t>(Cunningham et al., 1982)</w:t>
      </w:r>
      <w:r w:rsidR="00EE4E51" w:rsidRPr="003A1CA0">
        <w:rPr>
          <w:lang w:val="es-CR"/>
        </w:rPr>
        <w:fldChar w:fldCharType="end"/>
      </w:r>
      <w:r w:rsidRPr="003A1CA0">
        <w:rPr>
          <w:lang w:val="es-CR"/>
        </w:rPr>
        <w:t>.</w:t>
      </w:r>
    </w:p>
    <w:p w14:paraId="00B2B459" w14:textId="7F5878E4" w:rsidR="007877DD" w:rsidRPr="003A1CA0" w:rsidRDefault="007877DD" w:rsidP="007877DD">
      <w:pPr>
        <w:rPr>
          <w:lang w:val="es-CR"/>
        </w:rPr>
      </w:pPr>
      <w:r w:rsidRPr="003A1CA0">
        <w:rPr>
          <w:lang w:val="es-CR"/>
        </w:rPr>
        <w:t xml:space="preserve">Esta investigación nace del hecho </w:t>
      </w:r>
      <w:r w:rsidR="00984AE4" w:rsidRPr="003A1CA0">
        <w:rPr>
          <w:lang w:val="es-CR"/>
        </w:rPr>
        <w:t xml:space="preserve">determinante en donde </w:t>
      </w:r>
      <w:r w:rsidRPr="003A1CA0">
        <w:rPr>
          <w:lang w:val="es-CR"/>
        </w:rPr>
        <w:t>la prevención es fundamental</w:t>
      </w:r>
      <w:r w:rsidR="009F2FEB" w:rsidRPr="003A1CA0">
        <w:rPr>
          <w:lang w:val="es-CR"/>
        </w:rPr>
        <w:t xml:space="preserve">, se </w:t>
      </w:r>
      <w:r w:rsidRPr="003A1CA0">
        <w:rPr>
          <w:lang w:val="es-CR"/>
        </w:rPr>
        <w:t xml:space="preserve">realizará una revisión bibliográfica con el fin de </w:t>
      </w:r>
      <w:r w:rsidR="00EE4E51">
        <w:rPr>
          <w:lang w:val="es-CR"/>
        </w:rPr>
        <w:t xml:space="preserve">exponer bases teóricas necesarias para </w:t>
      </w:r>
      <w:r w:rsidRPr="003A1CA0">
        <w:rPr>
          <w:lang w:val="es-CR"/>
        </w:rPr>
        <w:t>proponer protocolo</w:t>
      </w:r>
      <w:r w:rsidR="00EE4E51">
        <w:rPr>
          <w:lang w:val="es-CR"/>
        </w:rPr>
        <w:t>s estandarizados q</w:t>
      </w:r>
      <w:r w:rsidRPr="003A1CA0">
        <w:rPr>
          <w:lang w:val="es-CR"/>
        </w:rPr>
        <w:t>ue pueda</w:t>
      </w:r>
      <w:r w:rsidR="00EE4E51">
        <w:rPr>
          <w:lang w:val="es-CR"/>
        </w:rPr>
        <w:t xml:space="preserve">n </w:t>
      </w:r>
      <w:r w:rsidRPr="003A1CA0">
        <w:rPr>
          <w:lang w:val="es-CR"/>
        </w:rPr>
        <w:t xml:space="preserve">implementarse </w:t>
      </w:r>
      <w:r w:rsidR="00EE4E51" w:rsidRPr="00EE4E51">
        <w:rPr>
          <w:lang w:val="es-CR"/>
        </w:rPr>
        <w:t xml:space="preserve">en un futuro </w:t>
      </w:r>
      <w:r w:rsidRPr="003A1CA0">
        <w:rPr>
          <w:lang w:val="es-CR"/>
        </w:rPr>
        <w:t>en los hospitales clase A de la CCSS</w:t>
      </w:r>
      <w:r w:rsidR="00EE4E51">
        <w:rPr>
          <w:lang w:val="es-CR"/>
        </w:rPr>
        <w:t>. Se asentarán bases para</w:t>
      </w:r>
      <w:r w:rsidRPr="003A1CA0">
        <w:rPr>
          <w:lang w:val="es-CR"/>
        </w:rPr>
        <w:t xml:space="preserve"> la estandarización del proceso de estadiaje, manejo y prevención p</w:t>
      </w:r>
      <w:r w:rsidR="00EE4E51">
        <w:rPr>
          <w:lang w:val="es-CR"/>
        </w:rPr>
        <w:t>e</w:t>
      </w:r>
      <w:r w:rsidRPr="003A1CA0">
        <w:rPr>
          <w:lang w:val="es-CR"/>
        </w:rPr>
        <w:t>r</w:t>
      </w:r>
      <w:r w:rsidR="00EE4E51">
        <w:rPr>
          <w:lang w:val="es-CR"/>
        </w:rPr>
        <w:t>i</w:t>
      </w:r>
      <w:r w:rsidRPr="003A1CA0">
        <w:rPr>
          <w:lang w:val="es-CR"/>
        </w:rPr>
        <w:t xml:space="preserve">operatorio </w:t>
      </w:r>
      <w:r w:rsidR="00EE4E51">
        <w:rPr>
          <w:lang w:val="es-CR"/>
        </w:rPr>
        <w:t xml:space="preserve">con el objetivo de </w:t>
      </w:r>
      <w:r w:rsidRPr="003A1CA0">
        <w:rPr>
          <w:lang w:val="es-CR"/>
        </w:rPr>
        <w:t>disminuir la prevalencia de la SCI en Costa Ric</w:t>
      </w:r>
      <w:r w:rsidR="00EE4E51">
        <w:rPr>
          <w:lang w:val="es-CR"/>
        </w:rPr>
        <w:t>a</w:t>
      </w:r>
      <w:r w:rsidR="003C51C0" w:rsidRPr="003A1CA0">
        <w:rPr>
          <w:lang w:val="es-CR"/>
        </w:rPr>
        <w:t>.</w:t>
      </w:r>
    </w:p>
    <w:p w14:paraId="54FA1275" w14:textId="00832C4A" w:rsidR="004A7EEC" w:rsidRPr="003A1CA0" w:rsidRDefault="004A7EEC" w:rsidP="00F02EAC">
      <w:pPr>
        <w:pStyle w:val="Heading3"/>
        <w:rPr>
          <w:lang w:val="es-CR"/>
        </w:rPr>
      </w:pPr>
      <w:bookmarkStart w:id="23" w:name="_Toc47027832"/>
      <w:r w:rsidRPr="003A1CA0">
        <w:rPr>
          <w:lang w:val="es-CR"/>
        </w:rPr>
        <w:lastRenderedPageBreak/>
        <w:t>Objetivo general:</w:t>
      </w:r>
      <w:bookmarkEnd w:id="23"/>
    </w:p>
    <w:p w14:paraId="4346D63E" w14:textId="1899FF2E" w:rsidR="001323EA" w:rsidRPr="003A1CA0" w:rsidRDefault="001323EA" w:rsidP="001323EA">
      <w:pPr>
        <w:rPr>
          <w:lang w:val="es-CR"/>
        </w:rPr>
      </w:pPr>
      <w:r w:rsidRPr="003A1CA0">
        <w:rPr>
          <w:lang w:val="es-CR"/>
        </w:rPr>
        <w:t>Realizar una revisión bibliogr</w:t>
      </w:r>
      <w:r w:rsidR="00D01217">
        <w:rPr>
          <w:lang w:val="es-CR"/>
        </w:rPr>
        <w:t>á</w:t>
      </w:r>
      <w:r w:rsidRPr="003A1CA0">
        <w:rPr>
          <w:lang w:val="es-CR"/>
        </w:rPr>
        <w:t>f</w:t>
      </w:r>
      <w:r w:rsidR="00D01217">
        <w:rPr>
          <w:lang w:val="es-CR"/>
        </w:rPr>
        <w:t>ic</w:t>
      </w:r>
      <w:r w:rsidRPr="003A1CA0">
        <w:rPr>
          <w:lang w:val="es-CR"/>
        </w:rPr>
        <w:t xml:space="preserve">a sobre isquemia </w:t>
      </w:r>
      <w:r w:rsidR="00EA2516" w:rsidRPr="003A1CA0">
        <w:rPr>
          <w:lang w:val="es-CR"/>
        </w:rPr>
        <w:t>medular</w:t>
      </w:r>
      <w:r w:rsidRPr="003A1CA0">
        <w:rPr>
          <w:lang w:val="es-CR"/>
        </w:rPr>
        <w:t xml:space="preserve"> en cirugía </w:t>
      </w:r>
      <w:r w:rsidR="003C51C0" w:rsidRPr="003A1CA0">
        <w:rPr>
          <w:lang w:val="es-CR"/>
        </w:rPr>
        <w:t>aórtica</w:t>
      </w:r>
      <w:r w:rsidR="00EE4E51">
        <w:rPr>
          <w:lang w:val="es-CR"/>
        </w:rPr>
        <w:t xml:space="preserve"> abierta o endovascular.</w:t>
      </w:r>
    </w:p>
    <w:p w14:paraId="18A2E53A" w14:textId="5678490E" w:rsidR="004A7EEC" w:rsidRPr="003A1CA0" w:rsidRDefault="004A7EEC" w:rsidP="00F02EAC">
      <w:pPr>
        <w:pStyle w:val="Heading3"/>
        <w:rPr>
          <w:lang w:val="es-CR"/>
        </w:rPr>
      </w:pPr>
      <w:bookmarkStart w:id="24" w:name="_Toc47027833"/>
      <w:r w:rsidRPr="003A1CA0">
        <w:rPr>
          <w:lang w:val="es-CR"/>
        </w:rPr>
        <w:t>Objetivos específicos:</w:t>
      </w:r>
      <w:bookmarkEnd w:id="24"/>
    </w:p>
    <w:p w14:paraId="62257169" w14:textId="6401FE56" w:rsidR="004C7486" w:rsidRPr="003A1CA0" w:rsidRDefault="002F6CD1" w:rsidP="00846FEA">
      <w:pPr>
        <w:rPr>
          <w:lang w:val="es-CR"/>
        </w:rPr>
      </w:pPr>
      <w:r w:rsidRPr="003A1CA0">
        <w:rPr>
          <w:lang w:val="es-CR"/>
        </w:rPr>
        <w:t>Explicar la anatomía</w:t>
      </w:r>
      <w:r w:rsidR="00EE4E51">
        <w:rPr>
          <w:lang w:val="es-CR"/>
        </w:rPr>
        <w:t xml:space="preserve"> y fisio</w:t>
      </w:r>
      <w:r w:rsidR="004C7486" w:rsidRPr="003A1CA0">
        <w:rPr>
          <w:lang w:val="es-CR"/>
        </w:rPr>
        <w:t xml:space="preserve">patología </w:t>
      </w:r>
      <w:r w:rsidRPr="003A1CA0">
        <w:rPr>
          <w:lang w:val="es-CR"/>
        </w:rPr>
        <w:t xml:space="preserve">de la </w:t>
      </w:r>
      <w:r w:rsidR="00EE4E51">
        <w:rPr>
          <w:lang w:val="es-CR"/>
        </w:rPr>
        <w:t xml:space="preserve">irrigación sanguínea de la </w:t>
      </w:r>
      <w:r w:rsidR="003C51C0" w:rsidRPr="003A1CA0">
        <w:rPr>
          <w:lang w:val="es-CR"/>
        </w:rPr>
        <w:t>médula</w:t>
      </w:r>
      <w:r w:rsidRPr="003A1CA0">
        <w:rPr>
          <w:lang w:val="es-CR"/>
        </w:rPr>
        <w:t xml:space="preserve"> espinal</w:t>
      </w:r>
      <w:r w:rsidR="004C7486" w:rsidRPr="003A1CA0">
        <w:rPr>
          <w:lang w:val="es-CR"/>
        </w:rPr>
        <w:t>.</w:t>
      </w:r>
    </w:p>
    <w:p w14:paraId="7CDE8AE3" w14:textId="76402C9B" w:rsidR="001323EA" w:rsidRPr="003A1CA0" w:rsidRDefault="001323EA" w:rsidP="00846FEA">
      <w:pPr>
        <w:rPr>
          <w:lang w:val="es-CR"/>
        </w:rPr>
      </w:pPr>
      <w:r w:rsidRPr="003A1CA0">
        <w:rPr>
          <w:lang w:val="es-CR"/>
        </w:rPr>
        <w:t xml:space="preserve">Describir el manejo pre trans y post operatorio de la isquemia </w:t>
      </w:r>
      <w:r w:rsidR="00EA2516" w:rsidRPr="003A1CA0">
        <w:rPr>
          <w:lang w:val="es-CR"/>
        </w:rPr>
        <w:t>medular</w:t>
      </w:r>
      <w:r w:rsidRPr="003A1CA0">
        <w:rPr>
          <w:lang w:val="es-CR"/>
        </w:rPr>
        <w:t xml:space="preserve"> en cirugía </w:t>
      </w:r>
      <w:r w:rsidR="003C51C0" w:rsidRPr="003A1CA0">
        <w:rPr>
          <w:lang w:val="es-CR"/>
        </w:rPr>
        <w:t>aórtica</w:t>
      </w:r>
      <w:r w:rsidR="004C7486" w:rsidRPr="003A1CA0">
        <w:rPr>
          <w:lang w:val="es-CR"/>
        </w:rPr>
        <w:t xml:space="preserve"> endovascular y abiert</w:t>
      </w:r>
      <w:r w:rsidR="003A1CA0">
        <w:rPr>
          <w:lang w:val="es-CR"/>
        </w:rPr>
        <w:t>a</w:t>
      </w:r>
      <w:r w:rsidR="003C51C0" w:rsidRPr="003A1CA0">
        <w:rPr>
          <w:lang w:val="es-CR"/>
        </w:rPr>
        <w:t>.</w:t>
      </w:r>
    </w:p>
    <w:p w14:paraId="3C40A9ED" w14:textId="77777777" w:rsidR="00DE2BB4" w:rsidRPr="003A1CA0" w:rsidRDefault="00DE2BB4">
      <w:pPr>
        <w:spacing w:line="276" w:lineRule="auto"/>
        <w:jc w:val="left"/>
        <w:rPr>
          <w:rFonts w:eastAsia="Times New Roman" w:cstheme="majorBidi"/>
          <w:bCs/>
          <w:spacing w:val="5"/>
          <w:kern w:val="28"/>
          <w:sz w:val="52"/>
          <w:szCs w:val="52"/>
          <w:lang w:val="es-CR"/>
        </w:rPr>
      </w:pPr>
      <w:r w:rsidRPr="003A1CA0">
        <w:rPr>
          <w:rFonts w:eastAsia="Times New Roman"/>
          <w:lang w:val="es-CR"/>
        </w:rPr>
        <w:br w:type="page"/>
      </w:r>
    </w:p>
    <w:p w14:paraId="332B0AA6" w14:textId="3939B53C" w:rsidR="007877DD" w:rsidRPr="003A1CA0" w:rsidRDefault="002F6CD1" w:rsidP="00B05F46">
      <w:pPr>
        <w:pStyle w:val="Title"/>
      </w:pPr>
      <w:bookmarkStart w:id="25" w:name="_Toc47027834"/>
      <w:r w:rsidRPr="003A1CA0">
        <w:lastRenderedPageBreak/>
        <w:t xml:space="preserve">Isquemia </w:t>
      </w:r>
      <w:r w:rsidR="00EA2516" w:rsidRPr="003A1CA0">
        <w:t>medular</w:t>
      </w:r>
      <w:r w:rsidRPr="003A1CA0">
        <w:t xml:space="preserve"> (SCI)</w:t>
      </w:r>
      <w:bookmarkEnd w:id="25"/>
    </w:p>
    <w:p w14:paraId="79E350DF" w14:textId="54A23CBF" w:rsidR="007877DD" w:rsidRPr="003A1CA0" w:rsidRDefault="007877DD" w:rsidP="007877DD">
      <w:pPr>
        <w:rPr>
          <w:lang w:val="es-CR"/>
        </w:rPr>
      </w:pPr>
      <w:r w:rsidRPr="003A1CA0">
        <w:rPr>
          <w:lang w:val="es-CR"/>
        </w:rPr>
        <w:t>La SCI es una complicación grave en el tratamiento quirúrgico abierto o endovascular de patología a</w:t>
      </w:r>
      <w:r w:rsidR="009F2FEB" w:rsidRPr="003A1CA0">
        <w:rPr>
          <w:lang w:val="es-CR"/>
        </w:rPr>
        <w:t>ó</w:t>
      </w:r>
      <w:r w:rsidRPr="003A1CA0">
        <w:rPr>
          <w:lang w:val="es-CR"/>
        </w:rPr>
        <w:t>rtica, en los años 1980s la frecuencia de SCI era de hasta un 15%</w:t>
      </w:r>
      <w:r w:rsidR="001A1B73">
        <w:rPr>
          <w:lang w:val="es-CR"/>
        </w:rPr>
        <w:t xml:space="preserve"> </w:t>
      </w:r>
      <w:r w:rsidR="006045CF" w:rsidRPr="003A1CA0">
        <w:rPr>
          <w:lang w:val="es-CR"/>
        </w:rPr>
        <w:fldChar w:fldCharType="begin" w:fldLock="1"/>
      </w:r>
      <w:r w:rsidR="001A1B73">
        <w:rPr>
          <w:lang w:val="es-CR"/>
        </w:rPr>
        <w:instrText>ADDIN CSL_CITATION {"citationItems":[{"id":"ITEM-1","itemData":{"DOI":"10.1097/00000658-198209000-00007","ISSN":"00034932","abstract":"Paraplegia has been an unpredictable, devastating complication following operations upon the thoracoabdominal aorta for over 30 years. The frequency ranges from 0.5% with operations for coarctation to as high as 15% following surgery for thoracoabdominal aneurysms. Both uncertainty and controversy exist about the value of different protective methods during aortic crossclamping (AXC): heparinized shunts, partial bypass, and reimplantation of intercostal arteries. This report describes the authors' initial clinical experience with a highly sensitive indicator of spinal cord ischemia, somatosensory evoked potentials (SEP) in an attempt to prevent paraplegia associated with surgical procedures on the thoracoabdominal aorta. Seven consecutive patients (one coarctation, five thoracic aneurysms, one thoracoabdominal aneurysm) underwent continuous operative monitoring of SEP. Cortical response to simultaneous electrical stimulation (20 mAmps, 0.6 mSec., 2.3 cps) of both the right and left posterior tibial nerves was recorded, before, during, and after AXC, and following operation. When ischemic changes were detected by SEP, increasing distal circulation by different maneuvers (heparinized shunt, femoral-femoral bypass, reimplantation of intercostal arteries) reversed these changes. In two patients with thoracic aneurysms, ischemic changes appeared within three minutes after AXC and all potentials disappeared in nine minutes. Rapid insertion of a graft (AXC 28 and 37 minutes) resulted in SEP return 40 minutes following restoration of flow. These changes were prevented by a heparinized shunt in two patients, femoral/femoral bypass in one, and T8-T9 intercostal reimplantation in one. No SEP changes occurred in the patient with coarctation. No postoperative neurologic complications occurred. Continuous operative monitoring of SEP has exciting possibilities for preventing paraplegia. It is simple, highly sensitive, and seems to provide a precise measurement of adequacy of circulation to the spinal cord.","author":[{"dropping-particle":"","family":"Cunningham","given":"J. N.","non-dropping-particle":"","parse-names":false,"suffix":""},{"dropping-particle":"","family":"Laschinger","given":"J. C.","non-dropping-particle":"","parse-names":false,"suffix":""},{"dropping-particle":"","family":"Merkin","given":"H. A.","non-dropping-particle":"","parse-names":false,"suffix":""},{"dropping-particle":"","family":"Nathan","given":"I. M.","non-dropping-particle":"","parse-names":false,"suffix":""},{"dropping-particle":"","family":"Colvin","given":"S.","non-dropping-particle":"","parse-names":false,"suffix":""},{"dropping-particle":"","family":"Ransohoff","given":"J.","non-dropping-particle":"","parse-names":false,"suffix":""},{"dropping-particle":"","family":"Spencer","given":"F. C.","non-dropping-particle":"","parse-names":false,"suffix":""}],"container-title":"Annals of Surgery","id":"ITEM-1","issue":"3","issued":{"date-parts":[["1982"]]},"page":"285-296","title":"Measurement of spinal cord ischemia during operations upon the thoracic aorta. Initial clinical experience","type":"article-journal","volume":"196"},"uris":["http://www.mendeley.com/documents/?uuid=c2750e23-2173-4332-ae81-e8e083df9beb"]},{"id":"ITEM-2","itemData":{"DOI":"10.1016/S0003-4975(10)64192-6","ISSN":"00034975","abstract":"Prior to proximal aortic cross-clamping, baseline measurements of spinal cord blood flow and function were done. Blood flow was evaluated with radioactive microspheres and function determined by assessment of somatosensory evoked potential (SEP). Group 1 (N = 6) animals had aortic cross-clamping for 5 minutes after ischemic spinal cord dysfunction (SEP loss) was documented. Group 2 (N = 9) underwent aortic cross-clamping for 10 minutes after loss of SEP. Group 3 (N = 6) also underwent 10 minutes of cross-clamping after initial SEP loss, but were treated intravenously with methylprednisolone (30 mg per kilogram of body weight) 10 minutes prior to cross-clamping and again 4 hours postoperatively. After release of the cross-clamp, the animals were allowed to recover and serial evaluations of spinal cord blood flow and neurological status were carried out for seven days. Group 1 animals recovered uneventfully without evidence of neurological injury. Group 2 animals sustained a 67% incidence of permanent spastic paraplegia (p = 0.02 versus Group 1). In contrast, methylprednisolone-treated animals sustained no clinically detectable neurological injury (p = 0.02 versus Group 2). Measurements of spinal cord blood flow at the time of SEP loss revealed similar degrees of spinal cord ischemia in all groups. No significant differences were observed in the duration of aortic cross-clamping prior to SEP loss among the three groups. The data indicate that short periods of cross-clamping (5 minutes) following SEP loss are well tolerated, whereas longer periods (10 minutes) are associated with a high incidence of paraplegia. This injury can be prevented if an adequate dose of methylprednisolone is given before and after cross-clamping. Beneficial effects of steroid administration do not appear to be related to changes in spinal cord blood flow, but may be related to protective effects on cellular and subcellular components. Clinical investigations employing this regimen of corticosteroid protection during surgical procedures on the thoracoabdominal aorta appear to be indicated. © 1984, The Society of Thoracic Surgeons. All rights reserved.","author":[{"dropping-particle":"","family":"Laschinger","given":"John C.","non-dropping-particle":"","parse-names":false,"suffix":""},{"dropping-particle":"","family":"Cunningham","given":"Joseph N.","non-dropping-particle":"","parse-names":false,"suffix":""},{"dropping-particle":"","family":"Cooper","given":"Matthew M.","non-dropping-particle":"","parse-names":false,"suffix":""},{"dropping-particle":"","family":"Krieger","given":"Karl","non-dropping-particle":"","parse-names":false,"suffix":""},{"dropping-particle":"","family":"Nathan","given":"Ira M.","non-dropping-particle":"","parse-names":false,"suffix":""},{"dropping-particle":"","family":"Spencer","given":"Frank C.","non-dropping-particle":"","parse-names":false,"suffix":""}],"container-title":"Annals of Thoracic Surgery","id":"ITEM-2","issue":"5","issued":{"date-parts":[["1984"]]},"page":"500-507","publisher":"The Society of Thoracic Surgeons","title":"Prevention of Ischemic Spinal Cord Injury Following Aortic Cross-Clamping: Use of Corticosteroids","type":"article-journal","volume":"38"},"uris":["http://www.mendeley.com/documents/?uuid=974c691d-b076-4622-b2d7-ba101ff89d04"]}],"mendeley":{"formattedCitation":"(Cunningham et al., 1982; Laschinger et al., 1984)","plainTextFormattedCitation":"(Cunningham et al., 1982; Laschinger et al., 1984)","previouslyFormattedCitation":"(Cunningham et al., 1982; Laschinger et al., 1984)"},"properties":{"noteIndex":0},"schema":"https://github.com/citation-style-language/schema/raw/master/csl-citation.json"}</w:instrText>
      </w:r>
      <w:r w:rsidR="006045CF" w:rsidRPr="003A1CA0">
        <w:rPr>
          <w:lang w:val="es-CR"/>
        </w:rPr>
        <w:fldChar w:fldCharType="separate"/>
      </w:r>
      <w:r w:rsidR="00FA7019" w:rsidRPr="00FA7019">
        <w:rPr>
          <w:noProof/>
          <w:lang w:val="es-CR"/>
        </w:rPr>
        <w:t>(Cunningham et al., 1982; Laschinger et al., 1984)</w:t>
      </w:r>
      <w:r w:rsidR="006045CF" w:rsidRPr="003A1CA0">
        <w:rPr>
          <w:lang w:val="es-CR"/>
        </w:rPr>
        <w:fldChar w:fldCharType="end"/>
      </w:r>
      <w:r w:rsidR="00EE4E51">
        <w:rPr>
          <w:lang w:val="es-CR"/>
        </w:rPr>
        <w:t xml:space="preserve">; </w:t>
      </w:r>
      <w:r w:rsidRPr="003A1CA0">
        <w:rPr>
          <w:lang w:val="es-CR"/>
        </w:rPr>
        <w:t xml:space="preserve">desde </w:t>
      </w:r>
      <w:r w:rsidR="00E15DAA" w:rsidRPr="003A1CA0">
        <w:rPr>
          <w:lang w:val="es-CR"/>
        </w:rPr>
        <w:t>entonces</w:t>
      </w:r>
      <w:r w:rsidR="00EE4E51">
        <w:rPr>
          <w:lang w:val="es-CR"/>
        </w:rPr>
        <w:t>,</w:t>
      </w:r>
      <w:r w:rsidRPr="003A1CA0">
        <w:rPr>
          <w:lang w:val="es-CR"/>
        </w:rPr>
        <w:t xml:space="preserve"> se </w:t>
      </w:r>
      <w:r w:rsidR="00D01217">
        <w:rPr>
          <w:lang w:val="es-CR"/>
        </w:rPr>
        <w:t>han investigado</w:t>
      </w:r>
      <w:r w:rsidRPr="003A1CA0">
        <w:rPr>
          <w:lang w:val="es-CR"/>
        </w:rPr>
        <w:t xml:space="preserve"> métodos para prevenir, monitorear y tratar la SCI. </w:t>
      </w:r>
    </w:p>
    <w:p w14:paraId="565DE008" w14:textId="1FA248AD" w:rsidR="00612561" w:rsidRPr="003A1CA0" w:rsidRDefault="00612561" w:rsidP="006B63A1">
      <w:pPr>
        <w:rPr>
          <w:lang w:val="es-CR"/>
        </w:rPr>
      </w:pPr>
      <w:r w:rsidRPr="003A1CA0">
        <w:rPr>
          <w:lang w:val="es-CR"/>
        </w:rPr>
        <w:t>La incidencia de SCI p</w:t>
      </w:r>
      <w:r w:rsidR="007877DD" w:rsidRPr="003A1CA0">
        <w:rPr>
          <w:lang w:val="es-CR"/>
        </w:rPr>
        <w:t xml:space="preserve">osterior a </w:t>
      </w:r>
      <w:r w:rsidR="009F6A5F" w:rsidRPr="003A1CA0">
        <w:rPr>
          <w:lang w:val="es-CR"/>
        </w:rPr>
        <w:t xml:space="preserve">la </w:t>
      </w:r>
      <w:r w:rsidR="00377C09" w:rsidRPr="003A1CA0">
        <w:rPr>
          <w:lang w:val="es-CR"/>
        </w:rPr>
        <w:t>reparación</w:t>
      </w:r>
      <w:r w:rsidR="002F570F" w:rsidRPr="003A1CA0">
        <w:rPr>
          <w:lang w:val="es-CR"/>
        </w:rPr>
        <w:t xml:space="preserve"> Endovascular de Aneurisma Aórtico (EVAR por sus siglas en inglés) </w:t>
      </w:r>
      <w:r w:rsidRPr="003A1CA0">
        <w:rPr>
          <w:lang w:val="es-CR"/>
        </w:rPr>
        <w:t>es directamente proporcional a la extensión de la aorta cubierta durante la reparación</w:t>
      </w:r>
      <w:r w:rsidR="00EE4E51">
        <w:rPr>
          <w:lang w:val="es-CR"/>
        </w:rPr>
        <w:t>; e</w:t>
      </w:r>
      <w:r w:rsidRPr="003A1CA0">
        <w:rPr>
          <w:lang w:val="es-CR"/>
        </w:rPr>
        <w:t>specíficamente par</w:t>
      </w:r>
      <w:r w:rsidR="00427B4D" w:rsidRPr="003A1CA0">
        <w:rPr>
          <w:lang w:val="es-CR"/>
        </w:rPr>
        <w:t>a</w:t>
      </w:r>
      <w:r w:rsidR="009637A0" w:rsidRPr="003A1CA0">
        <w:rPr>
          <w:lang w:val="es-CR"/>
        </w:rPr>
        <w:t xml:space="preserve"> </w:t>
      </w:r>
      <w:r w:rsidRPr="003A1CA0">
        <w:rPr>
          <w:lang w:val="es-CR"/>
        </w:rPr>
        <w:t>EVAR l</w:t>
      </w:r>
      <w:r w:rsidR="006045CF" w:rsidRPr="003A1CA0">
        <w:rPr>
          <w:lang w:val="es-CR"/>
        </w:rPr>
        <w:t xml:space="preserve">a incidencia de SCI </w:t>
      </w:r>
      <w:r w:rsidR="00EE4E51">
        <w:rPr>
          <w:lang w:val="es-CR"/>
        </w:rPr>
        <w:t xml:space="preserve">es relativamente baja </w:t>
      </w:r>
      <w:r w:rsidR="009F6A5F" w:rsidRPr="003A1CA0">
        <w:rPr>
          <w:lang w:val="es-CR"/>
        </w:rPr>
        <w:t>0.2% y 0.3%</w:t>
      </w:r>
      <w:r w:rsidR="001A1B73">
        <w:rPr>
          <w:lang w:val="es-CR"/>
        </w:rPr>
        <w:t xml:space="preserve"> </w:t>
      </w:r>
      <w:r w:rsidR="009F6A5F" w:rsidRPr="003A1CA0">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sidR="009F6A5F" w:rsidRPr="003A1CA0">
        <w:rPr>
          <w:lang w:val="es-CR"/>
        </w:rPr>
        <w:fldChar w:fldCharType="separate"/>
      </w:r>
      <w:r w:rsidR="0091486C" w:rsidRPr="0091486C">
        <w:rPr>
          <w:noProof/>
          <w:lang w:val="es-CR"/>
        </w:rPr>
        <w:t>(Oderich, 2017)</w:t>
      </w:r>
      <w:r w:rsidR="009F6A5F" w:rsidRPr="003A1CA0">
        <w:rPr>
          <w:lang w:val="es-CR"/>
        </w:rPr>
        <w:fldChar w:fldCharType="end"/>
      </w:r>
      <w:r w:rsidRPr="003A1CA0">
        <w:rPr>
          <w:lang w:val="es-CR"/>
        </w:rPr>
        <w:t>.</w:t>
      </w:r>
    </w:p>
    <w:p w14:paraId="271F9572" w14:textId="5BC44E8B" w:rsidR="007877DD" w:rsidRPr="003A1CA0" w:rsidRDefault="00612561" w:rsidP="006B63A1">
      <w:pPr>
        <w:rPr>
          <w:lang w:val="es-CR"/>
        </w:rPr>
      </w:pPr>
      <w:r w:rsidRPr="003A1CA0">
        <w:rPr>
          <w:lang w:val="es-CR"/>
        </w:rPr>
        <w:t xml:space="preserve">En </w:t>
      </w:r>
      <w:r w:rsidR="00377C09" w:rsidRPr="003A1CA0">
        <w:rPr>
          <w:lang w:val="es-CR"/>
        </w:rPr>
        <w:t xml:space="preserve">la reparación endovascular de aneurisma </w:t>
      </w:r>
      <w:r w:rsidR="006045CF" w:rsidRPr="003A1CA0">
        <w:rPr>
          <w:lang w:val="es-CR"/>
        </w:rPr>
        <w:t>aórtico</w:t>
      </w:r>
      <w:r w:rsidRPr="003A1CA0">
        <w:rPr>
          <w:lang w:val="es-CR"/>
        </w:rPr>
        <w:t xml:space="preserve"> torácico</w:t>
      </w:r>
      <w:r w:rsidR="00377C09" w:rsidRPr="003A1CA0">
        <w:rPr>
          <w:lang w:val="es-CR"/>
        </w:rPr>
        <w:t xml:space="preserve"> (TEVAR por sus siglas en </w:t>
      </w:r>
      <w:r w:rsidRPr="003A1CA0">
        <w:rPr>
          <w:lang w:val="es-CR"/>
        </w:rPr>
        <w:t>inglés</w:t>
      </w:r>
      <w:r w:rsidR="00377C09" w:rsidRPr="003A1CA0">
        <w:rPr>
          <w:lang w:val="es-CR"/>
        </w:rPr>
        <w:t>)</w:t>
      </w:r>
      <w:r w:rsidRPr="003A1CA0">
        <w:rPr>
          <w:lang w:val="es-CR"/>
        </w:rPr>
        <w:t xml:space="preserve"> l</w:t>
      </w:r>
      <w:r w:rsidR="00427B4D" w:rsidRPr="003A1CA0">
        <w:rPr>
          <w:lang w:val="es-CR"/>
        </w:rPr>
        <w:t>a</w:t>
      </w:r>
      <w:r w:rsidRPr="003A1CA0">
        <w:rPr>
          <w:lang w:val="es-CR"/>
        </w:rPr>
        <w:t xml:space="preserve"> incidencia aumenta a un 1.2%-1</w:t>
      </w:r>
      <w:r w:rsidR="00427B4D" w:rsidRPr="003A1CA0">
        <w:rPr>
          <w:lang w:val="es-CR"/>
        </w:rPr>
        <w:t>0</w:t>
      </w:r>
      <w:r w:rsidRPr="003A1CA0">
        <w:rPr>
          <w:lang w:val="es-CR"/>
        </w:rPr>
        <w:t>%</w:t>
      </w:r>
      <w:r w:rsidR="001A1B73">
        <w:rPr>
          <w:lang w:val="es-CR"/>
        </w:rPr>
        <w:t xml:space="preserve"> </w:t>
      </w:r>
      <w:r w:rsidR="001908C9" w:rsidRPr="003A1CA0">
        <w:rPr>
          <w:lang w:val="es-CR"/>
        </w:rPr>
        <w:fldChar w:fldCharType="begin" w:fldLock="1"/>
      </w:r>
      <w:r w:rsidR="001A1B73">
        <w:rPr>
          <w:lang w:val="es-CR"/>
        </w:rPr>
        <w:instrText>ADDIN CSL_CITATION {"citationItems":[{"id":"ITEM-1","itemData":{"DOI":"10.1016/j.ejvs.2007.11.005","ISSN":"10785884","abstract":"Objectives: Endovascular repair of descending thoracic aortic lesions is associated with a substantial risk of perioperative spinal cord ischaemia (SCI) which may lead to permanent paraplegia. We performed a retrospective analysis of our experience in the endovascular treatment of descending thoracic aortic lesions to define the incidence of SCI and to identify factors that contributed to its development. Methods: 67 consecutive patients underwent stent graft repair for descending thoracic aortic lesions including degenerative aneurysm (n = 19), type B dissection (acute n = 2, chronic n = 15), traumatic rupture (acute n = 14, chronic n = 4), penetrating aortic ulcer (n = 5), anastomotic false aneurysm (n = 4), mycotic aneurysm (n = 3) and embolic aortic lesion (n = 1) between June 2000 and June 2005. All procedures were performed with the patient under general anaesthesia and strict blood pressure monitoring. No patient had intra-operative monitoring of spinal evoked potential or cerebrospinal fluid (CSF) drainage to prevent SCI. Neurological evaluation was realized after recovery from general anaesthesia. Fifteen factors, including nature of aortic disease, length of aortic coverage, number of stent-grafts, coverage of the distal third of the thoracic aorta and subclavian artery coverage, were investigated as possible predictors of postoperative SCI. Results: Five patients (7.5%) had postoperative neurological deficits (immediate n = 2, delayed n = 3) referable to SCI. Univariate analysis showed that length of aortic coverage (p &lt; 0.001) and number of stent-grafts deployed (p = 0.02) were significant predictors of SCI. Multivariate logistic regression analysis showed that length of aortic coverage was the only independent significant predictor of SCI. ROC curve analysis revealed 205 mm of aortic length coverage as the threshold for increased risk of postoperative SCI (p = 0.001), with specificity and sensitivity of 95.2 and 80% respectively. Conclusion: In our study, length of aortic coverage is the only independent predictive factor of SCI after endovascular treatment with 205 mm as a threshold for increased risk. Hence, methods to prevent SCI, especially those aimed at restoration of an adequate spinal cord perfusion pressure, should be offered to patients requiring extensive coverage of the descending thoracic aorta. © 2007 European Society for Vascular Surgery.","author":[{"dropping-particle":"","family":"Amabile","given":"P.","non-dropping-particle":"","parse-names":false,"suffix":""},{"dropping-particle":"","family":"Grisoli","given":"D.","non-dropping-particle":"","parse-names":false,"suffix":""},{"dropping-particle":"","family":"Giorgi","given":"R.","non-dropping-particle":"","parse-names":false,"suffix":""},{"dropping-particle":"","family":"Bartoli","given":"J. M.","non-dropping-particle":"","parse-names":false,"suffix":""},{"dropping-particle":"","family":"Piquet","given":"P.","non-dropping-particle":"","parse-names":false,"suffix":""}],"container-title":"European Journal of Vascular and Endovascular Surgery","id":"ITEM-1","issue":"4","issued":{"date-parts":[["2008"]]},"page":"455-461","title":"Incidence and Determinants of Spinal Cord Ischaemia in Stent-graft Repair of the Thoracic Aorta","type":"article-journal","volume":"35"},"uris":["http://www.mendeley.com/documents/?uuid=e2e2acb8-99f6-4681-be19-f2f092a8c2b8"]},{"id":"ITEM-2","itemData":{"DOI":"10.3390/cells9020501","ISSN":"2073-4409","abstract":"Spinal cord ischemia (SCI) is a clinical complication following aortic repair that significantly impairs the quality and expectancy of life. Despite some strategies, like cerebrospinal fluid drainage, the occurrence of neurological symptoms, such as paraplegia and paraparesis, remains unpredictable. Beside the major blood supply through conduit arteries, a huge collateral network protects the central nervous system from ischemia—the paraspinous and the intraspinal compartment. The intraspinal arcades maintain perfusion pressure following a sudden inflow interruption, whereas the paraspinal system first needs to undergo arteriogenesis to ensure sufficient blood supply after an acute ischemic insult. The so-called steal phenomenon can even worsen the postoperative situation by causing the hypoperfusion of the spine when, shortly after thoracoabdominal aortic aneurysm (TAAA) surgery, muscles connected with the network divert blood and cause additional stress. Vessels are a conglomeration of different cell types involved in adapting to stress, like endothelial cells, smooth muscle cells, and pericytes. This adaption to stress is subdivided in three phases—initiation, growth, and the maturation phase. In fields of endovascular aortic aneurysm repair, pre-operative selective segmental artery occlusion may enable the development of a sufficient collateral network by stimulating collateral vessel growth, which, again, may prevent spinal cord ischemia. Among others, the major signaling pathways include the phosphoinositide 3 kinase (PI3K) pathway/the antiapoptotic kinase (AKT) pathway/the endothelial nitric oxide synthase (eNOS) pathway, the Erk1, the delta-like ligand (DII), the jagged (Jag)/NOTCH pathway, and the midkine regulatory cytokine signaling pathways.","author":[{"dropping-particle":"","family":"Simon","given":"Florian","non-dropping-particle":"","parse-names":false,"suffix":""},{"dropping-particle":"","family":"Wagenhäuser","given":"Markus Udo","non-dropping-particle":"","parse-names":false,"suffix":""},{"dropping-particle":"","family":"Busch","given":"Albert","non-dropping-particle":"","parse-names":false,"suffix":""},{"dropping-particle":"","family":"Schelzig","given":"Hubert","non-dropping-particle":"","parse-names":false,"suffix":""},{"dropping-particle":"","family":"Gombert","given":"Alexander","non-dropping-particle":"","parse-names":false,"suffix":""}],"container-title":"Cells","id":"ITEM-2","issue":"2","issued":{"date-parts":[["2020"]]},"page":"501","title":"Arteriogenesis of the Spinal Cord—The Network Challenge","type":"article-journal","volume":"9"},"uris":["http://www.mendeley.com/documents/?uuid=93c937d5-351e-43ab-bfc4-3971a4e568ed"]},{"id":"ITEM-3","itemData":{"DOI":"10.1016/j.ejvs.2014.05.020","ISSN":"15322165","abstract":"Objective To report experience with the concept of temporary aneurysm sac perfusion (TASP) and second stage side branch completion to prevent severe spinal cord ischemia (SCI) after branched endovascular aortic repair (bEVAR) for thoracoabdominal aortic aneurysm (TAAA).\nMethods Patients were treated for TAAA with bEVAR between January 2009 and September 2012. TASP was performed by non-completion of side branches to one of the reno-visceral arteries, distal aortic or iliac extensions with secondary side branch completion. Primary endpoints of the study were overall technical success, side branch patency, perioperative mortality, and the rate of severe SCI.\nResults Eighty-three patients were treated for TAAA with branched aortic stent grafts with (n = 40) or without (n = 43) TASP. Overall technical success, including aneurysm exclusion, absence of persistent type I or III endoleak, TASP side branch patency, and secondary side branch completion was 35/40 (88%). Secondary TASP side branch completion was performed after a median of 48 days (range 1-370 days). The rate of early re-interventions for reno-visceral side branch complications was 8/283 (3%) and 6/83 (7%) for perioperative mortality, with three patients in both groups. Severe SCI or paraplegia was observed in 11/83 (13%) of the patients and reduced in the TASP group (2/40) compared with the non-TASP group (9/43; p =.03), especially in Crawford I-III aneurysms (1/29 vs. 7/24; p =.01). However, one TASP patient died 4 months after bEVAR during the TASP interval from suspected aorto-bronchial fistula.\nConclusion The concept of TASP after bEVAR for TAAA is feasible and seems to reduce the risk of SCI. Early side TASP branch completion within 4 weeks is recommended to reduce the risk of rupture, although, according to the individual clinical presentation, a longer TASP interval might improve neurological rehabilitation from SCI.","author":[{"dropping-particle":"","family":"Kasprzak","given":"P. M.","non-dropping-particle":"","parse-names":false,"suffix":""},{"dropping-particle":"","family":"Gallis","given":"K.","non-dropping-particle":"","parse-names":false,"suffix":""},{"dropping-particle":"","family":"Cucuruz","given":"B.","non-dropping-particle":"","parse-names":false,"suffix":""},{"dropping-particle":"","family":"Pfister","given":"K.","non-dropping-particle":"","parse-names":false,"suffix":""},{"dropping-particle":"","family":"Janotta","given":"M.","non-dropping-particle":"","parse-names":false,"suffix":""},{"dropping-particle":"","family":"Kopp","given":"R.","non-dropping-particle":"","parse-names":false,"suffix":""}],"container-title":"European Journal of Vascular and Endovascular Surgery","id":"ITEM-3","issue":"3","issued":{"date-parts":[["2014"]]},"page":"258-265","title":"Editor's choice - Temporary aneurysm sac perfusion as an adjunct for prevention of spinal cord ischemia after branched endovascular repair of thoracoabdominal aneurysms","type":"article-journal","volume":"48"},"uris":["http://www.mendeley.com/documents/?uuid=43890eae-9e19-4da1-a408-ce18f4773491"]},{"id":"ITEM-4","itemData":{"DOI":"10.1016/j.athoracsur.2005.04.027","ISSN":"00034975","abstract":"Background. Paraplegia is a recognized complication after endovascular stent repair of descending thoracic aortic aneurysms. A management algorithm employing neurologic assessment, somatosensory evoked potential monitoring, arterial pressure augmentation, and cerebrospinal fluid drainage evolved to decrease the risk of postoperative paraplegia. Methods. Patients in thoracic aortic aneurysm stent trials from 1999 to 2004 were analyzed for paraplegic complications. Lower extremity strength was assessed after anesthesia and in the intensive care unit. A loss of lower extremity somatosensory evoked potential or lower extremity strength was treated emergently to maintain a mean arterial pressure 90 mmHg or greater and a cerebrospinal fluid pressure 10 mm Hg or less. Results. Seventy-five patients (male = 49, female = 26, age = 75 ± 7.4 years) had descending thoracic aortic aneurysms repaired with endovascular stenting. Lumbar cerebrospinal fluid drainage (n = 23) and somatosensory evoked potential monitoring (n = 15) were performed selectively in patients with significant aneurysm extent or with prior abdominal aortic aneurysm repair (n = 17). Spinal cord ischemia occurred in 5 patients (6.6%); two had lower extremity somatosensory evoked potential loss after stent deployment and 4 developed delayed-onset paraplegia. Two had full recovery in response to arterial pressure augmentation alone. Two had full recovery and one had near-complete recovery in response to arterial pressure augmentation and cerebrospinal fluid drainage. Spinal cord ischemia was associated with retroperitoneal bleed (n = 1), prior abdominal aortic aneurysm repair (n = 2), iliac artery injury (n = 1), and atheroembolism (n = 1). Conclusions. Early detection and intervention to augment spinal cord perfusion pressure was effective for decreasing the magnitude of injury or preventing permanent paraplegia from spinal cord ischemia after endovascular stent repair of descending thoracic aortic aneurysm. Routine somatosensory evoked potential monitoring, serial neurologic assessment, arterial pressure augmentation, and cerebrospinal fluid drainage may benefit patients at risk for paraplegia. © 2005 by The Society of Thoracic Surgeons.","author":[{"dropping-particle":"","family":"Cheung","given":"Albert T.","non-dropping-particle":"","parse-names":false,"suffix":""},{"dropping-particle":"","family":"Pochettino","given":"Alberto","non-dropping-particle":"","parse-names":false,"suffix":""},{"dropping-particle":"","family":"McGarvey","given":"Michael L.","non-dropping-particle":"","parse-names":false,"suffix":""},{"dropping-particle":"","family":"Appoo","given":"Jehangir J.","non-dropping-particle":"","parse-names":false,"suffix":""},{"dropping-particle":"","family":"Fairman","given":"Ronald M.","non-dropping-particle":"","parse-names":false,"suffix":""},{"dropping-particle":"","family":"Carpenter","given":"Jeffrey P.","non-dropping-particle":"","parse-names":false,"suffix":""},{"dropping-particle":"","family":"Moser","given":"William G.","non-dropping-particle":"","parse-names":false,"suffix":""},{"dropping-particle":"","family":"Woo","given":"Edward Y.","non-dropping-particle":"","parse-names":false,"suffix":""},{"dropping-particle":"","family":"Bavaria","given":"Joseph E.","non-dropping-particle":"","parse-names":false,"suffix":""}],"container-title":"Annals of Thoracic Surgery","id":"ITEM-4","issue":"4","issued":{"date-parts":[["2005"]]},"page":"1280-1289","title":"Strategies to manage paraplegia risk after endovascular stent repair of descending thoracic aortic aneurysms","type":"article-journal","volume":"80"},"uris":["http://www.mendeley.com/documents/?uuid=1469668d-0d4e-43be-ae80-474b86f32152"]},{"id":"ITEM-5","itemData":{"DOI":"10.1016/j.ejvs.2018.02.002","ISSN":"15322165","abstract":"Introduction: The incidence of spinal cord ischaemia (SCI) and subsequent paraplegia after thoracic endovascular aneurysm repair (TEVAR) and thoraco-abdominal endovascular aneurysm repair is estimated to be between 2.5% and 8%. The aim of this review is to provide an overview of SCI preventive strategies in TEVAR and thoraco-abdominal repair and recommend an optimal strategy. Methods: Medline, Embase, and the Cochrane Library were searched for studies on TEVAR, thoraco-abdominal endovascular repair, and the use of SCI preventive measures. The review was reported according to the PRISMA statement. Results: The final analysis included 43 studies (7168 patients). All studies are cohort studies (non-comparative cohorts n = 37, comparative cohorts n = 6) and largely performed retrospectively (n = 27). The included studies had an average MINORS score of 9 (range 6–13) for non-comparative studies and 15.5 (range 12–18) for comparative studies. Transient SCI occurred in 5.7% (450/7,168, 95% CI 4.5–6.9%), permanent SCI in 2.2% (232/7,168, 95% CI 1.6–2.8%). There was a trend towards increased SCI incidence for more “high risk” cohorts. Avoidance of hypotension resulted in a slightly lower permanent SCI rate 1.8% (102/4216, 95% CI 1.2–2.3%) than the overall cohort. A very low SCI estimate (transient and permanent) was found in the subgroup of studies (2 studies, n = 248) using (mild) peri-operative hypothermia (transient SCI 0.8%, permanent SCI 0.4%). In the subgroup using temporary permissive endoleak, there was a transient SCI estimate (15.4%), with a permanent SCI estimate of 4.8%. The remaining preventive measures did not significantly impact transient or permanent SCI estimates. Conclusion: Low overall transient and permanent SCI rates are achieved during endovascular thoracic and thoraco-abdominal aortic repair. Based on the presented data, the use of selective spinal fluid drainage in high risk patients seems justified. Peri-operative hypotension should be avoided and treated where possible. The use of mild hypothermia is promising in small cohorts, but requires further evaluation. Further high quality data are essential to establish a definitive preventive strategy.","author":[{"dropping-particle":"","family":"Dijkstra","given":"Martijn L.","non-dropping-particle":"","parse-names":false,"suffix":""},{"dropping-particle":"","family":"Vainas","given":"Tryfon","non-dropping-particle":"","parse-names":false,"suffix":""},{"dropping-particle":"","family":"Zeebregts","given":"Clark J.","non-dropping-particle":"","parse-names":false,"suffix":""},{"dropping-particle":"","family":"Hooft","given":"Lotty","non-dropping-particle":"","parse-names":false,"suffix":""},{"dropping-particle":"","family":"Laan","given":"Maarten J.","non-dropping-particle":"van der","parse-names":false,"suffix":""}],"container-title":"European Journal of Vascular and Endovascular Surgery","id":"ITEM-5","issue":"6","issued":{"date-parts":[["2018"]]},"page":"829-841","publisher":"Elsevier Ltd","title":"Editor's Choice – Spinal Cord Ischaemia in Endovascular Thoracic and Thoraco-abdominal Aortic Repair: Review of Preventive Strategies","type":"article-journal","volume":"55"},"uris":["http://www.mendeley.com/documents/?uuid=c6fc200f-fd47-44ff-86a3-489958af0d83"]}],"mendeley":{"formattedCitation":"(Amabile et al., 2008; Cheung et al., 2005; Dijkstra et al., 2018; Kasprzak et al., 2014; Simon et al., 2020)","plainTextFormattedCitation":"(Amabile et al., 2008; Cheung et al., 2005; Dijkstra et al., 2018; Kasprzak et al., 2014; Simon et al., 2020)","previouslyFormattedCitation":"(Amabile et al., 2008; Cheung et al., 2005; Dijkstra et al., 2018; Kasprzak et al., 2014; Simon et al., 2020)"},"properties":{"noteIndex":0},"schema":"https://github.com/citation-style-language/schema/raw/master/csl-citation.json"}</w:instrText>
      </w:r>
      <w:r w:rsidR="001908C9" w:rsidRPr="003A1CA0">
        <w:rPr>
          <w:lang w:val="es-CR"/>
        </w:rPr>
        <w:fldChar w:fldCharType="separate"/>
      </w:r>
      <w:r w:rsidR="00FA7019" w:rsidRPr="00FA7019">
        <w:rPr>
          <w:noProof/>
          <w:lang w:val="es-CR"/>
        </w:rPr>
        <w:t>(Amabile et al., 2008; Cheung et al., 2005; Dijkstra et al., 2018; Kasprzak et al., 2014; Simon et al., 2020)</w:t>
      </w:r>
      <w:r w:rsidR="001908C9" w:rsidRPr="003A1CA0">
        <w:rPr>
          <w:lang w:val="es-CR"/>
        </w:rPr>
        <w:fldChar w:fldCharType="end"/>
      </w:r>
      <w:r w:rsidR="00377C09" w:rsidRPr="003A1CA0">
        <w:rPr>
          <w:lang w:val="es-CR"/>
        </w:rPr>
        <w:t>.</w:t>
      </w:r>
      <w:r w:rsidR="00EE4E51">
        <w:rPr>
          <w:lang w:val="es-CR"/>
        </w:rPr>
        <w:t xml:space="preserve"> En comparación, l</w:t>
      </w:r>
      <w:r w:rsidR="00427B4D" w:rsidRPr="003A1CA0">
        <w:rPr>
          <w:lang w:val="es-CR"/>
        </w:rPr>
        <w:t>a incidencia de</w:t>
      </w:r>
      <w:r w:rsidR="007877DD" w:rsidRPr="003A1CA0">
        <w:rPr>
          <w:lang w:val="es-CR"/>
        </w:rPr>
        <w:t xml:space="preserve"> la reparación abierta de aneurisma aórtico toracoabdominal (TAAA por sus siglas en </w:t>
      </w:r>
      <w:r w:rsidR="005D2446" w:rsidRPr="003A1CA0">
        <w:rPr>
          <w:lang w:val="es-CR"/>
        </w:rPr>
        <w:t>inglés</w:t>
      </w:r>
      <w:r w:rsidR="007877DD" w:rsidRPr="003A1CA0">
        <w:rPr>
          <w:lang w:val="es-CR"/>
        </w:rPr>
        <w:t>)</w:t>
      </w:r>
      <w:r w:rsidR="005D2446" w:rsidRPr="003A1CA0">
        <w:rPr>
          <w:lang w:val="es-CR"/>
        </w:rPr>
        <w:t xml:space="preserve"> </w:t>
      </w:r>
      <w:r w:rsidR="001908C9">
        <w:rPr>
          <w:lang w:val="es-CR"/>
        </w:rPr>
        <w:t>varía entre</w:t>
      </w:r>
      <w:r w:rsidR="005D2446" w:rsidRPr="003A1CA0">
        <w:rPr>
          <w:lang w:val="es-CR"/>
        </w:rPr>
        <w:t xml:space="preserve"> </w:t>
      </w:r>
      <w:r w:rsidR="00B55228" w:rsidRPr="003A1CA0">
        <w:rPr>
          <w:lang w:val="es-CR"/>
        </w:rPr>
        <w:t>2</w:t>
      </w:r>
      <w:r w:rsidR="001908C9">
        <w:rPr>
          <w:lang w:val="es-CR"/>
        </w:rPr>
        <w:t xml:space="preserve">% y </w:t>
      </w:r>
      <w:r w:rsidR="00B55228" w:rsidRPr="003A1CA0">
        <w:rPr>
          <w:lang w:val="es-CR"/>
        </w:rPr>
        <w:t>19</w:t>
      </w:r>
      <w:r w:rsidR="005D2446" w:rsidRPr="003A1CA0">
        <w:rPr>
          <w:lang w:val="es-CR"/>
        </w:rPr>
        <w:t>%</w:t>
      </w:r>
      <w:r w:rsidR="001A1B73">
        <w:rPr>
          <w:lang w:val="es-CR"/>
        </w:rPr>
        <w:t xml:space="preserve"> </w:t>
      </w:r>
      <w:r w:rsidR="001908C9" w:rsidRPr="003A1CA0">
        <w:rPr>
          <w:lang w:val="es-CR"/>
        </w:rPr>
        <w:fldChar w:fldCharType="begin" w:fldLock="1"/>
      </w:r>
      <w:r w:rsidR="001A1B73">
        <w:rPr>
          <w:lang w:val="es-CR"/>
        </w:rPr>
        <w:instrText>ADDIN CSL_CITATION {"citationItems":[{"id":"ITEM-1","itemData":{"DOI":"10.1016/j.ejvs.2007.11.005","ISSN":"10785884","abstract":"Objectives: Endovascular repair of descending thoracic aortic lesions is associated with a substantial risk of perioperative spinal cord ischaemia (SCI) which may lead to permanent paraplegia. We performed a retrospective analysis of our experience in the endovascular treatment of descending thoracic aortic lesions to define the incidence of SCI and to identify factors that contributed to its development. Methods: 67 consecutive patients underwent stent graft repair for descending thoracic aortic lesions including degenerative aneurysm (n = 19), type B dissection (acute n = 2, chronic n = 15), traumatic rupture (acute n = 14, chronic n = 4), penetrating aortic ulcer (n = 5), anastomotic false aneurysm (n = 4), mycotic aneurysm (n = 3) and embolic aortic lesion (n = 1) between June 2000 and June 2005. All procedures were performed with the patient under general anaesthesia and strict blood pressure monitoring. No patient had intra-operative monitoring of spinal evoked potential or cerebrospinal fluid (CSF) drainage to prevent SCI. Neurological evaluation was realized after recovery from general anaesthesia. Fifteen factors, including nature of aortic disease, length of aortic coverage, number of stent-grafts, coverage of the distal third of the thoracic aorta and subclavian artery coverage, were investigated as possible predictors of postoperative SCI. Results: Five patients (7.5%) had postoperative neurological deficits (immediate n = 2, delayed n = 3) referable to SCI. Univariate analysis showed that length of aortic coverage (p &lt; 0.001) and number of stent-grafts deployed (p = 0.02) were significant predictors of SCI. Multivariate logistic regression analysis showed that length of aortic coverage was the only independent significant predictor of SCI. ROC curve analysis revealed 205 mm of aortic length coverage as the threshold for increased risk of postoperative SCI (p = 0.001), with specificity and sensitivity of 95.2 and 80% respectively. Conclusion: In our study, length of aortic coverage is the only independent predictive factor of SCI after endovascular treatment with 205 mm as a threshold for increased risk. Hence, methods to prevent SCI, especially those aimed at restoration of an adequate spinal cord perfusion pressure, should be offered to patients requiring extensive coverage of the descending thoracic aorta. © 2007 European Society for Vascular Surgery.","author":[{"dropping-particle":"","family":"Amabile","given":"P.","non-dropping-particle":"","parse-names":false,"suffix":""},{"dropping-particle":"","family":"Grisoli","given":"D.","non-dropping-particle":"","parse-names":false,"suffix":""},{"dropping-particle":"","family":"Giorgi","given":"R.","non-dropping-particle":"","parse-names":false,"suffix":""},{"dropping-particle":"","family":"Bartoli","given":"J. M.","non-dropping-particle":"","parse-names":false,"suffix":""},{"dropping-particle":"","family":"Piquet","given":"P.","non-dropping-particle":"","parse-names":false,"suffix":""}],"container-title":"European Journal of Vascular and Endovascular Surgery","id":"ITEM-1","issue":"4","issued":{"date-parts":[["2008"]]},"page":"455-461","title":"Incidence and Determinants of Spinal Cord Ischaemia in Stent-graft Repair of the Thoracic Aorta","type":"article-journal","volume":"35"},"uris":["http://www.mendeley.com/documents/?uuid=e2e2acb8-99f6-4681-be19-f2f092a8c2b8"]},{"id":"ITEM-2","itemData":{"DOI":"10.3390/cells9020501","ISSN":"2073-4409","abstract":"Spinal cord ischemia (SCI) is a clinical complication following aortic repair that significantly impairs the quality and expectancy of life. Despite some strategies, like cerebrospinal fluid drainage, the occurrence of neurological symptoms, such as paraplegia and paraparesis, remains unpredictable. Beside the major blood supply through conduit arteries, a huge collateral network protects the central nervous system from ischemia—the paraspinous and the intraspinal compartment. The intraspinal arcades maintain perfusion pressure following a sudden inflow interruption, whereas the paraspinal system first needs to undergo arteriogenesis to ensure sufficient blood supply after an acute ischemic insult. The so-called steal phenomenon can even worsen the postoperative situation by causing the hypoperfusion of the spine when, shortly after thoracoabdominal aortic aneurysm (TAAA) surgery, muscles connected with the network divert blood and cause additional stress. Vessels are a conglomeration of different cell types involved in adapting to stress, like endothelial cells, smooth muscle cells, and pericytes. This adaption to stress is subdivided in three phases—initiation, growth, and the maturation phase. In fields of endovascular aortic aneurysm repair, pre-operative selective segmental artery occlusion may enable the development of a sufficient collateral network by stimulating collateral vessel growth, which, again, may prevent spinal cord ischemia. Among others, the major signaling pathways include the phosphoinositide 3 kinase (PI3K) pathway/the antiapoptotic kinase (AKT) pathway/the endothelial nitric oxide synthase (eNOS) pathway, the Erk1, the delta-like ligand (DII), the jagged (Jag)/NOTCH pathway, and the midkine regulatory cytokine signaling pathways.","author":[{"dropping-particle":"","family":"Simon","given":"Florian","non-dropping-particle":"","parse-names":false,"suffix":""},{"dropping-particle":"","family":"Wagenhäuser","given":"Markus Udo","non-dropping-particle":"","parse-names":false,"suffix":""},{"dropping-particle":"","family":"Busch","given":"Albert","non-dropping-particle":"","parse-names":false,"suffix":""},{"dropping-particle":"","family":"Schelzig","given":"Hubert","non-dropping-particle":"","parse-names":false,"suffix":""},{"dropping-particle":"","family":"Gombert","given":"Alexander","non-dropping-particle":"","parse-names":false,"suffix":""}],"container-title":"Cells","id":"ITEM-2","issue":"2","issued":{"date-parts":[["2020"]]},"page":"501","title":"Arteriogenesis of the Spinal Cord—The Network Challenge","type":"article-journal","volume":"9"},"uris":["http://www.mendeley.com/documents/?uuid=93c937d5-351e-43ab-bfc4-3971a4e568ed"]},{"id":"ITEM-3","itemData":{"DOI":"10.1016/j.ejvs.2014.05.020","ISSN":"15322165","abstract":"Objective To report experience with the concept of temporary aneurysm sac perfusion (TASP) and second stage side branch completion to prevent severe spinal cord ischemia (SCI) after branched endovascular aortic repair (bEVAR) for thoracoabdominal aortic aneurysm (TAAA).\nMethods Patients were treated for TAAA with bEVAR between January 2009 and September 2012. TASP was performed by non-completion of side branches to one of the reno-visceral arteries, distal aortic or iliac extensions with secondary side branch completion. Primary endpoints of the study were overall technical success, side branch patency, perioperative mortality, and the rate of severe SCI.\nResults Eighty-three patients were treated for TAAA with branched aortic stent grafts with (n = 40) or without (n = 43) TASP. Overall technical success, including aneurysm exclusion, absence of persistent type I or III endoleak, TASP side branch patency, and secondary side branch completion was 35/40 (88%). Secondary TASP side branch completion was performed after a median of 48 days (range 1-370 days). The rate of early re-interventions for reno-visceral side branch complications was 8/283 (3%) and 6/83 (7%) for perioperative mortality, with three patients in both groups. Severe SCI or paraplegia was observed in 11/83 (13%) of the patients and reduced in the TASP group (2/40) compared with the non-TASP group (9/43; p =.03), especially in Crawford I-III aneurysms (1/29 vs. 7/24; p =.01). However, one TASP patient died 4 months after bEVAR during the TASP interval from suspected aorto-bronchial fistula.\nConclusion The concept of TASP after bEVAR for TAAA is feasible and seems to reduce the risk of SCI. Early side TASP branch completion within 4 weeks is recommended to reduce the risk of rupture, although, according to the individual clinical presentation, a longer TASP interval might improve neurological rehabilitation from SCI.","author":[{"dropping-particle":"","family":"Kasprzak","given":"P. M.","non-dropping-particle":"","parse-names":false,"suffix":""},{"dropping-particle":"","family":"Gallis","given":"K.","non-dropping-particle":"","parse-names":false,"suffix":""},{"dropping-particle":"","family":"Cucuruz","given":"B.","non-dropping-particle":"","parse-names":false,"suffix":""},{"dropping-particle":"","family":"Pfister","given":"K.","non-dropping-particle":"","parse-names":false,"suffix":""},{"dropping-particle":"","family":"Janotta","given":"M.","non-dropping-particle":"","parse-names":false,"suffix":""},{"dropping-particle":"","family":"Kopp","given":"R.","non-dropping-particle":"","parse-names":false,"suffix":""}],"container-title":"European Journal of Vascular and Endovascular Surgery","id":"ITEM-3","issue":"3","issued":{"date-parts":[["2014"]]},"page":"258-265","title":"Editor's choice - Temporary aneurysm sac perfusion as an adjunct for prevention of spinal cord ischemia after branched endovascular repair of thoracoabdominal aneurysms","type":"article-journal","volume":"48"},"uris":["http://www.mendeley.com/documents/?uuid=43890eae-9e19-4da1-a408-ce18f4773491"]},{"id":"ITEM-4","itemData":{"DOI":"10.1016/j.athoracsur.2005.04.027","ISSN":"00034975","abstract":"Background. Paraplegia is a recognized complication after endovascular stent repair of descending thoracic aortic aneurysms. A management algorithm employing neurologic assessment, somatosensory evoked potential monitoring, arterial pressure augmentation, and cerebrospinal fluid drainage evolved to decrease the risk of postoperative paraplegia. Methods. Patients in thoracic aortic aneurysm stent trials from 1999 to 2004 were analyzed for paraplegic complications. Lower extremity strength was assessed after anesthesia and in the intensive care unit. A loss of lower extremity somatosensory evoked potential or lower extremity strength was treated emergently to maintain a mean arterial pressure 90 mmHg or greater and a cerebrospinal fluid pressure 10 mm Hg or less. Results. Seventy-five patients (male = 49, female = 26, age = 75 ± 7.4 years) had descending thoracic aortic aneurysms repaired with endovascular stenting. Lumbar cerebrospinal fluid drainage (n = 23) and somatosensory evoked potential monitoring (n = 15) were performed selectively in patients with significant aneurysm extent or with prior abdominal aortic aneurysm repair (n = 17). Spinal cord ischemia occurred in 5 patients (6.6%); two had lower extremity somatosensory evoked potential loss after stent deployment and 4 developed delayed-onset paraplegia. Two had full recovery in response to arterial pressure augmentation alone. Two had full recovery and one had near-complete recovery in response to arterial pressure augmentation and cerebrospinal fluid drainage. Spinal cord ischemia was associated with retroperitoneal bleed (n = 1), prior abdominal aortic aneurysm repair (n = 2), iliac artery injury (n = 1), and atheroembolism (n = 1). Conclusions. Early detection and intervention to augment spinal cord perfusion pressure was effective for decreasing the magnitude of injury or preventing permanent paraplegia from spinal cord ischemia after endovascular stent repair of descending thoracic aortic aneurysm. Routine somatosensory evoked potential monitoring, serial neurologic assessment, arterial pressure augmentation, and cerebrospinal fluid drainage may benefit patients at risk for paraplegia. © 2005 by The Society of Thoracic Surgeons.","author":[{"dropping-particle":"","family":"Cheung","given":"Albert T.","non-dropping-particle":"","parse-names":false,"suffix":""},{"dropping-particle":"","family":"Pochettino","given":"Alberto","non-dropping-particle":"","parse-names":false,"suffix":""},{"dropping-particle":"","family":"McGarvey","given":"Michael L.","non-dropping-particle":"","parse-names":false,"suffix":""},{"dropping-particle":"","family":"Appoo","given":"Jehangir J.","non-dropping-particle":"","parse-names":false,"suffix":""},{"dropping-particle":"","family":"Fairman","given":"Ronald M.","non-dropping-particle":"","parse-names":false,"suffix":""},{"dropping-particle":"","family":"Carpenter","given":"Jeffrey P.","non-dropping-particle":"","parse-names":false,"suffix":""},{"dropping-particle":"","family":"Moser","given":"William G.","non-dropping-particle":"","parse-names":false,"suffix":""},{"dropping-particle":"","family":"Woo","given":"Edward Y.","non-dropping-particle":"","parse-names":false,"suffix":""},{"dropping-particle":"","family":"Bavaria","given":"Joseph E.","non-dropping-particle":"","parse-names":false,"suffix":""}],"container-title":"Annals of Thoracic Surgery","id":"ITEM-4","issue":"4","issued":{"date-parts":[["2005"]]},"page":"1280-1289","title":"Strategies to manage paraplegia risk after endovascular stent repair of descending thoracic aortic aneurysms","type":"article-journal","volume":"80"},"uris":["http://www.mendeley.com/documents/?uuid=1469668d-0d4e-43be-ae80-474b86f32152"]},{"id":"ITEM-5","itemData":{"DOI":"10.1016/j.ejvs.2018.02.002","ISSN":"15322165","abstract":"Introduction: The incidence of spinal cord ischaemia (SCI) and subsequent paraplegia after thoracic endovascular aneurysm repair (TEVAR) and thoraco-abdominal endovascular aneurysm repair is estimated to be between 2.5% and 8%. The aim of this review is to provide an overview of SCI preventive strategies in TEVAR and thoraco-abdominal repair and recommend an optimal strategy. Methods: Medline, Embase, and the Cochrane Library were searched for studies on TEVAR, thoraco-abdominal endovascular repair, and the use of SCI preventive measures. The review was reported according to the PRISMA statement. Results: The final analysis included 43 studies (7168 patients). All studies are cohort studies (non-comparative cohorts n = 37, comparative cohorts n = 6) and largely performed retrospectively (n = 27). The included studies had an average MINORS score of 9 (range 6–13) for non-comparative studies and 15.5 (range 12–18) for comparative studies. Transient SCI occurred in 5.7% (450/7,168, 95% CI 4.5–6.9%), permanent SCI in 2.2% (232/7,168, 95% CI 1.6–2.8%). There was a trend towards increased SCI incidence for more “high risk” cohorts. Avoidance of hypotension resulted in a slightly lower permanent SCI rate 1.8% (102/4216, 95% CI 1.2–2.3%) than the overall cohort. A very low SCI estimate (transient and permanent) was found in the subgroup of studies (2 studies, n = 248) using (mild) peri-operative hypothermia (transient SCI 0.8%, permanent SCI 0.4%). In the subgroup using temporary permissive endoleak, there was a transient SCI estimate (15.4%), with a permanent SCI estimate of 4.8%. The remaining preventive measures did not significantly impact transient or permanent SCI estimates. Conclusion: Low overall transient and permanent SCI rates are achieved during endovascular thoracic and thoraco-abdominal aortic repair. Based on the presented data, the use of selective spinal fluid drainage in high risk patients seems justified. Peri-operative hypotension should be avoided and treated where possible. The use of mild hypothermia is promising in small cohorts, but requires further evaluation. Further high quality data are essential to establish a definitive preventive strategy.","author":[{"dropping-particle":"","family":"Dijkstra","given":"Martijn L.","non-dropping-particle":"","parse-names":false,"suffix":""},{"dropping-particle":"","family":"Vainas","given":"Tryfon","non-dropping-particle":"","parse-names":false,"suffix":""},{"dropping-particle":"","family":"Zeebregts","given":"Clark J.","non-dropping-particle":"","parse-names":false,"suffix":""},{"dropping-particle":"","family":"Hooft","given":"Lotty","non-dropping-particle":"","parse-names":false,"suffix":""},{"dropping-particle":"","family":"Laan","given":"Maarten J.","non-dropping-particle":"van der","parse-names":false,"suffix":""}],"container-title":"European Journal of Vascular and Endovascular Surgery","id":"ITEM-5","issue":"6","issued":{"date-parts":[["2018"]]},"page":"829-841","publisher":"Elsevier Ltd","title":"Editor's Choice – Spinal Cord Ischaemia in Endovascular Thoracic and Thoraco-abdominal Aortic Repair: Review of Preventive Strategies","type":"article-journal","volume":"55"},"uris":["http://www.mendeley.com/documents/?uuid=c6fc200f-fd47-44ff-86a3-489958af0d83"]}],"mendeley":{"formattedCitation":"(Amabile et al., 2008; Cheung et al., 2005; Dijkstra et al., 2018; Kasprzak et al., 2014; Simon et al., 2020)","plainTextFormattedCitation":"(Amabile et al., 2008; Cheung et al., 2005; Dijkstra et al., 2018; Kasprzak et al., 2014; Simon et al., 2020)","previouslyFormattedCitation":"(Amabile et al., 2008; Cheung et al., 2005; Dijkstra et al., 2018; Kasprzak et al., 2014; Simon et al., 2020)"},"properties":{"noteIndex":0},"schema":"https://github.com/citation-style-language/schema/raw/master/csl-citation.json"}</w:instrText>
      </w:r>
      <w:r w:rsidR="001908C9" w:rsidRPr="003A1CA0">
        <w:rPr>
          <w:lang w:val="es-CR"/>
        </w:rPr>
        <w:fldChar w:fldCharType="separate"/>
      </w:r>
      <w:r w:rsidR="00FA7019" w:rsidRPr="00FA7019">
        <w:rPr>
          <w:noProof/>
          <w:lang w:val="es-CR"/>
        </w:rPr>
        <w:t>(Amabile et al., 2008; Cheung et al., 2005; Dijkstra et al., 2018; Kasprzak et al., 2014; Simon et al., 2020)</w:t>
      </w:r>
      <w:r w:rsidR="001908C9" w:rsidRPr="003A1CA0">
        <w:rPr>
          <w:lang w:val="es-CR"/>
        </w:rPr>
        <w:fldChar w:fldCharType="end"/>
      </w:r>
      <w:r w:rsidR="001908C9">
        <w:rPr>
          <w:lang w:val="es-CR"/>
        </w:rPr>
        <w:t xml:space="preserve"> según la fuente consultada</w:t>
      </w:r>
      <w:r w:rsidR="005D2446" w:rsidRPr="003A1CA0">
        <w:rPr>
          <w:lang w:val="es-CR"/>
        </w:rPr>
        <w:t xml:space="preserve">; </w:t>
      </w:r>
      <w:r w:rsidR="00367401" w:rsidRPr="003A1CA0">
        <w:rPr>
          <w:lang w:val="es-CR"/>
        </w:rPr>
        <w:t xml:space="preserve">en </w:t>
      </w:r>
      <w:r w:rsidR="00377C09" w:rsidRPr="003A1CA0">
        <w:rPr>
          <w:lang w:val="es-CR"/>
        </w:rPr>
        <w:t xml:space="preserve">casos de </w:t>
      </w:r>
      <w:r w:rsidR="00367401" w:rsidRPr="003A1CA0">
        <w:rPr>
          <w:lang w:val="es-CR"/>
        </w:rPr>
        <w:t xml:space="preserve">reparaciones extensas </w:t>
      </w:r>
      <w:r w:rsidR="005D2446" w:rsidRPr="003A1CA0">
        <w:rPr>
          <w:lang w:val="es-CR"/>
        </w:rPr>
        <w:t>de</w:t>
      </w:r>
      <w:r w:rsidR="00367401" w:rsidRPr="003A1CA0">
        <w:rPr>
          <w:lang w:val="es-CR"/>
        </w:rPr>
        <w:t xml:space="preserve"> TAAA </w:t>
      </w:r>
      <w:r w:rsidR="006B63A1" w:rsidRPr="003A1CA0">
        <w:rPr>
          <w:lang w:val="es-CR"/>
        </w:rPr>
        <w:t xml:space="preserve">Crawford </w:t>
      </w:r>
      <w:r w:rsidR="00367401" w:rsidRPr="003A1CA0">
        <w:rPr>
          <w:lang w:val="es-CR"/>
        </w:rPr>
        <w:t xml:space="preserve">tipo II </w:t>
      </w:r>
      <w:r w:rsidR="005D2446" w:rsidRPr="003A1CA0">
        <w:rPr>
          <w:lang w:val="es-CR"/>
        </w:rPr>
        <w:t xml:space="preserve">la </w:t>
      </w:r>
      <w:r w:rsidR="00367401" w:rsidRPr="003A1CA0">
        <w:rPr>
          <w:lang w:val="es-CR"/>
        </w:rPr>
        <w:t xml:space="preserve">incidencia </w:t>
      </w:r>
      <w:r w:rsidR="005D2446" w:rsidRPr="003A1CA0">
        <w:rPr>
          <w:lang w:val="es-CR"/>
        </w:rPr>
        <w:t xml:space="preserve">puede </w:t>
      </w:r>
      <w:r w:rsidR="00367401" w:rsidRPr="003A1CA0">
        <w:rPr>
          <w:lang w:val="es-CR"/>
        </w:rPr>
        <w:t>aumenta</w:t>
      </w:r>
      <w:r w:rsidR="005D2446" w:rsidRPr="003A1CA0">
        <w:rPr>
          <w:lang w:val="es-CR"/>
        </w:rPr>
        <w:t xml:space="preserve">r </w:t>
      </w:r>
      <w:r w:rsidR="00367401" w:rsidRPr="003A1CA0">
        <w:rPr>
          <w:lang w:val="es-CR"/>
        </w:rPr>
        <w:t>hasta un 22</w:t>
      </w:r>
      <w:r w:rsidR="006045CF" w:rsidRPr="003A1CA0">
        <w:rPr>
          <w:lang w:val="es-CR"/>
        </w:rPr>
        <w:t>%</w:t>
      </w:r>
      <w:r w:rsidR="001A1B73">
        <w:rPr>
          <w:lang w:val="es-CR"/>
        </w:rPr>
        <w:t xml:space="preserve"> </w:t>
      </w:r>
      <w:r w:rsidR="00367401" w:rsidRPr="003A1CA0">
        <w:rPr>
          <w:lang w:val="es-CR"/>
        </w:rPr>
        <w:fldChar w:fldCharType="begin" w:fldLock="1"/>
      </w:r>
      <w:r w:rsidR="001A1B73">
        <w:rPr>
          <w:lang w:val="es-CR"/>
        </w:rPr>
        <w:instrText>ADDIN CSL_CITATION {"citationItems":[{"id":"ITEM-1","itemData":{"ISSN":"00219509","PMID":"26731537","abstract":"Despite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Surgery","id":"ITEM-1","issue":"2","issued":{"date-parts":[["2016"]]},"page":"191-201","title":"Spinal cord ischemia is multifactorial: What is the best protocol?","type":"article-journal","volume":"57"},"uris":["http://www.mendeley.com/documents/?uuid=0524e5a3-e7a6-44c1-b114-0a26090a5229"]},{"id":"ITEM-2","itemData":{"DOI":"10.12945/j.aorta.2015.14-045","ISSN":"2325-4637","abstract":"Based on a Presentation at the 2013 VEITH Symposium, November 19–23, 2013 (New York, NY, USA)Background: Spinal cord ischemia (SCI) is one of the most feared complications following the repair of thoraco- abdominal aortic aneurysms (TAAA). Endovascular repair of TAAA is now possible with branched stent grafts, but spinal cord ischaemia rates are still unacceptably high. A number of techniques have been utilized to reduce these levels, however, SCI remains a challenge to endovascular repair of TAAA. The use of sac perfusion branches aims to reduce the incidence of this catastrophic complication.Methods: A retrospective analysis of all patients undergoing branched endovascular aortic repair for all thoraco-abdominal aneurysms (TAAA) using custom made devices during January 2008 to August 2014. We describe a two staged technique in which perfusion of segmental vessels is maintained by a temporary endoleak through an open perfusion branch, incorporated within the branched stent graft, followed by a closure of this branch at a later date to complete exclusion of the aneurysm.Results: Forty-seven patients underwent TAAA repair. Twenty-five (53%) had a two-stage procedure using either a sac perfusion branch or a target vessel to perfuse the sac. Nine patients (19.15%) suffered some form of SCI with eight patients having temporary SCI (lasting less than 72 hours) and one patient having permanent SCI. Of eight patients that had temporary spinal cord ischemia, all had a perfusion strategy. There was one case of permanent SCI (2.13%).Conclusion: Sac perfusion branches provide a safe method for preventing SCI, however this needs to be used in conjunction with controlling MAP and CSF drainage.","author":[{"dropping-particle":"","family":"Jayia","given":"Parveen","non-dropping-particle":"","parse-names":false,"suffix":""},{"dropping-particle":"","family":"Constantinou","given":"Jason","non-dropping-particle":"","parse-names":false,"suffix":""},{"dropping-particle":"","family":"Hamilton","given":"Hamish","non-dropping-particle":"","parse-names":false,"suffix":""},{"dropping-particle":"","family":"Ivancev","given":"Krassi","non-dropping-particle":"","parse-names":false,"suffix":""}],"container-title":"Aorta","id":"ITEM-2","issue":"02","issued":{"date-parts":[["2015"]]},"page":"56-60","title":"Temporary Perfusion Branches to Decrease Spinal Cord Ischemia in the Endovascular Treatment of Thoraco-Abdominal Aortic Aneurysms","type":"article-journal","volume":"03"},"uris":["http://www.mendeley.com/documents/?uuid=7020fa33-dad5-470a-be42-c93c1b418e47"]},{"id":"ITEM-3","itemData":{"DOI":"10.1007/s00540-010-1044-9","ISSN":"09138668","abstract":"Purpose: Monitoring motor evoked potentials (MEPs) has been recognized as a highly reliable method to detect intraoperative spinal cord ischemia (SCI) in aortic repair. However, the data regarding the sensitivity and specificity of MEPs for predicting postoperative paraplegia are limited. We retrospectively assessed the value of intraoperative MEP amplitudes for predicting postoperative paraplegia. Methods: The medical records of 44 patients were reviewed. A train-of-five stimulation was delivered to C3-C4, and MEPs were recorded from the abductor pollicis brevis and the tibialis anterior muscles. The cutoff point for detecting SCI was set at 75% decrease of the baseline MEP. Receiver operating characteristic curves were applied at various cutoff points. Results: Three patients (6.8%) had postoperative paraplegia. The minimum MEP during surgery had 100% sensitivity and 64.9% specificity in predicting paraplegia, and the MEP at the end of surgery had 66.7% sensitivity and 78.0% specificity in predicting paraplegia: only 1 patient, who had borderline paraplegia (right monoparesis), showed a false-negative result. Receiver operating characteristic curves indicated that adequate cutoff points for the minimum MEP during surgery and for the MEP amplitude at the end of surgery were a 75-90% decrease and a 64-75% decrease of the baseline MEP, respectively. Conclusion: Monitoring MEPs had relatively high sensitivity and acceptable specificity, with the cutoff point set at 75% decrease of the baseline MEP, for predicting paraplegia and paraparesis. Because of the small sample in our study, further investigations would be necessary to investigate an adequate cutoff point that could predict postoperative paraplegia. © 2010 Japanese Society of Anesthesiologists.","author":[{"dropping-particle":"","family":"Horiuchi","given":"Toshinori","non-dropping-particle":"","parse-names":false,"suffix":""},{"dropping-particle":"","family":"Kawaguchi","given":"Masahiko","non-dropping-particle":"","parse-names":false,"suffix":""},{"dropping-particle":"","family":"Inoue","given":"Satoki","non-dropping-particle":"","parse-names":false,"suffix":""},{"dropping-particle":"","family":"Hayashi","given":"Hironobu","non-dropping-particle":"","parse-names":false,"suffix":""},{"dropping-particle":"","family":"Abe","given":"Ryuichi","non-dropping-particle":"","parse-names":false,"suffix":""},{"dropping-particle":"","family":"Tabayashi","given":"Nobuoki","non-dropping-particle":"","parse-names":false,"suffix":""},{"dropping-particle":"","family":"Taniguchi","given":"Shigeki","non-dropping-particle":"","parse-names":false,"suffix":""},{"dropping-particle":"","family":"Furuya","given":"Hitoshi","non-dropping-particle":"","parse-names":false,"suffix":""}],"container-title":"Journal of Anesthesia","id":"ITEM-3","issue":"1","issued":{"date-parts":[["2011"]]},"page":"18-28","title":"Assessment of intraoperative motor evoked potentials for predicting postoperative paraplegia in thoracic and thoracoabdominal aortic aneurysm repair","type":"article-journal","volume":"25"},"uris":["http://www.mendeley.com/documents/?uuid=4998d038-6e8d-4920-8de0-cdeba8a27d93"]}],"mendeley":{"formattedCitation":"(Horiuchi et al., 2011; Jayia et al., 2015; Germano Melissano et al., 2016)","plainTextFormattedCitation":"(Horiuchi et al., 2011; Jayia et al., 2015; Germano Melissano et al., 2016)","previouslyFormattedCitation":"(Horiuchi et al., 2011; Jayia et al., 2015; Germano Melissano et al., 2016)"},"properties":{"noteIndex":0},"schema":"https://github.com/citation-style-language/schema/raw/master/csl-citation.json"}</w:instrText>
      </w:r>
      <w:r w:rsidR="00367401" w:rsidRPr="003A1CA0">
        <w:rPr>
          <w:lang w:val="es-CR"/>
        </w:rPr>
        <w:fldChar w:fldCharType="separate"/>
      </w:r>
      <w:r w:rsidR="00FA7019" w:rsidRPr="00FA7019">
        <w:rPr>
          <w:noProof/>
          <w:lang w:val="es-CR"/>
        </w:rPr>
        <w:t>(Horiuchi et al., 2011; Jayia et al., 2015; Germano Melissano et al., 2016)</w:t>
      </w:r>
      <w:r w:rsidR="00367401" w:rsidRPr="003A1CA0">
        <w:rPr>
          <w:lang w:val="es-CR"/>
        </w:rPr>
        <w:fldChar w:fldCharType="end"/>
      </w:r>
      <w:r w:rsidR="00367401" w:rsidRPr="003A1CA0">
        <w:rPr>
          <w:lang w:val="es-CR"/>
        </w:rPr>
        <w:t>.</w:t>
      </w:r>
    </w:p>
    <w:p w14:paraId="3F3EA5CF" w14:textId="15060D54" w:rsidR="005254B7" w:rsidRPr="003A1CA0" w:rsidRDefault="00A063FC" w:rsidP="00BE5D6E">
      <w:pPr>
        <w:rPr>
          <w:lang w:val="es-CR"/>
        </w:rPr>
      </w:pPr>
      <w:r>
        <w:rPr>
          <w:lang w:val="es-CR"/>
        </w:rPr>
        <w:t>En un</w:t>
      </w:r>
      <w:r w:rsidR="005254B7" w:rsidRPr="003A1CA0">
        <w:rPr>
          <w:lang w:val="es-CR"/>
        </w:rPr>
        <w:t xml:space="preserve"> metaanálisis realizado en 2018 por el departamento de Cirugía Cardiovascular del Hospital </w:t>
      </w:r>
      <w:r w:rsidR="005A1463">
        <w:rPr>
          <w:lang w:val="es-CR"/>
        </w:rPr>
        <w:t>C</w:t>
      </w:r>
      <w:r w:rsidR="005254B7" w:rsidRPr="003A1CA0">
        <w:rPr>
          <w:lang w:val="es-CR"/>
        </w:rPr>
        <w:t>entral de Kurashiki en Okayama Japón</w:t>
      </w:r>
      <w:r w:rsidR="001908C9">
        <w:rPr>
          <w:lang w:val="es-CR"/>
        </w:rPr>
        <w:t xml:space="preserve"> </w:t>
      </w:r>
      <w:r>
        <w:rPr>
          <w:lang w:val="es-CR"/>
        </w:rPr>
        <w:t>d</w:t>
      </w:r>
      <w:r w:rsidR="005A1463">
        <w:rPr>
          <w:lang w:val="es-CR"/>
        </w:rPr>
        <w:t>o</w:t>
      </w:r>
      <w:r>
        <w:rPr>
          <w:lang w:val="es-CR"/>
        </w:rPr>
        <w:t xml:space="preserve">nde </w:t>
      </w:r>
      <w:r w:rsidR="001908C9">
        <w:rPr>
          <w:lang w:val="es-CR"/>
        </w:rPr>
        <w:t>se</w:t>
      </w:r>
      <w:r w:rsidR="005254B7" w:rsidRPr="003A1CA0">
        <w:rPr>
          <w:lang w:val="es-CR"/>
        </w:rPr>
        <w:t xml:space="preserve"> compara</w:t>
      </w:r>
      <w:r w:rsidR="001908C9">
        <w:rPr>
          <w:lang w:val="es-CR"/>
        </w:rPr>
        <w:t xml:space="preserve"> la incidencia de</w:t>
      </w:r>
      <w:r w:rsidR="005254B7" w:rsidRPr="003A1CA0">
        <w:rPr>
          <w:lang w:val="es-CR"/>
        </w:rPr>
        <w:t xml:space="preserve"> TEVAR con</w:t>
      </w:r>
      <w:r w:rsidR="001908C9">
        <w:rPr>
          <w:lang w:val="es-CR"/>
        </w:rPr>
        <w:t xml:space="preserve"> la de</w:t>
      </w:r>
      <w:r w:rsidR="005254B7" w:rsidRPr="003A1CA0">
        <w:rPr>
          <w:lang w:val="es-CR"/>
        </w:rPr>
        <w:t xml:space="preserve"> cirugía abierta de TAAA</w:t>
      </w:r>
      <w:r>
        <w:rPr>
          <w:lang w:val="es-CR"/>
        </w:rPr>
        <w:t>, se determinó</w:t>
      </w:r>
      <w:r w:rsidR="001908C9">
        <w:rPr>
          <w:lang w:val="es-CR"/>
        </w:rPr>
        <w:t xml:space="preserve"> </w:t>
      </w:r>
      <w:r w:rsidR="005254B7" w:rsidRPr="003A1CA0">
        <w:rPr>
          <w:lang w:val="es-CR"/>
        </w:rPr>
        <w:lastRenderedPageBreak/>
        <w:t>que la incidencia de SCI posterior a la reparación abierta de TAAA era de un 8.2% comparado con un 3.4% de TEVAR</w:t>
      </w:r>
      <w:r w:rsidR="001A1B73">
        <w:rPr>
          <w:lang w:val="es-CR"/>
        </w:rPr>
        <w:t xml:space="preserve"> </w:t>
      </w:r>
      <w:r w:rsidR="006045CF" w:rsidRPr="003A1CA0">
        <w:rPr>
          <w:lang w:val="es-CR"/>
        </w:rPr>
        <w:fldChar w:fldCharType="begin" w:fldLock="1"/>
      </w:r>
      <w:r w:rsidR="001A1B73">
        <w:rPr>
          <w:lang w:val="es-CR"/>
        </w:rPr>
        <w:instrText>ADDIN CSL_CITATION {"citationItems":[{"id":"ITEM-1","itemData":{"DOI":"10.1093/icvts/ivy037","ISBN":"8186422021","ISSN":"15699285","abstract":"OBJECTIVES: Spinal cord ischaemia (SCI) is a serious complication of thoracic endovascular aortic repair (TEVAR). The purpose of this study was to assess the incidence, risk factors, clinical manifestations of SCI after TEVAR and which type of patients could benefit from cerebrospinal fluid drainage. METHODS: A retrospective review was conducted for 175 patients who underwent TEVAR from January 2008 to July 2014. All patients were divided into groups with and without SCI, and they were compared to identify significant risk factors for SCI. RESULTS: The incidence of SCI after TEVAR including paraplegia and paraparesis was 6.9%. SCI usually occurred within 24 h, but delayed SCI was observed after 5 days in 1 patient. In all patients with SCI, we tried to increase the blood pressure to improve spinal perfusion. Three patients recovered completely, and the 6 patients with some remaining neurological deficit included 3 with motion against gravity and bladder dysfunction and the 3 remaining patients with only bladder dysfunction. Three patients did not recover. In our study, significant risk factors for SCI were as follows: rupture, shaggy aorta, chronic obstructive pulmonary disease, 1-stage procedure, the coverage of more than 9 segments, the coverage from Th8 to Th12, minimum of postoperative haemoglobin and the number of postoperative patent segmental arteries. CONCLUSIONS: Sufficient perioperative care should be given to high-risk patients who have endografts that cover more than 9 segments and endografts that cover segments from Th8 to Th12. Adequate haemoglobin levels and mean arterial pressure are needed to provide sufficient spinal cord perfusion.","author":[{"dropping-particle":"","family":"Hiraoka","given":"Toshifumi","non-dropping-particle":"","parse-names":false,"suffix":""},{"dropping-particle":"","family":"Komiya","given":"Tatsuhiko","non-dropping-particle":"","parse-names":false,"suffix":""},{"dropping-particle":"","family":"Tsuneyoshi","given":"Hiroshi","non-dropping-particle":"","parse-names":false,"suffix":""},{"dropping-particle":"","family":"Shimamoto","given":"Takeshi","non-dropping-particle":"","parse-names":false,"suffix":""}],"container-title":"Interactive Cardiovascular and Thoracic Surgery","id":"ITEM-1","issue":"1","issued":{"date-parts":[["2018"]]},"page":"54-59","title":"Risk factors for spinal cord ischaemia after thoracic endovascular aortic repair","type":"article-journal","volume":"27"},"uris":["http://www.mendeley.com/documents/?uuid=745990c2-ade0-430b-843d-31f1887df5ec"]}],"mendeley":{"formattedCitation":"(Hiraoka et al., 2018)","plainTextFormattedCitation":"(Hiraoka et al., 2018)","previouslyFormattedCitation":"(Hiraoka et al., 2018)"},"properties":{"noteIndex":0},"schema":"https://github.com/citation-style-language/schema/raw/master/csl-citation.json"}</w:instrText>
      </w:r>
      <w:r w:rsidR="006045CF" w:rsidRPr="003A1CA0">
        <w:rPr>
          <w:lang w:val="es-CR"/>
        </w:rPr>
        <w:fldChar w:fldCharType="separate"/>
      </w:r>
      <w:r w:rsidR="00FA7019" w:rsidRPr="00FA7019">
        <w:rPr>
          <w:noProof/>
          <w:lang w:val="es-CR"/>
        </w:rPr>
        <w:t>(Hiraoka et al., 2018)</w:t>
      </w:r>
      <w:r w:rsidR="006045CF" w:rsidRPr="003A1CA0">
        <w:rPr>
          <w:lang w:val="es-CR"/>
        </w:rPr>
        <w:fldChar w:fldCharType="end"/>
      </w:r>
      <w:r w:rsidR="006045CF" w:rsidRPr="003A1CA0">
        <w:rPr>
          <w:lang w:val="es-CR"/>
        </w:rPr>
        <w:t>.</w:t>
      </w:r>
    </w:p>
    <w:p w14:paraId="6777EB38" w14:textId="243A1966" w:rsidR="00E15DAA" w:rsidRPr="003A1CA0" w:rsidRDefault="005D2446" w:rsidP="00BE5D6E">
      <w:pPr>
        <w:rPr>
          <w:lang w:val="es-CR"/>
        </w:rPr>
      </w:pPr>
      <w:r w:rsidRPr="003A1CA0">
        <w:rPr>
          <w:lang w:val="es-CR"/>
        </w:rPr>
        <w:t>Afortunadamente en la actualidad la SCI es una complicación rar</w:t>
      </w:r>
      <w:r w:rsidR="003A1CA0">
        <w:rPr>
          <w:lang w:val="es-CR"/>
        </w:rPr>
        <w:t>a</w:t>
      </w:r>
      <w:r w:rsidR="003C51C0" w:rsidRPr="003A1CA0">
        <w:rPr>
          <w:lang w:val="es-CR"/>
        </w:rPr>
        <w:t>.</w:t>
      </w:r>
      <w:r w:rsidRPr="003A1CA0">
        <w:rPr>
          <w:lang w:val="es-CR"/>
        </w:rPr>
        <w:t xml:space="preserve"> En la última década </w:t>
      </w:r>
      <w:r w:rsidR="002F570F" w:rsidRPr="003A1CA0">
        <w:rPr>
          <w:lang w:val="es-CR"/>
        </w:rPr>
        <w:t>EVAR</w:t>
      </w:r>
      <w:r w:rsidRPr="003A1CA0">
        <w:rPr>
          <w:lang w:val="es-CR"/>
        </w:rPr>
        <w:t xml:space="preserve"> se ha convertido en el pilar del tratamiento de patología aórtic</w:t>
      </w:r>
      <w:r w:rsidR="003A1CA0">
        <w:rPr>
          <w:lang w:val="es-CR"/>
        </w:rPr>
        <w:t>a</w:t>
      </w:r>
      <w:r w:rsidR="001908C9">
        <w:rPr>
          <w:lang w:val="es-CR"/>
        </w:rPr>
        <w:t xml:space="preserve">, además se han establecido procesos estandarizados y </w:t>
      </w:r>
      <w:r w:rsidR="001908C9" w:rsidRPr="003A1CA0">
        <w:rPr>
          <w:lang w:val="es-CR"/>
        </w:rPr>
        <w:t>protocolos multimodales transoperatorios diseñados para proteger y aumentar la perfusión espinal</w:t>
      </w:r>
      <w:r w:rsidR="001A1B73">
        <w:rPr>
          <w:lang w:val="es-CR"/>
        </w:rPr>
        <w:t xml:space="preserve"> </w:t>
      </w:r>
      <w:r w:rsidR="001908C9" w:rsidRPr="003A1CA0">
        <w:rPr>
          <w:lang w:val="es-CR"/>
        </w:rPr>
        <w:fldChar w:fldCharType="begin" w:fldLock="1"/>
      </w:r>
      <w:r w:rsidR="001A1B73">
        <w:rPr>
          <w:lang w:val="es-CR"/>
        </w:rPr>
        <w:instrText>ADDIN CSL_CITATION {"citationItems":[{"id":"ITEM-1","itemData":{"DOI":"10.1016/j.jvs.2012.12.032","ISSN":"10976809","PMID":"23490292","abstract":"Objective: Paraparesis and paraplegia after thoracic endovascular aneurysm repair (TEVAR) is a greatly feared complication. Multiple case series report this risk up to 13% with no, or inconsistent, application of interventions to enhance and protect spinal cord perfusion. In this study, we report our single-institution experience of TEVAR, using the same proactive spinal cord ischemia protection protocol we use for open repair. Methods: Endovascular thoracic aortic interventions were performed for both on-label (aneurysm) and off-label (trauma, other) indications. Aortic area covered was recorded as a fraction from the subclavian to celiac origins and reported as a percentage. If debranching was required, measurements were taken from the most distal arch vessel left intact. Intraoperative imaging and postoperative computed tomographic angiogram were used in calculating aortic percent coverage. Outcomes were recorded in a clinical database and analyzed retrospectively. The spinal cord ischemia protection included routine spinal drainage (spinal fluid pressure &lt;10 mm Hg), endorphin receptor blockade (naloxone infusion), moderate intraoperative hypothermia (&lt;35°C), hypotension avoidance (mean arterial pressure &gt;90 mm Hg), and optimizing cardiac function. Results: From 2005 to 2012, 94 consecutive TEVARs were studied. Indications were thoracic aneurysm (n [ 48), plaque rupture with or without dissection (n [23), trauma (n[ 15), and other (n[ 8). Forty-nine percent were acute, average age was 68.5 years, 60% (n[ 56) were male, and the mean follow-up was 12 months. Mean length of aortic coverage was 161 mm, correlating to 59.4% aortic coverage. One patient had delayed paralysis (1.1%; observed/expected ratio, 0.12) and recovered enough to ambulate easily without assistance. Other complications included wound (7.5%), stroke (4.3%), myocardial infarct (4.3%), and renal failure (1.1%). Conclusions: Proactive spinal cord protective protocols appear to reduce the incidence of spinal ischemia after TEVAR compared with historical series. This study would suggest that active, as opposed to reactive, approaches to spinal ischemia portend a better long-term outcome. Multimodal protection is essential, especially if long segment coverage is planned. Copyright © 2013 by the Society for Vascular Surgery.","author":[{"dropping-particle":"","family":"Bobadilla","given":"Joseph L.","non-dropping-particle":"","parse-names":false,"suffix":""},{"dropping-particle":"","family":"Wynn","given":"Martha","non-dropping-particle":"","parse-names":false,"suffix":""},{"dropping-particle":"","family":"Tefera","given":"Girma","non-dropping-particle":"","parse-names":false,"suffix":""},{"dropping-particle":"","family":"Acher","given":"C. W.","non-dropping-particle":"","parse-names":false,"suffix":""}],"container-title":"Journal of Vascular Surgery","id":"ITEM-1","issue":"6","issued":{"date-parts":[["2013"]]},"page":"1537-1542","publisher":"Elsevier Inc.","title":"Low incidence of paraplegia after thoracic endovascular aneurysm repair with proactive spinal cord protective protocols","type":"article-journal","volume":"57"},"uris":["http://www.mendeley.com/documents/?uuid=f5971075-2e9c-4152-babb-bd16f81d8c60"]},{"id":"ITEM-2","itemData":{"DOI":"10.1177/1708538116671235","ISSN":"1708539X","abstract":"Spinal cord ischemia remains the Achilles’ heel of thoracic and thoracoabdominal diseases management. Great improvements in morbidity and mortality have been obtained with the endovascular approach TEVAR (Thoracic Endovascular Aortic Repair) but this devastating complication continues to severely affect the quality of life, even if the primary success of the procedure – dissection/aneurysm exclusion – has been achieved. Several strategies to deal with this complication have been published in the literature over the time. Knowledge and technology have been evolving from identification of the risk factors associated with spinal cord ischemia, including lessons learned from open surgery, and from developments in the collateral network concept for spinal cord perfusion. In this comprehensive review, the authors cover several topics from the traditional measures comprising haemodynamic control, cerebrospinal drainage and neuroprotective drugs, to the staged-procedures approach, the emerging MISACE (minimally invasive selective segmental artery coil-embolization) and innovative neurologic monitoring such as NIRS (near-infrared spectroscopy) of the collateral network.","author":[{"dropping-particle":"","family":"Dias-Neto","given":"Marina","non-dropping-particle":"","parse-names":false,"suffix":""},{"dropping-particle":"","family":"Reis","given":"Pedro Videira","non-dropping-particle":"","parse-names":false,"suffix":""},{"dropping-particle":"","family":"Rolim","given":"Dalila","non-dropping-particle":"","parse-names":false,"suffix":""},{"dropping-particle":"","family":"Ramos","given":"José Fernando","non-dropping-particle":"","parse-names":false,"suffix":""},{"dropping-particle":"","family":"Teixeira","given":"José Fernando","non-dropping-particle":"","parse-names":false,"suffix":""},{"dropping-particle":"","family":"Sampaio","given":"Sérgio","non-dropping-particle":"","parse-names":false,"suffix":""}],"container-title":"Vascular","id":"ITEM-2","issue":"3","issued":{"date-parts":[["2017"]]},"page":"307-315","title":"Strategies to prevent TEVAR-related spinal cord ischemia","type":"article-journal","volume":"25"},"uris":["http://www.mendeley.com/documents/?uuid=605f23e0-590d-4d60-9f1e-517c8e32e4ff"]}],"mendeley":{"formattedCitation":"(Bobadilla et al., 2013; Dias-Neto et al., 2017)","plainTextFormattedCitation":"(Bobadilla et al., 2013; Dias-Neto et al., 2017)","previouslyFormattedCitation":"(Bobadilla et al., 2013; Dias-Neto et al., 2017)"},"properties":{"noteIndex":0},"schema":"https://github.com/citation-style-language/schema/raw/master/csl-citation.json"}</w:instrText>
      </w:r>
      <w:r w:rsidR="001908C9" w:rsidRPr="003A1CA0">
        <w:rPr>
          <w:lang w:val="es-CR"/>
        </w:rPr>
        <w:fldChar w:fldCharType="separate"/>
      </w:r>
      <w:r w:rsidR="00FA7019" w:rsidRPr="00FA7019">
        <w:rPr>
          <w:noProof/>
          <w:lang w:val="es-CR"/>
        </w:rPr>
        <w:t>(Bobadilla et al., 2013; Dias-Neto et al., 2017)</w:t>
      </w:r>
      <w:r w:rsidR="001908C9" w:rsidRPr="003A1CA0">
        <w:rPr>
          <w:lang w:val="es-CR"/>
        </w:rPr>
        <w:fldChar w:fldCharType="end"/>
      </w:r>
      <w:r w:rsidR="001908C9">
        <w:rPr>
          <w:lang w:val="es-CR"/>
        </w:rPr>
        <w:t xml:space="preserve"> que han logrado disminuir con su respectiva implementación l</w:t>
      </w:r>
      <w:r w:rsidR="00E15DAA" w:rsidRPr="003A1CA0">
        <w:rPr>
          <w:lang w:val="es-CR"/>
        </w:rPr>
        <w:t>a incidencia cercana a un 0%</w:t>
      </w:r>
      <w:r w:rsidR="005A501E" w:rsidRPr="003A1CA0">
        <w:rPr>
          <w:lang w:val="es-CR"/>
        </w:rPr>
        <w:t>-1%</w:t>
      </w:r>
      <w:r w:rsidR="001908C9">
        <w:rPr>
          <w:lang w:val="es-CR"/>
        </w:rPr>
        <w:t>.</w:t>
      </w:r>
    </w:p>
    <w:p w14:paraId="3B98DD48" w14:textId="258F68FF" w:rsidR="00CC0605" w:rsidRPr="003A1CA0" w:rsidRDefault="0073356A" w:rsidP="00BE5D6E">
      <w:pPr>
        <w:rPr>
          <w:lang w:val="es-CR"/>
        </w:rPr>
      </w:pPr>
      <w:r>
        <w:rPr>
          <w:lang w:val="es-CR"/>
        </w:rPr>
        <w:t>P</w:t>
      </w:r>
      <w:r w:rsidR="005D2446" w:rsidRPr="003A1CA0">
        <w:rPr>
          <w:lang w:val="es-CR"/>
        </w:rPr>
        <w:t xml:space="preserve">acientes que sufren SCI </w:t>
      </w:r>
      <w:r w:rsidR="002F570F" w:rsidRPr="003A1CA0">
        <w:rPr>
          <w:lang w:val="es-CR"/>
        </w:rPr>
        <w:t xml:space="preserve">con parálisis flácida tienen una </w:t>
      </w:r>
      <w:r w:rsidR="005D2446" w:rsidRPr="003A1CA0">
        <w:rPr>
          <w:lang w:val="es-CR"/>
        </w:rPr>
        <w:t xml:space="preserve">mortalidad a 5 años </w:t>
      </w:r>
      <w:r w:rsidR="002F570F" w:rsidRPr="003A1CA0">
        <w:rPr>
          <w:lang w:val="es-CR"/>
        </w:rPr>
        <w:t xml:space="preserve">que </w:t>
      </w:r>
      <w:r w:rsidR="005D2446" w:rsidRPr="003A1CA0">
        <w:rPr>
          <w:lang w:val="es-CR"/>
        </w:rPr>
        <w:t>alcanza casi un 100%</w:t>
      </w:r>
      <w:r w:rsidR="001A1B73">
        <w:rPr>
          <w:lang w:val="es-CR"/>
        </w:rPr>
        <w:t xml:space="preserve"> </w:t>
      </w:r>
      <w:r w:rsidR="006045CF" w:rsidRPr="003A1CA0">
        <w:rPr>
          <w:lang w:val="es-CR"/>
        </w:rPr>
        <w:fldChar w:fldCharType="begin" w:fldLock="1"/>
      </w:r>
      <w:r w:rsidR="001A1B73">
        <w:rPr>
          <w:lang w:val="es-CR"/>
        </w:rPr>
        <w:instrText>ADDIN CSL_CITATION {"citationItems":[{"id":"ITEM-1","itemData":{"DOI":"10.1093/ejcts/ezv142","ISBN":"4976127028","ISSN":"1873734X","PMID":"25991554","abstract":"Ischaemic spinal cord injury (SCI) remains the Achilles heel of open and endovascular descending thoracic and thoracoabdominal repair. Neurological outcomes have improved coincidentially with the introduction of neuroprotective measures. However, SCI (paraplegia and paraparesis) remains the most devastating complication. The aim of this position paper is to provide physicians with broad information regarding spinal cord blood supply, to share strategies for shortening intraprocedural spinal cord ischaemia and to increase spinal cord tolerance to transitory ischaemia through detection of ischaemia and augmentation of spinal cord blood perfusion. This study is meant to support physicians caring for patients in need of any kind of thoracic or thoracoabdominal aortic repair in decision-making algorithms in order to understand, prevent or reverse ischaemic SCI. Information has been extracted from focused publications available in the PubMed database, which are cohort studies, experimental research reports, case reports, reviews, short series and meta-analyses. Individual chapters of this position paper were assigned and after delivery harmonized by Christian D. Etz, Ernst Weigang and Martin Czerny. Consequently, further writing assignments were distributed within the group and delivered in August 2014. The final version was submitted to the EJCTS for review in September 2014.","author":[{"dropping-particle":"","family":"Etz","given":"Christian D.","non-dropping-particle":"","parse-names":false,"suffix":""},{"dropping-particle":"","family":"Weigang","given":"Ernst","non-dropping-particle":"","parse-names":false,"suffix":""},{"dropping-particle":"","family":"Hartert","given":"Marc","non-dropping-particle":"","parse-names":false,"suffix":""},{"dropping-particle":"","family":"Lonn","given":"Lars","non-dropping-particle":"","parse-names":false,"suffix":""},{"dropping-particle":"","family":"Mestres","given":"Carlos A.","non-dropping-particle":"","parse-names":false,"suffix":""},{"dropping-particle":"","family":"Bartolomeo","given":"Roberto","non-dropping-particle":"Di","parse-names":false,"suffix":""},{"dropping-particle":"","family":"Bachet","given":"Jean E.","non-dropping-particle":"","parse-names":false,"suffix":""},{"dropping-particle":"","family":"Carrel","given":"Thierry P.","non-dropping-particle":"","parse-names":false,"suffix":""},{"dropping-particle":"","family":"Grabenwöger","given":"Martin","non-dropping-particle":"","parse-names":false,"suffix":""},{"dropping-particle":"","family":"Schepens","given":"Marc A.A.M.","non-dropping-particle":"","parse-names":false,"suffix":""},{"dropping-particle":"","family":"Czerny","given":"Martin","non-dropping-particle":"","parse-names":false,"suffix":""}],"container-title":"European Journal of Cardio-thoracic Surgery","id":"ITEM-1","issue":"6","issued":{"date-parts":[["2015"]]},"page":"943-957","title":"Contemporary spinal cord protection during thoracic and thoracoabdominal aortic surgery and endovascular aortic repair: A position paper of the vascular domain of the European association for cardio-thoracic surgery","type":"article-journal","volume":"47"},"uris":["http://www.mendeley.com/documents/?uuid=2d35e3d1-095f-491a-8586-b3e74c6a3539"]}],"mendeley":{"formattedCitation":"(Etz et al., 2015)","plainTextFormattedCitation":"(Etz et al., 2015)","previouslyFormattedCitation":"(Etz et al., 2015)"},"properties":{"noteIndex":0},"schema":"https://github.com/citation-style-language/schema/raw/master/csl-citation.json"}</w:instrText>
      </w:r>
      <w:r w:rsidR="006045CF" w:rsidRPr="003A1CA0">
        <w:rPr>
          <w:lang w:val="es-CR"/>
        </w:rPr>
        <w:fldChar w:fldCharType="separate"/>
      </w:r>
      <w:r w:rsidR="00FA7019" w:rsidRPr="00FA7019">
        <w:rPr>
          <w:noProof/>
          <w:lang w:val="es-CR"/>
        </w:rPr>
        <w:t>(Etz et al., 2015)</w:t>
      </w:r>
      <w:r w:rsidR="006045CF" w:rsidRPr="003A1CA0">
        <w:rPr>
          <w:lang w:val="es-CR"/>
        </w:rPr>
        <w:fldChar w:fldCharType="end"/>
      </w:r>
      <w:r w:rsidR="005D2446" w:rsidRPr="003A1CA0">
        <w:rPr>
          <w:lang w:val="es-CR"/>
        </w:rPr>
        <w:t xml:space="preserve">. </w:t>
      </w:r>
      <w:r w:rsidR="00CC0605" w:rsidRPr="003A1CA0">
        <w:rPr>
          <w:lang w:val="es-CR"/>
        </w:rPr>
        <w:t xml:space="preserve">En cirujanos experimentados </w:t>
      </w:r>
      <w:r w:rsidR="00A063FC">
        <w:rPr>
          <w:lang w:val="es-CR"/>
        </w:rPr>
        <w:t>esta</w:t>
      </w:r>
      <w:r w:rsidR="00CC0605" w:rsidRPr="003A1CA0">
        <w:rPr>
          <w:lang w:val="es-CR"/>
        </w:rPr>
        <w:t xml:space="preserve"> mortalidad </w:t>
      </w:r>
      <w:r w:rsidR="0067391E" w:rsidRPr="003A1CA0">
        <w:rPr>
          <w:lang w:val="es-CR"/>
        </w:rPr>
        <w:t xml:space="preserve">intrahospitalaria </w:t>
      </w:r>
      <w:r w:rsidR="00CC0605" w:rsidRPr="003A1CA0">
        <w:rPr>
          <w:lang w:val="es-CR"/>
        </w:rPr>
        <w:t xml:space="preserve">a 30 </w:t>
      </w:r>
      <w:r w:rsidR="00155348" w:rsidRPr="003A1CA0">
        <w:rPr>
          <w:lang w:val="es-CR"/>
        </w:rPr>
        <w:t>días</w:t>
      </w:r>
      <w:r w:rsidR="00CC0605" w:rsidRPr="003A1CA0">
        <w:rPr>
          <w:lang w:val="es-CR"/>
        </w:rPr>
        <w:t xml:space="preserve"> </w:t>
      </w:r>
      <w:r w:rsidR="00155348" w:rsidRPr="003A1CA0">
        <w:rPr>
          <w:lang w:val="es-CR"/>
        </w:rPr>
        <w:t>varía</w:t>
      </w:r>
      <w:r w:rsidR="00CC0605" w:rsidRPr="003A1CA0">
        <w:rPr>
          <w:lang w:val="es-CR"/>
        </w:rPr>
        <w:t xml:space="preserve"> entre un 5% y 9%</w:t>
      </w:r>
      <w:r w:rsidR="005D2446" w:rsidRPr="003A1CA0">
        <w:rPr>
          <w:lang w:val="es-CR"/>
        </w:rPr>
        <w:t xml:space="preserve"> </w:t>
      </w:r>
      <w:r w:rsidR="0067391E" w:rsidRPr="003A1CA0">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id":"ITEM-2","itemData":{"DOI":"10.5772/19640","author":[{"dropping-particle":"","family":"Ohsawa","given":"Suguru","non-dropping-particle":"","parse-names":false,"suffix":""},{"dropping-particle":"","family":"Hirabayashi","given":"Shinji","non-dropping-particle":"","parse-names":false,"suffix":""}],"container-title":"Diagnosis, Screening and Treatment of Abdominal, Thoracoabdominal and Thoracic Aortic Aneurysms","edition":"1","editor":[{"dropping-particle":"","family":"Grundmann","given":"Reinhart","non-dropping-particle":"","parse-names":false,"suffix":""}],"id":"ITEM-2","issued":{"date-parts":[["2011"]]},"publisher":"InTech","publisher-place":"Kreiskliniken Reutlingen, Germany","title":"Rehabilitation for Spinal Cord Injury Caused by Thoracic Aortic Aneurysm","type":"book"},"uris":["http://www.mendeley.com/documents/?uuid=0f69b37e-1923-4af7-a60c-c4609b8c7379"]}],"mendeley":{"formattedCitation":"(Oderich, 2017; Ohsawa &amp; Hirabayashi, 2011)","plainTextFormattedCitation":"(Oderich, 2017; Ohsawa &amp; Hirabayashi, 2011)","previouslyFormattedCitation":"(Oderich, 2017; Ohsawa &amp; Hirabayashi, 2011)"},"properties":{"noteIndex":0},"schema":"https://github.com/citation-style-language/schema/raw/master/csl-citation.json"}</w:instrText>
      </w:r>
      <w:r w:rsidR="0067391E" w:rsidRPr="003A1CA0">
        <w:rPr>
          <w:lang w:val="es-CR"/>
        </w:rPr>
        <w:fldChar w:fldCharType="separate"/>
      </w:r>
      <w:r w:rsidR="0091486C" w:rsidRPr="0091486C">
        <w:rPr>
          <w:noProof/>
          <w:lang w:val="es-CR"/>
        </w:rPr>
        <w:t>(Oderich, 2017; Ohsawa &amp; Hirabayashi, 2011)</w:t>
      </w:r>
      <w:r w:rsidR="0067391E" w:rsidRPr="003A1CA0">
        <w:rPr>
          <w:lang w:val="es-CR"/>
        </w:rPr>
        <w:fldChar w:fldCharType="end"/>
      </w:r>
      <w:r w:rsidR="002F570F" w:rsidRPr="003A1CA0">
        <w:rPr>
          <w:lang w:val="es-CR"/>
        </w:rPr>
        <w:t>.</w:t>
      </w:r>
      <w:r w:rsidR="00B12870">
        <w:rPr>
          <w:lang w:val="es-CR"/>
        </w:rPr>
        <w:t xml:space="preserve"> </w:t>
      </w:r>
      <w:r w:rsidR="00427B4D" w:rsidRPr="003A1CA0">
        <w:rPr>
          <w:lang w:val="es-CR"/>
        </w:rPr>
        <w:t>U</w:t>
      </w:r>
      <w:r w:rsidR="0067391E" w:rsidRPr="003A1CA0">
        <w:rPr>
          <w:lang w:val="es-CR"/>
        </w:rPr>
        <w:t xml:space="preserve">n estudio realizado en 2008 reportó una mortalidad a 30 </w:t>
      </w:r>
      <w:r w:rsidR="00155348" w:rsidRPr="003A1CA0">
        <w:rPr>
          <w:lang w:val="es-CR"/>
        </w:rPr>
        <w:t>días</w:t>
      </w:r>
      <w:r w:rsidR="0067391E" w:rsidRPr="003A1CA0">
        <w:rPr>
          <w:lang w:val="es-CR"/>
        </w:rPr>
        <w:t xml:space="preserve"> por TEVAR </w:t>
      </w:r>
      <w:r w:rsidR="005D2446" w:rsidRPr="003A1CA0">
        <w:rPr>
          <w:lang w:val="es-CR"/>
        </w:rPr>
        <w:t>de</w:t>
      </w:r>
      <w:r w:rsidR="0067391E" w:rsidRPr="003A1CA0">
        <w:rPr>
          <w:lang w:val="es-CR"/>
        </w:rPr>
        <w:t xml:space="preserve"> 7.4%</w:t>
      </w:r>
      <w:r w:rsidR="001A1B73">
        <w:rPr>
          <w:lang w:val="es-CR"/>
        </w:rPr>
        <w:t xml:space="preserve"> </w:t>
      </w:r>
      <w:r w:rsidR="00B12870">
        <w:rPr>
          <w:lang w:val="es-CR"/>
        </w:rPr>
        <w:fldChar w:fldCharType="begin" w:fldLock="1"/>
      </w:r>
      <w:r w:rsidR="001A1B73">
        <w:rPr>
          <w:lang w:val="es-CR"/>
        </w:rPr>
        <w:instrText>ADDIN CSL_CITATION {"citationItems":[{"id":"ITEM-1","itemData":{"DOI":"10.1016/j.athoracsur.2008.09.022","ISSN":"00034975","abstract":"Background: Risk factors for spinal cord ischemia (SCI) after thoracic endovascular aneurysm repair (TEVAR) remain unclear. Aortic coverage was examined as a risk factor for SCI using quantitative three-dimensional computed tomography angiography (CTA) analysis. Methods: The medical records, radiographic imaging studies, and a prospectively maintained database of all TEVAR procedures performed during a 7-year period were retrospectively reviewed. Preoperative anatomic dimensions and postoperative graft path lengths were measured from CTAs using curved planar and orthogonal multiplanar reformations along centerline paths. SCI was defined as transient or permanent lower extremity neurologic deficit without associated intracerebral hemispheric events. Results: Of 326 TEVAR cases, 241 patients (74%) had satisfactory imaging. Thirty-three (10%) had SCI. These patients were older (72.7 ± 10.6 vs 64.7 ± 15.8 years, p = 0.005) and had longer intraoperative procedure times (137 ± 65 vs 113 ± 68 minutes, p = 0.05). Despite similar total lengths of native thoracic aorta (295.0 ± 36.3 vs 283.1 ± 39.8 mm, p = 0.17), patients with permanent SCI had a greater absolute (260.5 ± 40.9 vs 195.8 ± 81.6 mm, p = 0.002) and proportionate (88.8% ± 12.1% vs 67.6% ± 24.0%, p = 0.001) length of aortic coverage. The average length of uncovered aorta proximal to the celiac artery in patients with SCI was 17.3 ± 21.8 mm vs 63.1 ± 62.9 mm in patients without SCI (p = 0.0006). Neither the patency of the hypogastric arteries nor left subclavian artery was associated with SCI. Conclusions: The extent and distal location (relative to the celiac artery) of aortic coverage were associated with an increased risk of SCI. Prophylactic measures for spinal cord protection should be considered in patients whose thoracic aortas require extensive coverage. © 2008 The Society of Thoracic Surgeons.","author":[{"dropping-particle":"","family":"Feezor","given":"Robert J.","non-dropping-particle":"","parse-names":false,"suffix":""},{"dropping-particle":"","family":"Martin","given":"Tomas D.","non-dropping-particle":"","parse-names":false,"suffix":""},{"dropping-particle":"","family":"Hess","given":"Philip J.","non-dropping-particle":"","parse-names":false,"suffix":""},{"dropping-particle":"","family":"Daniels","given":"Michael J.","non-dropping-particle":"","parse-names":false,"suffix":""},{"dropping-particle":"","family":"Beaver","given":"Thomas M.","non-dropping-particle":"","parse-names":false,"suffix":""},{"dropping-particle":"","family":"Klodell","given":"Charles T.","non-dropping-particle":"","parse-names":false,"suffix":""},{"dropping-particle":"","family":"Lee","given":"W. Anthony","non-dropping-particle":"","parse-names":false,"suffix":""}],"container-title":"Annals of Thoracic Surgery","id":"ITEM-1","issue":"6","issued":{"date-parts":[["2008"]]},"page":"1809-1814","publisher":"The Society of Thoracic Surgeons","title":"Extent of Aortic Coverage and Incidence of Spinal Cord Ischemia After Thoracic Endovascular Aneurysm Repair","type":"article-journal","volume":"86"},"uris":["http://www.mendeley.com/documents/?uuid=16a32fe9-79c4-4e8f-9374-2fe8a2e4eaf8"]}],"mendeley":{"formattedCitation":"(Feezor et al., 2008)","plainTextFormattedCitation":"(Feezor et al., 2008)","previouslyFormattedCitation":"(Feezor et al., 2008)"},"properties":{"noteIndex":0},"schema":"https://github.com/citation-style-language/schema/raw/master/csl-citation.json"}</w:instrText>
      </w:r>
      <w:r w:rsidR="00B12870">
        <w:rPr>
          <w:lang w:val="es-CR"/>
        </w:rPr>
        <w:fldChar w:fldCharType="separate"/>
      </w:r>
      <w:r w:rsidR="00FA7019" w:rsidRPr="00FA7019">
        <w:rPr>
          <w:noProof/>
          <w:lang w:val="es-CR"/>
        </w:rPr>
        <w:t>(Feezor et al., 2008)</w:t>
      </w:r>
      <w:r w:rsidR="00B12870">
        <w:rPr>
          <w:lang w:val="es-CR"/>
        </w:rPr>
        <w:fldChar w:fldCharType="end"/>
      </w:r>
      <w:r w:rsidR="0067391E" w:rsidRPr="003A1CA0">
        <w:rPr>
          <w:lang w:val="es-CR"/>
        </w:rPr>
        <w:t xml:space="preserve">. </w:t>
      </w:r>
      <w:r w:rsidR="00155348" w:rsidRPr="003A1CA0">
        <w:rPr>
          <w:lang w:val="es-CR"/>
        </w:rPr>
        <w:t>La muerte intrahospitalaria se da comúnmente por isquemia mesentérica, fallo multiorgánico</w:t>
      </w:r>
      <w:r w:rsidR="005D2446" w:rsidRPr="003A1CA0">
        <w:rPr>
          <w:lang w:val="es-CR"/>
        </w:rPr>
        <w:t xml:space="preserve"> e</w:t>
      </w:r>
      <w:r w:rsidR="00155348" w:rsidRPr="003A1CA0">
        <w:rPr>
          <w:lang w:val="es-CR"/>
        </w:rPr>
        <w:t xml:space="preserve"> isquemia de miembros inferiores</w:t>
      </w:r>
      <w:r w:rsidR="00377C09" w:rsidRPr="003A1CA0">
        <w:rPr>
          <w:lang w:val="es-CR"/>
        </w:rPr>
        <w:t xml:space="preserve"> </w:t>
      </w:r>
      <w:r w:rsidR="00377C09" w:rsidRPr="003A1CA0">
        <w:rPr>
          <w:lang w:val="es-CR"/>
        </w:rPr>
        <w:fldChar w:fldCharType="begin" w:fldLock="1"/>
      </w:r>
      <w:r w:rsidR="0091486C">
        <w:rPr>
          <w:lang w:val="es-CR"/>
        </w:rPr>
        <w:instrText>ADDIN CSL_CITATION {"citationItems":[{"id":"ITEM-1","itemData":{"DOI":"10.12945/j.aorta.2015.14-045","ISSN":"2325-4637","abstract":"Based on a Presentation at the 2013 VEITH Symposium, November 19–23, 2013 (New York, NY, USA)Background: Spinal cord ischemia (SCI) is one of the most feared complications following the repair of thoraco- abdominal aortic aneurysms (TAAA). Endovascular repair of TAAA is now possible with branched stent grafts, but spinal cord ischaemia rates are still unacceptably high. A number of techniques have been utilized to reduce these levels, however, SCI remains a challenge to endovascular repair of TAAA. The use of sac perfusion branches aims to reduce the incidence of this catastrophic complication.Methods: A retrospective analysis of all patients undergoing branched endovascular aortic repair for all thoraco-abdominal aneurysms (TAAA) using custom made devices during January 2008 to August 2014. We describe a two staged technique in which perfusion of segmental vessels is maintained by a temporary endoleak through an open perfusion branch, incorporated within the branched stent graft, followed by a closure of this branch at a later date to complete exclusion of the aneurysm.Results: Forty-seven patients underwent TAAA repair. Twenty-five (53%) had a two-stage procedure using either a sac perfusion branch or a target vessel to perfuse the sac. Nine patients (19.15%) suffered some form of SCI with eight patients having temporary SCI (lasting less than 72 hours) and one patient having permanent SCI. Of eight patients that had temporary spinal cord ischemia, all had a perfusion strategy. There was one case of permanent SCI (2.13%).Conclusion: Sac perfusion branches provide a safe method for preventing SCI, however this needs to be used in conjunction with controlling MAP and CSF drainage.","author":[{"dropping-particle":"","family":"Jayia","given":"Parveen","non-dropping-particle":"","parse-names":false,"suffix":""},{"dropping-particle":"","family":"Constantinou","given":"Jason","non-dropping-particle":"","parse-names":false,"suffix":""},{"dropping-particle":"","family":"Hamilton","given":"Hamish","non-dropping-particle":"","parse-names":false,"suffix":""},{"dropping-particle":"","family":"Ivancev","given":"Krassi","non-dropping-particle":"","parse-names":false,"suffix":""}],"container-title":"Aorta","id":"ITEM-1","issue":"02","issued":{"date-parts":[["2015"]]},"page":"56-60","title":"Temporary Perfusion Branches to Decrease Spinal Cord Ischemia in the Endovascular Treatment of Thoraco-Abdominal Aortic Aneurysms","type":"article-journal","volume":"03"},"uris":["http://www.mendeley.com/documents/?uuid=7020fa33-dad5-470a-be42-c93c1b418e47"]},{"id":"ITEM-2","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S.","non-dropping-particle":"","parse-names":false,"suffix":""}],"id":"ITEM-2","issued":{"date-parts":[["2017"]]},"publisher":"Springer US","publisher-place":"Cham, Switzerland","title":"Endovascular Aortic Repair Current Techniques with Fenestrated, Branched and Parallel Stent-Grafts","type":"book"},"uris":["http://www.mendeley.com/documents/?uuid=000e0c0a-9f4e-4fa0-bb91-d903249e9bcf"]}],"mendeley":{"formattedCitation":"(Jayia et al., 2015; Oderich, 2017)","plainTextFormattedCitation":"(Jayia et al., 2015; Oderich, 2017)","previouslyFormattedCitation":"(Jayia et al., 2015; Oderich, 2017)"},"properties":{"noteIndex":0},"schema":"https://github.com/citation-style-language/schema/raw/master/csl-citation.json"}</w:instrText>
      </w:r>
      <w:r w:rsidR="00377C09" w:rsidRPr="003A1CA0">
        <w:rPr>
          <w:lang w:val="es-CR"/>
        </w:rPr>
        <w:fldChar w:fldCharType="separate"/>
      </w:r>
      <w:r w:rsidR="0091486C" w:rsidRPr="0091486C">
        <w:rPr>
          <w:noProof/>
          <w:lang w:val="es-CR"/>
        </w:rPr>
        <w:t>(Jayia et al., 2015; Oderich, 2017)</w:t>
      </w:r>
      <w:r w:rsidR="00377C09" w:rsidRPr="003A1CA0">
        <w:rPr>
          <w:lang w:val="es-CR"/>
        </w:rPr>
        <w:fldChar w:fldCharType="end"/>
      </w:r>
      <w:r w:rsidR="00B12870">
        <w:rPr>
          <w:lang w:val="es-CR"/>
        </w:rPr>
        <w:t>.</w:t>
      </w:r>
    </w:p>
    <w:p w14:paraId="58153979" w14:textId="2B32372D" w:rsidR="00E15DAA" w:rsidRPr="003A1CA0" w:rsidRDefault="0073356A" w:rsidP="00EB7E98">
      <w:pPr>
        <w:rPr>
          <w:lang w:val="es-CR"/>
        </w:rPr>
      </w:pPr>
      <w:r>
        <w:rPr>
          <w:lang w:val="es-CR"/>
        </w:rPr>
        <w:t>L</w:t>
      </w:r>
      <w:r w:rsidR="00E15DAA" w:rsidRPr="003A1CA0">
        <w:rPr>
          <w:lang w:val="es-CR"/>
        </w:rPr>
        <w:t xml:space="preserve">os factores </w:t>
      </w:r>
      <w:r>
        <w:rPr>
          <w:lang w:val="es-CR"/>
        </w:rPr>
        <w:t>e</w:t>
      </w:r>
      <w:r w:rsidRPr="0073356A">
        <w:rPr>
          <w:lang w:val="es-CR"/>
        </w:rPr>
        <w:t>tioló</w:t>
      </w:r>
      <w:r>
        <w:rPr>
          <w:lang w:val="es-CR"/>
        </w:rPr>
        <w:t>g</w:t>
      </w:r>
      <w:r w:rsidRPr="0073356A">
        <w:rPr>
          <w:lang w:val="es-CR"/>
        </w:rPr>
        <w:t>i</w:t>
      </w:r>
      <w:r>
        <w:rPr>
          <w:lang w:val="es-CR"/>
        </w:rPr>
        <w:t xml:space="preserve">cos de </w:t>
      </w:r>
      <w:r w:rsidR="00E15DAA" w:rsidRPr="003A1CA0">
        <w:rPr>
          <w:lang w:val="es-CR"/>
        </w:rPr>
        <w:t>SCI en</w:t>
      </w:r>
      <w:r w:rsidR="009F6A5F" w:rsidRPr="003A1CA0">
        <w:rPr>
          <w:lang w:val="es-CR"/>
        </w:rPr>
        <w:t xml:space="preserve"> </w:t>
      </w:r>
      <w:r w:rsidR="00E15DAA" w:rsidRPr="003A1CA0">
        <w:rPr>
          <w:lang w:val="es-CR"/>
        </w:rPr>
        <w:t>TEVAR y reparación abierta de TAAA</w:t>
      </w:r>
      <w:r w:rsidR="009F6A5F" w:rsidRPr="003A1CA0">
        <w:rPr>
          <w:lang w:val="es-CR"/>
        </w:rPr>
        <w:t>/AAA</w:t>
      </w:r>
      <w:r w:rsidR="00E15DAA" w:rsidRPr="003A1CA0">
        <w:rPr>
          <w:lang w:val="es-CR"/>
        </w:rPr>
        <w:t xml:space="preserve"> son</w:t>
      </w:r>
      <w:r>
        <w:rPr>
          <w:lang w:val="es-CR"/>
        </w:rPr>
        <w:t xml:space="preserve"> </w:t>
      </w:r>
      <w:r w:rsidRPr="0073356A">
        <w:rPr>
          <w:lang w:val="es-CR"/>
        </w:rPr>
        <w:t>multifactoriales</w:t>
      </w:r>
      <w:r>
        <w:rPr>
          <w:lang w:val="es-CR"/>
        </w:rPr>
        <w:t xml:space="preserve">, se menciona el </w:t>
      </w:r>
      <w:r w:rsidR="00E15DAA" w:rsidRPr="003A1CA0">
        <w:rPr>
          <w:lang w:val="es-CR"/>
        </w:rPr>
        <w:t>compromiso hemodinámico al abarcar segmentos aórticos amplios, colaterales arteriales insuficientes, hipotensión sistémica y embolización arterial</w:t>
      </w:r>
      <w:r w:rsidR="001A1B73">
        <w:rPr>
          <w:lang w:val="es-CR"/>
        </w:rPr>
        <w:t xml:space="preserve"> </w:t>
      </w:r>
      <w:r w:rsidR="006045CF" w:rsidRPr="003A1CA0">
        <w:rPr>
          <w:lang w:val="es-CR"/>
        </w:rPr>
        <w:fldChar w:fldCharType="begin" w:fldLock="1"/>
      </w:r>
      <w:r w:rsidR="00F01770">
        <w:rPr>
          <w:lang w:val="es-CR"/>
        </w:rPr>
        <w:instrText>ADDIN CSL_CITATION {"citationItems":[{"id":"ITEM-1","itemData":{"ISBN":"9788870516630","author":[{"dropping-particle":"","family":"Melissano","given":"Germano;","non-dropping-particle":"","parse-names":false,"suffix":""},{"dropping-particle":"","family":"Oderich","given":"Gustavo S;","non-dropping-particle":"","parse-names":false,"suffix":""},{"dropping-particle":"","family":"Chiesa","given":"Roberto","non-dropping-particle":"","parse-names":false,"suffix":""}],"edition":"1","editor":[{"dropping-particle":"","family":"Melissano","given":"Germano;","non-dropping-particle":"","parse-names":false,"suffix":""},{"dropping-particle":"","family":"Chiesa","given":"Roberto","non-dropping-particle":"","parse-names":false,"suffix":""}],"id":"ITEM-1","issued":{"date-parts":[["2018"]]},"publisher":"edi-ermes","publisher-place":"Milan, Italy","title":"Aortic Complexities","type":"book"},"label":"chapter","locator":"37","uris":["http://www.mendeley.com/documents/?uuid=d78c99f9-ca45-4f64-a363-9a15f76f8b54"]},{"id":"ITEM-2","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S.","non-dropping-particle":"","parse-names":false,"suffix":""}],"id":"ITEM-2","issued":{"date-parts":[["2017"]]},"publisher":"Springer US","publisher-place":"Cham, Switzerland","title":"Endovascular Aortic Repair Current Techniques with Fenestrated, Branched and Parallel Stent-Grafts","type":"book"},"uris":["http://www.mendeley.com/documents/?uuid=000e0c0a-9f4e-4fa0-bb91-d903249e9bcf"]}],"mendeley":{"formattedCitation":"(Germano; Melissano et al., 2018, Chapter 37; Oderich, 2017)","plainTextFormattedCitation":"(Germano; Melissano et al., 2018, Chapter 37; Oderich, 2017)","previouslyFormattedCitation":"(Germano; Melissano et al., 2018, Chapter 37; Oderich, 2017)"},"properties":{"noteIndex":0},"schema":"https://github.com/citation-style-language/schema/raw/master/csl-citation.json"}</w:instrText>
      </w:r>
      <w:r w:rsidR="006045CF" w:rsidRPr="003A1CA0">
        <w:rPr>
          <w:lang w:val="es-CR"/>
        </w:rPr>
        <w:fldChar w:fldCharType="separate"/>
      </w:r>
      <w:r w:rsidR="007771FE" w:rsidRPr="007771FE">
        <w:rPr>
          <w:noProof/>
          <w:lang w:val="es-CR"/>
        </w:rPr>
        <w:t>(Germano; Melissano et al., 2018, Chapter 37; Oderich, 2017)</w:t>
      </w:r>
      <w:r w:rsidR="006045CF" w:rsidRPr="003A1CA0">
        <w:rPr>
          <w:lang w:val="es-CR"/>
        </w:rPr>
        <w:fldChar w:fldCharType="end"/>
      </w:r>
      <w:r w:rsidR="005A1463">
        <w:rPr>
          <w:lang w:val="es-CR"/>
        </w:rPr>
        <w:t xml:space="preserve">, </w:t>
      </w:r>
      <w:r w:rsidR="00B12870">
        <w:rPr>
          <w:lang w:val="es-CR"/>
        </w:rPr>
        <w:t>así</w:t>
      </w:r>
      <w:r w:rsidR="005A1463">
        <w:rPr>
          <w:lang w:val="es-CR"/>
        </w:rPr>
        <w:t xml:space="preserve"> como edad y tiempo de fluoroscopía</w:t>
      </w:r>
      <w:r>
        <w:rPr>
          <w:lang w:val="es-CR"/>
        </w:rPr>
        <w:t xml:space="preserve"> como los principales desencadenantes</w:t>
      </w:r>
      <w:r w:rsidR="003C72C5" w:rsidRPr="003A1CA0">
        <w:rPr>
          <w:lang w:val="es-CR"/>
        </w:rPr>
        <w:t>.</w:t>
      </w:r>
    </w:p>
    <w:p w14:paraId="3446695E" w14:textId="77807D64" w:rsidR="00427B4D" w:rsidRPr="003A1CA0" w:rsidRDefault="0068398E" w:rsidP="0068398E">
      <w:pPr>
        <w:rPr>
          <w:lang w:val="es-CR"/>
        </w:rPr>
      </w:pPr>
      <w:r w:rsidRPr="003A1CA0">
        <w:rPr>
          <w:lang w:val="es-CR"/>
        </w:rPr>
        <w:lastRenderedPageBreak/>
        <w:t>C</w:t>
      </w:r>
      <w:r w:rsidR="00367401" w:rsidRPr="003A1CA0">
        <w:rPr>
          <w:lang w:val="es-CR"/>
        </w:rPr>
        <w:t>línicamente</w:t>
      </w:r>
      <w:r w:rsidRPr="003A1CA0">
        <w:rPr>
          <w:lang w:val="es-CR"/>
        </w:rPr>
        <w:t xml:space="preserve">, la SCI puede presentarse </w:t>
      </w:r>
      <w:r w:rsidR="00367401" w:rsidRPr="003A1CA0">
        <w:rPr>
          <w:lang w:val="es-CR"/>
        </w:rPr>
        <w:t xml:space="preserve">como un déficit neurológico </w:t>
      </w:r>
      <w:r w:rsidRPr="003A1CA0">
        <w:rPr>
          <w:lang w:val="es-CR"/>
        </w:rPr>
        <w:t>temprano o tardío.</w:t>
      </w:r>
      <w:r w:rsidR="00367401" w:rsidRPr="003A1CA0">
        <w:rPr>
          <w:lang w:val="es-CR"/>
        </w:rPr>
        <w:t xml:space="preserve"> L</w:t>
      </w:r>
      <w:r w:rsidR="0073356A">
        <w:rPr>
          <w:lang w:val="es-CR"/>
        </w:rPr>
        <w:t>a</w:t>
      </w:r>
      <w:r w:rsidRPr="003A1CA0">
        <w:rPr>
          <w:lang w:val="es-CR"/>
        </w:rPr>
        <w:t xml:space="preserve"> </w:t>
      </w:r>
      <w:r w:rsidR="0073356A" w:rsidRPr="003A1CA0">
        <w:rPr>
          <w:lang w:val="es-CR"/>
        </w:rPr>
        <w:t>pérdida</w:t>
      </w:r>
      <w:r w:rsidRPr="003A1CA0">
        <w:rPr>
          <w:lang w:val="es-CR"/>
        </w:rPr>
        <w:t xml:space="preserve"> sensorial, motora y disfunción vesical e intestinal</w:t>
      </w:r>
      <w:r w:rsidR="001A1B73">
        <w:rPr>
          <w:lang w:val="es-CR"/>
        </w:rPr>
        <w:t xml:space="preserve"> </w:t>
      </w:r>
      <w:r w:rsidRPr="003A1CA0">
        <w:rPr>
          <w:lang w:val="es-CR"/>
        </w:rPr>
        <w:fldChar w:fldCharType="begin" w:fldLock="1"/>
      </w:r>
      <w:r w:rsidR="001A1B73">
        <w:rPr>
          <w:lang w:val="es-CR"/>
        </w:rPr>
        <w:instrText>ADDIN CSL_CITATION {"citationItems":[{"id":"ITEM-1","itemData":{"DOI":"10.1155/2018/7042829","ISSN":"2090-6749","abstract":"Spinal cord infarction is an uncommon but devastating disorder caused by various conditions. Aortic dissection is a possible etiological factor and is usually associated with severe chest or back pain. We encountered two cases of spinal cord infarction associated with aortic dissection that presented without typical severe pain, and each case resulted in a different clinical course. Aortic dissection should be considered a cause of spinal cord infarction even if there is little or no pain. The different outcomes in our two patients reflected a difference in their initial functional scores.","author":[{"dropping-particle":"","family":"Kawabata","given":"Atsuyuki","non-dropping-particle":"","parse-names":false,"suffix":""},{"dropping-particle":"","family":"Tomori","given":"Masaki","non-dropping-particle":"","parse-names":false,"suffix":""},{"dropping-particle":"","family":"Arai","given":"Yoshiyasu","non-dropping-particle":"","parse-names":false,"suffix":""}],"container-title":"Case Reports in Orthopedics","id":"ITEM-1","issued":{"date-parts":[["2018"]]},"page":"1-4","title":"Spinal Cord Infarction with Aortic Dissection","type":"article-journal","volume":"2018"},"uris":["http://www.mendeley.com/documents/?uuid=47d84f25-a052-44d6-bab7-d89671589a88"]}],"mendeley":{"formattedCitation":"(Kawabata et al., 2018)","plainTextFormattedCitation":"(Kawabata et al., 2018)","previouslyFormattedCitation":"(Kawabata et al., 2018)"},"properties":{"noteIndex":0},"schema":"https://github.com/citation-style-language/schema/raw/master/csl-citation.json"}</w:instrText>
      </w:r>
      <w:r w:rsidRPr="003A1CA0">
        <w:rPr>
          <w:lang w:val="es-CR"/>
        </w:rPr>
        <w:fldChar w:fldCharType="separate"/>
      </w:r>
      <w:r w:rsidR="00FA7019" w:rsidRPr="00FA7019">
        <w:rPr>
          <w:noProof/>
          <w:lang w:val="es-CR"/>
        </w:rPr>
        <w:t>(Kawabata et al., 2018)</w:t>
      </w:r>
      <w:r w:rsidRPr="003A1CA0">
        <w:rPr>
          <w:lang w:val="es-CR"/>
        </w:rPr>
        <w:fldChar w:fldCharType="end"/>
      </w:r>
      <w:r w:rsidRPr="003A1CA0">
        <w:rPr>
          <w:lang w:val="es-CR"/>
        </w:rPr>
        <w:t xml:space="preserve">, manifestándose </w:t>
      </w:r>
      <w:r w:rsidR="00367401" w:rsidRPr="003A1CA0">
        <w:rPr>
          <w:lang w:val="es-CR"/>
        </w:rPr>
        <w:t>desde una paraplejia flácida completa hasta</w:t>
      </w:r>
      <w:r w:rsidR="00BB741C" w:rsidRPr="003A1CA0">
        <w:rPr>
          <w:lang w:val="es-CR"/>
        </w:rPr>
        <w:t xml:space="preserve"> parálisis súbita</w:t>
      </w:r>
      <w:r w:rsidR="00367401" w:rsidRPr="003A1CA0">
        <w:rPr>
          <w:lang w:val="es-CR"/>
        </w:rPr>
        <w:t xml:space="preserve"> temporal</w:t>
      </w:r>
      <w:r w:rsidRPr="003A1CA0">
        <w:rPr>
          <w:lang w:val="es-CR"/>
        </w:rPr>
        <w:t xml:space="preserve"> </w:t>
      </w:r>
      <w:r w:rsidR="00367401" w:rsidRPr="003A1CA0">
        <w:rPr>
          <w:lang w:val="es-CR"/>
        </w:rPr>
        <w:t>o permanente</w:t>
      </w:r>
      <w:r w:rsidR="0073356A">
        <w:rPr>
          <w:lang w:val="es-CR"/>
        </w:rPr>
        <w:t xml:space="preserve"> </w:t>
      </w:r>
      <w:r w:rsidR="00A063FC">
        <w:rPr>
          <w:lang w:val="es-CR"/>
        </w:rPr>
        <w:t>s</w:t>
      </w:r>
      <w:r w:rsidR="0073356A">
        <w:rPr>
          <w:lang w:val="es-CR"/>
        </w:rPr>
        <w:t xml:space="preserve">on </w:t>
      </w:r>
      <w:r w:rsidR="0073356A" w:rsidRPr="0073356A">
        <w:rPr>
          <w:lang w:val="es-CR"/>
        </w:rPr>
        <w:t xml:space="preserve">síntomas </w:t>
      </w:r>
      <w:r w:rsidR="0073356A">
        <w:rPr>
          <w:lang w:val="es-CR"/>
        </w:rPr>
        <w:t xml:space="preserve">característicos. </w:t>
      </w:r>
    </w:p>
    <w:p w14:paraId="49F7CF5A" w14:textId="1757672F" w:rsidR="009573A0" w:rsidRPr="003A1CA0" w:rsidRDefault="009573A0" w:rsidP="0068398E">
      <w:pPr>
        <w:rPr>
          <w:lang w:val="es-CR"/>
        </w:rPr>
      </w:pPr>
      <w:r w:rsidRPr="003A1CA0">
        <w:rPr>
          <w:lang w:val="es-CR"/>
        </w:rPr>
        <w:t xml:space="preserve"> La disfunción autonómica cardiovascular es común posterior a SCI</w:t>
      </w:r>
      <w:r w:rsidR="00BE1031">
        <w:rPr>
          <w:lang w:val="es-CR"/>
        </w:rPr>
        <w:t xml:space="preserve"> y</w:t>
      </w:r>
      <w:r w:rsidRPr="003A1CA0">
        <w:rPr>
          <w:lang w:val="es-CR"/>
        </w:rPr>
        <w:t xml:space="preserve"> se manifiesta clínicamente como shock espinal (hipotensión y bradicardia)</w:t>
      </w:r>
      <w:r w:rsidR="001A1B73">
        <w:rPr>
          <w:lang w:val="es-CR"/>
        </w:rPr>
        <w:t xml:space="preserve"> </w:t>
      </w:r>
      <w:r w:rsidRPr="003A1CA0">
        <w:rPr>
          <w:lang w:val="es-CR"/>
        </w:rPr>
        <w:fldChar w:fldCharType="begin" w:fldLock="1"/>
      </w:r>
      <w:r w:rsidR="001A1B73">
        <w:rPr>
          <w:lang w:val="es-CR"/>
        </w:rPr>
        <w:instrText>ADDIN CSL_CITATION {"citationItems":[{"id":"ITEM-1","itemData":{"DOI":"10.1016/j.gde.2016.03.011","abstract":"Genetic and epigenetic heterogeneity is emerging as a fundamental property of human cancers. Reflecting the genesis of tumors as an evolutionary process driven by clonal selection. The complexity of clonal architecture has been known for many years in the setting of acute myeloid leukemia (AML), based on karyotyping studies. However the true complexity of AMLs is only now being understood thanks to in depth genome sequencing studies in humans, which reveal that heterogeneity is a multilayered and involves not only the genome but also the epigenome. Here, we review recent advances in genetic and epigenetic heterogeneity and clonal dynamics in AML and their relevance to biology, clinical outcomes and therapeutic implications. Special attention is focused on somatic mutations affecting regulators of cytosine methylation, since these tend to occur early in disease evolution, reprogram the epigenome of hematopoietic stem cells, and are linked to unfavorable outcome.","author":[{"dropping-particle":"","family":"L. Sheng, M. Christopher","given":"A. Melnick","non-dropping-particle":"","parse-names":false,"suffix":""}],"container-title":"Physiology &amp; behavior","id":"ITEM-1","issue":"1","issued":{"date-parts":[["2016"]]},"page":"100–106","title":"Spinal Cord Injury after Thoracic Endovascular Aortic Aneurysm","type":"article-journal","volume":"176"},"uris":["http://www.mendeley.com/documents/?uuid=ed9e9b7e-8cda-4d83-9672-16739551f5a5"]}],"mendeley":{"formattedCitation":"(L. Sheng, M. Christopher, 2016)","plainTextFormattedCitation":"(L. Sheng, M. Christopher, 2016)","previouslyFormattedCitation":"(L. Sheng, M. Christopher, 2016)"},"properties":{"noteIndex":0},"schema":"https://github.com/citation-style-language/schema/raw/master/csl-citation.json"}</w:instrText>
      </w:r>
      <w:r w:rsidRPr="003A1CA0">
        <w:rPr>
          <w:lang w:val="es-CR"/>
        </w:rPr>
        <w:fldChar w:fldCharType="separate"/>
      </w:r>
      <w:r w:rsidR="00FA7019" w:rsidRPr="00FA7019">
        <w:rPr>
          <w:noProof/>
          <w:lang w:val="es-CR"/>
        </w:rPr>
        <w:t>(L. Sheng, M. Christopher, 2016)</w:t>
      </w:r>
      <w:r w:rsidRPr="003A1CA0">
        <w:rPr>
          <w:lang w:val="es-CR"/>
        </w:rPr>
        <w:fldChar w:fldCharType="end"/>
      </w:r>
      <w:r w:rsidR="00BE1031">
        <w:rPr>
          <w:lang w:val="es-CR"/>
        </w:rPr>
        <w:t xml:space="preserve">; en esta patología específica </w:t>
      </w:r>
      <w:r w:rsidR="00BE1031" w:rsidRPr="00BE1031">
        <w:rPr>
          <w:lang w:val="es-CR"/>
        </w:rPr>
        <w:t>se ven involucrados tres elementos de la médula espinal que intervienen en la función cardiovascular: vías vasomotoras, neuronas simpáticas preganglionares y eferentes espinales</w:t>
      </w:r>
    </w:p>
    <w:p w14:paraId="2D685158" w14:textId="0F1E2150" w:rsidR="00367401" w:rsidRPr="003A1CA0" w:rsidRDefault="00427B4D" w:rsidP="00367401">
      <w:pPr>
        <w:rPr>
          <w:lang w:val="es-CR"/>
        </w:rPr>
      </w:pPr>
      <w:r w:rsidRPr="003A1CA0">
        <w:rPr>
          <w:lang w:val="es-CR"/>
        </w:rPr>
        <w:t xml:space="preserve">La </w:t>
      </w:r>
      <w:r w:rsidR="001E72E5" w:rsidRPr="003A1CA0">
        <w:rPr>
          <w:lang w:val="es-CR"/>
        </w:rPr>
        <w:t>escala de</w:t>
      </w:r>
      <w:r w:rsidR="00367401" w:rsidRPr="003A1CA0">
        <w:rPr>
          <w:lang w:val="es-CR"/>
        </w:rPr>
        <w:t xml:space="preserve"> Tarlov describe los diversos grados de</w:t>
      </w:r>
      <w:r w:rsidR="001E72E5" w:rsidRPr="003A1CA0">
        <w:rPr>
          <w:lang w:val="es-CR"/>
        </w:rPr>
        <w:t xml:space="preserve"> </w:t>
      </w:r>
      <w:r w:rsidR="00341851">
        <w:rPr>
          <w:lang w:val="es-CR"/>
        </w:rPr>
        <w:t>alteraciones neurológicas</w:t>
      </w:r>
      <w:r w:rsidR="001E72E5" w:rsidRPr="003A1CA0">
        <w:rPr>
          <w:lang w:val="es-CR"/>
        </w:rPr>
        <w:t xml:space="preserve"> (Tabla 1) </w:t>
      </w:r>
      <w:r w:rsidR="002F570F" w:rsidRPr="003A1CA0">
        <w:rPr>
          <w:lang w:val="es-CR"/>
        </w:rPr>
        <w:t>por</w:t>
      </w:r>
      <w:r w:rsidR="001E72E5" w:rsidRPr="003A1CA0">
        <w:rPr>
          <w:lang w:val="es-CR"/>
        </w:rPr>
        <w:t xml:space="preserve"> SCI</w:t>
      </w:r>
      <w:r w:rsidR="001A1B73">
        <w:rPr>
          <w:lang w:val="es-CR"/>
        </w:rPr>
        <w:t xml:space="preserve"> </w:t>
      </w:r>
      <w:r w:rsidR="001E72E5" w:rsidRPr="003A1CA0">
        <w:rPr>
          <w:lang w:val="es-CR"/>
        </w:rPr>
        <w:fldChar w:fldCharType="begin" w:fldLock="1"/>
      </w:r>
      <w:r w:rsidR="001A1B73">
        <w:rPr>
          <w:lang w:val="es-CR"/>
        </w:rPr>
        <w:instrText>ADDIN CSL_CITATION {"citationItems":[{"id":"ITEM-1","itemData":{"DOI":"10.1177/1708538115593193","ISSN":"1708539X","abstract":"Objective: This manuscript was written to present a systemic protocol for the prevention, early detection, and treatment of spinal cord ischemia following open and endovascular thoracoabdominal aortic operations. Methods: This protocol was a collaborative effort between surgeons, anesthesiologists and intensivists. It was implemented at our institution in November 2007. Nurses are trained to prevent, rapidly detect and ultimately aid in the treatment of spinal cord ischemia. Results: Implementation of this protocol has aided in prevention, detection and treatment of spinal cord ischemia in patients after open and endovascular thoracoabdominal aortic operations. Conclusion: Standardized care and reliance on trained nursing staff to monitor for symptoms following thoracoabdominal aortic operations are safe and aid in the rapid detection, treatment and reversal of spinal cord ischemia.","author":[{"dropping-particle":"","family":"Hobbs","given":"Reilly D.","non-dropping-particle":"","parse-names":false,"suffix":""},{"dropping-particle":"","family":"Ullery","given":"Brant W.","non-dropping-particle":"","parse-names":false,"suffix":""},{"dropping-particle":"","family":"Mentzer","given":"Allison R.","non-dropping-particle":"","parse-names":false,"suffix":""},{"dropping-particle":"","family":"Cheung","given":"Albert T.","non-dropping-particle":"","parse-names":false,"suffix":""}],"container-title":"Vascular","id":"ITEM-1","issue":"4","issued":{"date-parts":[["2016"]]},"page":"430-434","title":"Protocol for prevention of spinal cord ischemia after thoracoabdominal aortic surgery","type":"article-journal","volume":"24"},"uris":["http://www.mendeley.com/documents/?uuid=b0c75086-0dd6-426a-b523-227b45dfb574"]},{"id":"ITEM-2","itemData":{"ISSN":"00219509","PMID":"26731537","abstract":"Despite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Surgery","id":"ITEM-2","issue":"2","issued":{"date-parts":[["2016"]]},"page":"191-201","title":"Spinal cord ischemia is multifactorial: What is the best protocol?","type":"article-journal","volume":"57"},"uris":["http://www.mendeley.com/documents/?uuid=0524e5a3-e7a6-44c1-b114-0a26090a5229"]},{"id":"ITEM-3","itemData":{"DOI":"10.1093/icvts/ivy037","ISBN":"8186422021","ISSN":"15699285","abstract":"OBJECTIVES: Spinal cord ischaemia (SCI) is a serious complication of thoracic endovascular aortic repair (TEVAR). The purpose of this study was to assess the incidence, risk factors, clinical manifestations of SCI after TEVAR and which type of patients could benefit from cerebrospinal fluid drainage. METHODS: A retrospective review was conducted for 175 patients who underwent TEVAR from January 2008 to July 2014. All patients were divided into groups with and without SCI, and they were compared to identify significant risk factors for SCI. RESULTS: The incidence of SCI after TEVAR including paraplegia and paraparesis was 6.9%. SCI usually occurred within 24 h, but delayed SCI was observed after 5 days in 1 patient. In all patients with SCI, we tried to increase the blood pressure to improve spinal perfusion. Three patients recovered completely, and the 6 patients with some remaining neurological deficit included 3 with motion against gravity and bladder dysfunction and the 3 remaining patients with only bladder dysfunction. Three patients did not recover. In our study, significant risk factors for SCI were as follows: rupture, shaggy aorta, chronic obstructive pulmonary disease, 1-stage procedure, the coverage of more than 9 segments, the coverage from Th8 to Th12, minimum of postoperative haemoglobin and the number of postoperative patent segmental arteries. CONCLUSIONS: Sufficient perioperative care should be given to high-risk patients who have endografts that cover more than 9 segments and endografts that cover segments from Th8 to Th12. Adequate haemoglobin levels and mean arterial pressure are needed to provide sufficient spinal cord perfusion.","author":[{"dropping-particle":"","family":"Hiraoka","given":"Toshifumi","non-dropping-particle":"","parse-names":false,"suffix":""},{"dropping-particle":"","family":"Komiya","given":"Tatsuhiko","non-dropping-particle":"","parse-names":false,"suffix":""},{"dropping-particle":"","family":"Tsuneyoshi","given":"Hiroshi","non-dropping-particle":"","parse-names":false,"suffix":""},{"dropping-particle":"","family":"Shimamoto","given":"Takeshi","non-dropping-particle":"","parse-names":false,"suffix":""}],"container-title":"Interactive Cardiovascular and Thoracic Surgery","id":"ITEM-3","issue":"1","issued":{"date-parts":[["2018"]]},"page":"54-59","title":"Risk factors for spinal cord ischaemia after thoracic endovascular aortic repair","type":"article-journal","volume":"27"},"uris":["http://www.mendeley.com/documents/?uuid=745990c2-ade0-430b-843d-31f1887df5ec"]}],"mendeley":{"formattedCitation":"(Hiraoka et al., 2018; Hobbs et al., 2016; Germano Melissano et al., 2016)","plainTextFormattedCitation":"(Hiraoka et al., 2018; Hobbs et al., 2016; Germano Melissano et al., 2016)","previouslyFormattedCitation":"(Hiraoka et al., 2018; Hobbs et al., 2016; Germano Melissano et al., 2016)"},"properties":{"noteIndex":0},"schema":"https://github.com/citation-style-language/schema/raw/master/csl-citation.json"}</w:instrText>
      </w:r>
      <w:r w:rsidR="001E72E5" w:rsidRPr="003A1CA0">
        <w:rPr>
          <w:lang w:val="es-CR"/>
        </w:rPr>
        <w:fldChar w:fldCharType="separate"/>
      </w:r>
      <w:r w:rsidR="00FA7019" w:rsidRPr="00FA7019">
        <w:rPr>
          <w:noProof/>
          <w:lang w:val="es-CR"/>
        </w:rPr>
        <w:t>(Hiraoka et al., 2018; Hobbs et al., 2016; Germano Melissano et al., 2016)</w:t>
      </w:r>
      <w:r w:rsidR="001E72E5" w:rsidRPr="003A1CA0">
        <w:rPr>
          <w:lang w:val="es-CR"/>
        </w:rPr>
        <w:fldChar w:fldCharType="end"/>
      </w:r>
      <w:r w:rsidR="001E72E5" w:rsidRPr="003A1CA0">
        <w:rPr>
          <w:lang w:val="es-CR"/>
        </w:rPr>
        <w:t>.</w:t>
      </w:r>
    </w:p>
    <w:tbl>
      <w:tblPr>
        <w:tblW w:w="7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1"/>
        <w:gridCol w:w="5579"/>
        <w:gridCol w:w="1480"/>
      </w:tblGrid>
      <w:tr w:rsidR="001E72E5" w:rsidRPr="003A1CA0" w14:paraId="4922242E" w14:textId="77777777" w:rsidTr="003A1CA0">
        <w:trPr>
          <w:trHeight w:val="330"/>
          <w:jc w:val="center"/>
        </w:trPr>
        <w:tc>
          <w:tcPr>
            <w:tcW w:w="901" w:type="dxa"/>
            <w:shd w:val="clear" w:color="000000" w:fill="4F81BD"/>
            <w:vAlign w:val="center"/>
            <w:hideMark/>
          </w:tcPr>
          <w:p w14:paraId="376CA984" w14:textId="77777777" w:rsidR="001E72E5" w:rsidRPr="003A1CA0" w:rsidRDefault="001E72E5" w:rsidP="001E72E5">
            <w:pPr>
              <w:spacing w:after="0" w:line="240" w:lineRule="auto"/>
              <w:ind w:firstLine="0"/>
              <w:jc w:val="center"/>
              <w:rPr>
                <w:rFonts w:eastAsia="Times New Roman" w:cs="Arial"/>
                <w:b/>
                <w:bCs/>
                <w:color w:val="FFFFFF" w:themeColor="background1"/>
                <w:szCs w:val="24"/>
                <w:lang w:val="es-CR" w:eastAsia="es-CR" w:bidi="ar-SA"/>
              </w:rPr>
            </w:pPr>
            <w:r w:rsidRPr="003A1CA0">
              <w:rPr>
                <w:rFonts w:eastAsia="Times New Roman" w:cs="Arial"/>
                <w:b/>
                <w:bCs/>
                <w:color w:val="FFFFFF" w:themeColor="background1"/>
                <w:szCs w:val="24"/>
                <w:lang w:val="es-CR" w:eastAsia="es-CR" w:bidi="ar-SA"/>
              </w:rPr>
              <w:t>Escala</w:t>
            </w:r>
          </w:p>
        </w:tc>
        <w:tc>
          <w:tcPr>
            <w:tcW w:w="5579" w:type="dxa"/>
            <w:shd w:val="clear" w:color="000000" w:fill="4F81BD"/>
            <w:vAlign w:val="center"/>
            <w:hideMark/>
          </w:tcPr>
          <w:p w14:paraId="5EB0036B" w14:textId="77777777" w:rsidR="001E72E5" w:rsidRPr="003A1CA0" w:rsidRDefault="001E72E5" w:rsidP="001E72E5">
            <w:pPr>
              <w:spacing w:after="0" w:line="240" w:lineRule="auto"/>
              <w:ind w:firstLine="0"/>
              <w:jc w:val="center"/>
              <w:rPr>
                <w:rFonts w:eastAsia="Times New Roman" w:cs="Arial"/>
                <w:b/>
                <w:bCs/>
                <w:color w:val="FFFFFF" w:themeColor="background1"/>
                <w:szCs w:val="24"/>
                <w:lang w:val="es-CR" w:eastAsia="es-CR" w:bidi="ar-SA"/>
              </w:rPr>
            </w:pPr>
            <w:r w:rsidRPr="003A1CA0">
              <w:rPr>
                <w:rFonts w:eastAsia="Times New Roman" w:cs="Arial"/>
                <w:b/>
                <w:bCs/>
                <w:color w:val="FFFFFF" w:themeColor="background1"/>
                <w:szCs w:val="24"/>
                <w:lang w:val="es-CR" w:eastAsia="es-CR" w:bidi="ar-SA"/>
              </w:rPr>
              <w:t>Función Motora</w:t>
            </w:r>
          </w:p>
        </w:tc>
        <w:tc>
          <w:tcPr>
            <w:tcW w:w="1480" w:type="dxa"/>
            <w:shd w:val="clear" w:color="000000" w:fill="4F81BD"/>
            <w:vAlign w:val="center"/>
            <w:hideMark/>
          </w:tcPr>
          <w:p w14:paraId="2180113D" w14:textId="4C8D86D3" w:rsidR="001E72E5" w:rsidRPr="003A1CA0" w:rsidRDefault="001E72E5" w:rsidP="001E72E5">
            <w:pPr>
              <w:spacing w:after="0" w:line="240" w:lineRule="auto"/>
              <w:ind w:firstLine="0"/>
              <w:jc w:val="center"/>
              <w:rPr>
                <w:rFonts w:eastAsia="Times New Roman" w:cs="Arial"/>
                <w:b/>
                <w:bCs/>
                <w:color w:val="FFFFFF" w:themeColor="background1"/>
                <w:szCs w:val="24"/>
                <w:lang w:val="es-CR" w:eastAsia="es-CR" w:bidi="ar-SA"/>
              </w:rPr>
            </w:pPr>
            <w:r w:rsidRPr="003A1CA0">
              <w:rPr>
                <w:rFonts w:eastAsia="Times New Roman" w:cs="Arial"/>
                <w:b/>
                <w:bCs/>
                <w:color w:val="FFFFFF" w:themeColor="background1"/>
                <w:szCs w:val="24"/>
                <w:lang w:val="es-CR" w:eastAsia="es-CR" w:bidi="ar-SA"/>
              </w:rPr>
              <w:t>Déficit</w:t>
            </w:r>
          </w:p>
        </w:tc>
      </w:tr>
      <w:tr w:rsidR="001E72E5" w:rsidRPr="003A1CA0" w14:paraId="1959DB1F" w14:textId="77777777" w:rsidTr="003A1CA0">
        <w:trPr>
          <w:trHeight w:val="315"/>
          <w:jc w:val="center"/>
        </w:trPr>
        <w:tc>
          <w:tcPr>
            <w:tcW w:w="901" w:type="dxa"/>
            <w:shd w:val="clear" w:color="000000" w:fill="4F81BD"/>
            <w:vAlign w:val="center"/>
            <w:hideMark/>
          </w:tcPr>
          <w:p w14:paraId="3DD2DC71" w14:textId="77777777" w:rsidR="001E72E5" w:rsidRPr="003A1CA0" w:rsidRDefault="001E72E5" w:rsidP="001E72E5">
            <w:pPr>
              <w:spacing w:after="0" w:line="240" w:lineRule="auto"/>
              <w:ind w:firstLine="0"/>
              <w:jc w:val="center"/>
              <w:rPr>
                <w:rFonts w:eastAsia="Times New Roman" w:cs="Arial"/>
                <w:szCs w:val="24"/>
                <w:lang w:val="es-CR" w:eastAsia="es-CR" w:bidi="ar-SA"/>
              </w:rPr>
            </w:pPr>
            <w:r w:rsidRPr="003A1CA0">
              <w:rPr>
                <w:rFonts w:eastAsia="Times New Roman" w:cs="Arial"/>
                <w:szCs w:val="24"/>
                <w:lang w:val="es-CR" w:eastAsia="es-CR" w:bidi="ar-SA"/>
              </w:rPr>
              <w:t>0</w:t>
            </w:r>
          </w:p>
        </w:tc>
        <w:tc>
          <w:tcPr>
            <w:tcW w:w="5579" w:type="dxa"/>
            <w:shd w:val="clear" w:color="000000" w:fill="B8CCE4"/>
            <w:vAlign w:val="center"/>
            <w:hideMark/>
          </w:tcPr>
          <w:p w14:paraId="5D5FABD2" w14:textId="77777777"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Miembros inferiores sin movimiento</w:t>
            </w:r>
          </w:p>
        </w:tc>
        <w:tc>
          <w:tcPr>
            <w:tcW w:w="1480" w:type="dxa"/>
            <w:shd w:val="clear" w:color="000000" w:fill="B8CCE4"/>
            <w:vAlign w:val="center"/>
            <w:hideMark/>
          </w:tcPr>
          <w:p w14:paraId="3A4F9026" w14:textId="27990520"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Paraplejia</w:t>
            </w:r>
          </w:p>
        </w:tc>
      </w:tr>
      <w:tr w:rsidR="001E72E5" w:rsidRPr="003A1CA0" w14:paraId="0ACA1FD3" w14:textId="77777777" w:rsidTr="003A1CA0">
        <w:trPr>
          <w:trHeight w:val="315"/>
          <w:jc w:val="center"/>
        </w:trPr>
        <w:tc>
          <w:tcPr>
            <w:tcW w:w="901" w:type="dxa"/>
            <w:shd w:val="clear" w:color="000000" w:fill="4F81BD"/>
            <w:vAlign w:val="center"/>
            <w:hideMark/>
          </w:tcPr>
          <w:p w14:paraId="2737FB85" w14:textId="77777777" w:rsidR="001E72E5" w:rsidRPr="003A1CA0" w:rsidRDefault="001E72E5" w:rsidP="001E72E5">
            <w:pPr>
              <w:spacing w:after="0" w:line="240" w:lineRule="auto"/>
              <w:ind w:firstLine="0"/>
              <w:jc w:val="center"/>
              <w:rPr>
                <w:rFonts w:eastAsia="Times New Roman" w:cs="Arial"/>
                <w:szCs w:val="24"/>
                <w:lang w:val="es-CR" w:eastAsia="es-CR" w:bidi="ar-SA"/>
              </w:rPr>
            </w:pPr>
            <w:r w:rsidRPr="003A1CA0">
              <w:rPr>
                <w:rFonts w:eastAsia="Times New Roman" w:cs="Arial"/>
                <w:szCs w:val="24"/>
                <w:lang w:val="es-CR" w:eastAsia="es-CR" w:bidi="ar-SA"/>
              </w:rPr>
              <w:t>1</w:t>
            </w:r>
          </w:p>
        </w:tc>
        <w:tc>
          <w:tcPr>
            <w:tcW w:w="5579" w:type="dxa"/>
            <w:shd w:val="clear" w:color="000000" w:fill="DBE5F1"/>
            <w:vAlign w:val="center"/>
            <w:hideMark/>
          </w:tcPr>
          <w:p w14:paraId="29B8ED31" w14:textId="77777777"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Movimiento de miembros inferiores sin gravedad</w:t>
            </w:r>
          </w:p>
        </w:tc>
        <w:tc>
          <w:tcPr>
            <w:tcW w:w="1480" w:type="dxa"/>
            <w:shd w:val="clear" w:color="000000" w:fill="DBE5F1"/>
            <w:vAlign w:val="center"/>
            <w:hideMark/>
          </w:tcPr>
          <w:p w14:paraId="36703C68" w14:textId="56C7E856"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Paraplejia</w:t>
            </w:r>
          </w:p>
        </w:tc>
      </w:tr>
      <w:tr w:rsidR="001E72E5" w:rsidRPr="003A1CA0" w14:paraId="5DB3D69C" w14:textId="77777777" w:rsidTr="003A1CA0">
        <w:trPr>
          <w:trHeight w:val="315"/>
          <w:jc w:val="center"/>
        </w:trPr>
        <w:tc>
          <w:tcPr>
            <w:tcW w:w="901" w:type="dxa"/>
            <w:shd w:val="clear" w:color="000000" w:fill="4F81BD"/>
            <w:vAlign w:val="center"/>
            <w:hideMark/>
          </w:tcPr>
          <w:p w14:paraId="0733A46B" w14:textId="77777777" w:rsidR="001E72E5" w:rsidRPr="003A1CA0" w:rsidRDefault="001E72E5" w:rsidP="001E72E5">
            <w:pPr>
              <w:spacing w:after="0" w:line="240" w:lineRule="auto"/>
              <w:ind w:firstLine="0"/>
              <w:jc w:val="center"/>
              <w:rPr>
                <w:rFonts w:eastAsia="Times New Roman" w:cs="Arial"/>
                <w:szCs w:val="24"/>
                <w:lang w:val="es-CR" w:eastAsia="es-CR" w:bidi="ar-SA"/>
              </w:rPr>
            </w:pPr>
            <w:r w:rsidRPr="003A1CA0">
              <w:rPr>
                <w:rFonts w:eastAsia="Times New Roman" w:cs="Arial"/>
                <w:szCs w:val="24"/>
                <w:lang w:val="es-CR" w:eastAsia="es-CR" w:bidi="ar-SA"/>
              </w:rPr>
              <w:t>2</w:t>
            </w:r>
          </w:p>
        </w:tc>
        <w:tc>
          <w:tcPr>
            <w:tcW w:w="5579" w:type="dxa"/>
            <w:shd w:val="clear" w:color="000000" w:fill="B8CCE4"/>
            <w:vAlign w:val="center"/>
            <w:hideMark/>
          </w:tcPr>
          <w:p w14:paraId="63374A47" w14:textId="0CF8D298"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Movimiento de miembros inferiores contra gravedad</w:t>
            </w:r>
          </w:p>
        </w:tc>
        <w:tc>
          <w:tcPr>
            <w:tcW w:w="1480" w:type="dxa"/>
            <w:shd w:val="clear" w:color="000000" w:fill="B8CCE4"/>
            <w:vAlign w:val="center"/>
            <w:hideMark/>
          </w:tcPr>
          <w:p w14:paraId="5B29627A" w14:textId="1921AC5E"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Paraplejia</w:t>
            </w:r>
          </w:p>
        </w:tc>
      </w:tr>
      <w:tr w:rsidR="001E72E5" w:rsidRPr="003A1CA0" w14:paraId="062E646E" w14:textId="77777777" w:rsidTr="003A1CA0">
        <w:trPr>
          <w:trHeight w:val="315"/>
          <w:jc w:val="center"/>
        </w:trPr>
        <w:tc>
          <w:tcPr>
            <w:tcW w:w="901" w:type="dxa"/>
            <w:shd w:val="clear" w:color="000000" w:fill="4F81BD"/>
            <w:vAlign w:val="center"/>
            <w:hideMark/>
          </w:tcPr>
          <w:p w14:paraId="573CF4EA" w14:textId="77777777" w:rsidR="001E72E5" w:rsidRPr="003A1CA0" w:rsidRDefault="001E72E5" w:rsidP="001E72E5">
            <w:pPr>
              <w:spacing w:after="0" w:line="240" w:lineRule="auto"/>
              <w:ind w:firstLine="0"/>
              <w:jc w:val="center"/>
              <w:rPr>
                <w:rFonts w:eastAsia="Times New Roman" w:cs="Arial"/>
                <w:szCs w:val="24"/>
                <w:lang w:val="es-CR" w:eastAsia="es-CR" w:bidi="ar-SA"/>
              </w:rPr>
            </w:pPr>
            <w:r w:rsidRPr="003A1CA0">
              <w:rPr>
                <w:rFonts w:eastAsia="Times New Roman" w:cs="Arial"/>
                <w:szCs w:val="24"/>
                <w:lang w:val="es-CR" w:eastAsia="es-CR" w:bidi="ar-SA"/>
              </w:rPr>
              <w:t>3</w:t>
            </w:r>
          </w:p>
        </w:tc>
        <w:tc>
          <w:tcPr>
            <w:tcW w:w="5579" w:type="dxa"/>
            <w:shd w:val="clear" w:color="000000" w:fill="DBE5F1"/>
            <w:vAlign w:val="center"/>
            <w:hideMark/>
          </w:tcPr>
          <w:p w14:paraId="588C9178" w14:textId="77777777"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Se pone de pie con asistencia</w:t>
            </w:r>
          </w:p>
        </w:tc>
        <w:tc>
          <w:tcPr>
            <w:tcW w:w="1480" w:type="dxa"/>
            <w:shd w:val="clear" w:color="000000" w:fill="DBE5F1"/>
            <w:vAlign w:val="center"/>
            <w:hideMark/>
          </w:tcPr>
          <w:p w14:paraId="23B587FB" w14:textId="601A7C5D" w:rsidR="001E72E5" w:rsidRPr="003A1CA0" w:rsidRDefault="003A1CA0"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Paraparesia</w:t>
            </w:r>
          </w:p>
        </w:tc>
      </w:tr>
      <w:tr w:rsidR="001E72E5" w:rsidRPr="003A1CA0" w14:paraId="7C3090D7" w14:textId="77777777" w:rsidTr="003A1CA0">
        <w:trPr>
          <w:trHeight w:val="315"/>
          <w:jc w:val="center"/>
        </w:trPr>
        <w:tc>
          <w:tcPr>
            <w:tcW w:w="901" w:type="dxa"/>
            <w:shd w:val="clear" w:color="000000" w:fill="4F81BD"/>
            <w:vAlign w:val="center"/>
            <w:hideMark/>
          </w:tcPr>
          <w:p w14:paraId="3CCF84F0" w14:textId="77777777" w:rsidR="001E72E5" w:rsidRPr="003A1CA0" w:rsidRDefault="001E72E5" w:rsidP="001E72E5">
            <w:pPr>
              <w:spacing w:after="0" w:line="240" w:lineRule="auto"/>
              <w:ind w:firstLine="0"/>
              <w:jc w:val="center"/>
              <w:rPr>
                <w:rFonts w:eastAsia="Times New Roman" w:cs="Arial"/>
                <w:szCs w:val="24"/>
                <w:lang w:val="es-CR" w:eastAsia="es-CR" w:bidi="ar-SA"/>
              </w:rPr>
            </w:pPr>
            <w:r w:rsidRPr="003A1CA0">
              <w:rPr>
                <w:rFonts w:eastAsia="Times New Roman" w:cs="Arial"/>
                <w:szCs w:val="24"/>
                <w:lang w:val="es-CR" w:eastAsia="es-CR" w:bidi="ar-SA"/>
              </w:rPr>
              <w:t>4</w:t>
            </w:r>
          </w:p>
        </w:tc>
        <w:tc>
          <w:tcPr>
            <w:tcW w:w="5579" w:type="dxa"/>
            <w:shd w:val="clear" w:color="000000" w:fill="B8CCE4"/>
            <w:vAlign w:val="center"/>
            <w:hideMark/>
          </w:tcPr>
          <w:p w14:paraId="002BAEC7" w14:textId="77777777"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Camina con asistencia</w:t>
            </w:r>
          </w:p>
        </w:tc>
        <w:tc>
          <w:tcPr>
            <w:tcW w:w="1480" w:type="dxa"/>
            <w:shd w:val="clear" w:color="000000" w:fill="B8CCE4"/>
            <w:vAlign w:val="center"/>
            <w:hideMark/>
          </w:tcPr>
          <w:p w14:paraId="26DCB5A0" w14:textId="76B94E04" w:rsidR="001E72E5" w:rsidRPr="003A1CA0" w:rsidRDefault="003A1CA0"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Paraparesia</w:t>
            </w:r>
          </w:p>
        </w:tc>
      </w:tr>
      <w:tr w:rsidR="001E72E5" w:rsidRPr="003A1CA0" w14:paraId="4D4478D3" w14:textId="77777777" w:rsidTr="003A1CA0">
        <w:trPr>
          <w:trHeight w:val="315"/>
          <w:jc w:val="center"/>
        </w:trPr>
        <w:tc>
          <w:tcPr>
            <w:tcW w:w="901" w:type="dxa"/>
            <w:shd w:val="clear" w:color="000000" w:fill="4F81BD"/>
            <w:vAlign w:val="center"/>
            <w:hideMark/>
          </w:tcPr>
          <w:p w14:paraId="6E318EE6" w14:textId="77777777" w:rsidR="001E72E5" w:rsidRPr="003A1CA0" w:rsidRDefault="001E72E5" w:rsidP="001E72E5">
            <w:pPr>
              <w:spacing w:after="0" w:line="240" w:lineRule="auto"/>
              <w:ind w:firstLine="0"/>
              <w:jc w:val="center"/>
              <w:rPr>
                <w:rFonts w:eastAsia="Times New Roman" w:cs="Arial"/>
                <w:szCs w:val="24"/>
                <w:lang w:val="es-CR" w:eastAsia="es-CR" w:bidi="ar-SA"/>
              </w:rPr>
            </w:pPr>
            <w:r w:rsidRPr="003A1CA0">
              <w:rPr>
                <w:rFonts w:eastAsia="Times New Roman" w:cs="Arial"/>
                <w:szCs w:val="24"/>
                <w:lang w:val="es-CR" w:eastAsia="es-CR" w:bidi="ar-SA"/>
              </w:rPr>
              <w:t>5</w:t>
            </w:r>
          </w:p>
        </w:tc>
        <w:tc>
          <w:tcPr>
            <w:tcW w:w="5579" w:type="dxa"/>
            <w:shd w:val="clear" w:color="000000" w:fill="DBE5F1"/>
            <w:vAlign w:val="center"/>
            <w:hideMark/>
          </w:tcPr>
          <w:p w14:paraId="7E440510" w14:textId="77777777"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Normal</w:t>
            </w:r>
          </w:p>
        </w:tc>
        <w:tc>
          <w:tcPr>
            <w:tcW w:w="1480" w:type="dxa"/>
            <w:shd w:val="clear" w:color="000000" w:fill="DBE5F1"/>
            <w:vAlign w:val="center"/>
            <w:hideMark/>
          </w:tcPr>
          <w:p w14:paraId="12832C3A" w14:textId="5F2D1837" w:rsidR="001E72E5" w:rsidRPr="003A1CA0" w:rsidRDefault="001E72E5" w:rsidP="001E72E5">
            <w:pPr>
              <w:spacing w:after="0" w:line="240" w:lineRule="auto"/>
              <w:ind w:firstLine="0"/>
              <w:jc w:val="center"/>
              <w:rPr>
                <w:rFonts w:eastAsia="Times New Roman" w:cs="Arial"/>
                <w:color w:val="000000"/>
                <w:szCs w:val="24"/>
                <w:lang w:val="es-CR" w:eastAsia="es-CR" w:bidi="ar-SA"/>
              </w:rPr>
            </w:pPr>
            <w:r w:rsidRPr="003A1CA0">
              <w:rPr>
                <w:rFonts w:eastAsia="Times New Roman" w:cs="Arial"/>
                <w:color w:val="000000"/>
                <w:szCs w:val="24"/>
                <w:lang w:val="es-CR" w:eastAsia="es-CR" w:bidi="ar-SA"/>
              </w:rPr>
              <w:t xml:space="preserve">Sin </w:t>
            </w:r>
            <w:r w:rsidR="003C51C0" w:rsidRPr="003A1CA0">
              <w:rPr>
                <w:rFonts w:eastAsia="Times New Roman" w:cs="Arial"/>
                <w:color w:val="000000"/>
                <w:szCs w:val="24"/>
                <w:lang w:val="es-CR" w:eastAsia="es-CR" w:bidi="ar-SA"/>
              </w:rPr>
              <w:t>Déficit</w:t>
            </w:r>
          </w:p>
        </w:tc>
      </w:tr>
    </w:tbl>
    <w:p w14:paraId="63708391" w14:textId="7B7F440F" w:rsidR="00685D76" w:rsidRDefault="001E72E5" w:rsidP="001A1B73">
      <w:pPr>
        <w:pStyle w:val="Prrafodelista1"/>
        <w:spacing w:after="0"/>
        <w:rPr>
          <w:lang w:val="es-CR"/>
        </w:rPr>
      </w:pPr>
      <w:r w:rsidRPr="003A1CA0">
        <w:rPr>
          <w:lang w:val="es-CR"/>
        </w:rPr>
        <w:t>Tabla 1</w:t>
      </w:r>
      <w:r w:rsidR="003C51C0" w:rsidRPr="003A1CA0">
        <w:rPr>
          <w:lang w:val="es-CR"/>
        </w:rPr>
        <w:t xml:space="preserve">. </w:t>
      </w:r>
      <w:r w:rsidRPr="003A1CA0">
        <w:rPr>
          <w:lang w:val="es-CR"/>
        </w:rPr>
        <w:t>Escala de Tarlov</w:t>
      </w:r>
    </w:p>
    <w:p w14:paraId="5C62F034" w14:textId="6D7D404C" w:rsidR="00685D76" w:rsidRPr="00685D76" w:rsidRDefault="00685D76" w:rsidP="001A1B73">
      <w:pPr>
        <w:pStyle w:val="Prrafodelista1"/>
        <w:rPr>
          <w:lang w:val="es-CR"/>
        </w:rPr>
      </w:pPr>
      <w:r>
        <w:rPr>
          <w:lang w:val="es-CR"/>
        </w:rPr>
        <w:t xml:space="preserve">Fuente: Adaptado de </w:t>
      </w:r>
      <w:r w:rsidR="001A1B73">
        <w:rPr>
          <w:lang w:val="es-CR"/>
        </w:rPr>
        <w:fldChar w:fldCharType="begin" w:fldLock="1"/>
      </w:r>
      <w:r w:rsidR="001A1B73">
        <w:rPr>
          <w:lang w:val="es-CR"/>
        </w:rPr>
        <w:instrText>ADDIN CSL_CITATION {"citationItems":[{"id":"ITEM-1","itemData":{"DOI":"10.1093/icvts/ivy037","ISBN":"8186422021","ISSN":"15699285","abstract":"OBJECTIVES: Spinal cord ischaemia (SCI) is a serious complication of thoracic endovascular aortic repair (TEVAR). The purpose of this study was to assess the incidence, risk factors, clinical manifestations of SCI after TEVAR and which type of patients could benefit from cerebrospinal fluid drainage. METHODS: A retrospective review was conducted for 175 patients who underwent TEVAR from January 2008 to July 2014. All patients were divided into groups with and without SCI, and they were compared to identify significant risk factors for SCI. RESULTS: The incidence of SCI after TEVAR including paraplegia and paraparesis was 6.9%. SCI usually occurred within 24 h, but delayed SCI was observed after 5 days in 1 patient. In all patients with SCI, we tried to increase the blood pressure to improve spinal perfusion. Three patients recovered completely, and the 6 patients with some remaining neurological deficit included 3 with motion against gravity and bladder dysfunction and the 3 remaining patients with only bladder dysfunction. Three patients did not recover. In our study, significant risk factors for SCI were as follows: rupture, shaggy aorta, chronic obstructive pulmonary disease, 1-stage procedure, the coverage of more than 9 segments, the coverage from Th8 to Th12, minimum of postoperative haemoglobin and the number of postoperative patent segmental arteries. CONCLUSIONS: Sufficient perioperative care should be given to high-risk patients who have endografts that cover more than 9 segments and endografts that cover segments from Th8 to Th12. Adequate haemoglobin levels and mean arterial pressure are needed to provide sufficient spinal cord perfusion.","author":[{"dropping-particle":"","family":"Hiraoka","given":"Toshifumi","non-dropping-particle":"","parse-names":false,"suffix":""},{"dropping-particle":"","family":"Komiya","given":"Tatsuhiko","non-dropping-particle":"","parse-names":false,"suffix":""},{"dropping-particle":"","family":"Tsuneyoshi","given":"Hiroshi","non-dropping-particle":"","parse-names":false,"suffix":""},{"dropping-particle":"","family":"Shimamoto","given":"Takeshi","non-dropping-particle":"","parse-names":false,"suffix":""}],"container-title":"Interactive Cardiovascular and Thoracic Surgery","id":"ITEM-1","issue":"1","issued":{"date-parts":[["2018"]]},"page":"54-59","title":"Risk factors for spinal cord ischaemia after thoracic endovascular aortic repair","type":"article-journal","volume":"27"},"uris":["http://www.mendeley.com/documents/?uuid=745990c2-ade0-430b-843d-31f1887df5ec"]},{"id":"ITEM-2","itemData":{"DOI":"10.1177/1708538115593193","ISSN":"1708539X","abstract":"Objective: This manuscript was written to present a systemic protocol for the prevention, early detection, and treatment of spinal cord ischemia following open and endovascular thoracoabdominal aortic operations. Methods: This protocol was a collaborative effort between surgeons, anesthesiologists and intensivists. It was implemented at our institution in November 2007. Nurses are trained to prevent, rapidly detect and ultimately aid in the treatment of spinal cord ischemia. Results: Implementation of this protocol has aided in prevention, detection and treatment of spinal cord ischemia in patients after open and endovascular thoracoabdominal aortic operations. Conclusion: Standardized care and reliance on trained nursing staff to monitor for symptoms following thoracoabdominal aortic operations are safe and aid in the rapid detection, treatment and reversal of spinal cord ischemia.","author":[{"dropping-particle":"","family":"Hobbs","given":"Reilly D.","non-dropping-particle":"","parse-names":false,"suffix":""},{"dropping-particle":"","family":"Ullery","given":"Brant W.","non-dropping-particle":"","parse-names":false,"suffix":""},{"dropping-particle":"","family":"Mentzer","given":"Allison R.","non-dropping-particle":"","parse-names":false,"suffix":""},{"dropping-particle":"","family":"Cheung","given":"Albert T.","non-dropping-particle":"","parse-names":false,"suffix":""}],"container-title":"Vascular","id":"ITEM-2","issue":"4","issued":{"date-parts":[["2016"]]},"page":"430-434","title":"Protocol for prevention of spinal cord ischemia after thoracoabdominal aortic surgery","type":"article-journal","volume":"24"},"uris":["http://www.mendeley.com/documents/?uuid=b0c75086-0dd6-426a-b523-227b45dfb574"]},{"id":"ITEM-3","itemData":{"ISSN":"00219509","PMID":"26731537","abstract":"Despite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Surgery","id":"ITEM-3","issue":"2","issued":{"date-parts":[["2016"]]},"page":"191-201","title":"Spinal cord ischemia is multifactorial: What is the best protocol?","type":"article-journal","volume":"57"},"uris":["http://www.mendeley.com/documents/?uuid=0524e5a3-e7a6-44c1-b114-0a26090a5229"]}],"mendeley":{"formattedCitation":"(Hiraoka et al., 2018; Hobbs et al., 2016; Germano Melissano et al., 2016)","plainTextFormattedCitation":"(Hiraoka et al., 2018; Hobbs et al., 2016; Germano Melissano et al., 2016)","previouslyFormattedCitation":"(Hiraoka et al., 2018; Hobbs et al., 2016; Germano Melissano et al., 2016)"},"properties":{"noteIndex":0},"schema":"https://github.com/citation-style-language/schema/raw/master/csl-citation.json"}</w:instrText>
      </w:r>
      <w:r w:rsidR="001A1B73">
        <w:rPr>
          <w:lang w:val="es-CR"/>
        </w:rPr>
        <w:fldChar w:fldCharType="separate"/>
      </w:r>
      <w:r w:rsidR="001A1B73" w:rsidRPr="001A1B73">
        <w:rPr>
          <w:noProof/>
          <w:lang w:val="es-CR"/>
        </w:rPr>
        <w:t>(Hiraoka et al., 2018; Hobbs et al., 2016; Germano Melissano et al., 2016)</w:t>
      </w:r>
      <w:r w:rsidR="001A1B73">
        <w:rPr>
          <w:lang w:val="es-CR"/>
        </w:rPr>
        <w:fldChar w:fldCharType="end"/>
      </w:r>
    </w:p>
    <w:p w14:paraId="767F7767" w14:textId="26487313" w:rsidR="00BE1031" w:rsidRDefault="00BE1031" w:rsidP="00CC0605">
      <w:pPr>
        <w:rPr>
          <w:lang w:val="es-CR"/>
        </w:rPr>
      </w:pPr>
      <w:r>
        <w:rPr>
          <w:lang w:val="es-CR"/>
        </w:rPr>
        <w:t>Claramente l</w:t>
      </w:r>
      <w:r w:rsidR="00CC0605" w:rsidRPr="003A1CA0">
        <w:rPr>
          <w:lang w:val="es-CR"/>
        </w:rPr>
        <w:t xml:space="preserve">a paraplejia por SCI compromete la calidad de vida de los pacientes, </w:t>
      </w:r>
      <w:r w:rsidRPr="00BE1031">
        <w:rPr>
          <w:lang w:val="es-CR"/>
        </w:rPr>
        <w:t xml:space="preserve">la morbimortalidad del paciente </w:t>
      </w:r>
      <w:r>
        <w:rPr>
          <w:lang w:val="es-CR"/>
        </w:rPr>
        <w:t xml:space="preserve">aumenta </w:t>
      </w:r>
      <w:r w:rsidR="00CC0605" w:rsidRPr="003A1CA0">
        <w:rPr>
          <w:lang w:val="es-CR"/>
        </w:rPr>
        <w:t xml:space="preserve">en casos de paraplejias </w:t>
      </w:r>
      <w:r>
        <w:rPr>
          <w:lang w:val="es-CR"/>
        </w:rPr>
        <w:t xml:space="preserve">permanentes que </w:t>
      </w:r>
      <w:r w:rsidR="00CC0605" w:rsidRPr="003A1CA0">
        <w:rPr>
          <w:lang w:val="es-CR"/>
        </w:rPr>
        <w:t xml:space="preserve">pueden desarrollar </w:t>
      </w:r>
      <w:r w:rsidR="00341851">
        <w:rPr>
          <w:lang w:val="es-CR"/>
        </w:rPr>
        <w:t>ú</w:t>
      </w:r>
      <w:r w:rsidR="00CC0605" w:rsidRPr="003A1CA0">
        <w:rPr>
          <w:lang w:val="es-CR"/>
        </w:rPr>
        <w:t xml:space="preserve">lceras de presión, atrofia muscular y </w:t>
      </w:r>
      <w:r w:rsidR="00A063FC">
        <w:rPr>
          <w:lang w:val="es-CR"/>
        </w:rPr>
        <w:t xml:space="preserve">una </w:t>
      </w:r>
      <w:r w:rsidR="00CC0605" w:rsidRPr="003A1CA0">
        <w:rPr>
          <w:lang w:val="es-CR"/>
        </w:rPr>
        <w:t>desnutrició</w:t>
      </w:r>
      <w:r>
        <w:rPr>
          <w:lang w:val="es-CR"/>
        </w:rPr>
        <w:t>n</w:t>
      </w:r>
      <w:r w:rsidR="00A063FC">
        <w:rPr>
          <w:lang w:val="es-CR"/>
        </w:rPr>
        <w:t xml:space="preserve"> avanzada</w:t>
      </w:r>
      <w:r w:rsidR="00CC0605" w:rsidRPr="003A1CA0">
        <w:rPr>
          <w:lang w:val="es-CR"/>
        </w:rPr>
        <w:t>.</w:t>
      </w:r>
      <w:r w:rsidR="005254B7" w:rsidRPr="003A1CA0">
        <w:rPr>
          <w:lang w:val="es-CR"/>
        </w:rPr>
        <w:t xml:space="preserve"> </w:t>
      </w:r>
    </w:p>
    <w:p w14:paraId="3B598CD7" w14:textId="436102B4" w:rsidR="00CC0605" w:rsidRPr="003A1CA0" w:rsidRDefault="00BE1031" w:rsidP="00BD30C5">
      <w:pPr>
        <w:rPr>
          <w:lang w:val="es-CR"/>
        </w:rPr>
      </w:pPr>
      <w:r>
        <w:rPr>
          <w:lang w:val="es-CR"/>
        </w:rPr>
        <w:lastRenderedPageBreak/>
        <w:t>En general e</w:t>
      </w:r>
      <w:r w:rsidR="002F570F" w:rsidRPr="003A1CA0">
        <w:rPr>
          <w:lang w:val="es-CR"/>
        </w:rPr>
        <w:t>l pronóstico a largo plazo</w:t>
      </w:r>
      <w:r>
        <w:rPr>
          <w:lang w:val="es-CR"/>
        </w:rPr>
        <w:t xml:space="preserve"> de todos los pacientes que desarrollan SCI</w:t>
      </w:r>
      <w:r w:rsidR="002F570F" w:rsidRPr="003A1CA0">
        <w:rPr>
          <w:lang w:val="es-CR"/>
        </w:rPr>
        <w:t xml:space="preserve"> es reservado, aproximadamente el 42% de los pacientes tiene una recuperación casi satisfactoria; sin embargo, el 36% demostró poca o nula mejoría</w:t>
      </w:r>
      <w:r w:rsidR="001A1B73">
        <w:rPr>
          <w:lang w:val="es-CR"/>
        </w:rPr>
        <w:t xml:space="preserve"> </w:t>
      </w:r>
      <w:r w:rsidR="003C72C5" w:rsidRPr="003A1CA0">
        <w:rPr>
          <w:lang w:val="es-CR"/>
        </w:rPr>
        <w:fldChar w:fldCharType="begin" w:fldLock="1"/>
      </w:r>
      <w:r w:rsidR="001A1B73">
        <w:rPr>
          <w:lang w:val="es-CR"/>
        </w:rPr>
        <w:instrText>ADDIN CSL_CITATION {"citationItems":[{"id":"ITEM-1","itemData":{"DOI":"10.1016/B0-44-306600-0/50020-1","ISBN":"9780702035944","author":[{"dropping-particle":"","family":"Mohr","given":"J. P.","non-dropping-particle":"","parse-names":false,"suffix":""},{"dropping-particle":"","family":"Benavente","given":"Oscar","non-dropping-particle":"","parse-names":false,"suffix":""},{"dropping-particle":"","family":"Barnett","given":"Henry J.M.","non-dropping-particle":"","parse-names":false,"suffix":""}],"container-title":"Stroke: Pathophysiology, Diagnosis, and Management","id":"ITEM-1","issued":{"date-parts":[["2020"]]},"page":"423-436","title":"Spinal Cord Ischemia","type":"article-journal"},"uris":["http://www.mendeley.com/documents/?uuid=4f6870f2-cfcf-4385-b829-fdbf819f7058"]}],"mendeley":{"formattedCitation":"(Mohr et al., 2020)","plainTextFormattedCitation":"(Mohr et al., 2020)","previouslyFormattedCitation":"(Mohr et al., 2020)"},"properties":{"noteIndex":0},"schema":"https://github.com/citation-style-language/schema/raw/master/csl-citation.json"}</w:instrText>
      </w:r>
      <w:r w:rsidR="003C72C5" w:rsidRPr="003A1CA0">
        <w:rPr>
          <w:lang w:val="es-CR"/>
        </w:rPr>
        <w:fldChar w:fldCharType="separate"/>
      </w:r>
      <w:r w:rsidR="00FA7019" w:rsidRPr="00FA7019">
        <w:rPr>
          <w:noProof/>
          <w:lang w:val="es-CR"/>
        </w:rPr>
        <w:t>(Mohr et al., 2020)</w:t>
      </w:r>
      <w:r w:rsidR="003C72C5" w:rsidRPr="003A1CA0">
        <w:rPr>
          <w:lang w:val="es-CR"/>
        </w:rPr>
        <w:fldChar w:fldCharType="end"/>
      </w:r>
      <w:r w:rsidR="002F570F" w:rsidRPr="003A1CA0">
        <w:rPr>
          <w:lang w:val="es-CR"/>
        </w:rPr>
        <w:t>.</w:t>
      </w:r>
    </w:p>
    <w:p w14:paraId="0297C385" w14:textId="757CECF8" w:rsidR="00F43C26" w:rsidRPr="003A1CA0" w:rsidRDefault="00CC0605" w:rsidP="00CC0605">
      <w:pPr>
        <w:rPr>
          <w:lang w:val="es-CR"/>
        </w:rPr>
      </w:pPr>
      <w:r w:rsidRPr="003A1CA0">
        <w:rPr>
          <w:lang w:val="es-CR"/>
        </w:rPr>
        <w:t>El núcleo familiar del paciente también se ve afectada por la SCI, se debe realizar una valoración por trabajo social para evaluar las características de la red de apoyo y determinar si cuenta con una red adecuada para satisfacer las necesidades de cuido del paciente.</w:t>
      </w:r>
    </w:p>
    <w:p w14:paraId="72A2A915" w14:textId="6A0659F0" w:rsidR="002F6CD1" w:rsidRPr="003A1CA0" w:rsidRDefault="002F6CD1" w:rsidP="002F6CD1">
      <w:pPr>
        <w:rPr>
          <w:lang w:val="es-CR"/>
        </w:rPr>
      </w:pPr>
      <w:r w:rsidRPr="003A1CA0">
        <w:rPr>
          <w:lang w:val="es-CR"/>
        </w:rPr>
        <w:t>Un abordaje integral es necesario para mejorar el pron</w:t>
      </w:r>
      <w:r w:rsidR="00F43C26" w:rsidRPr="003A1CA0">
        <w:rPr>
          <w:lang w:val="es-CR"/>
        </w:rPr>
        <w:t>ó</w:t>
      </w:r>
      <w:r w:rsidRPr="003A1CA0">
        <w:rPr>
          <w:lang w:val="es-CR"/>
        </w:rPr>
        <w:t xml:space="preserve">stico de los pacientes; la valoración por un equipo multidisciplinario </w:t>
      </w:r>
      <w:r w:rsidR="00F43C26" w:rsidRPr="003A1CA0">
        <w:rPr>
          <w:lang w:val="es-CR"/>
        </w:rPr>
        <w:t>compuesto</w:t>
      </w:r>
      <w:r w:rsidRPr="003A1CA0">
        <w:rPr>
          <w:lang w:val="es-CR"/>
        </w:rPr>
        <w:t xml:space="preserve"> por psicólogos, fisiatras y fisioterapeutas puede ser muy beneficioso para una recuperación satisfactoria del paciente. </w:t>
      </w:r>
    </w:p>
    <w:p w14:paraId="10B54041" w14:textId="3A273FAF" w:rsidR="00B12870" w:rsidRDefault="005254B7" w:rsidP="002F6CD1">
      <w:pPr>
        <w:rPr>
          <w:lang w:val="es-CR"/>
        </w:rPr>
      </w:pPr>
      <w:r w:rsidRPr="003A1CA0">
        <w:rPr>
          <w:lang w:val="es-CR"/>
        </w:rPr>
        <w:t xml:space="preserve">El promedio de estancia hospitalaria aumenta en pacientes con SCI, por esto y demás complicaciones es importante implementar estrategias pre-trans y post operatorias con el fin de maximizar la perfusión de la </w:t>
      </w:r>
      <w:r w:rsidR="003C51C0" w:rsidRPr="003A1CA0">
        <w:rPr>
          <w:lang w:val="es-CR"/>
        </w:rPr>
        <w:t>médula</w:t>
      </w:r>
      <w:r w:rsidRPr="003A1CA0">
        <w:rPr>
          <w:lang w:val="es-CR"/>
        </w:rPr>
        <w:t xml:space="preserve"> espinal y disminuir el riesgo de SCI.</w:t>
      </w:r>
    </w:p>
    <w:p w14:paraId="1A51A884" w14:textId="77777777" w:rsidR="00B12870" w:rsidRPr="003A1CA0" w:rsidRDefault="00B12870" w:rsidP="00B12870">
      <w:pPr>
        <w:pStyle w:val="Heading2"/>
        <w:rPr>
          <w:lang w:val="es-CR"/>
        </w:rPr>
      </w:pPr>
      <w:bookmarkStart w:id="26" w:name="_Toc47027835"/>
      <w:r w:rsidRPr="003A1CA0">
        <w:rPr>
          <w:lang w:val="es-CR"/>
        </w:rPr>
        <w:t>Anatomía quirúrgica de la médula espinal</w:t>
      </w:r>
      <w:bookmarkEnd w:id="26"/>
    </w:p>
    <w:p w14:paraId="49BA8E25" w14:textId="7BB1911F" w:rsidR="00B12870" w:rsidRPr="003A1CA0" w:rsidRDefault="00B12870" w:rsidP="00B12870">
      <w:pPr>
        <w:rPr>
          <w:lang w:val="es-CR"/>
        </w:rPr>
      </w:pPr>
      <w:r w:rsidRPr="003A1CA0">
        <w:rPr>
          <w:lang w:val="es-CR"/>
        </w:rPr>
        <w:t>Visualización directa de la vasculatura de la médula espinal es clínicamente complej</w:t>
      </w:r>
      <w:r>
        <w:rPr>
          <w:lang w:val="es-CR"/>
        </w:rPr>
        <w:t>a</w:t>
      </w:r>
      <w:r w:rsidRPr="003A1CA0">
        <w:rPr>
          <w:lang w:val="es-CR"/>
        </w:rPr>
        <w:t xml:space="preserve">. La primera descripción anatómica de esta red de vasos fue descrita por Albert W. Adamkiewicz (1850-1921) en 1881 </w:t>
      </w:r>
      <w:r w:rsidRPr="003A1CA0">
        <w:rPr>
          <w:lang w:val="es-CR"/>
        </w:rPr>
        <w:fldChar w:fldCharType="begin" w:fldLock="1"/>
      </w:r>
      <w:r w:rsidR="001A1B73">
        <w:rPr>
          <w:lang w:val="es-CR"/>
        </w:rPr>
        <w:instrText>ADDIN CSL_CITATION {"citationItems":[{"id":"ITEM-1","itemData":{"DOI":"10.1590/1677-5449.0004","ISSN":"1677-7301","abstract":"ResumoA intrincada anatomia tridimensional da irrigação medular é frequentemente explanada na literatura com diferentes nomenclaturas e devido a sua alta relevância no estudo da isquemia medular, o estudo da terminologia se faz necessário para melhor compreensão do tema. A artéria de Adamkiewicz, também chamada de artéria radicular magna, é a via principal. Foi realizada a revisão da literatura com equiparação das nomenclaturas utilizadas e elaboração de descrição acurada e sumarizada do conhecimento atual sobre a vascularização medular.AbstractThe intricate three-dimensional vascular anatomy of the spinal cord is still not completely understood, and its terminology varies between studies. In view of its importance in spinal ischemia, an analysis is needed of the anatomic vocabulary used to describe the spinal cord blood supply to improve understanding of the subject. The main supply is the Adamkiewicz artery, also known as great anterior radicular artery. The literature was reviewed to equate the different nomenclatures employed and an accurate description of current knowledge on spinal cord vascularization was prepared.","author":[{"dropping-particle":"","family":"Amato","given":"Alexandre Campos Moraes","non-dropping-particle":"","parse-names":false,"suffix":""},{"dropping-particle":"","family":"Stolf","given":"Noedir Antônio Groppo","non-dropping-particle":"","parse-names":false,"suffix":""}],"container-title":"Jornal Vascular Brasileiro","id":"ITEM-1","issue":"3","issued":{"date-parts":[["2015"]]},"page":"248-252","title":"Anatomy of spinal blood supply","type":"article-journal","volume":"14"},"uris":["http://www.mendeley.com/documents/?uuid=33127e10-ca34-4a09-b18a-b137638f6238"]},{"id":"ITEM-2","itemData":{"DOI":"10.1016/j.jtcvs.2010.06.023","ISSN":"00225223","abstract":"Objective: Prevention of paraplegia after repair of thoracoabdominal aortic aneurysm requires understanding the anatomy and physiology of the spinal cord blood supply. Recent laboratory studies and clinical observations suggest that a robust collateral network must exist to explain preservation of spinal cord perfusion when segmental vessels are interrupted. An anatomic study was undertaken. Methods: Twelve juvenile Yorkshire pigs underwent aortic cannulation and infusion of a low-viscosity acrylic resin at physiologic pressures. After curing of the resin and digestion of all organic tissue, the anatomy of the blood supply to the spinal cord was studied grossly and with light and electron microscopy. Results: All vascular structures at least 8 μm in diameter were preserved. Thoracic and lumbar segmental arteries give rise not only to the anterior spinal artery but to an extensive paraspinous network feeding the erector spinae, iliopsoas, and associated muscles. The anterior spinal artery, mean diameter 134 ± 20 μm, is connected at multiple points to repetitive circular epidural arteries with mean diameters of 150 ± 26 μm. The capacity of the paraspinous muscular network is 25-fold the capacity of the circular epidural arterial network and anterior spinal artery combined. Extensive arterial collateralization is apparent between the intraspinal and paraspinous networks, and within each network. Only 75% of all segmental arteries provide direct anterior spinal artery-supplying branches. Conclusions: The anterior spinal artery is only one component of an extensive paraspinous and intraspinal collateral vascular network. This network provides an anatomic explanation of the physiological resiliency of spinal cord perfusion when segmental arteries are sacrificed during thoracoabdominal aortic aneurysm repair. © 2011 by The American Association for Thoracic Surgery.","author":[{"dropping-particle":"","family":"Etz","given":"Christian D.","non-dropping-particle":"","parse-names":false,"suffix":""},{"dropping-particle":"","family":"Kari","given":"Fabian A.","non-dropping-particle":"","parse-names":false,"suffix":""},{"dropping-particle":"","family":"Mueller","given":"Christoph S.","non-dropping-particle":"","parse-names":false,"suffix":""},{"dropping-particle":"","family":"Silovitz","given":"Daniel","non-dropping-particle":"","parse-names":false,"suffix":""},{"dropping-particle":"","family":"Brenner","given":"Robert M.","non-dropping-particle":"","parse-names":false,"suffix":""},{"dropping-particle":"","family":"Lin","given":"Hung Mo","non-dropping-particle":"","parse-names":false,"suffix":""},{"dropping-particle":"","family":"Griepp","given":"Randall B.","non-dropping-particle":"","parse-names":false,"suffix":""}],"container-title":"Journal of Thoracic and Cardiovascular Surgery","id":"ITEM-2","issue":"4","issued":{"date-parts":[["2011"]]},"page":"1020-1028","publisher":"The American Association for Thoracic Surgery","title":"The collateral network concept: A reassessment of the anatomy of spinal cord perfusion","type":"article-journal","volume":"141"},"uris":["http://www.mendeley.com/documents/?uuid=64d4cdef-74cc-42a8-909f-812e5e171561"]}],"mendeley":{"formattedCitation":"(Amato &amp; Stolf, 2015; Etz et al., 2011)","plainTextFormattedCitation":"(Amato &amp; Stolf, 2015; Etz et al., 2011)","previouslyFormattedCitation":"(Amato &amp; Stolf, 2015; Etz et al., 2011)"},"properties":{"noteIndex":0},"schema":"https://github.com/citation-style-language/schema/raw/master/csl-citation.json"}</w:instrText>
      </w:r>
      <w:r w:rsidRPr="003A1CA0">
        <w:rPr>
          <w:lang w:val="es-CR"/>
        </w:rPr>
        <w:fldChar w:fldCharType="separate"/>
      </w:r>
      <w:r w:rsidR="00FA7019" w:rsidRPr="00FA7019">
        <w:rPr>
          <w:noProof/>
          <w:lang w:val="es-CR"/>
        </w:rPr>
        <w:t>(Amato &amp; Stolf, 2015; Etz et al., 2011)</w:t>
      </w:r>
      <w:r w:rsidRPr="003A1CA0">
        <w:rPr>
          <w:lang w:val="es-CR"/>
        </w:rPr>
        <w:fldChar w:fldCharType="end"/>
      </w:r>
      <w:r w:rsidRPr="003A1CA0">
        <w:rPr>
          <w:lang w:val="es-CR"/>
        </w:rPr>
        <w:t xml:space="preserve">. Es esencial el entendimiento completo de la anatomía vascular de la médula espinal </w:t>
      </w:r>
      <w:r w:rsidRPr="003A1CA0">
        <w:rPr>
          <w:lang w:val="es-CR"/>
        </w:rPr>
        <w:lastRenderedPageBreak/>
        <w:t>para desarrollar estrategias óptimas que prevengan la SCI en el perioperatorio</w:t>
      </w:r>
      <w:r w:rsidR="001A1B73">
        <w:rPr>
          <w:lang w:val="es-CR"/>
        </w:rPr>
        <w:t xml:space="preserve"> </w:t>
      </w:r>
      <w:r w:rsidRPr="003A1CA0">
        <w:rPr>
          <w:lang w:val="es-CR"/>
        </w:rPr>
        <w:fldChar w:fldCharType="begin" w:fldLock="1"/>
      </w:r>
      <w:r w:rsidR="001A1B73">
        <w:rPr>
          <w:lang w:val="es-CR"/>
        </w:rPr>
        <w:instrText>ADDIN CSL_CITATION {"citationItems":[{"id":"ITEM-1","itemData":{"ISSN":"00219509","PMID":"26731537","abstract":"Despite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Surgery","id":"ITEM-1","issue":"2","issued":{"date-parts":[["2016"]]},"page":"191-201","title":"Spinal cord ischemia is multifactorial: What is the best protocol?","type":"article-journal","volume":"57"},"uris":["http://www.mendeley.com/documents/?uuid=0524e5a3-e7a6-44c1-b114-0a26090a5229"]}],"mendeley":{"formattedCitation":"(Germano Melissano et al., 2016)","plainTextFormattedCitation":"(Germano Melissano et al., 2016)","previouslyFormattedCitation":"(Germano Melissano et al., 2016)"},"properties":{"noteIndex":0},"schema":"https://github.com/citation-style-language/schema/raw/master/csl-citation.json"}</w:instrText>
      </w:r>
      <w:r w:rsidRPr="003A1CA0">
        <w:rPr>
          <w:lang w:val="es-CR"/>
        </w:rPr>
        <w:fldChar w:fldCharType="separate"/>
      </w:r>
      <w:r w:rsidR="00FA7019" w:rsidRPr="00FA7019">
        <w:rPr>
          <w:noProof/>
          <w:lang w:val="es-CR"/>
        </w:rPr>
        <w:t>(Germano Melissano et al., 2016)</w:t>
      </w:r>
      <w:r w:rsidRPr="003A1CA0">
        <w:rPr>
          <w:lang w:val="es-CR"/>
        </w:rPr>
        <w:fldChar w:fldCharType="end"/>
      </w:r>
      <w:r w:rsidRPr="003A1CA0">
        <w:rPr>
          <w:lang w:val="es-CR"/>
        </w:rPr>
        <w:t>.</w:t>
      </w:r>
    </w:p>
    <w:p w14:paraId="14EBF224" w14:textId="66195B61" w:rsidR="00B12870" w:rsidRPr="003A1CA0" w:rsidRDefault="00B12870" w:rsidP="00B12870">
      <w:pPr>
        <w:rPr>
          <w:lang w:val="es-CR"/>
        </w:rPr>
      </w:pPr>
      <w:r w:rsidRPr="003A1CA0">
        <w:rPr>
          <w:lang w:val="es-CR"/>
        </w:rPr>
        <w:t xml:space="preserve">El aporte arterial se origina de dos fuentes principales: las </w:t>
      </w:r>
      <w:r>
        <w:rPr>
          <w:lang w:val="es-CR"/>
        </w:rPr>
        <w:t>arterias</w:t>
      </w:r>
      <w:r w:rsidRPr="003A1CA0">
        <w:rPr>
          <w:lang w:val="es-CR"/>
        </w:rPr>
        <w:t xml:space="preserve"> subclavias y las vertebrales </w:t>
      </w:r>
      <w:r>
        <w:rPr>
          <w:lang w:val="es-CR"/>
        </w:rPr>
        <w:t>así como l</w:t>
      </w:r>
      <w:r w:rsidRPr="003A1CA0">
        <w:rPr>
          <w:lang w:val="es-CR"/>
        </w:rPr>
        <w:t>a aorta</w:t>
      </w:r>
      <w:r>
        <w:rPr>
          <w:lang w:val="es-CR"/>
        </w:rPr>
        <w:t xml:space="preserve"> tanto en su segmento</w:t>
      </w:r>
      <w:r w:rsidRPr="003A1CA0">
        <w:rPr>
          <w:lang w:val="es-CR"/>
        </w:rPr>
        <w:t xml:space="preserve"> torácic</w:t>
      </w:r>
      <w:r>
        <w:rPr>
          <w:lang w:val="es-CR"/>
        </w:rPr>
        <w:t>o</w:t>
      </w:r>
      <w:r w:rsidRPr="003A1CA0">
        <w:rPr>
          <w:lang w:val="es-CR"/>
        </w:rPr>
        <w:t xml:space="preserve"> y abdominal</w:t>
      </w:r>
      <w:r w:rsidR="001A1B73">
        <w:rPr>
          <w:lang w:val="es-CR"/>
        </w:rPr>
        <w:t xml:space="preserve"> </w:t>
      </w:r>
      <w:r w:rsidRPr="003A1CA0">
        <w:rPr>
          <w:lang w:val="es-CR"/>
        </w:rPr>
        <w:fldChar w:fldCharType="begin" w:fldLock="1"/>
      </w:r>
      <w:r w:rsidR="001A1B73">
        <w:rPr>
          <w:lang w:val="es-CR"/>
        </w:rPr>
        <w:instrText>ADDIN CSL_CITATION {"citationItems":[{"id":"ITEM-1","itemData":{"DOI":"10.1177/15910199000060s131","ISSN":"11239344","PMID":"20667247","abstract":"The arterial and venous anatomy of the spinal cord was described in terms of extrinsic and intrinsic contribution to the cord substance. Based upon anatomical location of an arteriovenous shunt, spinal arteriovenous malformations (AVMs) were classified into intramedullary AVM, perimedullary arteriovenous fistula (AVF) and dural AVF. This simple classification seems practical from the standpoint of endovascular and surgical treatments since it reflects anatomical differences in the shunt location, which is the target in either approach.","author":[{"dropping-particle":"","family":"Miyasaka","given":"K.","non-dropping-particle":"","parse-names":false,"suffix":""},{"dropping-particle":"","family":"Asano","given":"T.","non-dropping-particle":"","parse-names":false,"suffix":""},{"dropping-particle":"","family":"Ushikoshi","given":"S.","non-dropping-particle":"","parse-names":false,"suffix":""},{"dropping-particle":"","family":"Hida","given":"K.","non-dropping-particle":"","parse-names":false,"suffix":""},{"dropping-particle":"","family":"Koyanagi","given":"I.","non-dropping-particle":"","parse-names":false,"suffix":""}],"container-title":"Interventional Neuroradiology","id":"ITEM-1","issue":"SUPPL. 1","issued":{"date-parts":[["2000"]]},"page":"195-198","title":"Vascular anatomy of the spinal cord and classification of spinal arteriovenous malformations","type":"article-journal","volume":"6"},"uris":["http://www.mendeley.com/documents/?uuid=b76d76f4-20ea-4600-b01c-6a69a570da31"]}],"mendeley":{"formattedCitation":"(Miyasaka et al., 2000)","plainTextFormattedCitation":"(Miyasaka et al., 2000)","previouslyFormattedCitation":"(Miyasaka et al., 2000)"},"properties":{"noteIndex":0},"schema":"https://github.com/citation-style-language/schema/raw/master/csl-citation.json"}</w:instrText>
      </w:r>
      <w:r w:rsidRPr="003A1CA0">
        <w:rPr>
          <w:lang w:val="es-CR"/>
        </w:rPr>
        <w:fldChar w:fldCharType="separate"/>
      </w:r>
      <w:r w:rsidR="00FA7019" w:rsidRPr="00FA7019">
        <w:rPr>
          <w:noProof/>
          <w:lang w:val="es-CR"/>
        </w:rPr>
        <w:t>(Miyasaka et al., 2000)</w:t>
      </w:r>
      <w:r w:rsidRPr="003A1CA0">
        <w:rPr>
          <w:lang w:val="es-CR"/>
        </w:rPr>
        <w:fldChar w:fldCharType="end"/>
      </w:r>
      <w:r w:rsidRPr="003A1CA0">
        <w:rPr>
          <w:lang w:val="es-CR"/>
        </w:rPr>
        <w:t>.</w:t>
      </w:r>
    </w:p>
    <w:p w14:paraId="3AB51A9B" w14:textId="77777777" w:rsidR="00B12870" w:rsidRPr="003A1CA0" w:rsidRDefault="00B12870" w:rsidP="00B12870">
      <w:pPr>
        <w:rPr>
          <w:lang w:val="es-CR"/>
        </w:rPr>
      </w:pPr>
      <w:r w:rsidRPr="003A1CA0">
        <w:rPr>
          <w:lang w:val="es-CR"/>
        </w:rPr>
        <w:t>La porción anterior de la médula espinal esta irrigada por la A. Espinal Anterior (ASA) que transcurre a lo largo de la fisura anterior medial. La porción posterior esta irrigad</w:t>
      </w:r>
      <w:r>
        <w:rPr>
          <w:lang w:val="es-CR"/>
        </w:rPr>
        <w:t>a</w:t>
      </w:r>
      <w:r w:rsidRPr="003A1CA0">
        <w:rPr>
          <w:lang w:val="es-CR"/>
        </w:rPr>
        <w:t xml:space="preserve"> por las arterias espinales posterolaterales.</w:t>
      </w:r>
    </w:p>
    <w:p w14:paraId="50CA89BE" w14:textId="4E22200A" w:rsidR="00B12870" w:rsidRPr="003A1CA0" w:rsidRDefault="00B12870" w:rsidP="00B12870">
      <w:pPr>
        <w:rPr>
          <w:lang w:val="es-CR"/>
        </w:rPr>
      </w:pPr>
      <w:r w:rsidRPr="003A1CA0">
        <w:rPr>
          <w:lang w:val="es-CR"/>
        </w:rPr>
        <w:t>El flujo sanguíneo de estos sistemas nace de la arteria subclavia a través de la</w:t>
      </w:r>
      <w:r>
        <w:rPr>
          <w:lang w:val="es-CR"/>
        </w:rPr>
        <w:t>s</w:t>
      </w:r>
      <w:r w:rsidRPr="003A1CA0">
        <w:rPr>
          <w:lang w:val="es-CR"/>
        </w:rPr>
        <w:t xml:space="preserve"> </w:t>
      </w:r>
      <w:r>
        <w:rPr>
          <w:lang w:val="es-CR"/>
        </w:rPr>
        <w:t xml:space="preserve">arterias </w:t>
      </w:r>
      <w:r w:rsidRPr="003A1CA0">
        <w:rPr>
          <w:lang w:val="es-CR"/>
        </w:rPr>
        <w:t>vertebral</w:t>
      </w:r>
      <w:r>
        <w:rPr>
          <w:lang w:val="es-CR"/>
        </w:rPr>
        <w:t>es</w:t>
      </w:r>
      <w:r w:rsidRPr="003A1CA0">
        <w:rPr>
          <w:lang w:val="es-CR"/>
        </w:rPr>
        <w:t>, el tronco</w:t>
      </w:r>
      <w:r>
        <w:rPr>
          <w:lang w:val="es-CR"/>
        </w:rPr>
        <w:t xml:space="preserve"> </w:t>
      </w:r>
      <w:r w:rsidRPr="003A1CA0">
        <w:rPr>
          <w:lang w:val="es-CR"/>
        </w:rPr>
        <w:t>tiro</w:t>
      </w:r>
      <w:r>
        <w:rPr>
          <w:lang w:val="es-CR"/>
        </w:rPr>
        <w:t>-</w:t>
      </w:r>
      <w:r w:rsidRPr="003A1CA0">
        <w:rPr>
          <w:lang w:val="es-CR"/>
        </w:rPr>
        <w:t>cervical y el tronco costo-cervical,</w:t>
      </w:r>
      <w:r>
        <w:rPr>
          <w:lang w:val="es-CR"/>
        </w:rPr>
        <w:t xml:space="preserve"> así como</w:t>
      </w:r>
      <w:r w:rsidRPr="003A1CA0">
        <w:rPr>
          <w:lang w:val="es-CR"/>
        </w:rPr>
        <w:t xml:space="preserve"> varios segmentos se alimentan de las </w:t>
      </w:r>
      <w:r>
        <w:rPr>
          <w:lang w:val="es-CR"/>
        </w:rPr>
        <w:t>arterias</w:t>
      </w:r>
      <w:r w:rsidRPr="003A1CA0">
        <w:rPr>
          <w:lang w:val="es-CR"/>
        </w:rPr>
        <w:t xml:space="preserve"> </w:t>
      </w:r>
      <w:r>
        <w:rPr>
          <w:lang w:val="es-CR"/>
        </w:rPr>
        <w:t>l</w:t>
      </w:r>
      <w:r w:rsidRPr="003A1CA0">
        <w:rPr>
          <w:lang w:val="es-CR"/>
        </w:rPr>
        <w:t>umbares e intercostales</w:t>
      </w:r>
      <w:r>
        <w:rPr>
          <w:lang w:val="es-CR"/>
        </w:rPr>
        <w:t>,</w:t>
      </w:r>
      <w:r w:rsidRPr="003A1CA0">
        <w:rPr>
          <w:lang w:val="es-CR"/>
        </w:rPr>
        <w:t xml:space="preserve"> l</w:t>
      </w:r>
      <w:r>
        <w:rPr>
          <w:lang w:val="es-CR"/>
        </w:rPr>
        <w:t>as arterias</w:t>
      </w:r>
      <w:r w:rsidRPr="003A1CA0">
        <w:rPr>
          <w:lang w:val="es-CR"/>
        </w:rPr>
        <w:t xml:space="preserve"> </w:t>
      </w:r>
      <w:r>
        <w:rPr>
          <w:lang w:val="es-CR"/>
        </w:rPr>
        <w:t>h</w:t>
      </w:r>
      <w:r w:rsidRPr="003A1CA0">
        <w:rPr>
          <w:lang w:val="es-CR"/>
        </w:rPr>
        <w:t xml:space="preserve">ipogástricas a través de las </w:t>
      </w:r>
      <w:r>
        <w:rPr>
          <w:lang w:val="es-CR"/>
        </w:rPr>
        <w:t>arterias</w:t>
      </w:r>
      <w:r w:rsidRPr="003A1CA0">
        <w:rPr>
          <w:lang w:val="es-CR"/>
        </w:rPr>
        <w:t xml:space="preserve"> </w:t>
      </w:r>
      <w:r>
        <w:rPr>
          <w:lang w:val="es-CR"/>
        </w:rPr>
        <w:t>s</w:t>
      </w:r>
      <w:r w:rsidRPr="003A1CA0">
        <w:rPr>
          <w:lang w:val="es-CR"/>
        </w:rPr>
        <w:t>acral lateral y las ileo-lumbares (</w:t>
      </w:r>
      <w:r w:rsidR="001A1B73">
        <w:rPr>
          <w:lang w:val="es-CR"/>
        </w:rPr>
        <w:t>I</w:t>
      </w:r>
      <w:r w:rsidRPr="003A1CA0">
        <w:rPr>
          <w:lang w:val="es-CR"/>
        </w:rPr>
        <w:t>magen 4).</w:t>
      </w:r>
    </w:p>
    <w:p w14:paraId="05132B46" w14:textId="77777777" w:rsidR="00B12870" w:rsidRPr="003A1CA0" w:rsidRDefault="00B12870" w:rsidP="00B12870">
      <w:pPr>
        <w:rPr>
          <w:lang w:val="es-CR"/>
        </w:rPr>
      </w:pPr>
      <w:r w:rsidRPr="003A1CA0">
        <w:rPr>
          <w:lang w:val="es-CR"/>
        </w:rPr>
        <w:t xml:space="preserve">El suministro de sangre consiste en una compleja red de arterias que perfunden la médula espinal (Imagen 1); se clasifican en intrínsecas y extrínsecas. El sistema extrínseco que irriga la médula espinal incluye: </w:t>
      </w:r>
    </w:p>
    <w:p w14:paraId="4B6FC976" w14:textId="77777777" w:rsidR="00B12870" w:rsidRPr="003A1CA0" w:rsidRDefault="00B12870" w:rsidP="00B12870">
      <w:pPr>
        <w:pStyle w:val="ListParagraph"/>
        <w:numPr>
          <w:ilvl w:val="0"/>
          <w:numId w:val="1"/>
        </w:numPr>
        <w:rPr>
          <w:lang w:val="es-CR"/>
        </w:rPr>
      </w:pPr>
      <w:r w:rsidRPr="003A1CA0">
        <w:rPr>
          <w:lang w:val="es-CR"/>
        </w:rPr>
        <w:t>Troncos Arteriales Longitudinales</w:t>
      </w:r>
    </w:p>
    <w:p w14:paraId="1A909414" w14:textId="77777777" w:rsidR="00B12870" w:rsidRPr="003A1CA0" w:rsidRDefault="00B12870" w:rsidP="00B12870">
      <w:pPr>
        <w:pStyle w:val="ListParagraph"/>
        <w:numPr>
          <w:ilvl w:val="0"/>
          <w:numId w:val="1"/>
        </w:numPr>
        <w:rPr>
          <w:lang w:val="es-CR"/>
        </w:rPr>
      </w:pPr>
      <w:r w:rsidRPr="003A1CA0">
        <w:rPr>
          <w:lang w:val="es-CR"/>
        </w:rPr>
        <w:t xml:space="preserve">Arteria espinal Anterior (ASA) </w:t>
      </w:r>
    </w:p>
    <w:p w14:paraId="378D7F6F" w14:textId="77777777" w:rsidR="00B12870" w:rsidRPr="003A1CA0" w:rsidRDefault="00B12870" w:rsidP="00B12870">
      <w:pPr>
        <w:pStyle w:val="ListParagraph"/>
        <w:numPr>
          <w:ilvl w:val="0"/>
          <w:numId w:val="1"/>
        </w:numPr>
        <w:rPr>
          <w:lang w:val="es-CR"/>
        </w:rPr>
      </w:pPr>
      <w:r w:rsidRPr="003A1CA0">
        <w:rPr>
          <w:lang w:val="es-CR"/>
        </w:rPr>
        <w:t xml:space="preserve">Arterias espinales posterolaterales y posteriores, el </w:t>
      </w:r>
      <w:r>
        <w:rPr>
          <w:lang w:val="es-CR"/>
        </w:rPr>
        <w:t>p</w:t>
      </w:r>
      <w:r w:rsidRPr="003A1CA0">
        <w:rPr>
          <w:lang w:val="es-CR"/>
        </w:rPr>
        <w:t xml:space="preserve">lexo Pial </w:t>
      </w:r>
    </w:p>
    <w:p w14:paraId="4A5E99B1" w14:textId="77777777" w:rsidR="00B12870" w:rsidRPr="003A1CA0" w:rsidRDefault="00B12870" w:rsidP="00B12870">
      <w:pPr>
        <w:rPr>
          <w:lang w:val="es-CR"/>
        </w:rPr>
      </w:pPr>
      <w:r w:rsidRPr="003A1CA0">
        <w:rPr>
          <w:lang w:val="es-CR"/>
        </w:rPr>
        <w:t xml:space="preserve">El sistema intrínseco se divide en 2 sistemas: </w:t>
      </w:r>
    </w:p>
    <w:p w14:paraId="2A3B095F" w14:textId="77777777" w:rsidR="00B12870" w:rsidRPr="003A1CA0" w:rsidRDefault="00B12870" w:rsidP="00B12870">
      <w:pPr>
        <w:pStyle w:val="ListParagraph"/>
        <w:numPr>
          <w:ilvl w:val="0"/>
          <w:numId w:val="1"/>
        </w:numPr>
        <w:rPr>
          <w:lang w:val="es-CR"/>
        </w:rPr>
      </w:pPr>
      <w:r w:rsidRPr="003A1CA0">
        <w:rPr>
          <w:lang w:val="es-CR"/>
        </w:rPr>
        <w:t xml:space="preserve">Periférico (centrípeto) sistema perforante que nace del </w:t>
      </w:r>
      <w:r>
        <w:rPr>
          <w:lang w:val="es-CR"/>
        </w:rPr>
        <w:t>p</w:t>
      </w:r>
      <w:r w:rsidRPr="003A1CA0">
        <w:rPr>
          <w:lang w:val="es-CR"/>
        </w:rPr>
        <w:t xml:space="preserve">lexo Pial. </w:t>
      </w:r>
    </w:p>
    <w:p w14:paraId="35E354D5" w14:textId="77777777" w:rsidR="00B12870" w:rsidRPr="003A1CA0" w:rsidRDefault="00B12870" w:rsidP="00B12870">
      <w:pPr>
        <w:pStyle w:val="ListParagraph"/>
        <w:numPr>
          <w:ilvl w:val="0"/>
          <w:numId w:val="1"/>
        </w:numPr>
        <w:rPr>
          <w:lang w:val="es-CR"/>
        </w:rPr>
      </w:pPr>
      <w:r w:rsidRPr="003A1CA0">
        <w:rPr>
          <w:lang w:val="es-CR"/>
        </w:rPr>
        <w:t>Central (centrifugo) alimentado por las A. Sulcales.</w:t>
      </w:r>
    </w:p>
    <w:p w14:paraId="6D3A489E" w14:textId="77777777" w:rsidR="00B12870" w:rsidRPr="003A1CA0" w:rsidRDefault="00B12870" w:rsidP="00B12870">
      <w:pPr>
        <w:spacing w:after="0"/>
        <w:ind w:firstLine="0"/>
        <w:jc w:val="center"/>
        <w:rPr>
          <w:lang w:val="es-CR"/>
        </w:rPr>
      </w:pPr>
      <w:r w:rsidRPr="003A1CA0">
        <w:rPr>
          <w:noProof/>
          <w:lang w:val="es-CR"/>
        </w:rPr>
        <w:lastRenderedPageBreak/>
        <w:drawing>
          <wp:inline distT="0" distB="0" distL="0" distR="0" wp14:anchorId="5A79E0B5" wp14:editId="4D63AA6F">
            <wp:extent cx="4973533" cy="2777706"/>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30035" cy="2809262"/>
                    </a:xfrm>
                    <a:prstGeom prst="rect">
                      <a:avLst/>
                    </a:prstGeom>
                    <a:noFill/>
                    <a:ln>
                      <a:noFill/>
                    </a:ln>
                  </pic:spPr>
                </pic:pic>
              </a:graphicData>
            </a:graphic>
          </wp:inline>
        </w:drawing>
      </w:r>
    </w:p>
    <w:p w14:paraId="7000BC0C" w14:textId="0E33EBFD" w:rsidR="00B12870" w:rsidRDefault="00B12870" w:rsidP="001A1B73">
      <w:pPr>
        <w:pStyle w:val="Prrafodelista1"/>
        <w:spacing w:after="0"/>
        <w:rPr>
          <w:lang w:val="es-CR"/>
        </w:rPr>
      </w:pPr>
      <w:r w:rsidRPr="003A1CA0">
        <w:rPr>
          <w:lang w:val="es-CR"/>
        </w:rPr>
        <w:t>Imagen 1. Sistema intrínseco y extrínseco</w:t>
      </w:r>
    </w:p>
    <w:p w14:paraId="78F0FFE8" w14:textId="331172CB" w:rsidR="001A1B73" w:rsidRPr="001A1B73" w:rsidRDefault="001A1B73" w:rsidP="001A1B73">
      <w:pPr>
        <w:pStyle w:val="Prrafodelista1"/>
        <w:rPr>
          <w:lang w:val="es-CR"/>
        </w:rPr>
      </w:pPr>
      <w:r>
        <w:rPr>
          <w:lang w:val="es-CR"/>
        </w:rPr>
        <w:t xml:space="preserve">Fuente: Tomado de </w:t>
      </w:r>
      <w:r>
        <w:rPr>
          <w:lang w:val="es-CR"/>
        </w:rPr>
        <w:fldChar w:fldCharType="begin" w:fldLock="1"/>
      </w:r>
      <w:r w:rsidR="00FC49C0">
        <w:rPr>
          <w:lang w:val="es-CR"/>
        </w:rPr>
        <w:instrText>ADDIN CSL_CITATION {"citationItems":[{"id":"ITEM-1","itemData":{"DOI":"10.1590/1677-5449.0004","ISSN":"1677-7301","abstract":"ResumoA intrincada anatomia tridimensional da irrigação medular é frequentemente explanada na literatura com diferentes nomenclaturas e devido a sua alta relevância no estudo da isquemia medular, o estudo da terminologia se faz necessário para melhor compreensão do tema. A artéria de Adamkiewicz, também chamada de artéria radicular magna, é a via principal. Foi realizada a revisão da literatura com equiparação das nomenclaturas utilizadas e elaboração de descrição acurada e sumarizada do conhecimento atual sobre a vascularização medular.AbstractThe intricate three-dimensional vascular anatomy of the spinal cord is still not completely understood, and its terminology varies between studies. In view of its importance in spinal ischemia, an analysis is needed of the anatomic vocabulary used to describe the spinal cord blood supply to improve understanding of the subject. The main supply is the Adamkiewicz artery, also known as great anterior radicular artery. The literature was reviewed to equate the different nomenclatures employed and an accurate description of current knowledge on spinal cord vascularization was prepared.","author":[{"dropping-particle":"","family":"Amato","given":"Alexandre Campos Moraes","non-dropping-particle":"","parse-names":false,"suffix":""},{"dropping-particle":"","family":"Stolf","given":"Noedir Antônio Groppo","non-dropping-particle":"","parse-names":false,"suffix":""}],"container-title":"Jornal Vascular Brasileiro","id":"ITEM-1","issue":"3","issued":{"date-parts":[["2015"]]},"page":"248-252","title":"Anatomy of spinal blood supply","type":"article-journal","volume":"14"},"uris":["http://www.mendeley.com/documents/?uuid=33127e10-ca34-4a09-b18a-b137638f6238"]}],"mendeley":{"formattedCitation":"(Amato &amp; Stolf, 2015)","plainTextFormattedCitation":"(Amato &amp; Stolf, 2015)","previouslyFormattedCitation":"(Amato &amp; Stolf, 2015)"},"properties":{"noteIndex":0},"schema":"https://github.com/citation-style-language/schema/raw/master/csl-citation.json"}</w:instrText>
      </w:r>
      <w:r>
        <w:rPr>
          <w:lang w:val="es-CR"/>
        </w:rPr>
        <w:fldChar w:fldCharType="separate"/>
      </w:r>
      <w:r w:rsidRPr="001A1B73">
        <w:rPr>
          <w:noProof/>
          <w:lang w:val="es-CR"/>
        </w:rPr>
        <w:t>(Amato &amp; Stolf, 2015)</w:t>
      </w:r>
      <w:r>
        <w:rPr>
          <w:lang w:val="es-CR"/>
        </w:rPr>
        <w:fldChar w:fldCharType="end"/>
      </w:r>
    </w:p>
    <w:p w14:paraId="673B12DD" w14:textId="0D368AA9" w:rsidR="00B12870" w:rsidRPr="003A1CA0" w:rsidRDefault="00B12870" w:rsidP="00B12870">
      <w:pPr>
        <w:rPr>
          <w:lang w:val="es-CR"/>
        </w:rPr>
      </w:pPr>
      <w:r w:rsidRPr="003A1CA0">
        <w:rPr>
          <w:lang w:val="es-CR"/>
        </w:rPr>
        <w:t>La hemodinamia del aporte arterial es un factor importante a considerar,</w:t>
      </w:r>
      <w:r>
        <w:rPr>
          <w:lang w:val="es-CR"/>
        </w:rPr>
        <w:t xml:space="preserve"> donde</w:t>
      </w:r>
      <w:r w:rsidRPr="003A1CA0">
        <w:rPr>
          <w:lang w:val="es-CR"/>
        </w:rPr>
        <w:t xml:space="preserve"> la dirección del flujo sanguíneo a lo largo de la médula espinal juega un papel crucial en el mantenimiento de la perfusión tisular y prevención de SCI</w:t>
      </w:r>
      <w:r w:rsidR="00F01770">
        <w:rPr>
          <w:lang w:val="es-CR"/>
        </w:rPr>
        <w:t xml:space="preserve"> </w:t>
      </w:r>
      <w:r w:rsidRPr="003A1CA0">
        <w:rPr>
          <w:lang w:val="es-CR"/>
        </w:rPr>
        <w:fldChar w:fldCharType="begin" w:fldLock="1"/>
      </w:r>
      <w:r w:rsidR="001A1B73">
        <w:rPr>
          <w:lang w:val="es-CR"/>
        </w:rPr>
        <w:instrText>ADDIN CSL_CITATION {"citationItems":[{"id":"ITEM-1","itemData":{"DOI":"10.1002/ca.22281","ISSN":"10982353","abstract":"The arterial network that supplies the human spinal cord, which was once thought to be similar to that of the brain, is in fact much different and more extensive. In this article, the authors attempt to provide a comprehensive review of the literature regarding the anatomy and known hemodynamics of the blood supply to the human spinal cord. Additionally, as the medical literature often fails to provide accurate terminology for the arteries that supply the cord, the authors attempt to categorize and clarify this nomenclature. A complete understanding of the morphology of the arterial blood supply to the human spinal cord is important to anatomists and clinicians alike. Clin. Anat. 28:52-64, 2015.","author":[{"dropping-particle":"","family":"Bosmia","given":"Anand N.","non-dropping-particle":"","parse-names":false,"suffix":""},{"dropping-particle":"","family":"Hogan","given":"Elizabeth","non-dropping-particle":"","parse-names":false,"suffix":""},{"dropping-particle":"","family":"Loukas","given":"Marios","non-dropping-particle":"","parse-names":false,"suffix":""},{"dropping-particle":"","family":"Tubbs","given":"R. Shane","non-dropping-particle":"","parse-names":false,"suffix":""},{"dropping-particle":"","family":"Cohen-Gadol","given":"Aaron A.","non-dropping-particle":"","parse-names":false,"suffix":""}],"container-title":"Clinical Anatomy","id":"ITEM-1","issue":"1","issued":{"date-parts":[["2015"]]},"page":"52-64","title":"Blood supply to the human spinal cord: Part I. Anatomy and hemodynamics","type":"article-journal","volume":"28"},"uris":["http://www.mendeley.com/documents/?uuid=fb6fe38c-1fe4-4b60-8954-e764521580d6"]}],"mendeley":{"formattedCitation":"(Bosmia et al., 2015)","plainTextFormattedCitation":"(Bosmia et al., 2015)","previouslyFormattedCitation":"(Bosmia et al., 2015)"},"properties":{"noteIndex":0},"schema":"https://github.com/citation-style-language/schema/raw/master/csl-citation.json"}</w:instrText>
      </w:r>
      <w:r w:rsidRPr="003A1CA0">
        <w:rPr>
          <w:lang w:val="es-CR"/>
        </w:rPr>
        <w:fldChar w:fldCharType="separate"/>
      </w:r>
      <w:r w:rsidR="00FA7019" w:rsidRPr="00FA7019">
        <w:rPr>
          <w:noProof/>
          <w:lang w:val="es-CR"/>
        </w:rPr>
        <w:t>(Bosmia et al., 2015)</w:t>
      </w:r>
      <w:r w:rsidRPr="003A1CA0">
        <w:rPr>
          <w:lang w:val="es-CR"/>
        </w:rPr>
        <w:fldChar w:fldCharType="end"/>
      </w:r>
      <w:r w:rsidRPr="003A1CA0">
        <w:rPr>
          <w:lang w:val="es-CR"/>
        </w:rPr>
        <w:t xml:space="preserve">. La angiografía es </w:t>
      </w:r>
      <w:r>
        <w:rPr>
          <w:lang w:val="es-CR"/>
        </w:rPr>
        <w:t>el</w:t>
      </w:r>
      <w:r w:rsidRPr="003A1CA0">
        <w:rPr>
          <w:lang w:val="es-CR"/>
        </w:rPr>
        <w:t xml:space="preserve"> método</w:t>
      </w:r>
      <w:r>
        <w:rPr>
          <w:lang w:val="es-CR"/>
        </w:rPr>
        <w:t xml:space="preserve"> más utilizado </w:t>
      </w:r>
      <w:r w:rsidRPr="003A1CA0">
        <w:rPr>
          <w:lang w:val="es-CR"/>
        </w:rPr>
        <w:t>para valorar el calibre arterial y determinar la dirección del flujo ascendente o descendente existente en las arterias espinales anteriores y posteriores.</w:t>
      </w:r>
    </w:p>
    <w:p w14:paraId="604FA7E3" w14:textId="77777777" w:rsidR="00B12870" w:rsidRPr="003A1CA0" w:rsidRDefault="00B12870" w:rsidP="00B12870">
      <w:pPr>
        <w:rPr>
          <w:lang w:val="es-CR"/>
        </w:rPr>
      </w:pPr>
      <w:r w:rsidRPr="003A1CA0">
        <w:rPr>
          <w:lang w:val="es-CR"/>
        </w:rPr>
        <w:t xml:space="preserve">Los flujos convergentes de las arterias espinales anteriores y posteriores permiten un amplio flujo colateral en caso de una oclusión arterial, </w:t>
      </w:r>
      <w:r>
        <w:rPr>
          <w:lang w:val="es-CR"/>
        </w:rPr>
        <w:t>el cual consta de</w:t>
      </w:r>
      <w:r w:rsidRPr="003A1CA0">
        <w:rPr>
          <w:lang w:val="es-CR"/>
        </w:rPr>
        <w:t xml:space="preserve"> un mecanismo de protección para todo el sistema cardiovascular. El flujo ascendente proveniente a nivel de C3 puede proveer un flujo sanguíneo retrogrado a la A. basilar en caso de la obstrucción de una o ambas arterias vertebrales.</w:t>
      </w:r>
    </w:p>
    <w:p w14:paraId="6AE8961D" w14:textId="00721C96" w:rsidR="00B12870" w:rsidRPr="003A1CA0" w:rsidRDefault="00B12870" w:rsidP="00B12870">
      <w:pPr>
        <w:rPr>
          <w:lang w:val="es-CR"/>
        </w:rPr>
      </w:pPr>
      <w:r w:rsidRPr="003A1CA0">
        <w:rPr>
          <w:lang w:val="es-CR"/>
        </w:rPr>
        <w:t xml:space="preserve">Adaptaciones en las vías colaterales ocurren en respuesta a cambios fisiopatológicos descritos más adelante; se conoce como el fenómeno </w:t>
      </w:r>
      <w:r>
        <w:rPr>
          <w:lang w:val="es-CR"/>
        </w:rPr>
        <w:t>robo</w:t>
      </w:r>
      <w:r w:rsidR="00F01770">
        <w:rPr>
          <w:lang w:val="es-CR"/>
        </w:rPr>
        <w:t xml:space="preserve"> </w:t>
      </w:r>
      <w:r w:rsidRPr="003A1CA0">
        <w:rPr>
          <w:lang w:val="es-CR"/>
        </w:rPr>
        <w:fldChar w:fldCharType="begin" w:fldLock="1"/>
      </w:r>
      <w:r w:rsidR="001A1B73">
        <w:rPr>
          <w:lang w:val="es-CR"/>
        </w:rPr>
        <w:instrText>ADDIN CSL_CITATION {"citationItems":[{"id":"ITEM-1","itemData":{"DOI":"10.1016/j.athoracsur.2006.10.092","ISSN":"00034975","abstract":"In the last two decades, as an increasing number of patients with descending thoracic and thoracoabdominal aneurysms are being diagnosed and treated, a more sophisticated understanding of spinal cord perfusion has become important in the attempt to minimize the frequency of spinal cord injury. The synthesis of information from laboratory studies and clinical experience has led to the collateral network concept, a framework for understanding spinal cord perfusion and thereby improving spinal cord protection during treatment of aneurysmal disease of the aorta distal to the left subclavian artery. Application of principles based on the collateral network concept has resulted in falling rates of spinal cord injury, which now approach 1% in descending thoracic aneurysm resection and less than 10% in extensive thoracoabdominal resections. These accomplishments suggest that, with further investigation, routine sacrifice of segmental aortic branches can be carried out in a way that will allow surgical and endovascular therapy of extensive distal aortic aneurysms without neurologic injury. © 2007 The Society of Thoracic Surgeons.","author":[{"dropping-particle":"","family":"Griepp","given":"Randall B.","non-dropping-particle":"","parse-names":false,"suffix":""},{"dropping-particle":"","family":"Griepp","given":"Eva B.","non-dropping-particle":"","parse-names":false,"suffix":""}],"container-title":"Annals of Thoracic Surgery","id":"ITEM-1","issue":"2","issued":{"date-parts":[["2007"]]},"title":"Spinal Cord Perfusion and Protection During Descending Thoracic and Thoracoabdominal Aortic Surgery: The Collateral Network Concept","type":"article-journal","volume":"83"},"uris":["http://www.mendeley.com/documents/?uuid=e36190bf-319b-4465-8058-37a48412f817"]}],"mendeley":{"formattedCitation":"(Griepp &amp; Griepp, 2007)","plainTextFormattedCitation":"(Griepp &amp; Griepp, 2007)","previouslyFormattedCitation":"(Griepp &amp; Griepp, 2007)"},"properties":{"noteIndex":0},"schema":"https://github.com/citation-style-language/schema/raw/master/csl-citation.json"}</w:instrText>
      </w:r>
      <w:r w:rsidRPr="003A1CA0">
        <w:rPr>
          <w:lang w:val="es-CR"/>
        </w:rPr>
        <w:fldChar w:fldCharType="separate"/>
      </w:r>
      <w:r w:rsidR="00FA7019" w:rsidRPr="00FA7019">
        <w:rPr>
          <w:noProof/>
          <w:lang w:val="es-CR"/>
        </w:rPr>
        <w:t xml:space="preserve">(Griepp </w:t>
      </w:r>
      <w:r w:rsidR="00FA7019" w:rsidRPr="00FA7019">
        <w:rPr>
          <w:noProof/>
          <w:lang w:val="es-CR"/>
        </w:rPr>
        <w:lastRenderedPageBreak/>
        <w:t>&amp; Griepp, 2007)</w:t>
      </w:r>
      <w:r w:rsidRPr="003A1CA0">
        <w:rPr>
          <w:lang w:val="es-CR"/>
        </w:rPr>
        <w:fldChar w:fldCharType="end"/>
      </w:r>
      <w:r w:rsidRPr="003A1CA0">
        <w:rPr>
          <w:lang w:val="es-CR"/>
        </w:rPr>
        <w:t xml:space="preserve"> y produce una dilatación de las arterias espinales en respuesta a disminución de la perfusión de la médula espinal.</w:t>
      </w:r>
    </w:p>
    <w:p w14:paraId="77D3D0E4" w14:textId="77777777" w:rsidR="00B12870" w:rsidRPr="003A1CA0" w:rsidRDefault="00B12870" w:rsidP="00B12870">
      <w:pPr>
        <w:pStyle w:val="Heading3"/>
        <w:rPr>
          <w:lang w:val="es-CR"/>
        </w:rPr>
      </w:pPr>
      <w:bookmarkStart w:id="27" w:name="_Toc47027836"/>
      <w:r w:rsidRPr="003A1CA0">
        <w:rPr>
          <w:lang w:val="es-CR"/>
        </w:rPr>
        <w:t>Anatomía arterial de la médula espinal.</w:t>
      </w:r>
      <w:bookmarkEnd w:id="27"/>
    </w:p>
    <w:p w14:paraId="1401AC7F" w14:textId="77777777" w:rsidR="00B12870" w:rsidRPr="003A1CA0" w:rsidRDefault="00B12870" w:rsidP="00B12870">
      <w:pPr>
        <w:rPr>
          <w:i/>
          <w:iCs/>
          <w:u w:val="single"/>
          <w:lang w:val="es-CR"/>
        </w:rPr>
      </w:pPr>
      <w:r w:rsidRPr="003A1CA0">
        <w:rPr>
          <w:i/>
          <w:iCs/>
          <w:u w:val="single"/>
          <w:lang w:val="es-CR"/>
        </w:rPr>
        <w:t>Arteria Espinal Anterior (ASA)</w:t>
      </w:r>
    </w:p>
    <w:p w14:paraId="1F434CBF" w14:textId="2BE870E6" w:rsidR="00B12870" w:rsidRPr="003A1CA0" w:rsidRDefault="00B12870" w:rsidP="00B12870">
      <w:pPr>
        <w:rPr>
          <w:lang w:val="es-CR"/>
        </w:rPr>
      </w:pPr>
      <w:r w:rsidRPr="003A1CA0">
        <w:rPr>
          <w:lang w:val="es-CR"/>
        </w:rPr>
        <w:t>La ASA tiene un recorrido continúo a lo largo de toda la extensión de la médula espinal y es responsable del 75% del aporte sanguíneo a la médula espinal</w:t>
      </w:r>
      <w:r w:rsidR="00F01770">
        <w:rPr>
          <w:lang w:val="es-CR"/>
        </w:rPr>
        <w:t xml:space="preserve"> </w:t>
      </w:r>
      <w:r w:rsidRPr="003A1CA0">
        <w:rPr>
          <w:lang w:val="es-CR"/>
        </w:rPr>
        <w:fldChar w:fldCharType="begin" w:fldLock="1"/>
      </w:r>
      <w:r w:rsidR="001A1B73">
        <w:rPr>
          <w:lang w:val="es-CR"/>
        </w:rPr>
        <w:instrText>ADDIN CSL_CITATION {"citationItems":[{"id":"ITEM-1","itemData":{"ISSN":"10276661","PMID":"25757179","abstract":"Paraplegia or paraparesis occurring as a complication of thoracic or thoracoabdominal aortic aneurysm repair is a well known phenomenon, but the vast majority of elective abdominal aortic aneurysm repairs are performed without serious neurological complications. Nevertheless, there have been many reported cases of spinal cord ischaemia following the elective repair of abdominal aortic aneurysms (AAA); giving rise to paraplegia, sphincter incontinence and, often, dissociated sensory loss. According to the classification made by Gloviczki et al. (1991), this presentation is classified as type II spinal cord ischaemia, more commonly referred to as anterior spinal artery syndrome (ASAS). It is the most common neurological complication occurring following abdominal aortic surgery with an incidence of 0.1-0.2%. Several aetiological factors, including intra-operative hypotension, embolisation and prolonged aortic crossclamping, have been suggested to cause anterior spinal artery syndrome, but the principal cause has almost always been identified as an alteration in the blood supply to the spinal cord. A review of the literature on the anatomy of the vascular supply of the spinal cord highlights the significance of the anterior spinal artery as well as placing additional emphasis on the great radicular artery of Adamkiewicz (arteria radicularis magna) and the pelvic collateral circulation. Although there have been reported cases of spontaneous recovery, complete recovery is uncommon and awareness and prevention remains the mainstay of treatment. However, being so tragically unpredictable and random, spinal cord ischaemia after abdominal aortic operations appears to be an unpreventable event.","author":[{"dropping-particle":"","family":"Aydin","given":"A.","non-dropping-particle":"","parse-names":false,"suffix":""}],"container-title":"Angiologii͡a i sosudistai͡a khirurgii͡a = Angiology and vascular surgery","id":"ITEM-1","issue":"1","issued":{"date-parts":[["2015"]]},"page":"155-164","title":"Mechanisms and prevention of anterior spinal artery syndrome following abdominal aortic surgery","type":"article-journal","volume":"21"},"uris":["http://www.mendeley.com/documents/?uuid=daecb235-cdd8-4d47-9e45-d158280fec14"]}],"mendeley":{"formattedCitation":"(Aydin, 2015)","plainTextFormattedCitation":"(Aydin, 2015)","previouslyFormattedCitation":"(Aydin, 2015)"},"properties":{"noteIndex":0},"schema":"https://github.com/citation-style-language/schema/raw/master/csl-citation.json"}</w:instrText>
      </w:r>
      <w:r w:rsidRPr="003A1CA0">
        <w:rPr>
          <w:lang w:val="es-CR"/>
        </w:rPr>
        <w:fldChar w:fldCharType="separate"/>
      </w:r>
      <w:r w:rsidR="00FA7019" w:rsidRPr="00FA7019">
        <w:rPr>
          <w:noProof/>
          <w:lang w:val="es-CR"/>
        </w:rPr>
        <w:t>(Aydin, 2015)</w:t>
      </w:r>
      <w:r w:rsidRPr="003A1CA0">
        <w:rPr>
          <w:lang w:val="es-CR"/>
        </w:rPr>
        <w:fldChar w:fldCharType="end"/>
      </w:r>
      <w:r w:rsidRPr="003A1CA0">
        <w:rPr>
          <w:lang w:val="es-CR"/>
        </w:rPr>
        <w:t>. Debido a su amplio recorrido y la variación considerable del calibre en ciertos segmentos la ASA recibe un porte sanguíneo adicional de las A. radiculomedulares anteriores</w:t>
      </w:r>
      <w:r w:rsidR="00F01770">
        <w:rPr>
          <w:lang w:val="es-CR"/>
        </w:rPr>
        <w:t xml:space="preserve"> </w:t>
      </w:r>
      <w:r w:rsidRPr="003A1CA0">
        <w:rPr>
          <w:lang w:val="es-CR"/>
        </w:rPr>
        <w:fldChar w:fldCharType="begin" w:fldLock="1"/>
      </w:r>
      <w:r w:rsidR="001A1B73">
        <w:rPr>
          <w:lang w:val="es-CR"/>
        </w:rPr>
        <w:instrText>ADDIN CSL_CITATION {"citationItems":[{"id":"ITEM-1","itemData":{"DOI":"10.1136/neurintsurg-2011-010018","ISSN":"17598478","abstract":"In this article, a detailed description of the normal arterial supply and venous drainage of the spinal cord is provided, and the role of catheter angiography and MR angiography in depicting the vascular anatomy of the spinal cord is discussed.","author":[{"dropping-particle":"","family":"Santillan","given":"Alejandro","non-dropping-particle":"","parse-names":false,"suffix":""},{"dropping-particle":"","family":"Nacarino","given":"Veronica","non-dropping-particle":"","parse-names":false,"suffix":""},{"dropping-particle":"","family":"Greenberg","given":"Edward","non-dropping-particle":"","parse-names":false,"suffix":""},{"dropping-particle":"","family":"Riina","given":"Howard A.","non-dropping-particle":"","parse-names":false,"suffix":""},{"dropping-particle":"","family":"Gobin","given":"Y. Pierre","non-dropping-particle":"","parse-names":false,"suffix":""},{"dropping-particle":"","family":"Patsalides","given":"Athos","non-dropping-particle":"","parse-names":false,"suffix":""}],"container-title":"Journal of NeuroInterventional Surgery","id":"ITEM-1","issue":"1","issued":{"date-parts":[["2012"]]},"page":"67-74","title":"Vascular anatomy of the spinal cord","type":"article-journal","volume":"4"},"uris":["http://www.mendeley.com/documents/?uuid=b733de30-2fbf-4d6d-9aee-b03b8e702d54"]},{"id":"ITEM-2","itemData":{"DOI":"10.1016/j.jtcvs.2003.11.038","ISSN":"00225223","PMID":"15052221","abstract":"Objective: Thoracic and thoracoabdominal aortic repair are still complicated by spinal cord ischemia and paraplegia. The aim of the present article is to present the results of an anatomical study conducted by means of both postmortem injection of the vertebral artery and perfusion of the abdominal aorta. Methods: The spinal cord blood supply was investigated in 51 Caucasian cadavers: in 40 cases a methylene blue solution was hand-injected into the vertebral artery, whereas in the remaining 11 cases the abdominal aorta was perfused with a methylene blue solution by means of a roller pump. The level and side of the arteria radicularis magna and the continuity of the anterior spinal artery were recorded. Results: The anterior spinal artery was a continuous vessel without interruptions along the spinal cord in all 51 cases. The arteria radicularis magna level was variable, ranging from T9 to L5. The arteria radicularis magna arose from a lumbar artery in 36 cases (70.5%) and it was left-sided in 32 cases (62.7%). Conclusions: The anterior spinal artery constitutes an uninterrupted pathway between the vertebral arteries, the arteria radicularis magna, and the posterior intercostal and lumbar arteries. Moreover, the arteria radicularis magna arises from a lumbar artery in most of cases. Therefore, the sacrifice of the intercostal arteries during a thoracic aorta repair could be justified, at least from an anatomical standpoint. However, if an extended thoracoabdominal aortic repair is planned, it may be prudent to preserve the blood flow from the lumbar arteries.","author":[{"dropping-particle":"","family":"Biglioli","given":"Paolo","non-dropping-particle":"","parse-names":false,"suffix":""},{"dropping-particle":"","family":"Roberto","given":"Maurizio","non-dropping-particle":"","parse-names":false,"suffix":""},{"dropping-particle":"","family":"Cannata","given":"Aldo","non-dropping-particle":"","parse-names":false,"suffix":""},{"dropping-particle":"","family":"Parolari","given":"Alessandro","non-dropping-particle":"","parse-names":false,"suffix":""},{"dropping-particle":"","family":"Fumero","given":"Andrea","non-dropping-particle":"","parse-names":false,"suffix":""},{"dropping-particle":"","family":"Grillo","given":"Francesco","non-dropping-particle":"","parse-names":false,"suffix":""},{"dropping-particle":"","family":"Maggioni","given":"Marco","non-dropping-particle":"","parse-names":false,"suffix":""},{"dropping-particle":"","family":"Coggi","given":"Guido","non-dropping-particle":"","parse-names":false,"suffix":""},{"dropping-particle":"","family":"Spirito","given":"Rita","non-dropping-particle":"","parse-names":false,"suffix":""}],"container-title":"Journal of Thoracic and Cardiovascular Surgery","id":"ITEM-2","issue":"4","issued":{"date-parts":[["2004"]]},"page":"1188-1192","title":"Upper and lower spinal cord blood supply: The continuity of the anterior spinal artery and the relevance of the lumbar arteries","type":"article-journal","volume":"127"},"uris":["http://www.mendeley.com/documents/?uuid=de905841-2308-4e7f-b69f-137f5a2cf6ca"]}],"mendeley":{"formattedCitation":"(Biglioli et al., 2004; Santillan et al., 2012)","plainTextFormattedCitation":"(Biglioli et al., 2004; Santillan et al., 2012)","previouslyFormattedCitation":"(Biglioli et al., 2004; Santillan et al., 2012)"},"properties":{"noteIndex":0},"schema":"https://github.com/citation-style-language/schema/raw/master/csl-citation.json"}</w:instrText>
      </w:r>
      <w:r w:rsidRPr="003A1CA0">
        <w:rPr>
          <w:lang w:val="es-CR"/>
        </w:rPr>
        <w:fldChar w:fldCharType="separate"/>
      </w:r>
      <w:r w:rsidR="00FA7019" w:rsidRPr="00FA7019">
        <w:rPr>
          <w:noProof/>
          <w:lang w:val="es-CR"/>
        </w:rPr>
        <w:t>(Biglioli et al., 2004; Santillan et al., 2012)</w:t>
      </w:r>
      <w:r w:rsidRPr="003A1CA0">
        <w:rPr>
          <w:lang w:val="es-CR"/>
        </w:rPr>
        <w:fldChar w:fldCharType="end"/>
      </w:r>
      <w:r w:rsidRPr="003A1CA0">
        <w:rPr>
          <w:lang w:val="es-CR"/>
        </w:rPr>
        <w:t>.</w:t>
      </w:r>
    </w:p>
    <w:p w14:paraId="73E3EF3C" w14:textId="3A6325C9" w:rsidR="00B12870" w:rsidRPr="003A1CA0" w:rsidRDefault="00B12870" w:rsidP="00B12870">
      <w:pPr>
        <w:rPr>
          <w:lang w:val="es-CR"/>
        </w:rPr>
      </w:pPr>
      <w:r w:rsidRPr="003A1CA0">
        <w:rPr>
          <w:lang w:val="es-CR"/>
        </w:rPr>
        <w:t>Esta arteria se origina de las ramas espinales de la arteria vertebral cerca de la unión vetebrobasilar; recibe múltiples aportes en distintos niveles mediante las ramas radiculares (aproximadamente 6 pares) de las arterias espinales. La ASA es el conducto anastomótico de las ramas ascendentes y descendentes de la A. radicular</w:t>
      </w:r>
      <w:r w:rsidR="00F01770">
        <w:rPr>
          <w:lang w:val="es-CR"/>
        </w:rPr>
        <w:t xml:space="preserve"> </w:t>
      </w:r>
      <w:r w:rsidRPr="003A1CA0">
        <w:rPr>
          <w:lang w:val="es-CR"/>
        </w:rPr>
        <w:fldChar w:fldCharType="begin" w:fldLock="1"/>
      </w:r>
      <w:r w:rsidR="00F01770">
        <w:rPr>
          <w:lang w:val="es-CR"/>
        </w:rPr>
        <w:instrText>ADDIN CSL_CITATION {"citationItems":[{"id":"ITEM-1","itemData":{"DOI":"10.1053/scds.2002.127656","ISSN":"15289931","abstract":"The vascular anatomy of the spinal cord is reviewed. This serves as a basis not only to understand the pathophysiology of spinal cord vascular malformations but also to logically classify these lesions. Imaging studies required to identify and categorize these vascular malformations are also described.","author":[{"dropping-particle":"","family":"Jahan","given":"Reza","non-dropping-particle":"","parse-names":false,"suffix":""},{"dropping-particle":"","family":"Vinuela","given":"Fernando","non-dropping-particle":"","parse-names":false,"suffix":""}],"container-title":"Seminars in Cerebrovascular Diseases and Stroke","id":"ITEM-1","issue":"3","issued":{"date-parts":[["2002"]]},"page":"186-200","title":"Vascular anatomy, pathophysiology, and classification of vascular malformations of the spinal cord","type":"article-journal","volume":"2"},"uris":["http://www.mendeley.com/documents/?uuid=1641361b-eb61-49b6-a361-23777cdc2bfe"]}],"mendeley":{"formattedCitation":"(Jahan &amp; Vinuela, 2002)","plainTextFormattedCitation":"(Jahan &amp; Vinuela, 2002)","previouslyFormattedCitation":"(Jahan &amp; Vinuela, 2002)"},"properties":{"noteIndex":0},"schema":"https://github.com/citation-style-language/schema/raw/master/csl-citation.json"}</w:instrText>
      </w:r>
      <w:r w:rsidRPr="003A1CA0">
        <w:rPr>
          <w:lang w:val="es-CR"/>
        </w:rPr>
        <w:fldChar w:fldCharType="separate"/>
      </w:r>
      <w:r w:rsidR="00F01770" w:rsidRPr="00F01770">
        <w:rPr>
          <w:noProof/>
          <w:lang w:val="es-CR"/>
        </w:rPr>
        <w:t>(Jahan &amp; Vinuela, 2002)</w:t>
      </w:r>
      <w:r w:rsidRPr="003A1CA0">
        <w:rPr>
          <w:lang w:val="es-CR"/>
        </w:rPr>
        <w:fldChar w:fldCharType="end"/>
      </w:r>
      <w:r w:rsidRPr="003A1CA0">
        <w:rPr>
          <w:lang w:val="es-CR"/>
        </w:rPr>
        <w:t xml:space="preserve">. </w:t>
      </w:r>
    </w:p>
    <w:p w14:paraId="0A5DC550" w14:textId="70BC9C49" w:rsidR="00B12870" w:rsidRPr="003A1CA0" w:rsidRDefault="00B12870" w:rsidP="00B12870">
      <w:pPr>
        <w:rPr>
          <w:lang w:val="es-CR"/>
        </w:rPr>
      </w:pPr>
      <w:r w:rsidRPr="003A1CA0">
        <w:rPr>
          <w:lang w:val="es-CR"/>
        </w:rPr>
        <w:t>A nivel cervical las arterias radiculares nacen de la A. vertebral, la A. ascendente cervical o las A. cervicales profundas a nivel de C4-C8. Distintivamente las A. radiculares tienen variabilidad en sus características en los segmentos torácicos</w:t>
      </w:r>
      <w:r w:rsidR="00F01770">
        <w:rPr>
          <w:lang w:val="es-CR"/>
        </w:rPr>
        <w:t xml:space="preserve"> </w:t>
      </w:r>
      <w:r w:rsidRPr="003A1CA0">
        <w:rPr>
          <w:lang w:val="es-CR"/>
        </w:rPr>
        <w:fldChar w:fldCharType="begin" w:fldLock="1"/>
      </w:r>
      <w:r w:rsidR="001A1B73">
        <w:rPr>
          <w:lang w:val="es-CR"/>
        </w:rPr>
        <w:instrText>ADDIN CSL_CITATION {"citationItems":[{"id":"ITEM-1","itemData":{"DOI":"10.5137/1019-5149.JTN.19469-16.1","ISSN":"10195149","PMID":"28266004","abstract":"AIM: Injury to the vascular supply to the cervical spinal cord can lead to the anterior spinal artery syndrome, which is often associated with transforaminal corticosteroid injections to the cervical foramina. The purpose of this cadaveric study was to examine the morphology of the cervical arteries and to emphasize their clinical importance. MATERIAL and METHODS: Five formalin-fixed human cadavers were used to determine the morphology of the radicular arteries from the vertebral, ascending and deep cervical arteries in the cervical foraminal region. RESULTS: The mean diameter of the vertebral arteries was 5.50 mm. The radicular arteries arose from the vertebral artery originating from its posterior aspect at each level and the C6 radicular artery was larger in diameter than others. Their diameters ranged from 0.75 mm to 1.02 mm. The mean diameter of the ascending cervical artery was 1.5 mm (range 1.21 to 1.80 mm). Its arising spinal branches were located at the C3-4 or C4-5 levels. The diameters of radicular branches arising from the ascending cervical artery ranged from 0.80 mm to 1.40 mm. The mean diameter of the deep cervical artery was 1.71 mm (range 1.3 to 2.1 mm) and was usually slightly larger than the ascending cervical arteries. These deep cervical radicular arteries always entered the C5-6, C6-7 and C7-T1 foramens and those of the radicular branches arising from the deep cervical artery ranged from 0.43 mm to 1.49 mm (mean, 1.08 mm). CONCLUSION: Understanding the vascular supply to the cervical spinal cord is important for preventing serious complications such as spinal cord ischemia.","author":[{"dropping-particle":"","family":"Arslan","given":"Mehmet","non-dropping-particle":"","parse-names":false,"suffix":""},{"dropping-particle":"","family":"Acar","given":"Halil Ibrahim","non-dropping-particle":"","parse-names":false,"suffix":""},{"dropping-particle":"","family":"Comert","given":"Ayhan","non-dropping-particle":"","parse-names":false,"suffix":""},{"dropping-particle":"","family":"Tubbs","given":"R. Shane","non-dropping-particle":"","parse-names":false,"suffix":""}],"container-title":"Turkish Neurosurgery","id":"ITEM-1","issue":"2","issued":{"date-parts":[["2018"]]},"page":"234-240","title":"The cervical arteries: An anatomical study with application to avoid the nerve root and spinal cord blood supply","type":"article-journal","volume":"28"},"uris":["http://www.mendeley.com/documents/?uuid=653bc225-f6b1-4317-8cf4-b3ac5b886dcc"]}],"mendeley":{"formattedCitation":"(Arslan et al., 2018)","plainTextFormattedCitation":"(Arslan et al., 2018)","previouslyFormattedCitation":"(Arslan et al., 2018)"},"properties":{"noteIndex":0},"schema":"https://github.com/citation-style-language/schema/raw/master/csl-citation.json"}</w:instrText>
      </w:r>
      <w:r w:rsidRPr="003A1CA0">
        <w:rPr>
          <w:lang w:val="es-CR"/>
        </w:rPr>
        <w:fldChar w:fldCharType="separate"/>
      </w:r>
      <w:r w:rsidR="00FA7019" w:rsidRPr="00FA7019">
        <w:rPr>
          <w:noProof/>
          <w:lang w:val="es-CR"/>
        </w:rPr>
        <w:t>(Arslan et al., 2018)</w:t>
      </w:r>
      <w:r w:rsidRPr="003A1CA0">
        <w:rPr>
          <w:lang w:val="es-CR"/>
        </w:rPr>
        <w:fldChar w:fldCharType="end"/>
      </w:r>
      <w:r w:rsidRPr="003A1CA0">
        <w:rPr>
          <w:lang w:val="es-CR"/>
        </w:rPr>
        <w:t>. En la región torácica-lumbar las arterias radiculares nacen de la rama dorsal de las A. intercostales y lumbares; conocidas también como arterias segmentarias</w:t>
      </w:r>
      <w:r w:rsidR="00F01770">
        <w:rPr>
          <w:lang w:val="es-CR"/>
        </w:rPr>
        <w:t xml:space="preserve"> </w:t>
      </w:r>
      <w:r w:rsidRPr="003A1CA0">
        <w:rPr>
          <w:lang w:val="es-CR"/>
        </w:rPr>
        <w:fldChar w:fldCharType="begin" w:fldLock="1"/>
      </w:r>
      <w:r w:rsidR="001A1B73">
        <w:rPr>
          <w:lang w:val="es-CR"/>
        </w:rPr>
        <w:instrText>ADDIN CSL_CITATION {"citationItems":[{"id":"ITEM-1","itemData":{"DOI":"10.1590/1677-5449.0004","ISSN":"1677-7301","abstract":"ResumoA intrincada anatomia tridimensional da irrigação medular é frequentemente explanada na literatura com diferentes nomenclaturas e devido a sua alta relevância no estudo da isquemia medular, o estudo da terminologia se faz necessário para melhor compreensão do tema. A artéria de Adamkiewicz, também chamada de artéria radicular magna, é a via principal. Foi realizada a revisão da literatura com equiparação das nomenclaturas utilizadas e elaboração de descrição acurada e sumarizada do conhecimento atual sobre a vascularização medular.AbstractThe intricate three-dimensional vascular anatomy of the spinal cord is still not completely understood, and its terminology varies between studies. In view of its importance in spinal ischemia, an analysis is needed of the anatomic vocabulary used to describe the spinal cord blood supply to improve understanding of the subject. The main supply is the Adamkiewicz artery, also known as great anterior radicular artery. The literature was reviewed to equate the different nomenclatures employed and an accurate description of current knowledge on spinal cord vascularization was prepared.","author":[{"dropping-particle":"","family":"Amato","given":"Alexandre Campos Moraes","non-dropping-particle":"","parse-names":false,"suffix":""},{"dropping-particle":"","family":"Stolf","given":"Noedir Antônio Groppo","non-dropping-particle":"","parse-names":false,"suffix":""}],"container-title":"Jornal Vascular Brasileiro","id":"ITEM-1","issue":"3","issued":{"date-parts":[["2015"]]},"page":"248-252","title":"Anatomy of spinal blood supply","type":"article-journal","volume":"14"},"uris":["http://www.mendeley.com/documents/?uuid=33127e10-ca34-4a09-b18a-b137638f6238"]}],"mendeley":{"formattedCitation":"(Amato &amp; Stolf, 2015)","plainTextFormattedCitation":"(Amato &amp; Stolf, 2015)","previouslyFormattedCitation":"(Amato &amp; Stolf, 2015)"},"properties":{"noteIndex":0},"schema":"https://github.com/citation-style-language/schema/raw/master/csl-citation.json"}</w:instrText>
      </w:r>
      <w:r w:rsidRPr="003A1CA0">
        <w:rPr>
          <w:lang w:val="es-CR"/>
        </w:rPr>
        <w:fldChar w:fldCharType="separate"/>
      </w:r>
      <w:r w:rsidR="00FA7019" w:rsidRPr="00FA7019">
        <w:rPr>
          <w:noProof/>
          <w:lang w:val="es-CR"/>
        </w:rPr>
        <w:t>(Amato &amp; Stolf, 2015)</w:t>
      </w:r>
      <w:r w:rsidRPr="003A1CA0">
        <w:rPr>
          <w:lang w:val="es-CR"/>
        </w:rPr>
        <w:fldChar w:fldCharType="end"/>
      </w:r>
      <w:r w:rsidRPr="003A1CA0">
        <w:rPr>
          <w:lang w:val="es-CR"/>
        </w:rPr>
        <w:t xml:space="preserve"> (Imagen 2). Esta rama dorsal irriga las vértebras, los músculos para espinales y los tejidos blandos de la espalda</w:t>
      </w:r>
      <w:r w:rsidR="00F01770">
        <w:rPr>
          <w:lang w:val="es-CR"/>
        </w:rPr>
        <w:t xml:space="preserve"> </w:t>
      </w:r>
      <w:r w:rsidRPr="003A1CA0">
        <w:rPr>
          <w:lang w:val="es-CR"/>
        </w:rPr>
        <w:fldChar w:fldCharType="begin" w:fldLock="1"/>
      </w:r>
      <w:r w:rsidR="001A1B73">
        <w:rPr>
          <w:lang w:val="es-CR"/>
        </w:rPr>
        <w:instrText>ADDIN CSL_CITATION {"citationItems":[{"id":"ITEM-1","itemData":{"DOI":"10.1002/ca.22281","ISSN":"10982353","abstract":"The arterial network that supplies the human spinal cord, which was once thought to be similar to that of the brain, is in fact much different and more extensive. In this article, the authors attempt to provide a comprehensive review of the literature regarding the anatomy and known hemodynamics of the blood supply to the human spinal cord. Additionally, as the medical literature often fails to provide accurate terminology for the arteries that supply the cord, the authors attempt to categorize and clarify this nomenclature. A complete understanding of the morphology of the arterial blood supply to the human spinal cord is important to anatomists and clinicians alike. Clin. Anat. 28:52-64, 2015.","author":[{"dropping-particle":"","family":"Bosmia","given":"Anand N.","non-dropping-particle":"","parse-names":false,"suffix":""},{"dropping-particle":"","family":"Hogan","given":"Elizabeth","non-dropping-particle":"","parse-names":false,"suffix":""},{"dropping-particle":"","family":"Loukas","given":"Marios","non-dropping-particle":"","parse-names":false,"suffix":""},{"dropping-particle":"","family":"Tubbs","given":"R. Shane","non-dropping-particle":"","parse-names":false,"suffix":""},{"dropping-particle":"","family":"Cohen-Gadol","given":"Aaron A.","non-dropping-particle":"","parse-names":false,"suffix":""}],"container-title":"Clinical Anatomy","id":"ITEM-1","issue":"1","issued":{"date-parts":[["2015"]]},"page":"52-64","title":"Blood supply to the human spinal cord: Part I. Anatomy and hemodynamics","type":"article-journal","volume":"28"},"uris":["http://www.mendeley.com/documents/?uuid=fb6fe38c-1fe4-4b60-8954-e764521580d6"]}],"mendeley":{"formattedCitation":"(Bosmia et al., 2015)","plainTextFormattedCitation":"(Bosmia et al., 2015)","previouslyFormattedCitation":"(Bosmia et al., 2015)"},"properties":{"noteIndex":0},"schema":"https://github.com/citation-style-language/schema/raw/master/csl-citation.json"}</w:instrText>
      </w:r>
      <w:r w:rsidRPr="003A1CA0">
        <w:rPr>
          <w:lang w:val="es-CR"/>
        </w:rPr>
        <w:fldChar w:fldCharType="separate"/>
      </w:r>
      <w:r w:rsidR="00FA7019" w:rsidRPr="00FA7019">
        <w:rPr>
          <w:noProof/>
          <w:lang w:val="es-CR"/>
        </w:rPr>
        <w:t>(Bosmia et al., 2015)</w:t>
      </w:r>
      <w:r w:rsidRPr="003A1CA0">
        <w:rPr>
          <w:lang w:val="es-CR"/>
        </w:rPr>
        <w:fldChar w:fldCharType="end"/>
      </w:r>
      <w:r w:rsidR="00F01770">
        <w:rPr>
          <w:lang w:val="es-CR"/>
        </w:rPr>
        <w:t>.</w:t>
      </w:r>
    </w:p>
    <w:p w14:paraId="4A6752EC" w14:textId="77777777" w:rsidR="00B12870" w:rsidRPr="003A1CA0" w:rsidRDefault="00B12870" w:rsidP="00B12870">
      <w:pPr>
        <w:spacing w:after="0"/>
        <w:ind w:firstLine="0"/>
        <w:jc w:val="center"/>
        <w:rPr>
          <w:lang w:val="es-CR"/>
        </w:rPr>
      </w:pPr>
      <w:r w:rsidRPr="003A1CA0">
        <w:rPr>
          <w:noProof/>
          <w:lang w:val="es-CR"/>
        </w:rPr>
        <w:lastRenderedPageBreak/>
        <w:drawing>
          <wp:inline distT="0" distB="0" distL="0" distR="0" wp14:anchorId="0D9B77C7" wp14:editId="204ED886">
            <wp:extent cx="3343702" cy="2546556"/>
            <wp:effectExtent l="0" t="0" r="9525"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49674" cy="2551104"/>
                    </a:xfrm>
                    <a:prstGeom prst="rect">
                      <a:avLst/>
                    </a:prstGeom>
                    <a:noFill/>
                    <a:ln>
                      <a:noFill/>
                    </a:ln>
                  </pic:spPr>
                </pic:pic>
              </a:graphicData>
            </a:graphic>
          </wp:inline>
        </w:drawing>
      </w:r>
    </w:p>
    <w:p w14:paraId="78E4FECC" w14:textId="46F461EB" w:rsidR="00B12870" w:rsidRDefault="00B12870" w:rsidP="001A1B73">
      <w:pPr>
        <w:pStyle w:val="Prrafodelista1"/>
        <w:spacing w:after="0"/>
        <w:rPr>
          <w:lang w:val="es-CR"/>
        </w:rPr>
      </w:pPr>
      <w:r w:rsidRPr="003A1CA0">
        <w:rPr>
          <w:lang w:val="es-CR"/>
        </w:rPr>
        <w:t>Imagen 2. Irrigación de la médula espinal</w:t>
      </w:r>
    </w:p>
    <w:p w14:paraId="285D40BA" w14:textId="74E9FFEF" w:rsidR="001A1B73" w:rsidRPr="001A1B73" w:rsidRDefault="001A1B73" w:rsidP="001A1B73">
      <w:pPr>
        <w:pStyle w:val="Prrafodelista1"/>
        <w:rPr>
          <w:lang w:val="es-CR"/>
        </w:rPr>
      </w:pPr>
      <w:r w:rsidRPr="001A1B73">
        <w:rPr>
          <w:lang w:val="es-CR"/>
        </w:rPr>
        <w:t>Fuente: Tomado de (Amato &amp; Stolf, 2015)</w:t>
      </w:r>
    </w:p>
    <w:p w14:paraId="6F4C0269" w14:textId="77777777" w:rsidR="00B12870" w:rsidRPr="003A1CA0" w:rsidRDefault="00B12870" w:rsidP="00B12870">
      <w:pPr>
        <w:rPr>
          <w:lang w:val="es-CR"/>
        </w:rPr>
      </w:pPr>
      <w:r w:rsidRPr="003A1CA0">
        <w:rPr>
          <w:lang w:val="es-CR"/>
        </w:rPr>
        <w:t xml:space="preserve">Existe un aumento en el calibre de la A. radicular a nivel de T9-T12; por lo tanto, en estos segmentos se conoce como A. radicular magna o A. de Adamkiewicz (Imagen 3); evidenciando la variabilidad de las A. radiculares Esta es la arteria radicular extrínseca más grande y provee una fuente de perfusión importante en un segmento vulnerable por la disminución del calibre ASA entre T8-L2. </w:t>
      </w:r>
    </w:p>
    <w:p w14:paraId="520563D7" w14:textId="77777777" w:rsidR="00B12870" w:rsidRPr="003A1CA0" w:rsidRDefault="00B12870" w:rsidP="00B12870">
      <w:pPr>
        <w:rPr>
          <w:lang w:val="es-CR"/>
        </w:rPr>
      </w:pPr>
      <w:r w:rsidRPr="003A1CA0">
        <w:rPr>
          <w:lang w:val="es-CR"/>
        </w:rPr>
        <w:t xml:space="preserve">En la región lumbar las arterias radiculares provienen a partir de la A. iliolumbar o sacrolateral ambas ramas de la Iliaca interna. </w:t>
      </w:r>
    </w:p>
    <w:p w14:paraId="33D405F3" w14:textId="5AC66533" w:rsidR="00B12870" w:rsidRPr="003A1CA0" w:rsidRDefault="00B12870" w:rsidP="00B12870">
      <w:pPr>
        <w:rPr>
          <w:lang w:val="es-CR"/>
        </w:rPr>
      </w:pPr>
      <w:r w:rsidRPr="003A1CA0">
        <w:rPr>
          <w:lang w:val="es-CR"/>
        </w:rPr>
        <w:t>Las arterias Sulcales (Imagen 2) nacen de la ASA a lo largo de su recorrido, penetran la médula espinal a través de la fisura medial y se ramifica hacia la sustancia gris. Las A. sulcales junto a la ASA irrigan los 2/3 anteriores de la médula espinal (región motora vía el tracto corticoespinal)</w:t>
      </w:r>
      <w:r w:rsidR="00F01770">
        <w:rPr>
          <w:lang w:val="es-CR"/>
        </w:rPr>
        <w:t xml:space="preserve"> </w:t>
      </w:r>
      <w:r w:rsidRPr="003A1CA0">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sidRPr="003A1CA0">
        <w:rPr>
          <w:lang w:val="es-CR"/>
        </w:rPr>
        <w:fldChar w:fldCharType="separate"/>
      </w:r>
      <w:r w:rsidR="0091486C" w:rsidRPr="0091486C">
        <w:rPr>
          <w:noProof/>
          <w:lang w:val="es-CR"/>
        </w:rPr>
        <w:t>(Oderich, 2017)</w:t>
      </w:r>
      <w:r w:rsidRPr="003A1CA0">
        <w:rPr>
          <w:lang w:val="es-CR"/>
        </w:rPr>
        <w:fldChar w:fldCharType="end"/>
      </w:r>
      <w:r w:rsidR="00F01770">
        <w:rPr>
          <w:lang w:val="es-CR"/>
        </w:rPr>
        <w:t>.</w:t>
      </w:r>
    </w:p>
    <w:p w14:paraId="67F502C2" w14:textId="77777777" w:rsidR="00B12870" w:rsidRPr="003A1CA0" w:rsidRDefault="00B12870" w:rsidP="00B12870">
      <w:pPr>
        <w:spacing w:after="0"/>
        <w:jc w:val="center"/>
        <w:rPr>
          <w:lang w:val="es-CR"/>
        </w:rPr>
      </w:pPr>
      <w:r w:rsidRPr="003A1CA0">
        <w:rPr>
          <w:noProof/>
          <w:lang w:val="es-CR"/>
        </w:rPr>
        <w:lastRenderedPageBreak/>
        <w:drawing>
          <wp:inline distT="0" distB="0" distL="0" distR="0" wp14:anchorId="0BD54E3F" wp14:editId="2D06AF05">
            <wp:extent cx="3364302" cy="4713375"/>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06201" cy="4772076"/>
                    </a:xfrm>
                    <a:prstGeom prst="rect">
                      <a:avLst/>
                    </a:prstGeom>
                    <a:noFill/>
                    <a:ln>
                      <a:noFill/>
                    </a:ln>
                  </pic:spPr>
                </pic:pic>
              </a:graphicData>
            </a:graphic>
          </wp:inline>
        </w:drawing>
      </w:r>
    </w:p>
    <w:p w14:paraId="3D77B141" w14:textId="2F3A4CC5" w:rsidR="00B12870" w:rsidRDefault="00B12870" w:rsidP="001A1B73">
      <w:pPr>
        <w:pStyle w:val="Prrafodelista1"/>
        <w:spacing w:after="0"/>
        <w:rPr>
          <w:lang w:val="es-CR"/>
        </w:rPr>
      </w:pPr>
      <w:r w:rsidRPr="003A1CA0">
        <w:rPr>
          <w:lang w:val="es-CR"/>
        </w:rPr>
        <w:t>Imagen 3. A. Adamkiewicz</w:t>
      </w:r>
    </w:p>
    <w:p w14:paraId="6A9FDB42" w14:textId="5DFDA669" w:rsidR="001A1B73" w:rsidRPr="001A1B73" w:rsidRDefault="001A1B73" w:rsidP="001A1B73">
      <w:pPr>
        <w:pStyle w:val="Prrafodelista1"/>
        <w:rPr>
          <w:lang w:val="es-CR"/>
        </w:rPr>
      </w:pPr>
      <w:r w:rsidRPr="001A1B73">
        <w:rPr>
          <w:lang w:val="es-CR"/>
        </w:rPr>
        <w:t>Fuente: Tomado de (Amato &amp; Stolf, 2015)</w:t>
      </w:r>
    </w:p>
    <w:p w14:paraId="33D7F038" w14:textId="08254ED7" w:rsidR="00B12870" w:rsidRPr="003A1CA0" w:rsidRDefault="00B12870" w:rsidP="00B12870">
      <w:pPr>
        <w:rPr>
          <w:lang w:val="es-CR"/>
        </w:rPr>
      </w:pPr>
      <w:r w:rsidRPr="003A1CA0">
        <w:rPr>
          <w:lang w:val="es-CR"/>
        </w:rPr>
        <w:t>Caudalmente la ASA continúa hacia el filum terminal; sin embargo, a nivel del cono se anastomosa con los segmentos terminales de las arterias espinales posterolaterles</w:t>
      </w:r>
      <w:r w:rsidR="00F01770">
        <w:rPr>
          <w:lang w:val="es-CR"/>
        </w:rPr>
        <w:t xml:space="preserve"> </w:t>
      </w:r>
      <w:r w:rsidRPr="003A1CA0">
        <w:rPr>
          <w:lang w:val="es-CR"/>
        </w:rPr>
        <w:fldChar w:fldCharType="begin" w:fldLock="1"/>
      </w:r>
      <w:r w:rsidR="001A1B73">
        <w:rPr>
          <w:lang w:val="es-CR"/>
        </w:rPr>
        <w:instrText>ADDIN CSL_CITATION {"citationItems":[{"id":"ITEM-1","itemData":{"DOI":"10.1016/j.nec.2009.03.002","ISSN":"10423680","abstract":"This article discusses the vascular anatomy of the vertebra-spinal axis and covers such topics as vascular supply to the spine, spinal dura, and paraspinal musculature; vascular supply to the spinal cord; and spinal veins. © 2009 Elsevier Inc. All rights reserved.","author":[{"dropping-particle":"","family":"Becske","given":"Tibor","non-dropping-particle":"","parse-names":false,"suffix":""},{"dropping-particle":"","family":"Nelson","given":"Peter Kim","non-dropping-particle":"","parse-names":false,"suffix":""}],"container-title":"Neurosurgery Clinics of North America","id":"ITEM-1","issue":"3","issued":{"date-parts":[["2009"]]},"page":"259-264","title":"The Vascular Anatomy of the Vertebro-Spinal Axis","type":"article-journal","volume":"20"},"uris":["http://www.mendeley.com/documents/?uuid=dec6a8da-d7f3-4c6d-96d3-ac5bceeaac82"]}],"mendeley":{"formattedCitation":"(Becske &amp; Nelson, 2009)","plainTextFormattedCitation":"(Becske &amp; Nelson, 2009)","previouslyFormattedCitation":"(Becske &amp; Nelson, 2009)"},"properties":{"noteIndex":0},"schema":"https://github.com/citation-style-language/schema/raw/master/csl-citation.json"}</w:instrText>
      </w:r>
      <w:r w:rsidRPr="003A1CA0">
        <w:rPr>
          <w:lang w:val="es-CR"/>
        </w:rPr>
        <w:fldChar w:fldCharType="separate"/>
      </w:r>
      <w:r w:rsidR="00FA7019" w:rsidRPr="00FA7019">
        <w:rPr>
          <w:noProof/>
          <w:lang w:val="es-CR"/>
        </w:rPr>
        <w:t>(Becske &amp; Nelson, 2009)</w:t>
      </w:r>
      <w:r w:rsidRPr="003A1CA0">
        <w:rPr>
          <w:lang w:val="es-CR"/>
        </w:rPr>
        <w:fldChar w:fldCharType="end"/>
      </w:r>
      <w:r w:rsidRPr="003A1CA0">
        <w:rPr>
          <w:lang w:val="es-CR"/>
        </w:rPr>
        <w:t>.</w:t>
      </w:r>
    </w:p>
    <w:p w14:paraId="7E275381" w14:textId="77777777" w:rsidR="00B12870" w:rsidRPr="003A1CA0" w:rsidRDefault="00B12870" w:rsidP="00B12870">
      <w:pPr>
        <w:rPr>
          <w:i/>
          <w:iCs/>
          <w:u w:val="single"/>
          <w:lang w:val="es-CR"/>
        </w:rPr>
      </w:pPr>
      <w:r w:rsidRPr="003A1CA0">
        <w:rPr>
          <w:i/>
          <w:iCs/>
          <w:u w:val="single"/>
          <w:lang w:val="es-CR"/>
        </w:rPr>
        <w:t>Arteriales espinales posterolaterales</w:t>
      </w:r>
    </w:p>
    <w:p w14:paraId="45BB80C9" w14:textId="77777777" w:rsidR="00B12870" w:rsidRPr="003A1CA0" w:rsidRDefault="00B12870" w:rsidP="00B12870">
      <w:pPr>
        <w:rPr>
          <w:lang w:val="es-CR"/>
        </w:rPr>
      </w:pPr>
      <w:r w:rsidRPr="003A1CA0">
        <w:rPr>
          <w:lang w:val="es-CR"/>
        </w:rPr>
        <w:t xml:space="preserve">Las arterias espinales posterolaterales consisten en un extenso plexo con dos sistemas longitudinales dominantes que cursan a lo largo del sulcus </w:t>
      </w:r>
      <w:r w:rsidRPr="003A1CA0">
        <w:rPr>
          <w:lang w:val="es-CR"/>
        </w:rPr>
        <w:lastRenderedPageBreak/>
        <w:t>posterolateral. No tienen variación en su calibre y alcanza el segmento torácico más alto con un flujo sanguíneo ininterrumpido que nace de la porción caudal de la ASA.</w:t>
      </w:r>
    </w:p>
    <w:p w14:paraId="454881DA" w14:textId="77777777" w:rsidR="00B12870" w:rsidRPr="003A1CA0" w:rsidRDefault="00B12870" w:rsidP="00B12870">
      <w:pPr>
        <w:rPr>
          <w:lang w:val="es-CR"/>
        </w:rPr>
      </w:pPr>
      <w:r w:rsidRPr="003A1CA0">
        <w:rPr>
          <w:lang w:val="es-CR"/>
        </w:rPr>
        <w:t>Estas arterias se originan de las A. vertebrales y las A. cerebelares inferiores. Múltiples ramas radiculares contribuyen al aporte sanguíneo de las A. posterolaterales.</w:t>
      </w:r>
    </w:p>
    <w:p w14:paraId="09AA5214" w14:textId="77777777" w:rsidR="00B12870" w:rsidRPr="003A1CA0" w:rsidRDefault="00B12870" w:rsidP="00B12870">
      <w:pPr>
        <w:rPr>
          <w:lang w:val="es-CR"/>
        </w:rPr>
      </w:pPr>
      <w:r w:rsidRPr="003A1CA0">
        <w:rPr>
          <w:lang w:val="es-CR"/>
        </w:rPr>
        <w:t>Provee el aporte sanguíneo al 1/3 posterior de la médula espinal (propiocepción y sensorial a través la columna posterior). (imagen 3)</w:t>
      </w:r>
    </w:p>
    <w:p w14:paraId="661B807C" w14:textId="77777777" w:rsidR="00B12870" w:rsidRPr="003A1CA0" w:rsidRDefault="00B12870" w:rsidP="00B12870">
      <w:pPr>
        <w:rPr>
          <w:lang w:val="es-CR"/>
        </w:rPr>
      </w:pPr>
      <w:r w:rsidRPr="003A1CA0">
        <w:rPr>
          <w:i/>
          <w:iCs/>
          <w:u w:val="single"/>
          <w:lang w:val="es-CR"/>
        </w:rPr>
        <w:t>Plexo Pial</w:t>
      </w:r>
    </w:p>
    <w:p w14:paraId="481D103B" w14:textId="77777777" w:rsidR="00B12870" w:rsidRPr="003A1CA0" w:rsidRDefault="00B12870" w:rsidP="00B12870">
      <w:pPr>
        <w:rPr>
          <w:lang w:val="es-CR"/>
        </w:rPr>
      </w:pPr>
      <w:r w:rsidRPr="003A1CA0">
        <w:rPr>
          <w:lang w:val="es-CR"/>
        </w:rPr>
        <w:t>Sistema anastomótico vascular que cubre la superficie de la médula espinal, tiene conexiones directas entre la ASA y la A. espinal posterior a nivel del cono medular.</w:t>
      </w:r>
    </w:p>
    <w:p w14:paraId="1E047297" w14:textId="77777777" w:rsidR="00B12870" w:rsidRPr="003A1CA0" w:rsidRDefault="00B12870" w:rsidP="00B12870">
      <w:pPr>
        <w:rPr>
          <w:lang w:val="es-CR"/>
        </w:rPr>
      </w:pPr>
      <w:r w:rsidRPr="003A1CA0">
        <w:rPr>
          <w:lang w:val="es-CR"/>
        </w:rPr>
        <w:t>El plexo pial también conocido como “vasocorona” brinda ramas arteriales que suplen la sustancia blanca de la médula; el plexo no tiene un adecuado flujo colateral compensatorio en caso de isquemia.</w:t>
      </w:r>
    </w:p>
    <w:p w14:paraId="2BACC573" w14:textId="77777777" w:rsidR="00B12870" w:rsidRPr="003A1CA0" w:rsidRDefault="00B12870" w:rsidP="00B12870">
      <w:pPr>
        <w:spacing w:after="0"/>
        <w:ind w:firstLine="0"/>
        <w:jc w:val="center"/>
        <w:rPr>
          <w:lang w:val="es-CR"/>
        </w:rPr>
      </w:pPr>
      <w:r w:rsidRPr="003A1CA0">
        <w:rPr>
          <w:noProof/>
          <w:lang w:val="es-CR"/>
        </w:rPr>
        <w:lastRenderedPageBreak/>
        <w:drawing>
          <wp:inline distT="0" distB="0" distL="0" distR="0" wp14:anchorId="322F37BA" wp14:editId="5879A280">
            <wp:extent cx="5612130" cy="7506970"/>
            <wp:effectExtent l="0" t="0" r="762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7506970"/>
                    </a:xfrm>
                    <a:prstGeom prst="rect">
                      <a:avLst/>
                    </a:prstGeom>
                    <a:noFill/>
                    <a:ln>
                      <a:noFill/>
                    </a:ln>
                  </pic:spPr>
                </pic:pic>
              </a:graphicData>
            </a:graphic>
          </wp:inline>
        </w:drawing>
      </w:r>
    </w:p>
    <w:p w14:paraId="1E1FA844" w14:textId="5CC2B5AB" w:rsidR="00B12870" w:rsidRDefault="00B12870" w:rsidP="00FC49C0">
      <w:pPr>
        <w:pStyle w:val="Prrafodelista1"/>
        <w:spacing w:after="0"/>
        <w:rPr>
          <w:lang w:val="es-CR"/>
        </w:rPr>
      </w:pPr>
      <w:r w:rsidRPr="003A1CA0">
        <w:rPr>
          <w:lang w:val="es-CR"/>
        </w:rPr>
        <w:t>Imagen 4. Anatomía vascular médula espinal</w:t>
      </w:r>
    </w:p>
    <w:p w14:paraId="58A45AD3" w14:textId="661323B5" w:rsidR="00FC49C0" w:rsidRDefault="001A1B73" w:rsidP="00FC49C0">
      <w:pPr>
        <w:pStyle w:val="Prrafodelista1"/>
        <w:rPr>
          <w:lang w:val="es-CR"/>
        </w:rPr>
      </w:pPr>
      <w:r w:rsidRPr="001A1B73">
        <w:rPr>
          <w:lang w:val="es-CR"/>
        </w:rPr>
        <w:t xml:space="preserve">Fuente: Tomado de </w:t>
      </w:r>
      <w:r w:rsidR="00FC49C0">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sidR="00FC49C0">
        <w:rPr>
          <w:lang w:val="es-CR"/>
        </w:rPr>
        <w:fldChar w:fldCharType="separate"/>
      </w:r>
      <w:r w:rsidR="0091486C" w:rsidRPr="0091486C">
        <w:rPr>
          <w:noProof/>
          <w:lang w:val="es-CR"/>
        </w:rPr>
        <w:t>(Oderich, 2017)</w:t>
      </w:r>
      <w:r w:rsidR="00FC49C0">
        <w:rPr>
          <w:lang w:val="es-CR"/>
        </w:rPr>
        <w:fldChar w:fldCharType="end"/>
      </w:r>
    </w:p>
    <w:p w14:paraId="3F870A3A" w14:textId="387E197B" w:rsidR="00B12870" w:rsidRPr="003A1CA0" w:rsidRDefault="00B12870" w:rsidP="00B12870">
      <w:pPr>
        <w:rPr>
          <w:bCs/>
          <w:iCs/>
          <w:lang w:val="es-CR"/>
        </w:rPr>
      </w:pPr>
      <w:r w:rsidRPr="003A1CA0">
        <w:rPr>
          <w:lang w:val="es-CR"/>
        </w:rPr>
        <w:lastRenderedPageBreak/>
        <w:t xml:space="preserve">La terminología anatómica de los vasos de la médula varía entre distintas fuentes bibliográficas. Estas arterias de pequeño calibre forman una red tridimensional con un alto grado de variabilidad anatómica entre individuos. Dada la variabilidad en terminología anatómica un grupo de médicos en Brasil desarrolló un cuadro con los distintos términos anatómicos más utilizados y sus sinónimos para facilitar el entendimiento de la anatomía vascular de la médula espinal </w:t>
      </w:r>
      <w:r w:rsidRPr="003A1CA0">
        <w:rPr>
          <w:lang w:val="es-CR"/>
        </w:rPr>
        <w:fldChar w:fldCharType="begin" w:fldLock="1"/>
      </w:r>
      <w:r w:rsidR="001A1B73">
        <w:rPr>
          <w:lang w:val="es-CR"/>
        </w:rPr>
        <w:instrText>ADDIN CSL_CITATION {"citationItems":[{"id":"ITEM-1","itemData":{"DOI":"10.1590/1677-5449.0004","ISSN":"1677-7301","abstract":"ResumoA intrincada anatomia tridimensional da irrigação medular é frequentemente explanada na literatura com diferentes nomenclaturas e devido a sua alta relevância no estudo da isquemia medular, o estudo da terminologia se faz necessário para melhor compreensão do tema. A artéria de Adamkiewicz, também chamada de artéria radicular magna, é a via principal. Foi realizada a revisão da literatura com equiparação das nomenclaturas utilizadas e elaboração de descrição acurada e sumarizada do conhecimento atual sobre a vascularização medular.AbstractThe intricate three-dimensional vascular anatomy of the spinal cord is still not completely understood, and its terminology varies between studies. In view of its importance in spinal ischemia, an analysis is needed of the anatomic vocabulary used to describe the spinal cord blood supply to improve understanding of the subject. The main supply is the Adamkiewicz artery, also known as great anterior radicular artery. The literature was reviewed to equate the different nomenclatures employed and an accurate description of current knowledge on spinal cord vascularization was prepared.","author":[{"dropping-particle":"","family":"Amato","given":"Alexandre Campos Moraes","non-dropping-particle":"","parse-names":false,"suffix":""},{"dropping-particle":"","family":"Stolf","given":"Noedir Antônio Groppo","non-dropping-particle":"","parse-names":false,"suffix":""}],"container-title":"Jornal Vascular Brasileiro","id":"ITEM-1","issue":"3","issued":{"date-parts":[["2015"]]},"page":"248-252","title":"Anatomy of spinal blood supply","type":"article-journal","volume":"14"},"uris":["http://www.mendeley.com/documents/?uuid=33127e10-ca34-4a09-b18a-b137638f6238"]}],"mendeley":{"formattedCitation":"(Amato &amp; Stolf, 2015)","plainTextFormattedCitation":"(Amato &amp; Stolf, 2015)","previouslyFormattedCitation":"(Amato &amp; Stolf, 2015)"},"properties":{"noteIndex":0},"schema":"https://github.com/citation-style-language/schema/raw/master/csl-citation.json"}</w:instrText>
      </w:r>
      <w:r w:rsidRPr="003A1CA0">
        <w:rPr>
          <w:lang w:val="es-CR"/>
        </w:rPr>
        <w:fldChar w:fldCharType="separate"/>
      </w:r>
      <w:r w:rsidR="00FA7019" w:rsidRPr="00FA7019">
        <w:rPr>
          <w:noProof/>
          <w:lang w:val="es-CR"/>
        </w:rPr>
        <w:t>(Amato &amp; Stolf, 2015)</w:t>
      </w:r>
      <w:r w:rsidRPr="003A1CA0">
        <w:rPr>
          <w:lang w:val="es-CR"/>
        </w:rPr>
        <w:fldChar w:fldCharType="end"/>
      </w:r>
      <w:r w:rsidRPr="003A1CA0">
        <w:rPr>
          <w:lang w:val="es-CR"/>
        </w:rPr>
        <w:t xml:space="preserve">, en la Tabla </w:t>
      </w:r>
      <w:r w:rsidRPr="003A1CA0">
        <w:rPr>
          <w:bCs/>
          <w:iCs/>
          <w:lang w:val="es-CR"/>
        </w:rPr>
        <w:t>4</w:t>
      </w:r>
      <w:r w:rsidRPr="003A1CA0">
        <w:rPr>
          <w:b/>
          <w:i/>
          <w:lang w:val="es-CR"/>
        </w:rPr>
        <w:t xml:space="preserve"> </w:t>
      </w:r>
      <w:r w:rsidRPr="003A1CA0">
        <w:rPr>
          <w:bCs/>
          <w:iCs/>
          <w:lang w:val="es-CR"/>
        </w:rPr>
        <w:t>se enlistan los términos descritos en el artículo brasileño</w:t>
      </w:r>
      <w:r>
        <w:rPr>
          <w:bCs/>
          <w:iCs/>
          <w:lang w:val="es-CR"/>
        </w:rPr>
        <w:t>.</w:t>
      </w:r>
    </w:p>
    <w:tbl>
      <w:tblPr>
        <w:tblW w:w="77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5529"/>
      </w:tblGrid>
      <w:tr w:rsidR="00B12870" w:rsidRPr="003A1CA0" w14:paraId="78C769CE" w14:textId="77777777" w:rsidTr="00685D76">
        <w:trPr>
          <w:trHeight w:val="300"/>
          <w:jc w:val="center"/>
        </w:trPr>
        <w:tc>
          <w:tcPr>
            <w:tcW w:w="2268" w:type="dxa"/>
            <w:shd w:val="clear" w:color="4472C4" w:fill="4472C4"/>
            <w:vAlign w:val="center"/>
            <w:hideMark/>
          </w:tcPr>
          <w:p w14:paraId="3AA01E86" w14:textId="77777777" w:rsidR="00B12870" w:rsidRPr="003A1CA0" w:rsidRDefault="00B12870" w:rsidP="00685D76">
            <w:pPr>
              <w:spacing w:after="0" w:line="240" w:lineRule="auto"/>
              <w:ind w:firstLine="0"/>
              <w:jc w:val="center"/>
              <w:rPr>
                <w:rFonts w:eastAsia="Times New Roman" w:cs="Arial"/>
                <w:b/>
                <w:bCs/>
                <w:color w:val="FFFFFF"/>
                <w:szCs w:val="24"/>
                <w:lang w:val="es-CR" w:eastAsia="es-CR" w:bidi="ar-SA"/>
              </w:rPr>
            </w:pPr>
            <w:r w:rsidRPr="003A1CA0">
              <w:rPr>
                <w:rFonts w:eastAsia="Times New Roman" w:cs="Arial"/>
                <w:b/>
                <w:bCs/>
                <w:color w:val="FFFFFF"/>
                <w:szCs w:val="24"/>
                <w:lang w:val="es-CR" w:eastAsia="es-CR" w:bidi="ar-SA"/>
              </w:rPr>
              <w:t>Más frecuente</w:t>
            </w:r>
          </w:p>
        </w:tc>
        <w:tc>
          <w:tcPr>
            <w:tcW w:w="5529" w:type="dxa"/>
            <w:shd w:val="clear" w:color="4472C4" w:fill="4472C4"/>
            <w:vAlign w:val="center"/>
            <w:hideMark/>
          </w:tcPr>
          <w:p w14:paraId="2BBFD126" w14:textId="70E910E7" w:rsidR="00B12870" w:rsidRPr="003A1CA0" w:rsidRDefault="009F2D09" w:rsidP="00685D76">
            <w:pPr>
              <w:spacing w:after="0" w:line="240" w:lineRule="auto"/>
              <w:ind w:firstLine="0"/>
              <w:jc w:val="center"/>
              <w:rPr>
                <w:rFonts w:eastAsia="Times New Roman" w:cs="Arial"/>
                <w:b/>
                <w:bCs/>
                <w:color w:val="FFFFFF"/>
                <w:szCs w:val="24"/>
                <w:lang w:val="es-CR" w:eastAsia="es-CR" w:bidi="ar-SA"/>
              </w:rPr>
            </w:pPr>
            <w:r>
              <w:rPr>
                <w:rFonts w:eastAsia="Times New Roman" w:cs="Arial"/>
                <w:b/>
                <w:bCs/>
                <w:color w:val="FFFFFF"/>
                <w:szCs w:val="24"/>
                <w:lang w:val="es-CR" w:eastAsia="es-CR" w:bidi="ar-SA"/>
              </w:rPr>
              <w:t>S</w:t>
            </w:r>
            <w:r w:rsidR="00B12870" w:rsidRPr="003A1CA0">
              <w:rPr>
                <w:rFonts w:eastAsia="Times New Roman" w:cs="Arial"/>
                <w:b/>
                <w:bCs/>
                <w:color w:val="FFFFFF"/>
                <w:szCs w:val="24"/>
                <w:lang w:val="es-CR" w:eastAsia="es-CR" w:bidi="ar-SA"/>
              </w:rPr>
              <w:t>inónimos</w:t>
            </w:r>
          </w:p>
        </w:tc>
      </w:tr>
      <w:tr w:rsidR="00B12870" w:rsidRPr="00CA1DB1" w14:paraId="274C76AD" w14:textId="77777777" w:rsidTr="00685D76">
        <w:trPr>
          <w:trHeight w:val="300"/>
          <w:jc w:val="center"/>
        </w:trPr>
        <w:tc>
          <w:tcPr>
            <w:tcW w:w="2268" w:type="dxa"/>
            <w:shd w:val="clear" w:color="D9D9D9" w:fill="D9D9D9"/>
            <w:vAlign w:val="center"/>
            <w:hideMark/>
          </w:tcPr>
          <w:p w14:paraId="1532FD39"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Segmental</w:t>
            </w:r>
          </w:p>
        </w:tc>
        <w:tc>
          <w:tcPr>
            <w:tcW w:w="5529" w:type="dxa"/>
            <w:shd w:val="clear" w:color="D9D9D9" w:fill="D9D9D9"/>
            <w:vAlign w:val="center"/>
            <w:hideMark/>
          </w:tcPr>
          <w:p w14:paraId="60293112"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Segmental posterior; A. Radicular; A. intercostales; A. Lumbares</w:t>
            </w:r>
          </w:p>
        </w:tc>
      </w:tr>
      <w:tr w:rsidR="00B12870" w:rsidRPr="00CA1DB1" w14:paraId="010041C8" w14:textId="77777777" w:rsidTr="00685D76">
        <w:trPr>
          <w:trHeight w:val="300"/>
          <w:jc w:val="center"/>
        </w:trPr>
        <w:tc>
          <w:tcPr>
            <w:tcW w:w="2268" w:type="dxa"/>
            <w:shd w:val="clear" w:color="auto" w:fill="auto"/>
            <w:vAlign w:val="center"/>
            <w:hideMark/>
          </w:tcPr>
          <w:p w14:paraId="3B719D58"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Rama Vertebral</w:t>
            </w:r>
          </w:p>
        </w:tc>
        <w:tc>
          <w:tcPr>
            <w:tcW w:w="5529" w:type="dxa"/>
            <w:shd w:val="clear" w:color="auto" w:fill="auto"/>
            <w:vAlign w:val="center"/>
            <w:hideMark/>
          </w:tcPr>
          <w:p w14:paraId="10AE1249"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Rama Ventral; A. Dural; Rama Anterior; Rama Muscular</w:t>
            </w:r>
          </w:p>
        </w:tc>
      </w:tr>
      <w:tr w:rsidR="00B12870" w:rsidRPr="00CA1DB1" w14:paraId="42FD1A9C" w14:textId="77777777" w:rsidTr="00685D76">
        <w:trPr>
          <w:trHeight w:val="600"/>
          <w:jc w:val="center"/>
        </w:trPr>
        <w:tc>
          <w:tcPr>
            <w:tcW w:w="2268" w:type="dxa"/>
            <w:shd w:val="clear" w:color="D9D9D9" w:fill="D9D9D9"/>
            <w:vAlign w:val="center"/>
            <w:hideMark/>
          </w:tcPr>
          <w:p w14:paraId="01E83F2C"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Rama Dorsal</w:t>
            </w:r>
          </w:p>
        </w:tc>
        <w:tc>
          <w:tcPr>
            <w:tcW w:w="5529" w:type="dxa"/>
            <w:shd w:val="clear" w:color="D9D9D9" w:fill="D9D9D9"/>
            <w:vAlign w:val="center"/>
            <w:hideMark/>
          </w:tcPr>
          <w:p w14:paraId="45CC203A"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 xml:space="preserve">Rama Muscular; Ramas para los musculos erector de la columna vertebral y los intercostales; Rama Somática Dorsal </w:t>
            </w:r>
          </w:p>
        </w:tc>
      </w:tr>
      <w:tr w:rsidR="00B12870" w:rsidRPr="00CA1DB1" w14:paraId="240C2E91" w14:textId="77777777" w:rsidTr="00685D76">
        <w:trPr>
          <w:trHeight w:val="600"/>
          <w:jc w:val="center"/>
        </w:trPr>
        <w:tc>
          <w:tcPr>
            <w:tcW w:w="2268" w:type="dxa"/>
            <w:shd w:val="clear" w:color="auto" w:fill="auto"/>
            <w:vAlign w:val="center"/>
            <w:hideMark/>
          </w:tcPr>
          <w:p w14:paraId="02F2B37C" w14:textId="77777777" w:rsidR="00B12870" w:rsidRPr="003A1CA0" w:rsidRDefault="00B12870" w:rsidP="00685D76">
            <w:pPr>
              <w:spacing w:after="0" w:line="240" w:lineRule="auto"/>
              <w:ind w:firstLine="0"/>
              <w:jc w:val="right"/>
              <w:rPr>
                <w:rFonts w:eastAsia="Times New Roman" w:cs="Arial"/>
                <w:color w:val="000000"/>
                <w:szCs w:val="24"/>
                <w:lang w:val="es-CR" w:eastAsia="es-CR" w:bidi="ar-SA"/>
              </w:rPr>
            </w:pPr>
            <w:r w:rsidRPr="003A1CA0">
              <w:rPr>
                <w:rFonts w:eastAsia="Times New Roman" w:cs="Arial"/>
                <w:color w:val="000000"/>
                <w:szCs w:val="24"/>
                <w:lang w:val="es-CR" w:eastAsia="es-CR" w:bidi="ar-SA"/>
              </w:rPr>
              <w:t>A. Radiculomedular</w:t>
            </w:r>
          </w:p>
        </w:tc>
        <w:tc>
          <w:tcPr>
            <w:tcW w:w="5529" w:type="dxa"/>
            <w:shd w:val="clear" w:color="auto" w:fill="auto"/>
            <w:vAlign w:val="center"/>
            <w:hideMark/>
          </w:tcPr>
          <w:p w14:paraId="33DC433C"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Rama Dorsal de la A. intercostal; A. Nervomedular; Rama espinal; A. Radicular; A. Radicularmedulardural; Rama posterior</w:t>
            </w:r>
          </w:p>
        </w:tc>
      </w:tr>
      <w:tr w:rsidR="00B12870" w:rsidRPr="00CA1DB1" w14:paraId="5E572904" w14:textId="77777777" w:rsidTr="00685D76">
        <w:trPr>
          <w:trHeight w:val="600"/>
          <w:jc w:val="center"/>
        </w:trPr>
        <w:tc>
          <w:tcPr>
            <w:tcW w:w="2268" w:type="dxa"/>
            <w:shd w:val="clear" w:color="D9D9D9" w:fill="D9D9D9"/>
            <w:vAlign w:val="center"/>
            <w:hideMark/>
          </w:tcPr>
          <w:p w14:paraId="02632C06"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Radicular anterior</w:t>
            </w:r>
          </w:p>
        </w:tc>
        <w:tc>
          <w:tcPr>
            <w:tcW w:w="5529" w:type="dxa"/>
            <w:shd w:val="clear" w:color="D9D9D9" w:fill="D9D9D9"/>
            <w:vAlign w:val="center"/>
            <w:hideMark/>
          </w:tcPr>
          <w:p w14:paraId="319C9043"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Medular; A. Medular Anterior; A. Radiculomedular anterior; A. Espinal Anterior; A. Medular segmental anterior</w:t>
            </w:r>
          </w:p>
        </w:tc>
      </w:tr>
      <w:tr w:rsidR="00B12870" w:rsidRPr="00CA1DB1" w14:paraId="4B957EB8" w14:textId="77777777" w:rsidTr="00685D76">
        <w:trPr>
          <w:trHeight w:val="600"/>
          <w:jc w:val="center"/>
        </w:trPr>
        <w:tc>
          <w:tcPr>
            <w:tcW w:w="2268" w:type="dxa"/>
            <w:shd w:val="clear" w:color="auto" w:fill="auto"/>
            <w:vAlign w:val="center"/>
            <w:hideMark/>
          </w:tcPr>
          <w:p w14:paraId="50CD64A8"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Rama posterior de la A. radicular</w:t>
            </w:r>
          </w:p>
        </w:tc>
        <w:tc>
          <w:tcPr>
            <w:tcW w:w="5529" w:type="dxa"/>
            <w:shd w:val="clear" w:color="auto" w:fill="auto"/>
            <w:vAlign w:val="center"/>
            <w:hideMark/>
          </w:tcPr>
          <w:p w14:paraId="729B5194"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Medular; A. Medular posterior; A. Radiculomedular posterior; A. Radicular posterior; A. Medular segmentar posterior</w:t>
            </w:r>
          </w:p>
        </w:tc>
      </w:tr>
      <w:tr w:rsidR="00B12870" w:rsidRPr="00CA1DB1" w14:paraId="0CBDB9C9" w14:textId="77777777" w:rsidTr="00685D76">
        <w:trPr>
          <w:trHeight w:val="300"/>
          <w:jc w:val="center"/>
        </w:trPr>
        <w:tc>
          <w:tcPr>
            <w:tcW w:w="2268" w:type="dxa"/>
            <w:shd w:val="clear" w:color="D9D9D9" w:fill="D9D9D9"/>
            <w:vAlign w:val="center"/>
            <w:hideMark/>
          </w:tcPr>
          <w:p w14:paraId="412B3EAC"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Espinal posterolateral</w:t>
            </w:r>
          </w:p>
        </w:tc>
        <w:tc>
          <w:tcPr>
            <w:tcW w:w="5529" w:type="dxa"/>
            <w:shd w:val="clear" w:color="D9D9D9" w:fill="D9D9D9"/>
            <w:vAlign w:val="center"/>
            <w:hideMark/>
          </w:tcPr>
          <w:p w14:paraId="3310208E"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 xml:space="preserve">A. Espinal posterior; Plexo pial posterior; </w:t>
            </w:r>
          </w:p>
        </w:tc>
      </w:tr>
      <w:tr w:rsidR="00B12870" w:rsidRPr="003A1CA0" w14:paraId="0D6E360D" w14:textId="77777777" w:rsidTr="00685D76">
        <w:trPr>
          <w:trHeight w:val="300"/>
          <w:jc w:val="center"/>
        </w:trPr>
        <w:tc>
          <w:tcPr>
            <w:tcW w:w="2268" w:type="dxa"/>
            <w:shd w:val="clear" w:color="auto" w:fill="auto"/>
            <w:vAlign w:val="center"/>
            <w:hideMark/>
          </w:tcPr>
          <w:p w14:paraId="658D1175"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Espinal Anterior</w:t>
            </w:r>
          </w:p>
        </w:tc>
        <w:tc>
          <w:tcPr>
            <w:tcW w:w="5529" w:type="dxa"/>
            <w:shd w:val="clear" w:color="auto" w:fill="auto"/>
            <w:vAlign w:val="center"/>
            <w:hideMark/>
          </w:tcPr>
          <w:p w14:paraId="6FE3B39B"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Espinal anterior larga</w:t>
            </w:r>
          </w:p>
        </w:tc>
      </w:tr>
      <w:tr w:rsidR="00B12870" w:rsidRPr="00CA1DB1" w14:paraId="436CBFEB" w14:textId="77777777" w:rsidTr="00685D76">
        <w:trPr>
          <w:trHeight w:val="300"/>
          <w:jc w:val="center"/>
        </w:trPr>
        <w:tc>
          <w:tcPr>
            <w:tcW w:w="2268" w:type="dxa"/>
            <w:shd w:val="clear" w:color="D9D9D9" w:fill="D9D9D9"/>
            <w:vAlign w:val="center"/>
            <w:hideMark/>
          </w:tcPr>
          <w:p w14:paraId="581C4432"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de Adamkiewicz</w:t>
            </w:r>
          </w:p>
        </w:tc>
        <w:tc>
          <w:tcPr>
            <w:tcW w:w="5529" w:type="dxa"/>
            <w:shd w:val="clear" w:color="D9D9D9" w:fill="D9D9D9"/>
            <w:vAlign w:val="center"/>
            <w:hideMark/>
          </w:tcPr>
          <w:p w14:paraId="4F712A33"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Radicular magna; A. radiculomedular dominante; A. Radicular mayor; A. Medular segmentaria anterior mayor</w:t>
            </w:r>
          </w:p>
        </w:tc>
      </w:tr>
      <w:tr w:rsidR="00B12870" w:rsidRPr="00CA1DB1" w14:paraId="7F468C37" w14:textId="77777777" w:rsidTr="00685D76">
        <w:trPr>
          <w:trHeight w:val="300"/>
          <w:jc w:val="center"/>
        </w:trPr>
        <w:tc>
          <w:tcPr>
            <w:tcW w:w="2268" w:type="dxa"/>
            <w:shd w:val="clear" w:color="auto" w:fill="auto"/>
            <w:vAlign w:val="center"/>
            <w:hideMark/>
          </w:tcPr>
          <w:p w14:paraId="3E0B6899"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A. Sulcal</w:t>
            </w:r>
          </w:p>
        </w:tc>
        <w:tc>
          <w:tcPr>
            <w:tcW w:w="5529" w:type="dxa"/>
            <w:shd w:val="clear" w:color="auto" w:fill="auto"/>
            <w:vAlign w:val="center"/>
            <w:hideMark/>
          </w:tcPr>
          <w:p w14:paraId="56B88155" w14:textId="77777777" w:rsidR="00B12870" w:rsidRPr="003A1CA0" w:rsidRDefault="00B12870" w:rsidP="00685D76">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Rama medular medial; A. Sulcocomisural; A. Sulca</w:t>
            </w:r>
          </w:p>
        </w:tc>
      </w:tr>
    </w:tbl>
    <w:p w14:paraId="507E213A" w14:textId="570AA2E8" w:rsidR="00B12870" w:rsidRDefault="00B12870" w:rsidP="00FC49C0">
      <w:pPr>
        <w:pStyle w:val="Prrafodelista1"/>
        <w:spacing w:after="0"/>
        <w:rPr>
          <w:lang w:val="es-CR"/>
        </w:rPr>
      </w:pPr>
      <w:r w:rsidRPr="003A1CA0">
        <w:rPr>
          <w:lang w:val="es-CR"/>
        </w:rPr>
        <w:t>Tabla 4: Resumen variabilidad terminología anatómica</w:t>
      </w:r>
    </w:p>
    <w:p w14:paraId="4E187905" w14:textId="558889CA" w:rsidR="00FC49C0" w:rsidRPr="00FC49C0" w:rsidRDefault="00FC49C0" w:rsidP="00FC49C0">
      <w:pPr>
        <w:pStyle w:val="Prrafodelista1"/>
        <w:rPr>
          <w:lang w:val="es-CR"/>
        </w:rPr>
      </w:pPr>
      <w:r>
        <w:rPr>
          <w:lang w:val="es-CR"/>
        </w:rPr>
        <w:t xml:space="preserve">Fuente: Adaptado de </w:t>
      </w:r>
      <w:r>
        <w:rPr>
          <w:lang w:val="es-CR"/>
        </w:rPr>
        <w:fldChar w:fldCharType="begin" w:fldLock="1"/>
      </w:r>
      <w:r w:rsidR="00083574">
        <w:rPr>
          <w:lang w:val="es-CR"/>
        </w:rPr>
        <w:instrText>ADDIN CSL_CITATION {"citationItems":[{"id":"ITEM-1","itemData":{"DOI":"10.1590/1677-5449.0004","ISSN":"1677-7301","abstract":"ResumoA intrincada anatomia tridimensional da irrigação medular é frequentemente explanada na literatura com diferentes nomenclaturas e devido a sua alta relevância no estudo da isquemia medular, o estudo da terminologia se faz necessário para melhor compreensão do tema. A artéria de Adamkiewicz, também chamada de artéria radicular magna, é a via principal. Foi realizada a revisão da literatura com equiparação das nomenclaturas utilizadas e elaboração de descrição acurada e sumarizada do conhecimento atual sobre a vascularização medular.AbstractThe intricate three-dimensional vascular anatomy of the spinal cord is still not completely understood, and its terminology varies between studies. In view of its importance in spinal ischemia, an analysis is needed of the anatomic vocabulary used to describe the spinal cord blood supply to improve understanding of the subject. The main supply is the Adamkiewicz artery, also known as great anterior radicular artery. The literature was reviewed to equate the different nomenclatures employed and an accurate description of current knowledge on spinal cord vascularization was prepared.","author":[{"dropping-particle":"","family":"Amato","given":"Alexandre Campos Moraes","non-dropping-particle":"","parse-names":false,"suffix":""},{"dropping-particle":"","family":"Stolf","given":"Noedir Antônio Groppo","non-dropping-particle":"","parse-names":false,"suffix":""}],"container-title":"Jornal Vascular Brasileiro","id":"ITEM-1","issue":"3","issued":{"date-parts":[["2015"]]},"page":"248-252","title":"Anatomy of spinal blood supply","type":"article-journal","volume":"14"},"uris":["http://www.mendeley.com/documents/?uuid=33127e10-ca34-4a09-b18a-b137638f6238"]}],"mendeley":{"formattedCitation":"(Amato &amp; Stolf, 2015)","plainTextFormattedCitation":"(Amato &amp; Stolf, 2015)","previouslyFormattedCitation":"(Amato &amp; Stolf, 2015)"},"properties":{"noteIndex":0},"schema":"https://github.com/citation-style-language/schema/raw/master/csl-citation.json"}</w:instrText>
      </w:r>
      <w:r>
        <w:rPr>
          <w:lang w:val="es-CR"/>
        </w:rPr>
        <w:fldChar w:fldCharType="separate"/>
      </w:r>
      <w:r w:rsidRPr="00FC49C0">
        <w:rPr>
          <w:noProof/>
          <w:lang w:val="es-CR"/>
        </w:rPr>
        <w:t>(Amato &amp; Stolf, 2015)</w:t>
      </w:r>
      <w:r>
        <w:rPr>
          <w:lang w:val="es-CR"/>
        </w:rPr>
        <w:fldChar w:fldCharType="end"/>
      </w:r>
    </w:p>
    <w:p w14:paraId="7EAA794A" w14:textId="77777777" w:rsidR="00B12870" w:rsidRDefault="00B12870">
      <w:pPr>
        <w:spacing w:line="276" w:lineRule="auto"/>
        <w:ind w:firstLine="0"/>
        <w:jc w:val="left"/>
        <w:rPr>
          <w:rFonts w:eastAsiaTheme="majorEastAsia" w:cstheme="majorBidi"/>
          <w:b/>
          <w:bCs/>
          <w:i/>
          <w:iCs/>
          <w:lang w:val="es-CR"/>
        </w:rPr>
      </w:pPr>
      <w:r>
        <w:rPr>
          <w:lang w:val="es-CR"/>
        </w:rPr>
        <w:br w:type="page"/>
      </w:r>
    </w:p>
    <w:p w14:paraId="141A905F" w14:textId="53F63AC5" w:rsidR="00B12870" w:rsidRPr="003A1CA0" w:rsidRDefault="00B12870" w:rsidP="00B12870">
      <w:pPr>
        <w:pStyle w:val="Heading3"/>
        <w:rPr>
          <w:lang w:val="es-CR"/>
        </w:rPr>
      </w:pPr>
      <w:bookmarkStart w:id="28" w:name="_Toc47027837"/>
      <w:r w:rsidRPr="003A1CA0">
        <w:rPr>
          <w:lang w:val="es-CR"/>
        </w:rPr>
        <w:lastRenderedPageBreak/>
        <w:t>Vías colaterales</w:t>
      </w:r>
      <w:bookmarkEnd w:id="28"/>
    </w:p>
    <w:p w14:paraId="2DEE281D" w14:textId="77777777" w:rsidR="009F2D09" w:rsidRDefault="009F2D09" w:rsidP="00B12870">
      <w:pPr>
        <w:pStyle w:val="ListParagraph"/>
        <w:numPr>
          <w:ilvl w:val="0"/>
          <w:numId w:val="3"/>
        </w:numPr>
        <w:rPr>
          <w:lang w:val="es-CR"/>
        </w:rPr>
        <w:sectPr w:rsidR="009F2D09" w:rsidSect="009C46A7">
          <w:type w:val="continuous"/>
          <w:pgSz w:w="12240" w:h="15840"/>
          <w:pgMar w:top="1417" w:right="1701" w:bottom="1417" w:left="1701" w:header="708" w:footer="708" w:gutter="0"/>
          <w:pgNumType w:start="0"/>
          <w:cols w:space="708"/>
          <w:docGrid w:linePitch="360"/>
        </w:sectPr>
      </w:pPr>
    </w:p>
    <w:p w14:paraId="4B8BFCF5" w14:textId="3344DEA0" w:rsidR="00B12870" w:rsidRPr="003A1CA0" w:rsidRDefault="00B12870" w:rsidP="00B12870">
      <w:pPr>
        <w:pStyle w:val="ListParagraph"/>
        <w:numPr>
          <w:ilvl w:val="0"/>
          <w:numId w:val="3"/>
        </w:numPr>
        <w:rPr>
          <w:lang w:val="es-CR"/>
        </w:rPr>
      </w:pPr>
      <w:r w:rsidRPr="003A1CA0">
        <w:rPr>
          <w:lang w:val="es-CR"/>
        </w:rPr>
        <w:t>Carotideo</w:t>
      </w:r>
    </w:p>
    <w:p w14:paraId="54741F17" w14:textId="77777777" w:rsidR="00B12870" w:rsidRPr="003A1CA0" w:rsidRDefault="00B12870" w:rsidP="00B12870">
      <w:pPr>
        <w:pStyle w:val="ListParagraph"/>
        <w:numPr>
          <w:ilvl w:val="0"/>
          <w:numId w:val="3"/>
        </w:numPr>
        <w:rPr>
          <w:lang w:val="es-CR"/>
        </w:rPr>
      </w:pPr>
      <w:r w:rsidRPr="003A1CA0">
        <w:rPr>
          <w:lang w:val="es-CR"/>
        </w:rPr>
        <w:t>Subclavio</w:t>
      </w:r>
    </w:p>
    <w:p w14:paraId="05D99844" w14:textId="77777777" w:rsidR="00B12870" w:rsidRPr="003A1CA0" w:rsidRDefault="00B12870" w:rsidP="00B12870">
      <w:pPr>
        <w:pStyle w:val="ListParagraph"/>
        <w:numPr>
          <w:ilvl w:val="0"/>
          <w:numId w:val="3"/>
        </w:numPr>
        <w:rPr>
          <w:lang w:val="es-CR"/>
        </w:rPr>
      </w:pPr>
      <w:r w:rsidRPr="003A1CA0">
        <w:rPr>
          <w:lang w:val="es-CR"/>
        </w:rPr>
        <w:t>Vertebral</w:t>
      </w:r>
    </w:p>
    <w:p w14:paraId="07B31331" w14:textId="77777777" w:rsidR="00B12870" w:rsidRPr="003A1CA0" w:rsidRDefault="00B12870" w:rsidP="00B12870">
      <w:pPr>
        <w:pStyle w:val="ListParagraph"/>
        <w:numPr>
          <w:ilvl w:val="0"/>
          <w:numId w:val="3"/>
        </w:numPr>
        <w:rPr>
          <w:lang w:val="es-CR"/>
        </w:rPr>
      </w:pPr>
      <w:r w:rsidRPr="003A1CA0">
        <w:rPr>
          <w:lang w:val="es-CR"/>
        </w:rPr>
        <w:t>Intercostal</w:t>
      </w:r>
    </w:p>
    <w:p w14:paraId="7BF3F1E6" w14:textId="77777777" w:rsidR="00B12870" w:rsidRPr="003A1CA0" w:rsidRDefault="00B12870" w:rsidP="00B12870">
      <w:pPr>
        <w:pStyle w:val="ListParagraph"/>
        <w:numPr>
          <w:ilvl w:val="0"/>
          <w:numId w:val="3"/>
        </w:numPr>
        <w:rPr>
          <w:lang w:val="es-CR"/>
        </w:rPr>
      </w:pPr>
      <w:r w:rsidRPr="003A1CA0">
        <w:rPr>
          <w:lang w:val="es-CR"/>
        </w:rPr>
        <w:t>Lumbar</w:t>
      </w:r>
    </w:p>
    <w:p w14:paraId="5894001C" w14:textId="77777777" w:rsidR="00B12870" w:rsidRPr="003A1CA0" w:rsidRDefault="00B12870" w:rsidP="00B12870">
      <w:pPr>
        <w:pStyle w:val="ListParagraph"/>
        <w:numPr>
          <w:ilvl w:val="0"/>
          <w:numId w:val="3"/>
        </w:numPr>
        <w:rPr>
          <w:lang w:val="es-CR"/>
        </w:rPr>
      </w:pPr>
      <w:r w:rsidRPr="003A1CA0">
        <w:rPr>
          <w:lang w:val="es-CR"/>
        </w:rPr>
        <w:t>Hipogástrico</w:t>
      </w:r>
    </w:p>
    <w:p w14:paraId="40D5203E" w14:textId="77777777" w:rsidR="00B12870" w:rsidRPr="003A1CA0" w:rsidRDefault="00B12870" w:rsidP="00B12870">
      <w:pPr>
        <w:pStyle w:val="ListParagraph"/>
        <w:numPr>
          <w:ilvl w:val="0"/>
          <w:numId w:val="3"/>
        </w:numPr>
        <w:rPr>
          <w:lang w:val="es-CR"/>
        </w:rPr>
      </w:pPr>
      <w:r w:rsidRPr="003A1CA0">
        <w:rPr>
          <w:lang w:val="es-CR"/>
        </w:rPr>
        <w:t>Iliaca Interna</w:t>
      </w:r>
    </w:p>
    <w:p w14:paraId="4B42BDD8" w14:textId="77777777" w:rsidR="00B12870" w:rsidRPr="003A1CA0" w:rsidRDefault="00B12870" w:rsidP="00B12870">
      <w:pPr>
        <w:pStyle w:val="ListParagraph"/>
        <w:numPr>
          <w:ilvl w:val="0"/>
          <w:numId w:val="3"/>
        </w:numPr>
        <w:rPr>
          <w:lang w:val="es-CR"/>
        </w:rPr>
      </w:pPr>
      <w:r w:rsidRPr="003A1CA0">
        <w:rPr>
          <w:lang w:val="es-CR"/>
        </w:rPr>
        <w:t>Femoral Profunda</w:t>
      </w:r>
    </w:p>
    <w:p w14:paraId="02EB6AED" w14:textId="77777777" w:rsidR="009F2D09" w:rsidRDefault="009F2D09" w:rsidP="009F2D09">
      <w:pPr>
        <w:pStyle w:val="Heading2"/>
        <w:rPr>
          <w:lang w:val="es-CR"/>
        </w:rPr>
        <w:sectPr w:rsidR="009F2D09" w:rsidSect="009F2D09">
          <w:type w:val="continuous"/>
          <w:pgSz w:w="12240" w:h="15840"/>
          <w:pgMar w:top="1417" w:right="1701" w:bottom="1417" w:left="1701" w:header="708" w:footer="708" w:gutter="0"/>
          <w:pgNumType w:start="1"/>
          <w:cols w:num="2" w:space="708"/>
          <w:docGrid w:linePitch="360"/>
        </w:sectPr>
      </w:pPr>
    </w:p>
    <w:p w14:paraId="6F290D9E" w14:textId="28027FBE" w:rsidR="009F2D09" w:rsidRPr="003A1CA0" w:rsidRDefault="009F2D09" w:rsidP="009F2D09">
      <w:pPr>
        <w:pStyle w:val="Heading2"/>
        <w:rPr>
          <w:lang w:val="es-CR"/>
        </w:rPr>
      </w:pPr>
      <w:bookmarkStart w:id="29" w:name="_Toc47027838"/>
      <w:r w:rsidRPr="003A1CA0">
        <w:rPr>
          <w:lang w:val="es-CR"/>
        </w:rPr>
        <w:t>Fisiopatología</w:t>
      </w:r>
      <w:bookmarkEnd w:id="29"/>
    </w:p>
    <w:p w14:paraId="14FC68B4" w14:textId="1A4E4482" w:rsidR="009F2D09" w:rsidRPr="003A1CA0" w:rsidRDefault="009F2D09" w:rsidP="009F2D09">
      <w:pPr>
        <w:rPr>
          <w:lang w:val="es-CR"/>
        </w:rPr>
      </w:pPr>
      <w:r w:rsidRPr="003A1CA0">
        <w:rPr>
          <w:lang w:val="es-CR"/>
        </w:rPr>
        <w:t>Específicamente no se han descrito las causas de SCI, la fisiopatología es complicada y poco comprendida. La irrigación sanguínea es compleja y demuestra variaciones individuales del aporte sanguíneo característicamente en los niveles toracolumbares</w:t>
      </w:r>
      <w:r w:rsidR="00F01770">
        <w:rPr>
          <w:lang w:val="es-CR"/>
        </w:rPr>
        <w:t xml:space="preserve"> </w:t>
      </w:r>
      <w:r w:rsidRPr="003A1CA0">
        <w:rPr>
          <w:lang w:val="es-CR"/>
        </w:rPr>
        <w:fldChar w:fldCharType="begin" w:fldLock="1"/>
      </w:r>
      <w:r w:rsidR="001A1B73">
        <w:rPr>
          <w:lang w:val="es-CR"/>
        </w:rPr>
        <w:instrText>ADDIN CSL_CITATION {"citationItems":[{"id":"ITEM-1","itemData":{"DOI":"10.1016/B0-44-306600-0/50020-1","ISBN":"9780702035944","author":[{"dropping-particle":"","family":"Mohr","given":"J. P.","non-dropping-particle":"","parse-names":false,"suffix":""},{"dropping-particle":"","family":"Benavente","given":"Oscar","non-dropping-particle":"","parse-names":false,"suffix":""},{"dropping-particle":"","family":"Barnett","given":"Henry J.M.","non-dropping-particle":"","parse-names":false,"suffix":""}],"container-title":"Stroke: Pathophysiology, Diagnosis, and Management","id":"ITEM-1","issued":{"date-parts":[["2020"]]},"page":"423-436","title":"Spinal Cord Ischemia","type":"article-journal"},"uris":["http://www.mendeley.com/documents/?uuid=4f6870f2-cfcf-4385-b829-fdbf819f7058"]}],"mendeley":{"formattedCitation":"(Mohr et al., 2020)","plainTextFormattedCitation":"(Mohr et al., 2020)","previouslyFormattedCitation":"(Mohr et al., 2020)"},"properties":{"noteIndex":0},"schema":"https://github.com/citation-style-language/schema/raw/master/csl-citation.json"}</w:instrText>
      </w:r>
      <w:r w:rsidRPr="003A1CA0">
        <w:rPr>
          <w:lang w:val="es-CR"/>
        </w:rPr>
        <w:fldChar w:fldCharType="separate"/>
      </w:r>
      <w:r w:rsidR="00FA7019" w:rsidRPr="00FA7019">
        <w:rPr>
          <w:noProof/>
          <w:lang w:val="es-CR"/>
        </w:rPr>
        <w:t>(Mohr et al., 2020)</w:t>
      </w:r>
      <w:r w:rsidRPr="003A1CA0">
        <w:rPr>
          <w:lang w:val="es-CR"/>
        </w:rPr>
        <w:fldChar w:fldCharType="end"/>
      </w:r>
      <w:r w:rsidRPr="003A1CA0">
        <w:rPr>
          <w:lang w:val="es-CR"/>
        </w:rPr>
        <w:t>. Fisiopatológicamente hay que tomar en cuenta características claves que diferencian la evolución de SCI en TEVAR de la cirugía abierta TAAA.</w:t>
      </w:r>
    </w:p>
    <w:p w14:paraId="32497012" w14:textId="77777777" w:rsidR="009F2D09" w:rsidRPr="003A1CA0" w:rsidRDefault="009F2D09" w:rsidP="009F2D09">
      <w:pPr>
        <w:rPr>
          <w:lang w:val="es-CR"/>
        </w:rPr>
      </w:pPr>
      <w:r w:rsidRPr="003A1CA0">
        <w:rPr>
          <w:lang w:val="es-CR"/>
        </w:rPr>
        <w:t>A lo largo de la médula la densidad de la sustancia gris varía, esta es proporcional al aporte sanguíneo. Asimismo, existe una relación intrínseca entre la sangre, el LCR y el tejido neural. Un aumento de la presión de LCR disminuye la perfusión medular por lo que se ha establecido el drenaje preventivo de LCR en pacientes con factores de riesgo de SCI.</w:t>
      </w:r>
    </w:p>
    <w:p w14:paraId="465D4299" w14:textId="77777777" w:rsidR="009F2D09" w:rsidRPr="003A1CA0" w:rsidRDefault="009F2D09" w:rsidP="009F2D09">
      <w:pPr>
        <w:ind w:firstLine="0"/>
        <w:rPr>
          <w:rFonts w:eastAsiaTheme="minorEastAsia"/>
          <w:lang w:val="es-CR"/>
        </w:rPr>
      </w:pPr>
      <m:oMathPara>
        <m:oMath>
          <m:r>
            <w:rPr>
              <w:rFonts w:ascii="Cambria Math" w:hAnsi="Cambria Math"/>
              <w:lang w:val="es-CR"/>
            </w:rPr>
            <m:t>SCPP=PAM-pLCR</m:t>
          </m:r>
        </m:oMath>
      </m:oMathPara>
    </w:p>
    <w:p w14:paraId="02D0BC2E" w14:textId="014434F6" w:rsidR="009F2D09" w:rsidRPr="003A1CA0" w:rsidRDefault="009F2D09" w:rsidP="009F2D09">
      <w:pPr>
        <w:pStyle w:val="Prrafodelista1"/>
        <w:rPr>
          <w:lang w:val="es-CR"/>
        </w:rPr>
      </w:pPr>
      <w:r w:rsidRPr="003A1CA0">
        <w:rPr>
          <w:lang w:val="es-CR"/>
        </w:rPr>
        <w:t>Presión de perfusión de Médula Espinal (SCPP), Presión Arterial Medial (PAM), Presión de LCR (pLCR)</w:t>
      </w:r>
      <w:r w:rsidRPr="003A1CA0">
        <w:rPr>
          <w:lang w:val="es-CR"/>
        </w:rPr>
        <w:fldChar w:fldCharType="begin" w:fldLock="1"/>
      </w:r>
      <w:r w:rsidR="001A1B73">
        <w:rPr>
          <w:lang w:val="es-CR"/>
        </w:rPr>
        <w:instrText>ADDIN CSL_CITATION {"citationItems":[{"id":"ITEM-1","itemData":{"DOI":"10.1093/icvts/ivu036","ISSN":"15699285","PMID":"24603163","abstract":"OBJECTIVES Paraplegia is a complication that may occur following surgery or endovascular stenting of thoracic and thoracoabdominal aortic pathology. Measuring transcranial motor evoked potentials (tcMEPs) has been shown to provide a reliable measure of spinal cord function during such procedures allowing interventions to protect cord function. In the spirit of sharing experience and eliminating the learning curve for others, this manuscript describes our experience of setting up a service for tcMEP monitoring as well as the documents and algorithms for measuring, recording and acting on the patient data, the so-called 'MEP Pathway'. METHODS Recording and interpretation of tcMEP during thoracoabdominal aortic intervention requires training of staff and close team working in the operating theatre and postoperative intensive care unit. Providing consistent, reliable, specific and sensitive information on spinal cord function and its safe and effective use to alter patient outcomes requires a protocol. The MEP pathway was developed by medical and paramedical staff at our institution based on clinical experience and literature reviews over a 1-year period (2012-2013). RESULTS The tcMEP pathway comprises six documents that guide staff in: (a) assessing suitability of patients, (b) setting up hardware, (c) preparing algorithms for management, (d) documenting intervention (left heart bypass, cardiopulmonary bypass or endovascular stenting) as well as (e) documenting postoperative intensive care processes. CONCLUSIONS The tcMEP pathway acts as a guide for safe introduction and use of tcMEPs in thoracoabdominal aortic interventions. tcMEP-led guidance of intraoperative and postoperative management in thoracic aortic surgery is an important adjunct in caring for this patient group. © 2014 The Author 2014. Published by Oxford University Press on behalf of the European Association for Cardio-Thoracic Surgery. All rights reserved.","author":[{"dropping-particle":"","family":"Jafarzadeh","given":"Fatemeh","non-dropping-particle":"","parse-names":false,"suffix":""},{"dropping-particle":"","family":"Bashir","given":"Mohamad","non-dropping-particle":"","parse-names":false,"suffix":""},{"dropping-particle":"","family":"Yan","given":"Tristan","non-dropping-particle":"","parse-names":false,"suffix":""},{"dropping-particle":"","family":"Harrington","given":"Deborah","non-dropping-particle":"","parse-names":false,"suffix":""},{"dropping-particle":"","family":"Field","given":"Mark L.","non-dropping-particle":"","parse-names":false,"suffix":""},{"dropping-particle":"","family":"Kuduvalli","given":"Manoj","non-dropping-particle":"","parse-names":false,"suffix":""},{"dropping-particle":"","family":"Oo","given":"Aung","non-dropping-particle":"","parse-names":false,"suffix":""},{"dropping-particle":"","family":"Desmond","given":"Michael","non-dropping-particle":"","parse-names":false,"suffix":""}],"container-title":"Interactive Cardiovascular and Thoracic Surgery","id":"ITEM-1","issue":"6","issued":{"date-parts":[["2014"]]},"page":"748-756","title":"Setting up and utilizing a service for measuring perioperative transcranial motor evoked potentials during thoracoabdominal aortic surgery and thoracic endovascular repair","type":"article-journal","volume":"18"},"uris":["http://www.mendeley.com/documents/?uuid=41561a04-0af7-4210-9209-bb270bb382e9"]}],"mendeley":{"formattedCitation":"(Jafarzadeh et al., 2014)","plainTextFormattedCitation":"(Jafarzadeh et al., 2014)","previouslyFormattedCitation":"(Jafarzadeh et al., 2014)"},"properties":{"noteIndex":0},"schema":"https://github.com/citation-style-language/schema/raw/master/csl-citation.json"}</w:instrText>
      </w:r>
      <w:r w:rsidRPr="003A1CA0">
        <w:rPr>
          <w:lang w:val="es-CR"/>
        </w:rPr>
        <w:fldChar w:fldCharType="separate"/>
      </w:r>
      <w:r w:rsidR="00FA7019" w:rsidRPr="00FA7019">
        <w:rPr>
          <w:noProof/>
          <w:lang w:val="es-CR"/>
        </w:rPr>
        <w:t>(Jafarzadeh et al., 2014)</w:t>
      </w:r>
      <w:r w:rsidRPr="003A1CA0">
        <w:rPr>
          <w:lang w:val="es-CR"/>
        </w:rPr>
        <w:fldChar w:fldCharType="end"/>
      </w:r>
    </w:p>
    <w:p w14:paraId="1CCFE6F6" w14:textId="26037E8D" w:rsidR="009F2D09" w:rsidRPr="003A1CA0" w:rsidRDefault="009F2D09" w:rsidP="009F2D09">
      <w:pPr>
        <w:rPr>
          <w:lang w:val="es-CR"/>
        </w:rPr>
      </w:pPr>
      <w:r w:rsidRPr="003A1CA0">
        <w:rPr>
          <w:lang w:val="es-CR"/>
        </w:rPr>
        <w:lastRenderedPageBreak/>
        <w:t>La isquemia medular es el resultado de múltiples mecanismos que pueden ocurrir en combinación o como eventos aislados. La SCI es consecuencia de hipoperfusión global o daño vascular; la evidencia clínica sugiere que el desequilibrio del aporte sanguíneo a la médula espinal brindada a través de vías colaterales arteriales es el factor principal del desarrollo de SCI</w:t>
      </w:r>
      <w:r w:rsidR="00FC49C0">
        <w:rPr>
          <w:lang w:val="es-CR"/>
        </w:rPr>
        <w:t xml:space="preserve"> </w:t>
      </w:r>
      <w:r w:rsidRPr="003A1CA0">
        <w:rPr>
          <w:lang w:val="es-CR"/>
        </w:rPr>
        <w:fldChar w:fldCharType="begin" w:fldLock="1"/>
      </w:r>
      <w:r w:rsidR="0091486C">
        <w:rPr>
          <w:lang w:val="es-CR"/>
        </w:rPr>
        <w:instrText>ADDIN CSL_CITATION {"citationItems":[{"id":"ITEM-1","itemData":{"DOI":"10.1007/s12630-017-0974-1","ISSN":"14968975","PMID":"29019146","abstract":"Purpose: Thoracic endovascular aortic aneurysm repair (TEVAR) has become a mainstay of therapy for aneurysms and other disorders of the thoracic aorta. The purpose of this narrative review article is to summarize the current literature on the risk factors for and pathophysiology of spinal cord injury (SCI) following TEVAR, and to discuss various intraoperative monitoring and treatment strategies. Source: The articles considered in this review were identified through PubMed using the following search terms: thoracic aortic aneurysm, TEVAR, paralysis+TEVAR, risk factors+TEVAR, spinal cord ischemia+TEVAR, neuromonitoring+thoracic aortic aneurysm, spinal drain, cerebrospinal fluid drainage, treatment of spinal cord ischemia. Principal findings: Spinal cord injury continues to be a challenging complication after TEVAR. Its incidence after TEVAR is not significantly reduced when compared with open thoracoabdominal aortic aneurysm repair. Nevertheless, compared with open procedures, delayed paralysis/paresis is the predominant presentation of SCI after TEVAR. The pathophysiology of SCI is complex and not fully understood, though the evolving concept of the importance of the spinal cord’s collateral blood supply network and its imbalance after TEVAR is emerging as a leading factor in the development of SCI. Cerebrospinal fluid drainage, optimal blood pressure management, and newer surgical techniques are important components of the most up-to-date strategies for spinal cord protection. Conclusion: Further experimental and clinical research is needed to aid in the discovery of novel neuroprotective strategies for the protection and treatment of SCI following TEVAR.","author":[{"dropping-particle":"","family":"Awad","given":"Hamdy","non-dropping-particle":"","parse-names":false,"suffix":""},{"dropping-particle":"","family":"Ramadan","given":"Mohamed Ehab","non-dropping-particle":"","parse-names":false,"suffix":""},{"dropping-particle":"","family":"Sayed","given":"Hosam F.","non-dropping-particle":"El","parse-names":false,"suffix":""},{"dropping-particle":"","family":"Tolpin","given":"Daniel A.","non-dropping-particle":"","parse-names":false,"suffix":""},{"dropping-particle":"","family":"Tili","given":"Esmerina","non-dropping-particle":"","parse-names":false,"suffix":""},{"dropping-particle":"","family":"Collard","given":"Charles D.","non-dropping-particle":"","parse-names":false,"suffix":""}],"container-title":"Canadian Journal of Anesthesia","id":"ITEM-1","issue":"12","issued":{"date-parts":[["2017"]]},"page":"1218-1235","publisher":"Springer US","title":"Spinal cord injury after thoracic endovascular aortic aneurysm repair","type":"article-journal","volume":"64"},"uris":["http://www.mendeley.com/documents/?uuid=2c47d0ce-6be0-4a12-a6db-bdb6ac171c08"]},{"id":"ITEM-2","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S.","non-dropping-particle":"","parse-names":false,"suffix":""}],"id":"ITEM-2","issued":{"date-parts":[["2017"]]},"publisher":"Springer US","publisher-place":"Cham, Switzerland","title":"Endovascular Aortic Repair Current Techniques with Fenestrated, Branched and Parallel Stent-Grafts","type":"book"},"uris":["http://www.mendeley.com/documents/?uuid=000e0c0a-9f4e-4fa0-bb91-d903249e9bcf"]}],"mendeley":{"formattedCitation":"(Awad et al., 2017; Oderich, 2017)","plainTextFormattedCitation":"(Awad et al., 2017; Oderich, 2017)","previouslyFormattedCitation":"(Awad et al., 2017; Oderich, 2017)"},"properties":{"noteIndex":0},"schema":"https://github.com/citation-style-language/schema/raw/master/csl-citation.json"}</w:instrText>
      </w:r>
      <w:r w:rsidRPr="003A1CA0">
        <w:rPr>
          <w:lang w:val="es-CR"/>
        </w:rPr>
        <w:fldChar w:fldCharType="separate"/>
      </w:r>
      <w:r w:rsidR="0091486C" w:rsidRPr="0091486C">
        <w:rPr>
          <w:noProof/>
          <w:lang w:val="es-CR"/>
        </w:rPr>
        <w:t>(Awad et al., 2017; Oderich, 2017)</w:t>
      </w:r>
      <w:r w:rsidRPr="003A1CA0">
        <w:rPr>
          <w:lang w:val="es-CR"/>
        </w:rPr>
        <w:fldChar w:fldCharType="end"/>
      </w:r>
      <w:r w:rsidRPr="003A1CA0">
        <w:rPr>
          <w:lang w:val="es-CR"/>
        </w:rPr>
        <w:t>.</w:t>
      </w:r>
    </w:p>
    <w:p w14:paraId="6EDC3253" w14:textId="47A6DDC2" w:rsidR="009F2D09" w:rsidRPr="003A1CA0" w:rsidRDefault="009F2D09" w:rsidP="009F2D09">
      <w:pPr>
        <w:rPr>
          <w:lang w:val="es-CR"/>
        </w:rPr>
      </w:pPr>
      <w:r w:rsidRPr="003A1CA0">
        <w:rPr>
          <w:lang w:val="es-CR"/>
        </w:rPr>
        <w:t>Excitotoxicidad neuronal es desencadenada por</w:t>
      </w:r>
      <w:r>
        <w:rPr>
          <w:lang w:val="es-CR"/>
        </w:rPr>
        <w:t xml:space="preserve"> la</w:t>
      </w:r>
      <w:r w:rsidRPr="003A1CA0">
        <w:rPr>
          <w:lang w:val="es-CR"/>
        </w:rPr>
        <w:t xml:space="preserve"> isquemia, las neuronas dañadas liberan radicales libres y agentes neurotóxicos. Además, la reperfusión de la médula espinal desencadena una respuesta inflamatoria que compromete el pH y los niveles de pCO2 alterando la vasoregulación de las arterias de la médula espinal</w:t>
      </w:r>
      <w:r>
        <w:rPr>
          <w:lang w:val="es-CR"/>
        </w:rPr>
        <w:t>, culminando en</w:t>
      </w:r>
      <w:r w:rsidRPr="003A1CA0">
        <w:rPr>
          <w:lang w:val="es-CR"/>
        </w:rPr>
        <w:t xml:space="preserve"> muerte celular </w:t>
      </w:r>
      <w:r>
        <w:rPr>
          <w:lang w:val="es-CR"/>
        </w:rPr>
        <w:t xml:space="preserve">la cual </w:t>
      </w:r>
      <w:r w:rsidRPr="003A1CA0">
        <w:rPr>
          <w:lang w:val="es-CR"/>
        </w:rPr>
        <w:t>se da mediante apoptosi</w:t>
      </w:r>
      <w:r>
        <w:rPr>
          <w:lang w:val="es-CR"/>
        </w:rPr>
        <w:t xml:space="preserve">s </w:t>
      </w:r>
      <w:r w:rsidRPr="003A1CA0">
        <w:rPr>
          <w:lang w:val="es-CR"/>
        </w:rPr>
        <w:t>en las 48 horas posterior al evento isquémico</w:t>
      </w:r>
      <w:r w:rsidR="00F01770">
        <w:rPr>
          <w:lang w:val="es-CR"/>
        </w:rPr>
        <w:t xml:space="preserve"> </w:t>
      </w:r>
      <w:r w:rsidRPr="003A1CA0">
        <w:rPr>
          <w:lang w:val="es-CR"/>
        </w:rPr>
        <w:fldChar w:fldCharType="begin" w:fldLock="1"/>
      </w:r>
      <w:r w:rsidR="001A1B73">
        <w:rPr>
          <w:lang w:val="es-CR"/>
        </w:rPr>
        <w:instrText>ADDIN CSL_CITATION {"citationItems":[{"id":"ITEM-1","itemData":{"DOI":"10.1016/B0-44-306600-0/50020-1","ISBN":"9780702035944","author":[{"dropping-particle":"","family":"Mohr","given":"J. P.","non-dropping-particle":"","parse-names":false,"suffix":""},{"dropping-particle":"","family":"Benavente","given":"Oscar","non-dropping-particle":"","parse-names":false,"suffix":""},{"dropping-particle":"","family":"Barnett","given":"Henry J.M.","non-dropping-particle":"","parse-names":false,"suffix":""}],"container-title":"Stroke: Pathophysiology, Diagnosis, and Management","id":"ITEM-1","issued":{"date-parts":[["2020"]]},"page":"423-436","title":"Spinal Cord Ischemia","type":"article-journal"},"uris":["http://www.mendeley.com/documents/?uuid=4f6870f2-cfcf-4385-b829-fdbf819f7058"]}],"mendeley":{"formattedCitation":"(Mohr et al., 2020)","plainTextFormattedCitation":"(Mohr et al., 2020)","previouslyFormattedCitation":"(Mohr et al., 2020)"},"properties":{"noteIndex":0},"schema":"https://github.com/citation-style-language/schema/raw/master/csl-citation.json"}</w:instrText>
      </w:r>
      <w:r w:rsidRPr="003A1CA0">
        <w:rPr>
          <w:lang w:val="es-CR"/>
        </w:rPr>
        <w:fldChar w:fldCharType="separate"/>
      </w:r>
      <w:r w:rsidR="00FA7019" w:rsidRPr="00FA7019">
        <w:rPr>
          <w:noProof/>
          <w:lang w:val="es-CR"/>
        </w:rPr>
        <w:t>(Mohr et al., 2020)</w:t>
      </w:r>
      <w:r w:rsidRPr="003A1CA0">
        <w:rPr>
          <w:lang w:val="es-CR"/>
        </w:rPr>
        <w:fldChar w:fldCharType="end"/>
      </w:r>
      <w:r w:rsidRPr="003A1CA0">
        <w:rPr>
          <w:lang w:val="es-CR"/>
        </w:rPr>
        <w:t>.</w:t>
      </w:r>
    </w:p>
    <w:p w14:paraId="10838B86" w14:textId="77777777" w:rsidR="009F2D09" w:rsidRPr="003A1CA0" w:rsidRDefault="009F2D09" w:rsidP="009F2D09">
      <w:pPr>
        <w:rPr>
          <w:lang w:val="es-CR"/>
        </w:rPr>
      </w:pPr>
      <w:r w:rsidRPr="003A1CA0">
        <w:rPr>
          <w:lang w:val="es-CR"/>
        </w:rPr>
        <w:t>La pérdida de las arterias intercostales aunado a una red colateral insuficiente, daño por reperfusión, edema de médula espinal y micro embolización por el uso de introductores o endoprótesis son causas de SCI secundaria al compromiso hemodinámico.</w:t>
      </w:r>
    </w:p>
    <w:p w14:paraId="218C406A" w14:textId="67962D99" w:rsidR="009F2D09" w:rsidRPr="003A1CA0" w:rsidRDefault="009F2D09" w:rsidP="009F2D09">
      <w:pPr>
        <w:rPr>
          <w:lang w:val="es-CR"/>
        </w:rPr>
      </w:pPr>
      <w:r w:rsidRPr="003A1CA0">
        <w:rPr>
          <w:lang w:val="es-CR"/>
        </w:rPr>
        <w:t>Durante la cirugía abierta de TAAA el pinzamiento aórtico cruzado produce hipertensión proximal a la pinza, aumento de la presión intracraneal</w:t>
      </w:r>
      <w:r>
        <w:rPr>
          <w:lang w:val="es-CR"/>
        </w:rPr>
        <w:t xml:space="preserve"> lo que lleva a un </w:t>
      </w:r>
      <w:r w:rsidRPr="003A1CA0">
        <w:rPr>
          <w:lang w:val="es-CR"/>
        </w:rPr>
        <w:t xml:space="preserve">aumento de la presión venosa central e hipotensión </w:t>
      </w:r>
      <w:r w:rsidRPr="003A1CA0">
        <w:rPr>
          <w:lang w:val="es-CR"/>
        </w:rPr>
        <w:fldChar w:fldCharType="begin" w:fldLock="1"/>
      </w:r>
      <w:r w:rsidR="001A1B73">
        <w:rPr>
          <w:lang w:val="es-CR"/>
        </w:rPr>
        <w:instrText>ADDIN CSL_CITATION {"citationItems":[{"id":"ITEM-1","itemData":{"DOI":"10.1093/bja/aew217","ISSN":"14716771","abstract":"A persistent neurological deficit, such as paraplegia or paraparesis, secondary to spinal cord injury remains one of the most feared complications of surgery on the descending thoracic or abdominal aorta. This is despite sophisticated advances in imaging and the use of less invasive endovascular procedures. Extensive fenestrated endovascular aortic graft prostheses still carry a risk of spinal cord injury of up to 10%; thus, this risk should be identified and strategies implemented to protect the spinal cord and maintain perfusion. The patients at highest risk are those undergoing extensive thoracic aortic stenting including thoracic, abdominal, and pelvic vessels. Although many techniques are available, lumbar cerebrospinal fluid drainage remains the most frequent intervention, along with maintenance of perfusion pressure and possibly staged procedures to allow collateral vessel stabilization. Many questions remain regarding other technical aspects, spinal cord monitoring and cooling, pharmacological protection, and the optimal duration of interventions into the postoperative period.","author":[{"dropping-particle":"","family":"Scott","given":"D. A.","non-dropping-particle":"","parse-names":false,"suffix":""},{"dropping-particle":"","family":"Denton","given":"M. J.","non-dropping-particle":"","parse-names":false,"suffix":""}],"container-title":"British Journal of Anaesthesia","id":"ITEM-1","issue":"March","issued":{"date-parts":[["2016"]]},"page":"ii26-ii31","title":"Spinal cord protection in aortic endovascular surgery","type":"article-journal","volume":"117"},"uris":["http://www.mendeley.com/documents/?uuid=7111b99b-b162-4704-8829-466919c6a245"]}],"mendeley":{"formattedCitation":"(Scott &amp; Denton, 2016)","plainTextFormattedCitation":"(Scott &amp; Denton, 2016)","previouslyFormattedCitation":"(Scott &amp; Denton, 2016)"},"properties":{"noteIndex":0},"schema":"https://github.com/citation-style-language/schema/raw/master/csl-citation.json"}</w:instrText>
      </w:r>
      <w:r w:rsidRPr="003A1CA0">
        <w:rPr>
          <w:lang w:val="es-CR"/>
        </w:rPr>
        <w:fldChar w:fldCharType="separate"/>
      </w:r>
      <w:r w:rsidR="00FA7019" w:rsidRPr="00FA7019">
        <w:rPr>
          <w:noProof/>
          <w:lang w:val="es-CR"/>
        </w:rPr>
        <w:t>(Scott &amp; Denton, 2016)</w:t>
      </w:r>
      <w:r w:rsidRPr="003A1CA0">
        <w:rPr>
          <w:lang w:val="es-CR"/>
        </w:rPr>
        <w:fldChar w:fldCharType="end"/>
      </w:r>
      <w:r w:rsidRPr="003A1CA0">
        <w:rPr>
          <w:lang w:val="es-CR"/>
        </w:rPr>
        <w:t xml:space="preserve">. </w:t>
      </w:r>
      <w:r>
        <w:rPr>
          <w:lang w:val="es-CR"/>
        </w:rPr>
        <w:t>Esta</w:t>
      </w:r>
      <w:r w:rsidRPr="003A1CA0">
        <w:rPr>
          <w:lang w:val="es-CR"/>
        </w:rPr>
        <w:t xml:space="preserve"> hipotensión </w:t>
      </w:r>
      <w:r>
        <w:rPr>
          <w:lang w:val="es-CR"/>
        </w:rPr>
        <w:t>precede a</w:t>
      </w:r>
      <w:r w:rsidRPr="003A1CA0">
        <w:rPr>
          <w:lang w:val="es-CR"/>
        </w:rPr>
        <w:t xml:space="preserve"> isquemia renal, intestinal y de miembros inferiores, además de SCI. </w:t>
      </w:r>
      <w:r>
        <w:rPr>
          <w:lang w:val="es-CR"/>
        </w:rPr>
        <w:t>Una vez que ya se</w:t>
      </w:r>
      <w:r w:rsidRPr="003A1CA0">
        <w:rPr>
          <w:lang w:val="es-CR"/>
        </w:rPr>
        <w:t xml:space="preserve"> retir</w:t>
      </w:r>
      <w:r>
        <w:rPr>
          <w:lang w:val="es-CR"/>
        </w:rPr>
        <w:t>e</w:t>
      </w:r>
      <w:r w:rsidRPr="003A1CA0">
        <w:rPr>
          <w:lang w:val="es-CR"/>
        </w:rPr>
        <w:t xml:space="preserve"> la pinza aórtica puede producir daño a la médula espinal mediante una respuesta inflamatoria asociada</w:t>
      </w:r>
      <w:r w:rsidR="00F01770">
        <w:rPr>
          <w:lang w:val="es-CR"/>
        </w:rPr>
        <w:t xml:space="preserve"> </w:t>
      </w:r>
      <w:r w:rsidRPr="003A1CA0">
        <w:rPr>
          <w:lang w:val="es-CR"/>
        </w:rPr>
        <w:fldChar w:fldCharType="begin" w:fldLock="1"/>
      </w:r>
      <w:r w:rsidR="001A1B73">
        <w:rPr>
          <w:lang w:val="es-CR"/>
        </w:rPr>
        <w:instrText>ADDIN CSL_CITATION {"citationItems":[{"id":"ITEM-1","itemData":{"DOI":"10.1007/s12630-017-0974-1","ISSN":"14968975","PMID":"29019146","abstract":"Purpose: Thoracic endovascular aortic aneurysm repair (TEVAR) has become a mainstay of therapy for aneurysms and other disorders of the thoracic aorta. The purpose of this narrative review article is to summarize the current literature on the risk factors for and pathophysiology of spinal cord injury (SCI) following TEVAR, and to discuss various intraoperative monitoring and treatment strategies. Source: The articles considered in this review were identified through PubMed using the following search terms: thoracic aortic aneurysm, TEVAR, paralysis+TEVAR, risk factors+TEVAR, spinal cord ischemia+TEVAR, neuromonitoring+thoracic aortic aneurysm, spinal drain, cerebrospinal fluid drainage, treatment of spinal cord ischemia. Principal findings: Spinal cord injury continues to be a challenging complication after TEVAR. Its incidence after TEVAR is not significantly reduced when compared with open thoracoabdominal aortic aneurysm repair. Nevertheless, compared with open procedures, delayed paralysis/paresis is the predominant presentation of SCI after TEVAR. The pathophysiology of SCI is complex and not fully understood, though the evolving concept of the importance of the spinal cord’s collateral blood supply network and its imbalance after TEVAR is emerging as a leading factor in the development of SCI. Cerebrospinal fluid drainage, optimal blood pressure management, and newer surgical techniques are important components of the most up-to-date strategies for spinal cord protection. Conclusion: Further experimental and clinical research is needed to aid in the discovery of novel neuroprotective strategies for the protection and treatment of SCI following TEVAR.","author":[{"dropping-particle":"","family":"Awad","given":"Hamdy","non-dropping-particle":"","parse-names":false,"suffix":""},{"dropping-particle":"","family":"Ramadan","given":"Mohamed Ehab","non-dropping-particle":"","parse-names":false,"suffix":""},{"dropping-particle":"","family":"Sayed","given":"Hosam F.","non-dropping-particle":"El","parse-names":false,"suffix":""},{"dropping-particle":"","family":"Tolpin","given":"Daniel A.","non-dropping-particle":"","parse-names":false,"suffix":""},{"dropping-particle":"","family":"Tili","given":"Esmerina","non-dropping-particle":"","parse-names":false,"suffix":""},{"dropping-particle":"","family":"Collard","given":"Charles D.","non-dropping-particle":"","parse-names":false,"suffix":""}],"container-title":"Canadian Journal of Anesthesia","id":"ITEM-1","issue":"12","issued":{"date-parts":[["2017"]]},"page":"1218-1235","publisher":"Springer US","title":"Spinal cord injury after thoracic endovascular aortic aneurysm repair","type":"article-journal","volume":"64"},"uris":["http://www.mendeley.com/documents/?uuid=2c47d0ce-6be0-4a12-a6db-bdb6ac171c08"]}],"mendeley":{"formattedCitation":"(Awad et al., 2017)","plainTextFormattedCitation":"(Awad et al., 2017)","previouslyFormattedCitation":"(Awad et al., 2017)"},"properties":{"noteIndex":0},"schema":"https://github.com/citation-style-language/schema/raw/master/csl-citation.json"}</w:instrText>
      </w:r>
      <w:r w:rsidRPr="003A1CA0">
        <w:rPr>
          <w:lang w:val="es-CR"/>
        </w:rPr>
        <w:fldChar w:fldCharType="separate"/>
      </w:r>
      <w:r w:rsidR="00FA7019" w:rsidRPr="00FA7019">
        <w:rPr>
          <w:noProof/>
          <w:lang w:val="es-CR"/>
        </w:rPr>
        <w:t>(Awad et al., 2017)</w:t>
      </w:r>
      <w:r w:rsidRPr="003A1CA0">
        <w:rPr>
          <w:lang w:val="es-CR"/>
        </w:rPr>
        <w:fldChar w:fldCharType="end"/>
      </w:r>
      <w:r w:rsidRPr="003A1CA0">
        <w:rPr>
          <w:lang w:val="es-CR"/>
        </w:rPr>
        <w:t xml:space="preserve">. </w:t>
      </w:r>
    </w:p>
    <w:p w14:paraId="1C8FE6D8" w14:textId="77777777" w:rsidR="009F2D09" w:rsidRPr="003A1CA0" w:rsidRDefault="009F2D09" w:rsidP="009F2D09">
      <w:pPr>
        <w:rPr>
          <w:lang w:val="es-CR"/>
        </w:rPr>
      </w:pPr>
      <w:r w:rsidRPr="003A1CA0">
        <w:rPr>
          <w:lang w:val="es-CR"/>
        </w:rPr>
        <w:lastRenderedPageBreak/>
        <w:t xml:space="preserve">Característicamente la parálisis inmediata </w:t>
      </w:r>
      <w:r>
        <w:rPr>
          <w:lang w:val="es-CR"/>
        </w:rPr>
        <w:t>suele ser</w:t>
      </w:r>
      <w:r w:rsidRPr="003A1CA0">
        <w:rPr>
          <w:lang w:val="es-CR"/>
        </w:rPr>
        <w:t xml:space="preserve"> secundaria a cirugía abierta de TAAA; en TEVAR la parálisis puede tener una instauración retardada y progresiva por lo que el monitoreo postoperatorio con SSEP es necesario para poder detectar cambios sugestivos de SCI.</w:t>
      </w:r>
    </w:p>
    <w:p w14:paraId="5797B91F" w14:textId="69A4F4DD" w:rsidR="009F2D09" w:rsidRPr="003A1CA0" w:rsidRDefault="009F2D09" w:rsidP="009F2D09">
      <w:pPr>
        <w:rPr>
          <w:lang w:val="es-CR"/>
        </w:rPr>
      </w:pPr>
      <w:r w:rsidRPr="003A1CA0">
        <w:rPr>
          <w:lang w:val="es-CR"/>
        </w:rPr>
        <w:t xml:space="preserve">En TEVAR no </w:t>
      </w:r>
      <w:r>
        <w:rPr>
          <w:lang w:val="es-CR"/>
        </w:rPr>
        <w:t>existe</w:t>
      </w:r>
      <w:r w:rsidRPr="003A1CA0">
        <w:rPr>
          <w:lang w:val="es-CR"/>
        </w:rPr>
        <w:t xml:space="preserve"> daño por reperfusión sanguínea dado que no requiere pinzamiento aórtico, sin embargo, la oclusión de múltiples arterias segmentales por stents</w:t>
      </w:r>
      <w:r>
        <w:rPr>
          <w:lang w:val="es-CR"/>
        </w:rPr>
        <w:t xml:space="preserve"> recubiertos</w:t>
      </w:r>
      <w:r w:rsidRPr="003A1CA0">
        <w:rPr>
          <w:lang w:val="es-CR"/>
        </w:rPr>
        <w:t xml:space="preserve"> compromete a largo plazo el aporte sanguíneo de la médula espinal; además </w:t>
      </w:r>
      <w:r>
        <w:rPr>
          <w:lang w:val="es-CR"/>
        </w:rPr>
        <w:t>que no</w:t>
      </w:r>
      <w:r w:rsidRPr="003A1CA0">
        <w:rPr>
          <w:lang w:val="es-CR"/>
        </w:rPr>
        <w:t xml:space="preserve"> se reimplanta</w:t>
      </w:r>
      <w:r>
        <w:rPr>
          <w:lang w:val="es-CR"/>
        </w:rPr>
        <w:t>n</w:t>
      </w:r>
      <w:r w:rsidRPr="003A1CA0">
        <w:rPr>
          <w:lang w:val="es-CR"/>
        </w:rPr>
        <w:t xml:space="preserve"> arterias intercostales importantes </w:t>
      </w:r>
      <w:r>
        <w:rPr>
          <w:lang w:val="es-CR"/>
        </w:rPr>
        <w:t>durante un</w:t>
      </w:r>
      <w:r w:rsidRPr="003A1CA0">
        <w:rPr>
          <w:lang w:val="es-CR"/>
        </w:rPr>
        <w:t xml:space="preserve"> TEVAR </w:t>
      </w:r>
      <w:r w:rsidRPr="003A1CA0">
        <w:rPr>
          <w:lang w:val="es-CR"/>
        </w:rPr>
        <w:fldChar w:fldCharType="begin" w:fldLock="1"/>
      </w:r>
      <w:r w:rsidR="001A1B73">
        <w:rPr>
          <w:lang w:val="es-CR"/>
        </w:rPr>
        <w:instrText>ADDIN CSL_CITATION {"citationItems":[{"id":"ITEM-1","itemData":{"ISSN":"00219509","PMID":"26731537","abstract":"Despite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Surgery","id":"ITEM-1","issue":"2","issued":{"date-parts":[["2016"]]},"page":"191-201","title":"Spinal cord ischemia is multifactorial: What is the best protocol?","type":"article-journal","volume":"57"},"uris":["http://www.mendeley.com/documents/?uuid=0524e5a3-e7a6-44c1-b114-0a26090a5229"]}],"mendeley":{"formattedCitation":"(Germano Melissano et al., 2016)","plainTextFormattedCitation":"(Germano Melissano et al., 2016)","previouslyFormattedCitation":"(Germano Melissano et al., 2016)"},"properties":{"noteIndex":0},"schema":"https://github.com/citation-style-language/schema/raw/master/csl-citation.json"}</w:instrText>
      </w:r>
      <w:r w:rsidRPr="003A1CA0">
        <w:rPr>
          <w:lang w:val="es-CR"/>
        </w:rPr>
        <w:fldChar w:fldCharType="separate"/>
      </w:r>
      <w:r w:rsidR="00FA7019" w:rsidRPr="00FA7019">
        <w:rPr>
          <w:noProof/>
          <w:lang w:val="es-CR"/>
        </w:rPr>
        <w:t>(Germano Melissano et al., 2016)</w:t>
      </w:r>
      <w:r w:rsidRPr="003A1CA0">
        <w:rPr>
          <w:lang w:val="es-CR"/>
        </w:rPr>
        <w:fldChar w:fldCharType="end"/>
      </w:r>
      <w:r w:rsidRPr="003A1CA0">
        <w:rPr>
          <w:lang w:val="es-CR"/>
        </w:rPr>
        <w:t xml:space="preserve">. </w:t>
      </w:r>
    </w:p>
    <w:p w14:paraId="72A5AD21" w14:textId="77777777" w:rsidR="009F2D09" w:rsidRPr="003A1CA0" w:rsidRDefault="009F2D09" w:rsidP="009F2D09">
      <w:pPr>
        <w:rPr>
          <w:lang w:val="es-CR"/>
        </w:rPr>
      </w:pPr>
      <w:r w:rsidRPr="003A1CA0">
        <w:rPr>
          <w:lang w:val="es-CR"/>
        </w:rPr>
        <w:t>Al colocar stent</w:t>
      </w:r>
      <w:r>
        <w:rPr>
          <w:lang w:val="es-CR"/>
        </w:rPr>
        <w:t>s recubiertos ocluyendo la circulación colateral durante un</w:t>
      </w:r>
      <w:r w:rsidRPr="003A1CA0">
        <w:rPr>
          <w:lang w:val="es-CR"/>
        </w:rPr>
        <w:t xml:space="preserve"> TEVAR</w:t>
      </w:r>
      <w:r>
        <w:rPr>
          <w:lang w:val="es-CR"/>
        </w:rPr>
        <w:t>,</w:t>
      </w:r>
      <w:r w:rsidRPr="003A1CA0">
        <w:rPr>
          <w:lang w:val="es-CR"/>
        </w:rPr>
        <w:t xml:space="preserve"> se activan mecanismos compensatorios que inician un remodelado de las vías. Se inicia una redistribución del flujo sanguíneo entre la red paraespinosa e intraespinosa esencial para mantener la perfusión de la médula espinal. Adicionalmente, la perfusión puede mantenerse a través de las Arterias segmentales no ocluidas proximales o distales </w:t>
      </w:r>
      <w:r>
        <w:rPr>
          <w:lang w:val="es-CR"/>
        </w:rPr>
        <w:t>a los</w:t>
      </w:r>
      <w:r w:rsidRPr="003A1CA0">
        <w:rPr>
          <w:lang w:val="es-CR"/>
        </w:rPr>
        <w:t xml:space="preserve"> stent</w:t>
      </w:r>
      <w:r>
        <w:rPr>
          <w:lang w:val="es-CR"/>
        </w:rPr>
        <w:t>s</w:t>
      </w:r>
      <w:r w:rsidRPr="003A1CA0">
        <w:rPr>
          <w:lang w:val="es-CR"/>
        </w:rPr>
        <w:t>; estas logran mantener el flujo sanguíneo invirtiendo la dirección del flujo sanguíneo dentro de la arteria espinal anterior</w:t>
      </w:r>
      <w:r>
        <w:rPr>
          <w:lang w:val="es-CR"/>
        </w:rPr>
        <w:t xml:space="preserve"> como forma compensatoria.</w:t>
      </w:r>
    </w:p>
    <w:p w14:paraId="58EFC725" w14:textId="77777777" w:rsidR="009F2D09" w:rsidRPr="003A1CA0" w:rsidRDefault="009F2D09" w:rsidP="009F2D09">
      <w:pPr>
        <w:rPr>
          <w:lang w:val="es-CR"/>
        </w:rPr>
      </w:pPr>
      <w:r w:rsidRPr="003A1CA0">
        <w:rPr>
          <w:lang w:val="es-CR"/>
        </w:rPr>
        <w:t xml:space="preserve">La SCI retardada se </w:t>
      </w:r>
      <w:r>
        <w:rPr>
          <w:lang w:val="es-CR"/>
        </w:rPr>
        <w:t xml:space="preserve">suele </w:t>
      </w:r>
      <w:r w:rsidRPr="003A1CA0">
        <w:rPr>
          <w:lang w:val="es-CR"/>
        </w:rPr>
        <w:t>presenta</w:t>
      </w:r>
      <w:r>
        <w:rPr>
          <w:lang w:val="es-CR"/>
        </w:rPr>
        <w:t>r</w:t>
      </w:r>
      <w:r w:rsidRPr="003A1CA0">
        <w:rPr>
          <w:lang w:val="es-CR"/>
        </w:rPr>
        <w:t xml:space="preserve"> cuando se forma un trombo en alguna de las vías colaterales, al cesar el endoleak del stent, un tromboembolismo, ateroembolismo o cuando los mecanismos compensatorios no son eficientes. La severidad del daño isquémico posterior a TEVAR depende de la capacidad compensatoria antes mencionados.</w:t>
      </w:r>
    </w:p>
    <w:p w14:paraId="437D39F0" w14:textId="5B3DD3F6" w:rsidR="00CC0605" w:rsidRPr="003A1CA0" w:rsidRDefault="00CC0605" w:rsidP="00FC49C0">
      <w:pPr>
        <w:pStyle w:val="Heading2"/>
        <w:spacing w:before="0"/>
        <w:rPr>
          <w:lang w:val="es-CR"/>
        </w:rPr>
      </w:pPr>
      <w:bookmarkStart w:id="30" w:name="_Toc47027839"/>
      <w:r w:rsidRPr="003A1CA0">
        <w:rPr>
          <w:lang w:val="es-CR"/>
        </w:rPr>
        <w:lastRenderedPageBreak/>
        <w:t>Factores de Riesgo</w:t>
      </w:r>
      <w:bookmarkEnd w:id="30"/>
    </w:p>
    <w:p w14:paraId="362485CD" w14:textId="41B3079C" w:rsidR="00CC0605" w:rsidRDefault="002F570F" w:rsidP="00FC49C0">
      <w:pPr>
        <w:spacing w:after="0"/>
        <w:rPr>
          <w:lang w:val="es-CR"/>
        </w:rPr>
      </w:pPr>
      <w:r w:rsidRPr="003A1CA0">
        <w:rPr>
          <w:lang w:val="es-CR"/>
        </w:rPr>
        <w:t>El riesgo de SCI es variable y depende del número de factores predisponente</w:t>
      </w:r>
      <w:r w:rsidR="00FC49C0">
        <w:rPr>
          <w:lang w:val="es-CR"/>
        </w:rPr>
        <w:t>s. L</w:t>
      </w:r>
      <w:r w:rsidR="006D5FDF" w:rsidRPr="003A1CA0">
        <w:rPr>
          <w:lang w:val="es-CR"/>
        </w:rPr>
        <w:t xml:space="preserve">a </w:t>
      </w:r>
      <w:r w:rsidR="00A063FC">
        <w:rPr>
          <w:lang w:val="es-CR"/>
        </w:rPr>
        <w:t xml:space="preserve">longitud de </w:t>
      </w:r>
      <w:r w:rsidR="006D5FDF" w:rsidRPr="003A1CA0">
        <w:rPr>
          <w:lang w:val="es-CR"/>
        </w:rPr>
        <w:t xml:space="preserve">cobertura </w:t>
      </w:r>
      <w:r w:rsidR="003C51C0" w:rsidRPr="003A1CA0">
        <w:rPr>
          <w:lang w:val="es-CR"/>
        </w:rPr>
        <w:t>aórtica</w:t>
      </w:r>
      <w:r w:rsidR="006D5FDF" w:rsidRPr="003A1CA0">
        <w:rPr>
          <w:lang w:val="es-CR"/>
        </w:rPr>
        <w:t xml:space="preserve"> es el factor </w:t>
      </w:r>
      <w:r w:rsidR="00FC49C0">
        <w:rPr>
          <w:lang w:val="es-CR"/>
        </w:rPr>
        <w:t>de riesgo (FR)</w:t>
      </w:r>
      <w:r w:rsidR="006D5FDF" w:rsidRPr="003A1CA0">
        <w:rPr>
          <w:lang w:val="es-CR"/>
        </w:rPr>
        <w:t xml:space="preserve"> de SCI </w:t>
      </w:r>
      <w:r w:rsidR="001A0496" w:rsidRPr="003A1CA0">
        <w:rPr>
          <w:lang w:val="es-CR"/>
        </w:rPr>
        <w:t>más</w:t>
      </w:r>
      <w:r w:rsidR="006D5FDF" w:rsidRPr="003A1CA0">
        <w:rPr>
          <w:lang w:val="es-CR"/>
        </w:rPr>
        <w:t xml:space="preserve"> importante</w:t>
      </w:r>
      <w:r w:rsidR="00B90E0C" w:rsidRPr="003A1CA0">
        <w:rPr>
          <w:lang w:val="es-CR"/>
        </w:rPr>
        <w:t>.</w:t>
      </w:r>
      <w:r w:rsidR="00FC49C0">
        <w:rPr>
          <w:lang w:val="es-CR"/>
        </w:rPr>
        <w:t xml:space="preserve"> Se compilaron</w:t>
      </w:r>
      <w:r w:rsidR="009F2D09">
        <w:rPr>
          <w:lang w:val="es-CR"/>
        </w:rPr>
        <w:t xml:space="preserve"> </w:t>
      </w:r>
      <w:r w:rsidR="00FC49C0" w:rsidRPr="00FC49C0">
        <w:rPr>
          <w:lang w:val="es-CR"/>
        </w:rPr>
        <w:t xml:space="preserve">los </w:t>
      </w:r>
      <w:r w:rsidR="00FC49C0">
        <w:rPr>
          <w:lang w:val="es-CR"/>
        </w:rPr>
        <w:t>FR</w:t>
      </w:r>
      <w:r w:rsidR="00FC49C0" w:rsidRPr="00FC49C0">
        <w:rPr>
          <w:lang w:val="es-CR"/>
        </w:rPr>
        <w:t xml:space="preserve"> expuestos</w:t>
      </w:r>
      <w:r w:rsidR="00FC49C0">
        <w:rPr>
          <w:lang w:val="es-CR"/>
        </w:rPr>
        <w:t>; además, se</w:t>
      </w:r>
      <w:r w:rsidR="00CC0605" w:rsidRPr="003A1CA0">
        <w:rPr>
          <w:lang w:val="es-CR"/>
        </w:rPr>
        <w:t xml:space="preserve"> agruparon en prequirúrgicos y </w:t>
      </w:r>
      <w:r w:rsidR="00FC49C0">
        <w:rPr>
          <w:lang w:val="es-CR"/>
        </w:rPr>
        <w:t>perioperatorios (T</w:t>
      </w:r>
      <w:r w:rsidR="00CC0605" w:rsidRPr="003A1CA0">
        <w:rPr>
          <w:lang w:val="es-CR"/>
        </w:rPr>
        <w:t>ablas 2 y 3</w:t>
      </w:r>
      <w:r w:rsidR="00FC49C0">
        <w:rPr>
          <w:lang w:val="es-CR"/>
        </w:rPr>
        <w:t>).</w:t>
      </w:r>
    </w:p>
    <w:tbl>
      <w:tblPr>
        <w:tblW w:w="6080" w:type="dxa"/>
        <w:jc w:val="center"/>
        <w:tblCellMar>
          <w:left w:w="70" w:type="dxa"/>
          <w:right w:w="70" w:type="dxa"/>
        </w:tblCellMar>
        <w:tblLook w:val="04A0" w:firstRow="1" w:lastRow="0" w:firstColumn="1" w:lastColumn="0" w:noHBand="0" w:noVBand="1"/>
      </w:tblPr>
      <w:tblGrid>
        <w:gridCol w:w="2181"/>
        <w:gridCol w:w="3899"/>
      </w:tblGrid>
      <w:tr w:rsidR="009F2D09" w:rsidRPr="00FC49C0" w14:paraId="744F643A" w14:textId="77777777" w:rsidTr="009F2D09">
        <w:trPr>
          <w:trHeight w:val="315"/>
          <w:jc w:val="center"/>
        </w:trPr>
        <w:tc>
          <w:tcPr>
            <w:tcW w:w="6080" w:type="dxa"/>
            <w:gridSpan w:val="2"/>
            <w:tcBorders>
              <w:top w:val="single" w:sz="4" w:space="0" w:color="auto"/>
              <w:left w:val="single" w:sz="4" w:space="0" w:color="auto"/>
              <w:bottom w:val="single" w:sz="4" w:space="0" w:color="auto"/>
              <w:right w:val="single" w:sz="4" w:space="0" w:color="auto"/>
            </w:tcBorders>
            <w:shd w:val="clear" w:color="000000" w:fill="4F81BD"/>
            <w:noWrap/>
            <w:vAlign w:val="center"/>
            <w:hideMark/>
          </w:tcPr>
          <w:p w14:paraId="39545BB8" w14:textId="77777777" w:rsidR="009F2D09" w:rsidRPr="00FC49C0" w:rsidRDefault="009F2D09" w:rsidP="00FC49C0">
            <w:pPr>
              <w:spacing w:after="0" w:line="240" w:lineRule="auto"/>
              <w:ind w:firstLine="0"/>
              <w:jc w:val="center"/>
              <w:rPr>
                <w:rFonts w:eastAsia="Times New Roman" w:cs="Arial"/>
                <w:b/>
                <w:bCs/>
                <w:color w:val="FFFFFF"/>
                <w:szCs w:val="24"/>
                <w:lang w:val="es-CR" w:eastAsia="es-CR" w:bidi="ar-SA"/>
              </w:rPr>
            </w:pPr>
            <w:r w:rsidRPr="00FC49C0">
              <w:rPr>
                <w:rFonts w:eastAsia="Times New Roman" w:cs="Arial"/>
                <w:b/>
                <w:bCs/>
                <w:color w:val="FFFFFF"/>
                <w:szCs w:val="24"/>
                <w:lang w:val="es-CR" w:eastAsia="es-CR" w:bidi="ar-SA"/>
              </w:rPr>
              <w:t>Factores de Riesgo PreQx</w:t>
            </w:r>
          </w:p>
        </w:tc>
      </w:tr>
      <w:tr w:rsidR="009F2D09" w:rsidRPr="00FC49C0" w14:paraId="514D2E6C" w14:textId="77777777" w:rsidTr="009F2D09">
        <w:trPr>
          <w:trHeight w:val="300"/>
          <w:jc w:val="center"/>
        </w:trPr>
        <w:tc>
          <w:tcPr>
            <w:tcW w:w="2181" w:type="dxa"/>
            <w:tcBorders>
              <w:top w:val="nil"/>
              <w:left w:val="single" w:sz="4" w:space="0" w:color="auto"/>
              <w:bottom w:val="single" w:sz="4" w:space="0" w:color="auto"/>
              <w:right w:val="single" w:sz="4" w:space="0" w:color="auto"/>
            </w:tcBorders>
            <w:shd w:val="clear" w:color="000000" w:fill="DBE5F1"/>
            <w:noWrap/>
            <w:vAlign w:val="center"/>
            <w:hideMark/>
          </w:tcPr>
          <w:p w14:paraId="24C502BA"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Edad &gt;70</w:t>
            </w:r>
          </w:p>
        </w:tc>
        <w:tc>
          <w:tcPr>
            <w:tcW w:w="3899" w:type="dxa"/>
            <w:tcBorders>
              <w:top w:val="nil"/>
              <w:left w:val="nil"/>
              <w:bottom w:val="single" w:sz="4" w:space="0" w:color="auto"/>
              <w:right w:val="single" w:sz="4" w:space="0" w:color="auto"/>
            </w:tcBorders>
            <w:shd w:val="clear" w:color="000000" w:fill="DBE5F1"/>
            <w:noWrap/>
            <w:vAlign w:val="center"/>
            <w:hideMark/>
          </w:tcPr>
          <w:p w14:paraId="35066493"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ERC creatinina &gt;1.5mg/dl</w:t>
            </w:r>
          </w:p>
        </w:tc>
      </w:tr>
      <w:tr w:rsidR="009F2D09" w:rsidRPr="00FC49C0" w14:paraId="5C41335C" w14:textId="77777777" w:rsidTr="009F2D09">
        <w:trPr>
          <w:trHeight w:val="30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18FAC8F7"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Hiperlipidemia</w:t>
            </w:r>
          </w:p>
        </w:tc>
        <w:tc>
          <w:tcPr>
            <w:tcW w:w="3899" w:type="dxa"/>
            <w:tcBorders>
              <w:top w:val="nil"/>
              <w:left w:val="nil"/>
              <w:bottom w:val="single" w:sz="4" w:space="0" w:color="auto"/>
              <w:right w:val="single" w:sz="4" w:space="0" w:color="auto"/>
            </w:tcBorders>
            <w:shd w:val="clear" w:color="auto" w:fill="auto"/>
            <w:noWrap/>
            <w:vAlign w:val="center"/>
            <w:hideMark/>
          </w:tcPr>
          <w:p w14:paraId="67FC7C80"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ECV</w:t>
            </w:r>
          </w:p>
        </w:tc>
      </w:tr>
      <w:tr w:rsidR="009F2D09" w:rsidRPr="00FC49C0" w14:paraId="28754D3F" w14:textId="77777777" w:rsidTr="009F2D09">
        <w:trPr>
          <w:trHeight w:val="300"/>
          <w:jc w:val="center"/>
        </w:trPr>
        <w:tc>
          <w:tcPr>
            <w:tcW w:w="2181" w:type="dxa"/>
            <w:tcBorders>
              <w:top w:val="nil"/>
              <w:left w:val="single" w:sz="4" w:space="0" w:color="auto"/>
              <w:bottom w:val="single" w:sz="4" w:space="0" w:color="auto"/>
              <w:right w:val="single" w:sz="4" w:space="0" w:color="auto"/>
            </w:tcBorders>
            <w:shd w:val="clear" w:color="000000" w:fill="DBE5F1"/>
            <w:noWrap/>
            <w:vAlign w:val="center"/>
            <w:hideMark/>
          </w:tcPr>
          <w:p w14:paraId="4C5C29BC"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 xml:space="preserve">DM </w:t>
            </w:r>
          </w:p>
        </w:tc>
        <w:tc>
          <w:tcPr>
            <w:tcW w:w="3899" w:type="dxa"/>
            <w:tcBorders>
              <w:top w:val="nil"/>
              <w:left w:val="nil"/>
              <w:bottom w:val="single" w:sz="4" w:space="0" w:color="auto"/>
              <w:right w:val="single" w:sz="4" w:space="0" w:color="auto"/>
            </w:tcBorders>
            <w:shd w:val="clear" w:color="000000" w:fill="DBE5F1"/>
            <w:noWrap/>
            <w:vAlign w:val="center"/>
            <w:hideMark/>
          </w:tcPr>
          <w:p w14:paraId="06B9FEEC"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EAC</w:t>
            </w:r>
          </w:p>
        </w:tc>
      </w:tr>
      <w:tr w:rsidR="009F2D09" w:rsidRPr="00FC49C0" w14:paraId="7F7674AF" w14:textId="77777777" w:rsidTr="009F2D09">
        <w:trPr>
          <w:trHeight w:val="30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3721357D"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EPOC</w:t>
            </w:r>
          </w:p>
        </w:tc>
        <w:tc>
          <w:tcPr>
            <w:tcW w:w="3899" w:type="dxa"/>
            <w:tcBorders>
              <w:top w:val="nil"/>
              <w:left w:val="nil"/>
              <w:bottom w:val="single" w:sz="4" w:space="0" w:color="auto"/>
              <w:right w:val="single" w:sz="4" w:space="0" w:color="auto"/>
            </w:tcBorders>
            <w:shd w:val="clear" w:color="auto" w:fill="auto"/>
            <w:noWrap/>
            <w:vAlign w:val="center"/>
            <w:hideMark/>
          </w:tcPr>
          <w:p w14:paraId="100DE0D1"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EAP</w:t>
            </w:r>
          </w:p>
        </w:tc>
      </w:tr>
      <w:tr w:rsidR="009F2D09" w:rsidRPr="00FC49C0" w14:paraId="5B7057CB" w14:textId="77777777" w:rsidTr="009F2D09">
        <w:trPr>
          <w:trHeight w:val="300"/>
          <w:jc w:val="center"/>
        </w:trPr>
        <w:tc>
          <w:tcPr>
            <w:tcW w:w="2181" w:type="dxa"/>
            <w:tcBorders>
              <w:top w:val="nil"/>
              <w:left w:val="single" w:sz="4" w:space="0" w:color="auto"/>
              <w:bottom w:val="single" w:sz="4" w:space="0" w:color="auto"/>
              <w:right w:val="single" w:sz="4" w:space="0" w:color="auto"/>
            </w:tcBorders>
            <w:shd w:val="clear" w:color="000000" w:fill="DBE5F1"/>
            <w:noWrap/>
            <w:vAlign w:val="center"/>
            <w:hideMark/>
          </w:tcPr>
          <w:p w14:paraId="7E6757B4"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Fumado</w:t>
            </w:r>
          </w:p>
        </w:tc>
        <w:tc>
          <w:tcPr>
            <w:tcW w:w="3899" w:type="dxa"/>
            <w:tcBorders>
              <w:top w:val="nil"/>
              <w:left w:val="nil"/>
              <w:bottom w:val="single" w:sz="4" w:space="0" w:color="auto"/>
              <w:right w:val="single" w:sz="4" w:space="0" w:color="auto"/>
            </w:tcBorders>
            <w:shd w:val="clear" w:color="000000" w:fill="DBE5F1"/>
            <w:noWrap/>
            <w:vAlign w:val="center"/>
            <w:hideMark/>
          </w:tcPr>
          <w:p w14:paraId="5D9C9797" w14:textId="77777777" w:rsidR="009F2D09" w:rsidRPr="00FC49C0" w:rsidRDefault="009F2D09" w:rsidP="00FC49C0">
            <w:pPr>
              <w:spacing w:after="0" w:line="240" w:lineRule="auto"/>
              <w:ind w:firstLine="0"/>
              <w:jc w:val="left"/>
              <w:rPr>
                <w:rFonts w:eastAsia="Times New Roman" w:cs="Arial"/>
                <w:color w:val="000000"/>
                <w:szCs w:val="24"/>
                <w:lang w:val="es-CR" w:eastAsia="es-CR" w:bidi="ar-SA"/>
              </w:rPr>
            </w:pPr>
            <w:r w:rsidRPr="00FC49C0">
              <w:rPr>
                <w:rFonts w:eastAsia="Times New Roman" w:cs="Arial"/>
                <w:color w:val="000000"/>
                <w:szCs w:val="24"/>
                <w:lang w:val="es-CR" w:eastAsia="es-CR" w:bidi="ar-SA"/>
              </w:rPr>
              <w:t>HTA</w:t>
            </w:r>
          </w:p>
        </w:tc>
      </w:tr>
    </w:tbl>
    <w:p w14:paraId="6ED8200A" w14:textId="4B830646" w:rsidR="00CC0605" w:rsidRDefault="00CC0605" w:rsidP="00FC49C0">
      <w:pPr>
        <w:pStyle w:val="Prrafodelista1"/>
        <w:spacing w:after="0"/>
        <w:rPr>
          <w:lang w:val="es-CR"/>
        </w:rPr>
      </w:pPr>
      <w:r w:rsidRPr="003A1CA0">
        <w:rPr>
          <w:lang w:val="es-CR"/>
        </w:rPr>
        <w:t>Tabla 2. Factores de Riesgo PreQx</w:t>
      </w:r>
    </w:p>
    <w:p w14:paraId="7C948A96" w14:textId="5CFB58F1" w:rsidR="00FC49C0" w:rsidRPr="00FC49C0" w:rsidRDefault="00FC49C0" w:rsidP="00FC49C0">
      <w:pPr>
        <w:pStyle w:val="Prrafodelista1"/>
        <w:rPr>
          <w:lang w:val="es-CR"/>
        </w:rPr>
      </w:pPr>
      <w:r>
        <w:rPr>
          <w:lang w:val="es-CR"/>
        </w:rPr>
        <w:t xml:space="preserve">Fuente: Adaptado de </w:t>
      </w:r>
      <w:r w:rsidRPr="003A1CA0">
        <w:rPr>
          <w:lang w:val="es-CR"/>
        </w:rPr>
        <w:fldChar w:fldCharType="begin" w:fldLock="1"/>
      </w:r>
      <w:r w:rsidR="0091486C">
        <w:rPr>
          <w:lang w:val="es-CR"/>
        </w:rPr>
        <w:instrText>ADDIN CSL_CITATION {"citationItems":[{"id":"ITEM-1","itemData":{"DOI":"10.1093/icvts/ivy037","ISBN":"8186422021","ISSN":"15699285","abstract":"OBJECTIVES: Spinal cord ischaemia (SCI) is a serious complication of thoracic endovascular aortic repair (TEVAR). The purpose of this study was to assess the incidence, risk factors, clinical manifestations of SCI after TEVAR and which type of patients could benefit from cerebrospinal fluid drainage. METHODS: A retrospective review was conducted for 175 patients who underwent TEVAR from January 2008 to July 2014. All patients were divided into groups with and without SCI, and they were compared to identify significant risk factors for SCI. RESULTS: The incidence of SCI after TEVAR including paraplegia and paraparesis was 6.9%. SCI usually occurred within 24 h, but delayed SCI was observed after 5 days in 1 patient. In all patients with SCI, we tried to increase the blood pressure to improve spinal perfusion. Three patients recovered completely, and the 6 patients with some remaining neurological deficit included 3 with motion against gravity and bladder dysfunction and the 3 remaining patients with only bladder dysfunction. Three patients did not recover. In our study, significant risk factors for SCI were as follows: rupture, shaggy aorta, chronic obstructive pulmonary disease, 1-stage procedure, the coverage of more than 9 segments, the coverage from Th8 to Th12, minimum of postoperative haemoglobin and the number of postoperative patent segmental arteries. CONCLUSIONS: Sufficient perioperative care should be given to high-risk patients who have endografts that cover more than 9 segments and endografts that cover segments from Th8 to Th12. Adequate haemoglobin levels and mean arterial pressure are needed to provide sufficient spinal cord perfusion.","author":[{"dropping-particle":"","family":"Hiraoka","given":"Toshifumi","non-dropping-particle":"","parse-names":false,"suffix":""},{"dropping-particle":"","family":"Komiya","given":"Tatsuhiko","non-dropping-particle":"","parse-names":false,"suffix":""},{"dropping-particle":"","family":"Tsuneyoshi","given":"Hiroshi","non-dropping-particle":"","parse-names":false,"suffix":""},{"dropping-particle":"","family":"Shimamoto","given":"Takeshi","non-dropping-particle":"","parse-names":false,"suffix":""}],"container-title":"Interactive Cardiovascular and Thoracic Surgery","id":"ITEM-1","issue":"1","issued":{"date-parts":[["2018"]]},"page":"54-59","title":"Risk factors for spinal cord ischaemia after thoracic endovascular aortic repair","type":"article-journal","volume":"27"},"uris":["http://www.mendeley.com/documents/?uuid=745990c2-ade0-430b-843d-31f1887df5ec"]},{"id":"ITEM-2","itemData":{"DOI":"10.1177/1708538116671235","ISSN":"1708539X","abstract":"Spinal cord ischemia remains the Achilles’ heel of thoracic and thoracoabdominal diseases management. Great improvements in morbidity and mortality have been obtained with the endovascular approach TEVAR (Thoracic Endovascular Aortic Repair) but this devastating complication continues to severely affect the quality of life, even if the primary success of the procedure – dissection/aneurysm exclusion – has been achieved. Several strategies to deal with this complication have been published in the literature over the time. Knowledge and technology have been evolving from identification of the risk factors associated with spinal cord ischemia, including lessons learned from open surgery, and from developments in the collateral network concept for spinal cord perfusion. In this comprehensive review, the authors cover several topics from the traditional measures comprising haemodynamic control, cerebrospinal drainage and neuroprotective drugs, to the staged-procedures approach, the emerging MISACE (minimally invasive selective segmental artery coil-embolization) and innovative neurologic monitoring such as NIRS (near-infrared spectroscopy) of the collateral network.","author":[{"dropping-particle":"","family":"Dias-Neto","given":"Marina","non-dropping-particle":"","parse-names":false,"suffix":""},{"dropping-particle":"","family":"Reis","given":"Pedro Videira","non-dropping-particle":"","parse-names":false,"suffix":""},{"dropping-particle":"","family":"Rolim","given":"Dalila","non-dropping-particle":"","parse-names":false,"suffix":""},{"dropping-particle":"","family":"Ramos","given":"José Fernando","non-dropping-particle":"","parse-names":false,"suffix":""},{"dropping-particle":"","family":"Teixeira","given":"José Fernando","non-dropping-particle":"","parse-names":false,"suffix":""},{"dropping-particle":"","family":"Sampaio","given":"Sérgio","non-dropping-particle":"","parse-names":false,"suffix":""}],"container-title":"Vascular","id":"ITEM-2","issue":"3","issued":{"date-parts":[["2017"]]},"page":"307-315","title":"Strategies to prevent TEVAR-related spinal cord ischemia","type":"article-journal","volume":"25"},"uris":["http://www.mendeley.com/documents/?uuid=605f23e0-590d-4d60-9f1e-517c8e32e4ff"]},{"id":"ITEM-3","itemData":{"DOI":"10.1016/j.jvs.2017.10.044","ISSN":"10976809","PMID":"29268916","abstract":"Background Decision-making related to the care of patients with an abdominal aortic aneurysm (AAA) is complex. Aneurysms present with varying risks of rupture, and patient-specific factors influence anticipated life expectancy, operative risk, and need to intervene. Careful attention to the choice of operative strategy along with optimal treatment of medical comorbidities is critical to achieving excellent outcomes. Moreover, appropriate postoperative surveillance is necessary to minimize subsequent aneurysm-related death or morbidity. Methods The committee made specific practice recommendations using the Grading of Recommendations Assessment, Development, and Evaluation system. Three systematic reviews were conducted to support this guideline. Two focused on evaluating the best modalities and optimal frequency for surveillance after endovascular aneurysm repair (EVAR). A third focused on identifying the best available evidence on the diagnosis and management of AAA. Specific areas of focus included (1) general approach to the patient, (2) treatment of the patient with an AAA, (3) anesthetic considerations and perioperative management, (4) postoperative and long-term management, and (5) cost and economic considerations. Results Along with providing guidance regarding the management of patients throughout the continuum of care, we have revised a number of prior recommendations and addressed a number of new areas of significance. New guidelines are provided for the surveillance of patients with an AAA, including recommended surveillance imaging at 12-month intervals for patients with an AAA of 4.0 to 4.9 cm in diameter. We recommend endovascular repair as the preferred method of treatment for ruptured aneurysms. Incorporating knowledge gained through the Vascular Quality Initiative and other regional quality collaboratives, we suggest that the Vascular Quality Initiative mortality risk score be used for mutual decision-making with patients considering aneurysm repair. We also suggest that elective EVAR be limited to hospitals with a documented mortality and conversion rate to open surgical repair of 2% or less and that perform at least 10 EVAR cases each year. We also suggest that elective open aneurysm repair be limited to hospitals with a documented mortality of 5% or less and that perform at least 10 open aortic operations of any type each year. To encourage the development of effective systems of care that would lead to improved outcomes for those pat…","author":[{"dropping-particle":"","family":"Chaikof","given":"Elliot L.","non-dropping-particle":"","parse-names":false,"suffix":""},{"dropping-particle":"","family":"Dalman","given":"Ronald L.","non-dropping-particle":"","parse-names":false,"suffix":""},{"dropping-particle":"","family":"Eskandari","given":"Mark K.","non-dropping-particle":"","parse-names":false,"suffix":""},{"dropping-particle":"","family":"Jackson","given":"Benjamin M.","non-dropping-particle":"","parse-names":false,"suffix":""},{"dropping-particle":"","family":"Lee","given":"W. Anthony","non-dropping-particle":"","parse-names":false,"suffix":""},{"dropping-particle":"","family":"Mansour","given":"M. Ashraf","non-dropping-particle":"","parse-names":false,"suffix":""},{"dropping-particle":"","family":"Mastracci","given":"Tara M.","non-dropping-particle":"","parse-names":false,"suffix":""},{"dropping-particle":"","family":"Mell","given":"Matthew","non-dropping-particle":"","parse-names":false,"suffix":""},{"dropping-particle":"","family":"Murad","given":"M. Hassan","non-dropping-particle":"","parse-names":false,"suffix":""},{"dropping-particle":"","family":"Nguyen","given":"Louis L.","non-dropping-particle":"","parse-names":false,"suffix":""},{"dropping-particle":"","family":"Oderich","given":"Gustavo S.","non-dropping-particle":"","parse-names":false,"suffix":""},{"dropping-particle":"","family":"Patel","given":"Madhukar S.","non-dropping-particle":"","parse-names":false,"suffix":""},{"dropping-particle":"","family":"Schermerhorn","given":"Marc L.","non-dropping-particle":"","parse-names":false,"suffix":""},{"dropping-particle":"","family":"Starnes","given":"Benjamin W.","non-dropping-particle":"","parse-names":false,"suffix":""}],"container-title":"Journal of Vascular Surgery","id":"ITEM-3","issue":"1","issued":{"date-parts":[["2018"]]},"page":"2-77.e2","publisher":"Society for Vascular Surgery","title":"The Society for Vascular Surgery practice guidelines on the care of patients with an abdominal aortic aneurysm","type":"article-journal","volume":"67"},"uris":["http://www.mendeley.com/documents/?uuid=30696adc-4f78-4f19-af6f-5fac8d7082b3"]},{"id":"ITEM-4","itemData":{"DOI":"10.1007/s12630-017-0974-1","ISSN":"14968975","PMID":"29019146","abstract":"Purpose: Thoracic endovascular aortic aneurysm repair (TEVAR) has become a mainstay of therapy for aneurysms and other disorders of the thoracic aorta. The purpose of this narrative review article is to summarize the current literature on the risk factors for and pathophysiology of spinal cord injury (SCI) following TEVAR, and to discuss various intraoperative monitoring and treatment strategies. Source: The articles considered in this review were identified through PubMed using the following search terms: thoracic aortic aneurysm, TEVAR, paralysis+TEVAR, risk factors+TEVAR, spinal cord ischemia+TEVAR, neuromonitoring+thoracic aortic aneurysm, spinal drain, cerebrospinal fluid drainage, treatment of spinal cord ischemia. Principal findings: Spinal cord injury continues to be a challenging complication after TEVAR. Its incidence after TEVAR is not significantly reduced when compared with open thoracoabdominal aortic aneurysm repair. Nevertheless, compared with open procedures, delayed paralysis/paresis is the predominant presentation of SCI after TEVAR. The pathophysiology of SCI is complex and not fully understood, though the evolving concept of the importance of the spinal cord’s collateral blood supply network and its imbalance after TEVAR is emerging as a leading factor in the development of SCI. Cerebrospinal fluid drainage, optimal blood pressure management, and newer surgical techniques are important components of the most up-to-date strategies for spinal cord protection. Conclusion: Further experimental and clinical research is needed to aid in the discovery of novel neuroprotective strategies for the protection and treatment of SCI following TEVAR.","author":[{"dropping-particle":"","family":"Awad","given":"Hamdy","non-dropping-particle":"","parse-names":false,"suffix":""},{"dropping-particle":"","family":"Ramadan","given":"Mohamed Ehab","non-dropping-particle":"","parse-names":false,"suffix":""},{"dropping-particle":"","family":"Sayed","given":"Hosam F.","non-dropping-particle":"El","parse-names":false,"suffix":""},{"dropping-particle":"","family":"Tolpin","given":"Daniel A.","non-dropping-particle":"","parse-names":false,"suffix":""},{"dropping-particle":"","family":"Tili","given":"Esmerina","non-dropping-particle":"","parse-names":false,"suffix":""},{"dropping-particle":"","family":"Collard","given":"Charles D.","non-dropping-particle":"","parse-names":false,"suffix":""}],"container-title":"Canadian Journal of Anesthesia","id":"ITEM-4","issue":"12","issued":{"date-parts":[["2017"]]},"page":"1218-1235","publisher":"Springer US","title":"Spinal cord injury after thoracic endovascular aortic aneurysm repair","type":"article-journal","volume":"64"},"uris":["http://www.mendeley.com/documents/?uuid=2c47d0ce-6be0-4a12-a6db-bdb6ac171c08"]},{"id":"ITEM-5","itemData":{"DOI":"10.1016/j.athoracsur.2008.09.022","ISSN":"00034975","abstract":"Background: Risk factors for spinal cord ischemia (SCI) after thoracic endovascular aneurysm repair (TEVAR) remain unclear. Aortic coverage was examined as a risk factor for SCI using quantitative three-dimensional computed tomography angiography (CTA) analysis. Methods: The medical records, radiographic imaging studies, and a prospectively maintained database of all TEVAR procedures performed during a 7-year period were retrospectively reviewed. Preoperative anatomic dimensions and postoperative graft path lengths were measured from CTAs using curved planar and orthogonal multiplanar reformations along centerline paths. SCI was defined as transient or permanent lower extremity neurologic deficit without associated intracerebral hemispheric events. Results: Of 326 TEVAR cases, 241 patients (74%) had satisfactory imaging. Thirty-three (10%) had SCI. These patients were older (72.7 ± 10.6 vs 64.7 ± 15.8 years, p = 0.005) and had longer intraoperative procedure times (137 ± 65 vs 113 ± 68 minutes, p = 0.05). Despite similar total lengths of native thoracic aorta (295.0 ± 36.3 vs 283.1 ± 39.8 mm, p = 0.17), patients with permanent SCI had a greater absolute (260.5 ± 40.9 vs 195.8 ± 81.6 mm, p = 0.002) and proportionate (88.8% ± 12.1% vs 67.6% ± 24.0%, p = 0.001) length of aortic coverage. The average length of uncovered aorta proximal to the celiac artery in patients with SCI was 17.3 ± 21.8 mm vs 63.1 ± 62.9 mm in patients without SCI (p = 0.0006). Neither the patency of the hypogastric arteries nor left subclavian artery was associated with SCI. Conclusions: The extent and distal location (relative to the celiac artery) of aortic coverage were associated with an increased risk of SCI. Prophylactic measures for spinal cord protection should be considered in patients whose thoracic aortas require extensive coverage. © 2008 The Society of Thoracic Surgeons.","author":[{"dropping-particle":"","family":"Feezor","given":"Robert J.","non-dropping-particle":"","parse-names":false,"suffix":""},{"dropping-particle":"","family":"Martin","given":"Tomas D.","non-dropping-particle":"","parse-names":false,"suffix":""},{"dropping-particle":"","family":"Hess","given":"Philip J.","non-dropping-particle":"","parse-names":false,"suffix":""},{"dropping-particle":"","family":"Daniels","given":"Michael J.","non-dropping-particle":"","parse-names":false,"suffix":""},{"dropping-particle":"","family":"Beaver","given":"Thomas M.","non-dropping-particle":"","parse-names":false,"suffix":""},{"dropping-particle":"","family":"Klodell","given":"Charles T.","non-dropping-particle":"","parse-names":false,"suffix":""},{"dropping-particle":"","family":"Lee","given":"W. Anthony","non-dropping-particle":"","parse-names":false,"suffix":""}],"container-title":"Annals of Thoracic Surgery","id":"ITEM-5","issue":"6","issued":{"date-parts":[["2008"]]},"page":"1809-1814","publisher":"The Society of Thoracic Surgeons","title":"Extent of Aortic Coverage and Incidence of Spinal Cord Ischemia After Thoracic Endovascular Aneurysm Repair","type":"article-journal","volume":"86"},"uris":["http://www.mendeley.com/documents/?uuid=16a32fe9-79c4-4e8f-9374-2fe8a2e4eaf8"]},{"id":"ITEM-6","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S.","non-dropping-particle":"","parse-names":false,"suffix":""}],"id":"ITEM-6","issued":{"date-parts":[["2017"]]},"publisher":"Springer US","publisher-place":"Cham, Switzerland","title":"Endovascular Aortic Repair Current Techniques with Fenestrated, Branched and Parallel Stent-Grafts","type":"book"},"uris":["http://www.mendeley.com/documents/?uuid=000e0c0a-9f4e-4fa0-bb91-d903249e9bcf"]}],"mendeley":{"formattedCitation":"(Awad et al., 2017; Chaikof et al., 2018; Dias-Neto et al., 2017; Feezor et al., 2008; Hiraoka et al., 2018; Oderich, 2017)","plainTextFormattedCitation":"(Awad et al., 2017; Chaikof et al., 2018; Dias-Neto et al., 2017; Feezor et al., 2008; Hiraoka et al., 2018; Oderich, 2017)","previouslyFormattedCitation":"(Awad et al., 2017; Chaikof et al., 2018; Dias-Neto et al., 2017; Feezor et al., 2008; Hiraoka et al., 2018; Oderich, 2017)"},"properties":{"noteIndex":0},"schema":"https://github.com/citation-style-language/schema/raw/master/csl-citation.json"}</w:instrText>
      </w:r>
      <w:r w:rsidRPr="003A1CA0">
        <w:rPr>
          <w:lang w:val="es-CR"/>
        </w:rPr>
        <w:fldChar w:fldCharType="separate"/>
      </w:r>
      <w:r w:rsidR="0091486C" w:rsidRPr="0091486C">
        <w:rPr>
          <w:noProof/>
          <w:lang w:val="es-CR"/>
        </w:rPr>
        <w:t>(Awad et al., 2017; Chaikof et al., 2018; Dias-Neto et al., 2017; Feezor et al., 2008; Hiraoka et al., 2018; Oderich, 2017)</w:t>
      </w:r>
      <w:r w:rsidRPr="003A1CA0">
        <w:rPr>
          <w:lang w:val="es-CR"/>
        </w:rPr>
        <w:fldChar w:fldCharType="end"/>
      </w:r>
    </w:p>
    <w:tbl>
      <w:tblPr>
        <w:tblStyle w:val="GridTable5Dark-Accent1"/>
        <w:tblW w:w="8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6"/>
        <w:gridCol w:w="6234"/>
      </w:tblGrid>
      <w:tr w:rsidR="00CC0605" w:rsidRPr="00FC49C0" w14:paraId="4A8B763B" w14:textId="77777777" w:rsidTr="00EA2516">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8260" w:type="dxa"/>
            <w:gridSpan w:val="2"/>
            <w:tcBorders>
              <w:top w:val="none" w:sz="0" w:space="0" w:color="auto"/>
              <w:left w:val="none" w:sz="0" w:space="0" w:color="auto"/>
              <w:right w:val="none" w:sz="0" w:space="0" w:color="auto"/>
            </w:tcBorders>
            <w:noWrap/>
            <w:hideMark/>
          </w:tcPr>
          <w:p w14:paraId="0BBC1C04" w14:textId="1E34D6DF" w:rsidR="00CC0605" w:rsidRPr="00FC49C0" w:rsidRDefault="00CC0605" w:rsidP="00FC49C0">
            <w:pPr>
              <w:spacing w:line="240" w:lineRule="auto"/>
              <w:ind w:firstLine="0"/>
              <w:jc w:val="center"/>
              <w:rPr>
                <w:rFonts w:eastAsia="Times New Roman" w:cs="Arial"/>
                <w:color w:val="000000"/>
                <w:szCs w:val="24"/>
                <w:lang w:val="es-CR" w:eastAsia="es-CR" w:bidi="ar-SA"/>
              </w:rPr>
            </w:pPr>
            <w:r w:rsidRPr="00FC49C0">
              <w:rPr>
                <w:rFonts w:eastAsia="Times New Roman" w:cs="Arial"/>
                <w:szCs w:val="24"/>
                <w:lang w:val="es-CR" w:eastAsia="es-CR" w:bidi="ar-SA"/>
              </w:rPr>
              <w:t xml:space="preserve">Factores de Riesgo </w:t>
            </w:r>
            <w:r w:rsidR="00FC49C0" w:rsidRPr="00FC49C0">
              <w:rPr>
                <w:rFonts w:eastAsia="Times New Roman" w:cs="Arial"/>
                <w:szCs w:val="24"/>
                <w:lang w:val="es-CR" w:eastAsia="es-CR" w:bidi="ar-SA"/>
              </w:rPr>
              <w:t>Perioperatorios</w:t>
            </w:r>
          </w:p>
        </w:tc>
      </w:tr>
      <w:tr w:rsidR="00CC0605" w:rsidRPr="00CA1DB1" w14:paraId="1ECF40F4" w14:textId="77777777" w:rsidTr="00EA25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val="restart"/>
            <w:tcBorders>
              <w:left w:val="none" w:sz="0" w:space="0" w:color="auto"/>
            </w:tcBorders>
            <w:noWrap/>
            <w:hideMark/>
          </w:tcPr>
          <w:p w14:paraId="634398C9" w14:textId="78DF5A5F" w:rsidR="00CC0605" w:rsidRPr="00FC49C0" w:rsidRDefault="00CC0605" w:rsidP="00FC49C0">
            <w:pPr>
              <w:spacing w:line="240" w:lineRule="auto"/>
              <w:ind w:firstLine="0"/>
              <w:jc w:val="center"/>
              <w:rPr>
                <w:rFonts w:eastAsia="Times New Roman" w:cs="Arial"/>
                <w:szCs w:val="24"/>
                <w:lang w:val="es-CR" w:eastAsia="es-CR" w:bidi="ar-SA"/>
              </w:rPr>
            </w:pPr>
            <w:r w:rsidRPr="00FC49C0">
              <w:rPr>
                <w:rFonts w:eastAsia="Times New Roman" w:cs="Arial"/>
                <w:szCs w:val="24"/>
                <w:lang w:val="es-CR" w:eastAsia="es-CR" w:bidi="ar-SA"/>
              </w:rPr>
              <w:t>Alto riesgo</w:t>
            </w:r>
          </w:p>
        </w:tc>
        <w:tc>
          <w:tcPr>
            <w:tcW w:w="6234" w:type="dxa"/>
            <w:shd w:val="clear" w:color="auto" w:fill="8DB3E2" w:themeFill="text2" w:themeFillTint="66"/>
            <w:noWrap/>
            <w:hideMark/>
          </w:tcPr>
          <w:p w14:paraId="334951AE" w14:textId="417A051E" w:rsidR="00CC0605" w:rsidRPr="00FC49C0" w:rsidRDefault="00CC0605"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Abarcar más de 9 segmentos</w:t>
            </w:r>
            <w:r w:rsidR="00A063FC" w:rsidRPr="00FC49C0">
              <w:rPr>
                <w:rFonts w:eastAsia="Times New Roman" w:cs="Arial"/>
                <w:color w:val="000000"/>
                <w:szCs w:val="24"/>
                <w:lang w:val="es-CR" w:eastAsia="es-CR" w:bidi="ar-SA"/>
              </w:rPr>
              <w:t xml:space="preserve"> vertebrales</w:t>
            </w:r>
          </w:p>
        </w:tc>
      </w:tr>
      <w:tr w:rsidR="00182957" w:rsidRPr="00FC49C0" w14:paraId="326F1F86" w14:textId="77777777" w:rsidTr="00EA2516">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noWrap/>
          </w:tcPr>
          <w:p w14:paraId="4B2AB086" w14:textId="77777777" w:rsidR="00182957" w:rsidRPr="00FC49C0" w:rsidRDefault="00182957" w:rsidP="00FC49C0">
            <w:pPr>
              <w:spacing w:line="240" w:lineRule="auto"/>
              <w:ind w:firstLine="0"/>
              <w:jc w:val="center"/>
              <w:rPr>
                <w:rFonts w:eastAsia="Times New Roman" w:cs="Arial"/>
                <w:szCs w:val="24"/>
                <w:lang w:val="es-CR" w:eastAsia="es-CR" w:bidi="ar-SA"/>
              </w:rPr>
            </w:pPr>
          </w:p>
        </w:tc>
        <w:tc>
          <w:tcPr>
            <w:tcW w:w="6234" w:type="dxa"/>
            <w:shd w:val="clear" w:color="auto" w:fill="8DB3E2" w:themeFill="text2" w:themeFillTint="66"/>
            <w:noWrap/>
          </w:tcPr>
          <w:p w14:paraId="3FC2E244" w14:textId="09599311" w:rsidR="00182957" w:rsidRPr="00FC49C0" w:rsidRDefault="00182957"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Tiempo q</w:t>
            </w:r>
            <w:r w:rsidR="00A063FC" w:rsidRPr="00FC49C0">
              <w:rPr>
                <w:rFonts w:eastAsia="Times New Roman" w:cs="Arial"/>
                <w:color w:val="000000"/>
                <w:szCs w:val="24"/>
                <w:lang w:val="es-CR" w:eastAsia="es-CR" w:bidi="ar-SA"/>
              </w:rPr>
              <w:t>uirúrgico</w:t>
            </w:r>
            <w:r w:rsidRPr="00FC49C0">
              <w:rPr>
                <w:rFonts w:eastAsia="Times New Roman" w:cs="Arial"/>
                <w:color w:val="000000"/>
                <w:szCs w:val="24"/>
                <w:lang w:val="es-CR" w:eastAsia="es-CR" w:bidi="ar-SA"/>
              </w:rPr>
              <w:t xml:space="preserve"> &gt;300min</w:t>
            </w:r>
          </w:p>
        </w:tc>
      </w:tr>
      <w:tr w:rsidR="00B90E0C" w:rsidRPr="00CA1DB1" w14:paraId="77BFC199" w14:textId="77777777" w:rsidTr="00EA25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noWrap/>
          </w:tcPr>
          <w:p w14:paraId="48C7621E" w14:textId="77777777" w:rsidR="00B90E0C" w:rsidRPr="00FC49C0" w:rsidRDefault="00B90E0C" w:rsidP="00FC49C0">
            <w:pPr>
              <w:spacing w:line="240" w:lineRule="auto"/>
              <w:ind w:firstLine="0"/>
              <w:jc w:val="center"/>
              <w:rPr>
                <w:rFonts w:eastAsia="Times New Roman" w:cs="Arial"/>
                <w:szCs w:val="24"/>
                <w:lang w:val="es-CR" w:eastAsia="es-CR" w:bidi="ar-SA"/>
              </w:rPr>
            </w:pPr>
          </w:p>
        </w:tc>
        <w:tc>
          <w:tcPr>
            <w:tcW w:w="6234" w:type="dxa"/>
            <w:shd w:val="clear" w:color="auto" w:fill="8DB3E2" w:themeFill="text2" w:themeFillTint="66"/>
            <w:noWrap/>
          </w:tcPr>
          <w:p w14:paraId="240BE793" w14:textId="44D6F92E" w:rsidR="00B90E0C" w:rsidRPr="00FC49C0" w:rsidRDefault="00B90E0C"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Cober</w:t>
            </w:r>
            <w:r w:rsidR="003C51C0" w:rsidRPr="00FC49C0">
              <w:rPr>
                <w:rFonts w:eastAsia="Times New Roman" w:cs="Arial"/>
                <w:color w:val="000000"/>
                <w:szCs w:val="24"/>
                <w:lang w:val="es-CR" w:eastAsia="es-CR" w:bidi="ar-SA"/>
              </w:rPr>
              <w:t>t</w:t>
            </w:r>
            <w:r w:rsidRPr="00FC49C0">
              <w:rPr>
                <w:rFonts w:eastAsia="Times New Roman" w:cs="Arial"/>
                <w:color w:val="000000"/>
                <w:szCs w:val="24"/>
                <w:lang w:val="es-CR" w:eastAsia="es-CR" w:bidi="ar-SA"/>
              </w:rPr>
              <w:t>ura a</w:t>
            </w:r>
            <w:r w:rsidR="003C51C0" w:rsidRPr="00FC49C0">
              <w:rPr>
                <w:rFonts w:eastAsia="Times New Roman" w:cs="Arial"/>
                <w:color w:val="000000"/>
                <w:szCs w:val="24"/>
                <w:lang w:val="es-CR" w:eastAsia="es-CR" w:bidi="ar-SA"/>
              </w:rPr>
              <w:t>ó</w:t>
            </w:r>
            <w:r w:rsidRPr="00FC49C0">
              <w:rPr>
                <w:rFonts w:eastAsia="Times New Roman" w:cs="Arial"/>
                <w:color w:val="000000"/>
                <w:szCs w:val="24"/>
                <w:lang w:val="es-CR" w:eastAsia="es-CR" w:bidi="ar-SA"/>
              </w:rPr>
              <w:t>rtica ≥4-5cm proximal al tronco celiaco</w:t>
            </w:r>
          </w:p>
        </w:tc>
      </w:tr>
      <w:tr w:rsidR="00CC0605" w:rsidRPr="00CA1DB1" w14:paraId="726E31ED" w14:textId="77777777" w:rsidTr="00EA2516">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0FFB81B9" w14:textId="77777777" w:rsidR="00CC0605" w:rsidRPr="00FC49C0" w:rsidRDefault="00CC0605"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hideMark/>
          </w:tcPr>
          <w:p w14:paraId="3EAC48B6" w14:textId="68E41C9C" w:rsidR="00CC0605" w:rsidRPr="00FC49C0" w:rsidRDefault="00CC0605"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Cobertura a</w:t>
            </w:r>
            <w:r w:rsidR="003C51C0" w:rsidRPr="00FC49C0">
              <w:rPr>
                <w:rFonts w:eastAsia="Times New Roman" w:cs="Arial"/>
                <w:color w:val="000000"/>
                <w:szCs w:val="24"/>
                <w:lang w:val="es-CR" w:eastAsia="es-CR" w:bidi="ar-SA"/>
              </w:rPr>
              <w:t>ó</w:t>
            </w:r>
            <w:r w:rsidRPr="00FC49C0">
              <w:rPr>
                <w:rFonts w:eastAsia="Times New Roman" w:cs="Arial"/>
                <w:color w:val="000000"/>
                <w:szCs w:val="24"/>
                <w:lang w:val="es-CR" w:eastAsia="es-CR" w:bidi="ar-SA"/>
              </w:rPr>
              <w:t>rtica mayor a 15cm</w:t>
            </w:r>
          </w:p>
        </w:tc>
      </w:tr>
      <w:tr w:rsidR="00CC0605" w:rsidRPr="00FC49C0" w14:paraId="3BD6EFC6" w14:textId="77777777" w:rsidTr="00EA25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087E39B4" w14:textId="77777777" w:rsidR="00CC0605" w:rsidRPr="00FC49C0" w:rsidRDefault="00CC0605"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hideMark/>
          </w:tcPr>
          <w:p w14:paraId="6D785161" w14:textId="77777777" w:rsidR="00CC0605" w:rsidRPr="00FC49C0" w:rsidRDefault="00CC0605"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Cobertura &gt;2 territorios vasculares</w:t>
            </w:r>
          </w:p>
        </w:tc>
      </w:tr>
      <w:tr w:rsidR="00CC0605" w:rsidRPr="00CA1DB1" w14:paraId="1410458C" w14:textId="77777777" w:rsidTr="00EA2516">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3FB94A62" w14:textId="77777777" w:rsidR="00CC0605" w:rsidRPr="00FC49C0" w:rsidRDefault="00CC0605"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hideMark/>
          </w:tcPr>
          <w:p w14:paraId="42676812" w14:textId="77777777" w:rsidR="00CC0605" w:rsidRPr="00FC49C0" w:rsidRDefault="00CC0605"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Dominancia de ASCI sin revascularización</w:t>
            </w:r>
          </w:p>
        </w:tc>
      </w:tr>
      <w:tr w:rsidR="00CC0605" w:rsidRPr="00CA1DB1" w14:paraId="0757A15A" w14:textId="77777777" w:rsidTr="00EA25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4F48B884" w14:textId="77777777" w:rsidR="00CC0605" w:rsidRPr="00FC49C0" w:rsidRDefault="00CC0605"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hideMark/>
          </w:tcPr>
          <w:p w14:paraId="33DB83AF" w14:textId="4FC9E377" w:rsidR="00CC0605" w:rsidRPr="00FC49C0" w:rsidRDefault="00182957"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C</w:t>
            </w:r>
            <w:r w:rsidR="00CC0605" w:rsidRPr="00FC49C0">
              <w:rPr>
                <w:rFonts w:eastAsia="Times New Roman" w:cs="Arial"/>
                <w:color w:val="000000"/>
                <w:szCs w:val="24"/>
                <w:lang w:val="es-CR" w:eastAsia="es-CR" w:bidi="ar-SA"/>
              </w:rPr>
              <w:t>ompromiso de los segmentos T8 a L2</w:t>
            </w:r>
          </w:p>
        </w:tc>
      </w:tr>
      <w:tr w:rsidR="00CC0605" w:rsidRPr="00CA1DB1" w14:paraId="56527722" w14:textId="77777777" w:rsidTr="00EA2516">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47D5A5D4" w14:textId="77777777" w:rsidR="00CC0605" w:rsidRPr="00FC49C0" w:rsidRDefault="00CC0605"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hideMark/>
          </w:tcPr>
          <w:p w14:paraId="6A478F54" w14:textId="66968EB9" w:rsidR="00CC0605" w:rsidRPr="00FC49C0" w:rsidRDefault="00CC0605"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Oclusión bilateral de arterias hipogástricas</w:t>
            </w:r>
            <w:r w:rsidR="00B90E0C" w:rsidRPr="00FC49C0">
              <w:rPr>
                <w:rFonts w:eastAsia="Times New Roman" w:cs="Arial"/>
                <w:color w:val="000000"/>
                <w:szCs w:val="24"/>
                <w:lang w:val="es-CR" w:eastAsia="es-CR" w:bidi="ar-SA"/>
              </w:rPr>
              <w:t xml:space="preserve"> o vertebrales</w:t>
            </w:r>
          </w:p>
        </w:tc>
      </w:tr>
      <w:tr w:rsidR="00CC0605" w:rsidRPr="00CA1DB1" w14:paraId="721BF9E8" w14:textId="77777777" w:rsidTr="00EA25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34B14997" w14:textId="77777777" w:rsidR="00CC0605" w:rsidRPr="00FC49C0" w:rsidRDefault="00CC0605"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hideMark/>
          </w:tcPr>
          <w:p w14:paraId="1060F176" w14:textId="086264E0" w:rsidR="00CC0605" w:rsidRPr="00FC49C0" w:rsidRDefault="001A0496"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A</w:t>
            </w:r>
            <w:r w:rsidR="00CC0605" w:rsidRPr="00FC49C0">
              <w:rPr>
                <w:rFonts w:eastAsia="Times New Roman" w:cs="Arial"/>
                <w:color w:val="000000"/>
                <w:szCs w:val="24"/>
                <w:lang w:val="es-CR" w:eastAsia="es-CR" w:bidi="ar-SA"/>
              </w:rPr>
              <w:t>ntecedente de TEVAR o QX abierta TAAA</w:t>
            </w:r>
          </w:p>
        </w:tc>
      </w:tr>
      <w:tr w:rsidR="009637A0" w:rsidRPr="00FC49C0" w14:paraId="7FECFEA5" w14:textId="77777777" w:rsidTr="00EA2516">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tcPr>
          <w:p w14:paraId="28D3B4C9" w14:textId="77777777" w:rsidR="009637A0" w:rsidRPr="00FC49C0" w:rsidRDefault="009637A0" w:rsidP="00FC49C0">
            <w:pPr>
              <w:spacing w:line="240" w:lineRule="auto"/>
              <w:ind w:firstLine="0"/>
              <w:jc w:val="left"/>
              <w:rPr>
                <w:rFonts w:eastAsia="Times New Roman" w:cs="Arial"/>
                <w:szCs w:val="24"/>
                <w:lang w:val="es-CR" w:eastAsia="es-CR" w:bidi="ar-SA"/>
              </w:rPr>
            </w:pPr>
          </w:p>
        </w:tc>
        <w:tc>
          <w:tcPr>
            <w:tcW w:w="6234" w:type="dxa"/>
            <w:shd w:val="clear" w:color="auto" w:fill="8DB3E2" w:themeFill="text2" w:themeFillTint="66"/>
            <w:noWrap/>
          </w:tcPr>
          <w:p w14:paraId="5CCB579D" w14:textId="2653704B" w:rsidR="009637A0" w:rsidRPr="00FC49C0" w:rsidRDefault="009637A0"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TAAA tipo II</w:t>
            </w:r>
          </w:p>
        </w:tc>
      </w:tr>
      <w:tr w:rsidR="00CC0605" w:rsidRPr="00FC49C0" w14:paraId="4CCB94FC" w14:textId="77777777" w:rsidTr="009F2D0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val="restart"/>
            <w:tcBorders>
              <w:left w:val="none" w:sz="0" w:space="0" w:color="auto"/>
            </w:tcBorders>
            <w:noWrap/>
            <w:hideMark/>
          </w:tcPr>
          <w:p w14:paraId="724C2675" w14:textId="0B8922E9" w:rsidR="00CC0605" w:rsidRPr="00FC49C0" w:rsidRDefault="00CC0605" w:rsidP="00FC49C0">
            <w:pPr>
              <w:spacing w:line="240" w:lineRule="auto"/>
              <w:ind w:firstLine="0"/>
              <w:jc w:val="center"/>
              <w:rPr>
                <w:rFonts w:eastAsia="Times New Roman" w:cs="Arial"/>
                <w:szCs w:val="24"/>
                <w:lang w:val="es-CR" w:eastAsia="es-CR" w:bidi="ar-SA"/>
              </w:rPr>
            </w:pPr>
            <w:r w:rsidRPr="00FC49C0">
              <w:rPr>
                <w:rFonts w:eastAsia="Times New Roman" w:cs="Arial"/>
                <w:szCs w:val="24"/>
                <w:lang w:val="es-CR" w:eastAsia="es-CR" w:bidi="ar-SA"/>
              </w:rPr>
              <w:t>Riesgo Moderado</w:t>
            </w:r>
          </w:p>
        </w:tc>
        <w:tc>
          <w:tcPr>
            <w:tcW w:w="6234" w:type="dxa"/>
            <w:shd w:val="clear" w:color="auto" w:fill="FFFFFF" w:themeFill="background1"/>
            <w:noWrap/>
            <w:hideMark/>
          </w:tcPr>
          <w:p w14:paraId="6E6C537B" w14:textId="77777777" w:rsidR="00CC0605" w:rsidRPr="00FC49C0" w:rsidRDefault="00CC0605"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Ruptura de TAAA</w:t>
            </w:r>
          </w:p>
        </w:tc>
      </w:tr>
      <w:tr w:rsidR="00182957" w:rsidRPr="00FC49C0" w14:paraId="2EA9113D" w14:textId="77777777" w:rsidTr="009F2D09">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noWrap/>
          </w:tcPr>
          <w:p w14:paraId="6E15750C" w14:textId="77777777" w:rsidR="00182957" w:rsidRPr="00FC49C0" w:rsidRDefault="00182957" w:rsidP="00FC49C0">
            <w:pPr>
              <w:spacing w:line="240" w:lineRule="auto"/>
              <w:ind w:firstLine="0"/>
              <w:jc w:val="center"/>
              <w:rPr>
                <w:rFonts w:eastAsia="Times New Roman" w:cs="Arial"/>
                <w:color w:val="000000"/>
                <w:szCs w:val="24"/>
                <w:lang w:val="es-CR" w:eastAsia="es-CR" w:bidi="ar-SA"/>
              </w:rPr>
            </w:pPr>
          </w:p>
        </w:tc>
        <w:tc>
          <w:tcPr>
            <w:tcW w:w="6234" w:type="dxa"/>
            <w:shd w:val="clear" w:color="auto" w:fill="FFFFFF" w:themeFill="background1"/>
            <w:noWrap/>
          </w:tcPr>
          <w:p w14:paraId="4838307D" w14:textId="29CEF949" w:rsidR="00182957" w:rsidRPr="00FC49C0" w:rsidRDefault="00182957"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Tiempo fluoroscopia &gt;190 min</w:t>
            </w:r>
            <w:r w:rsidR="00A063FC" w:rsidRPr="00FC49C0">
              <w:rPr>
                <w:rFonts w:eastAsia="Times New Roman" w:cs="Arial"/>
                <w:color w:val="000000"/>
                <w:szCs w:val="24"/>
                <w:lang w:val="es-CR" w:eastAsia="es-CR" w:bidi="ar-SA"/>
              </w:rPr>
              <w:t>utos</w:t>
            </w:r>
          </w:p>
        </w:tc>
      </w:tr>
      <w:tr w:rsidR="00CC0605" w:rsidRPr="00CA1DB1" w14:paraId="580C287D" w14:textId="77777777" w:rsidTr="009F2D0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391F78C4" w14:textId="77777777" w:rsidR="00CC0605" w:rsidRPr="00FC49C0" w:rsidRDefault="00CC0605" w:rsidP="00FC49C0">
            <w:pPr>
              <w:spacing w:line="240" w:lineRule="auto"/>
              <w:ind w:firstLine="0"/>
              <w:jc w:val="left"/>
              <w:rPr>
                <w:rFonts w:eastAsia="Times New Roman" w:cs="Arial"/>
                <w:color w:val="000000"/>
                <w:szCs w:val="24"/>
                <w:lang w:val="es-CR" w:eastAsia="es-CR" w:bidi="ar-SA"/>
              </w:rPr>
            </w:pPr>
          </w:p>
        </w:tc>
        <w:tc>
          <w:tcPr>
            <w:tcW w:w="6234" w:type="dxa"/>
            <w:shd w:val="clear" w:color="auto" w:fill="FFFFFF" w:themeFill="background1"/>
            <w:noWrap/>
            <w:hideMark/>
          </w:tcPr>
          <w:p w14:paraId="0768BC4A" w14:textId="302E8B27" w:rsidR="00CC0605" w:rsidRPr="00FC49C0" w:rsidRDefault="00CC0605"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Hemoglobina post</w:t>
            </w:r>
            <w:r w:rsidR="00A063FC" w:rsidRPr="00FC49C0">
              <w:rPr>
                <w:rFonts w:eastAsia="Times New Roman" w:cs="Arial"/>
                <w:color w:val="000000"/>
                <w:szCs w:val="24"/>
                <w:lang w:val="es-CR" w:eastAsia="es-CR" w:bidi="ar-SA"/>
              </w:rPr>
              <w:t>operatoria</w:t>
            </w:r>
            <w:r w:rsidRPr="00FC49C0">
              <w:rPr>
                <w:rFonts w:eastAsia="Times New Roman" w:cs="Arial"/>
                <w:color w:val="000000"/>
                <w:szCs w:val="24"/>
                <w:lang w:val="es-CR" w:eastAsia="es-CR" w:bidi="ar-SA"/>
              </w:rPr>
              <w:t xml:space="preserve"> inferior a 8g/dl</w:t>
            </w:r>
          </w:p>
        </w:tc>
      </w:tr>
      <w:tr w:rsidR="00CC0605" w:rsidRPr="00FC49C0" w14:paraId="5BD95C77" w14:textId="77777777" w:rsidTr="009F2D09">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657A39CB" w14:textId="77777777" w:rsidR="00CC0605" w:rsidRPr="00FC49C0" w:rsidRDefault="00CC0605" w:rsidP="00FC49C0">
            <w:pPr>
              <w:spacing w:line="240" w:lineRule="auto"/>
              <w:ind w:firstLine="0"/>
              <w:jc w:val="left"/>
              <w:rPr>
                <w:rFonts w:eastAsia="Times New Roman" w:cs="Arial"/>
                <w:color w:val="000000"/>
                <w:szCs w:val="24"/>
                <w:lang w:val="es-CR" w:eastAsia="es-CR" w:bidi="ar-SA"/>
              </w:rPr>
            </w:pPr>
          </w:p>
        </w:tc>
        <w:tc>
          <w:tcPr>
            <w:tcW w:w="6234" w:type="dxa"/>
            <w:shd w:val="clear" w:color="auto" w:fill="FFFFFF" w:themeFill="background1"/>
            <w:noWrap/>
            <w:hideMark/>
          </w:tcPr>
          <w:p w14:paraId="1D0820A7" w14:textId="6513F568" w:rsidR="00CC0605" w:rsidRPr="00FC49C0" w:rsidRDefault="00CC0605"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 xml:space="preserve">Prolongación de tiempo </w:t>
            </w:r>
            <w:r w:rsidR="00A063FC" w:rsidRPr="00FC49C0">
              <w:rPr>
                <w:rFonts w:eastAsia="Times New Roman" w:cs="Arial"/>
                <w:color w:val="000000"/>
                <w:szCs w:val="24"/>
                <w:lang w:val="es-CR" w:eastAsia="es-CR" w:bidi="ar-SA"/>
              </w:rPr>
              <w:t>quirúrgico</w:t>
            </w:r>
          </w:p>
        </w:tc>
      </w:tr>
      <w:tr w:rsidR="00CC0605" w:rsidRPr="00CA1DB1" w14:paraId="5E959C9B" w14:textId="77777777" w:rsidTr="009F2D0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tcBorders>
            <w:hideMark/>
          </w:tcPr>
          <w:p w14:paraId="3CBD2B1B" w14:textId="77777777" w:rsidR="00CC0605" w:rsidRPr="00FC49C0" w:rsidRDefault="00CC0605" w:rsidP="00FC49C0">
            <w:pPr>
              <w:spacing w:line="240" w:lineRule="auto"/>
              <w:ind w:firstLine="0"/>
              <w:jc w:val="left"/>
              <w:rPr>
                <w:rFonts w:eastAsia="Times New Roman" w:cs="Arial"/>
                <w:color w:val="000000"/>
                <w:szCs w:val="24"/>
                <w:lang w:val="es-CR" w:eastAsia="es-CR" w:bidi="ar-SA"/>
              </w:rPr>
            </w:pPr>
          </w:p>
        </w:tc>
        <w:tc>
          <w:tcPr>
            <w:tcW w:w="6234" w:type="dxa"/>
            <w:shd w:val="clear" w:color="auto" w:fill="FFFFFF" w:themeFill="background1"/>
            <w:noWrap/>
            <w:hideMark/>
          </w:tcPr>
          <w:p w14:paraId="402B7789" w14:textId="77777777" w:rsidR="00CC0605" w:rsidRPr="00FC49C0" w:rsidRDefault="00CC0605" w:rsidP="00FC49C0">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Episodios hipotensivos con PAM &lt;80mmhg por &gt;10min</w:t>
            </w:r>
          </w:p>
        </w:tc>
      </w:tr>
      <w:tr w:rsidR="00CC0605" w:rsidRPr="00FC49C0" w14:paraId="76072AA5" w14:textId="77777777" w:rsidTr="009F2D09">
        <w:trPr>
          <w:trHeight w:val="300"/>
          <w:jc w:val="center"/>
        </w:trPr>
        <w:tc>
          <w:tcPr>
            <w:cnfStyle w:val="001000000000" w:firstRow="0" w:lastRow="0" w:firstColumn="1" w:lastColumn="0" w:oddVBand="0" w:evenVBand="0" w:oddHBand="0" w:evenHBand="0" w:firstRowFirstColumn="0" w:firstRowLastColumn="0" w:lastRowFirstColumn="0" w:lastRowLastColumn="0"/>
            <w:tcW w:w="2026" w:type="dxa"/>
            <w:vMerge/>
            <w:tcBorders>
              <w:left w:val="none" w:sz="0" w:space="0" w:color="auto"/>
              <w:bottom w:val="none" w:sz="0" w:space="0" w:color="auto"/>
            </w:tcBorders>
            <w:hideMark/>
          </w:tcPr>
          <w:p w14:paraId="2CA5DE58" w14:textId="77777777" w:rsidR="00CC0605" w:rsidRPr="00FC49C0" w:rsidRDefault="00CC0605" w:rsidP="00FC49C0">
            <w:pPr>
              <w:spacing w:line="240" w:lineRule="auto"/>
              <w:ind w:firstLine="0"/>
              <w:jc w:val="left"/>
              <w:rPr>
                <w:rFonts w:eastAsia="Times New Roman" w:cs="Arial"/>
                <w:color w:val="000000"/>
                <w:szCs w:val="24"/>
                <w:lang w:val="es-CR" w:eastAsia="es-CR" w:bidi="ar-SA"/>
              </w:rPr>
            </w:pPr>
          </w:p>
        </w:tc>
        <w:tc>
          <w:tcPr>
            <w:tcW w:w="6234" w:type="dxa"/>
            <w:shd w:val="clear" w:color="auto" w:fill="FFFFFF" w:themeFill="background1"/>
            <w:noWrap/>
            <w:hideMark/>
          </w:tcPr>
          <w:p w14:paraId="724FAF5B" w14:textId="32EAAD77" w:rsidR="00CC0605" w:rsidRPr="00FC49C0" w:rsidRDefault="00CC0605" w:rsidP="00FC49C0">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val="es-CR" w:eastAsia="es-CR" w:bidi="ar-SA"/>
              </w:rPr>
            </w:pPr>
            <w:r w:rsidRPr="00FC49C0">
              <w:rPr>
                <w:rFonts w:eastAsia="Times New Roman" w:cs="Arial"/>
                <w:color w:val="000000"/>
                <w:szCs w:val="24"/>
                <w:lang w:val="es-CR" w:eastAsia="es-CR" w:bidi="ar-SA"/>
              </w:rPr>
              <w:t>≥3 Stents</w:t>
            </w:r>
            <w:r w:rsidR="00A063FC" w:rsidRPr="00FC49C0">
              <w:rPr>
                <w:rFonts w:eastAsia="Times New Roman" w:cs="Arial"/>
                <w:color w:val="000000"/>
                <w:szCs w:val="24"/>
                <w:lang w:val="es-CR" w:eastAsia="es-CR" w:bidi="ar-SA"/>
              </w:rPr>
              <w:t xml:space="preserve"> recubiertos</w:t>
            </w:r>
          </w:p>
        </w:tc>
      </w:tr>
    </w:tbl>
    <w:p w14:paraId="0BFBEE10" w14:textId="4BA52EFC" w:rsidR="00CC0605" w:rsidRDefault="00CC0605" w:rsidP="00FC49C0">
      <w:pPr>
        <w:pStyle w:val="Prrafodelista1"/>
        <w:spacing w:after="0"/>
        <w:rPr>
          <w:lang w:val="es-CR"/>
        </w:rPr>
      </w:pPr>
      <w:r w:rsidRPr="003A1CA0">
        <w:rPr>
          <w:lang w:val="es-CR"/>
        </w:rPr>
        <w:t>Tabla 3. Factores de Riesgo Transoperatorios</w:t>
      </w:r>
    </w:p>
    <w:p w14:paraId="1EFBB517" w14:textId="44CD286A" w:rsidR="00FC49C0" w:rsidRPr="00FC49C0" w:rsidRDefault="00FC49C0" w:rsidP="00FC49C0">
      <w:pPr>
        <w:pStyle w:val="Prrafodelista1"/>
        <w:rPr>
          <w:lang w:val="es-CR"/>
        </w:rPr>
      </w:pPr>
      <w:r>
        <w:rPr>
          <w:lang w:val="es-CR"/>
        </w:rPr>
        <w:t xml:space="preserve">Fuente: Adaptado de </w:t>
      </w:r>
      <w:r w:rsidRPr="003A1CA0">
        <w:rPr>
          <w:lang w:val="es-CR"/>
        </w:rPr>
        <w:fldChar w:fldCharType="begin" w:fldLock="1"/>
      </w:r>
      <w:r w:rsidR="0091486C">
        <w:rPr>
          <w:lang w:val="es-CR"/>
        </w:rPr>
        <w:instrText>ADDIN CSL_CITATION {"citationItems":[{"id":"ITEM-1","itemData":{"DOI":"10.1093/icvts/ivy037","ISBN":"8186422021","ISSN":"15699285","abstract":"OBJECTIVES: Spinal cord ischaemia (SCI) is a serious complication of thoracic endovascular aortic repair (TEVAR). The purpose of this study was to assess the incidence, risk factors, clinical manifestations of SCI after TEVAR and which type of patients could benefit from cerebrospinal fluid drainage. METHODS: A retrospective review was conducted for 175 patients who underwent TEVAR from January 2008 to July 2014. All patients were divided into groups with and without SCI, and they were compared to identify significant risk factors for SCI. RESULTS: The incidence of SCI after TEVAR including paraplegia and paraparesis was 6.9%. SCI usually occurred within 24 h, but delayed SCI was observed after 5 days in 1 patient. In all patients with SCI, we tried to increase the blood pressure to improve spinal perfusion. Three patients recovered completely, and the 6 patients with some remaining neurological deficit included 3 with motion against gravity and bladder dysfunction and the 3 remaining patients with only bladder dysfunction. Three patients did not recover. In our study, significant risk factors for SCI were as follows: rupture, shaggy aorta, chronic obstructive pulmonary disease, 1-stage procedure, the coverage of more than 9 segments, the coverage from Th8 to Th12, minimum of postoperative haemoglobin and the number of postoperative patent segmental arteries. CONCLUSIONS: Sufficient perioperative care should be given to high-risk patients who have endografts that cover more than 9 segments and endografts that cover segments from Th8 to Th12. Adequate haemoglobin levels and mean arterial pressure are needed to provide sufficient spinal cord perfusion.","author":[{"dropping-particle":"","family":"Hiraoka","given":"Toshifumi","non-dropping-particle":"","parse-names":false,"suffix":""},{"dropping-particle":"","family":"Komiya","given":"Tatsuhiko","non-dropping-particle":"","parse-names":false,"suffix":""},{"dropping-particle":"","family":"Tsuneyoshi","given":"Hiroshi","non-dropping-particle":"","parse-names":false,"suffix":""},{"dropping-particle":"","family":"Shimamoto","given":"Takeshi","non-dropping-particle":"","parse-names":false,"suffix":""}],"container-title":"Interactive Cardiovascular and Thoracic Surgery","id":"ITEM-1","issue":"1","issued":{"date-parts":[["2018"]]},"page":"54-59","title":"Risk factors for spinal cord ischaemia after thoracic endovascular aortic repair","type":"article-journal","volume":"27"},"uris":["http://www.mendeley.com/documents/?uuid=745990c2-ade0-430b-843d-31f1887df5ec"]},{"id":"ITEM-2","itemData":{"DOI":"10.1177/1708538116671235","ISSN":"1708539X","abstract":"Spinal cord ischemia remains the Achilles’ heel of thoracic and thoracoabdominal diseases management. Great improvements in morbidity and mortality have been obtained with the endovascular approach TEVAR (Thoracic Endovascular Aortic Repair) but this devastating complication continues to severely affect the quality of life, even if the primary success of the procedure – dissection/aneurysm exclusion – has been achieved. Several strategies to deal with this complication have been published in the literature over the time. Knowledge and technology have been evolving from identification of the risk factors associated with spinal cord ischemia, including lessons learned from open surgery, and from developments in the collateral network concept for spinal cord perfusion. In this comprehensive review, the authors cover several topics from the traditional measures comprising haemodynamic control, cerebrospinal drainage and neuroprotective drugs, to the staged-procedures approach, the emerging MISACE (minimally invasive selective segmental artery coil-embolization) and innovative neurologic monitoring such as NIRS (near-infrared spectroscopy) of the collateral network.","author":[{"dropping-particle":"","family":"Dias-Neto","given":"Marina","non-dropping-particle":"","parse-names":false,"suffix":""},{"dropping-particle":"","family":"Reis","given":"Pedro Videira","non-dropping-particle":"","parse-names":false,"suffix":""},{"dropping-particle":"","family":"Rolim","given":"Dalila","non-dropping-particle":"","parse-names":false,"suffix":""},{"dropping-particle":"","family":"Ramos","given":"José Fernando","non-dropping-particle":"","parse-names":false,"suffix":""},{"dropping-particle":"","family":"Teixeira","given":"José Fernando","non-dropping-particle":"","parse-names":false,"suffix":""},{"dropping-particle":"","family":"Sampaio","given":"Sérgio","non-dropping-particle":"","parse-names":false,"suffix":""}],"container-title":"Vascular","id":"ITEM-2","issue":"3","issued":{"date-parts":[["2017"]]},"page":"307-315","title":"Strategies to prevent TEVAR-related spinal cord ischemia","type":"article-journal","volume":"25"},"uris":["http://www.mendeley.com/documents/?uuid=605f23e0-590d-4d60-9f1e-517c8e32e4ff"]},{"id":"ITEM-3","itemData":{"DOI":"10.1016/j.jvs.2017.10.044","ISSN":"10976809","PMID":"29268916","abstract":"Background Decision-making related to the care of patients with an abdominal aortic aneurysm (AAA) is complex. Aneurysms present with varying risks of rupture, and patient-specific factors influence anticipated life expectancy, operative risk, and need to intervene. Careful attention to the choice of operative strategy along with optimal treatment of medical comorbidities is critical to achieving excellent outcomes. Moreover, appropriate postoperative surveillance is necessary to minimize subsequent aneurysm-related death or morbidity. Methods The committee made specific practice recommendations using the Grading of Recommendations Assessment, Development, and Evaluation system. Three systematic reviews were conducted to support this guideline. Two focused on evaluating the best modalities and optimal frequency for surveillance after endovascular aneurysm repair (EVAR). A third focused on identifying the best available evidence on the diagnosis and management of AAA. Specific areas of focus included (1) general approach to the patient, (2) treatment of the patient with an AAA, (3) anesthetic considerations and perioperative management, (4) postoperative and long-term management, and (5) cost and economic considerations. Results Along with providing guidance regarding the management of patients throughout the continuum of care, we have revised a number of prior recommendations and addressed a number of new areas of significance. New guidelines are provided for the surveillance of patients with an AAA, including recommended surveillance imaging at 12-month intervals for patients with an AAA of 4.0 to 4.9 cm in diameter. We recommend endovascular repair as the preferred method of treatment for ruptured aneurysms. Incorporating knowledge gained through the Vascular Quality Initiative and other regional quality collaboratives, we suggest that the Vascular Quality Initiative mortality risk score be used for mutual decision-making with patients considering aneurysm repair. We also suggest that elective EVAR be limited to hospitals with a documented mortality and conversion rate to open surgical repair of 2% or less and that perform at least 10 EVAR cases each year. We also suggest that elective open aneurysm repair be limited to hospitals with a documented mortality of 5% or less and that perform at least 10 open aortic operations of any type each year. To encourage the development of effective systems of care that would lead to improved outcomes for those pat…","author":[{"dropping-particle":"","family":"Chaikof","given":"Elliot L.","non-dropping-particle":"","parse-names":false,"suffix":""},{"dropping-particle":"","family":"Dalman","given":"Ronald L.","non-dropping-particle":"","parse-names":false,"suffix":""},{"dropping-particle":"","family":"Eskandari","given":"Mark K.","non-dropping-particle":"","parse-names":false,"suffix":""},{"dropping-particle":"","family":"Jackson","given":"Benjamin M.","non-dropping-particle":"","parse-names":false,"suffix":""},{"dropping-particle":"","family":"Lee","given":"W. Anthony","non-dropping-particle":"","parse-names":false,"suffix":""},{"dropping-particle":"","family":"Mansour","given":"M. Ashraf","non-dropping-particle":"","parse-names":false,"suffix":""},{"dropping-particle":"","family":"Mastracci","given":"Tara M.","non-dropping-particle":"","parse-names":false,"suffix":""},{"dropping-particle":"","family":"Mell","given":"Matthew","non-dropping-particle":"","parse-names":false,"suffix":""},{"dropping-particle":"","family":"Murad","given":"M. Hassan","non-dropping-particle":"","parse-names":false,"suffix":""},{"dropping-particle":"","family":"Nguyen","given":"Louis L.","non-dropping-particle":"","parse-names":false,"suffix":""},{"dropping-particle":"","family":"Oderich","given":"Gustavo S.","non-dropping-particle":"","parse-names":false,"suffix":""},{"dropping-particle":"","family":"Patel","given":"Madhukar S.","non-dropping-particle":"","parse-names":false,"suffix":""},{"dropping-particle":"","family":"Schermerhorn","given":"Marc L.","non-dropping-particle":"","parse-names":false,"suffix":""},{"dropping-particle":"","family":"Starnes","given":"Benjamin W.","non-dropping-particle":"","parse-names":false,"suffix":""}],"container-title":"Journal of Vascular Surgery","id":"ITEM-3","issue":"1","issued":{"date-parts":[["2018"]]},"page":"2-77.e2","publisher":"Society for Vascular Surgery","title":"The Society for Vascular Surgery practice guidelines on the care of patients with an abdominal aortic aneurysm","type":"article-journal","volume":"67"},"uris":["http://www.mendeley.com/documents/?uuid=30696adc-4f78-4f19-af6f-5fac8d7082b3"]},{"id":"ITEM-4","itemData":{"DOI":"10.1007/s12630-017-0974-1","ISSN":"14968975","PMID":"29019146","abstract":"Purpose: Thoracic endovascular aortic aneurysm repair (TEVAR) has become a mainstay of therapy for aneurysms and other disorders of the thoracic aorta. The purpose of this narrative review article is to summarize the current literature on the risk factors for and pathophysiology of spinal cord injury (SCI) following TEVAR, and to discuss various intraoperative monitoring and treatment strategies. Source: The articles considered in this review were identified through PubMed using the following search terms: thoracic aortic aneurysm, TEVAR, paralysis+TEVAR, risk factors+TEVAR, spinal cord ischemia+TEVAR, neuromonitoring+thoracic aortic aneurysm, spinal drain, cerebrospinal fluid drainage, treatment of spinal cord ischemia. Principal findings: Spinal cord injury continues to be a challenging complication after TEVAR. Its incidence after TEVAR is not significantly reduced when compared with open thoracoabdominal aortic aneurysm repair. Nevertheless, compared with open procedures, delayed paralysis/paresis is the predominant presentation of SCI after TEVAR. The pathophysiology of SCI is complex and not fully understood, though the evolving concept of the importance of the spinal cord’s collateral blood supply network and its imbalance after TEVAR is emerging as a leading factor in the development of SCI. Cerebrospinal fluid drainage, optimal blood pressure management, and newer surgical techniques are important components of the most up-to-date strategies for spinal cord protection. Conclusion: Further experimental and clinical research is needed to aid in the discovery of novel neuroprotective strategies for the protection and treatment of SCI following TEVAR.","author":[{"dropping-particle":"","family":"Awad","given":"Hamdy","non-dropping-particle":"","parse-names":false,"suffix":""},{"dropping-particle":"","family":"Ramadan","given":"Mohamed Ehab","non-dropping-particle":"","parse-names":false,"suffix":""},{"dropping-particle":"","family":"Sayed","given":"Hosam F.","non-dropping-particle":"El","parse-names":false,"suffix":""},{"dropping-particle":"","family":"Tolpin","given":"Daniel A.","non-dropping-particle":"","parse-names":false,"suffix":""},{"dropping-particle":"","family":"Tili","given":"Esmerina","non-dropping-particle":"","parse-names":false,"suffix":""},{"dropping-particle":"","family":"Collard","given":"Charles D.","non-dropping-particle":"","parse-names":false,"suffix":""}],"container-title":"Canadian Journal of Anesthesia","id":"ITEM-4","issue":"12","issued":{"date-parts":[["2017"]]},"page":"1218-1235","publisher":"Springer US","title":"Spinal cord injury after thoracic endovascular aortic aneurysm repair","type":"article-journal","volume":"64"},"uris":["http://www.mendeley.com/documents/?uuid=2c47d0ce-6be0-4a12-a6db-bdb6ac171c08"]},{"id":"ITEM-5","itemData":{"DOI":"10.1016/j.athoracsur.2008.09.022","ISSN":"00034975","abstract":"Background: Risk factors for spinal cord ischemia (SCI) after thoracic endovascular aneurysm repair (TEVAR) remain unclear. Aortic coverage was examined as a risk factor for SCI using quantitative three-dimensional computed tomography angiography (CTA) analysis. Methods: The medical records, radiographic imaging studies, and a prospectively maintained database of all TEVAR procedures performed during a 7-year period were retrospectively reviewed. Preoperative anatomic dimensions and postoperative graft path lengths were measured from CTAs using curved planar and orthogonal multiplanar reformations along centerline paths. SCI was defined as transient or permanent lower extremity neurologic deficit without associated intracerebral hemispheric events. Results: Of 326 TEVAR cases, 241 patients (74%) had satisfactory imaging. Thirty-three (10%) had SCI. These patients were older (72.7 ± 10.6 vs 64.7 ± 15.8 years, p = 0.005) and had longer intraoperative procedure times (137 ± 65 vs 113 ± 68 minutes, p = 0.05). Despite similar total lengths of native thoracic aorta (295.0 ± 36.3 vs 283.1 ± 39.8 mm, p = 0.17), patients with permanent SCI had a greater absolute (260.5 ± 40.9 vs 195.8 ± 81.6 mm, p = 0.002) and proportionate (88.8% ± 12.1% vs 67.6% ± 24.0%, p = 0.001) length of aortic coverage. The average length of uncovered aorta proximal to the celiac artery in patients with SCI was 17.3 ± 21.8 mm vs 63.1 ± 62.9 mm in patients without SCI (p = 0.0006). Neither the patency of the hypogastric arteries nor left subclavian artery was associated with SCI. Conclusions: The extent and distal location (relative to the celiac artery) of aortic coverage were associated with an increased risk of SCI. Prophylactic measures for spinal cord protection should be considered in patients whose thoracic aortas require extensive coverage. © 2008 The Society of Thoracic Surgeons.","author":[{"dropping-particle":"","family":"Feezor","given":"Robert J.","non-dropping-particle":"","parse-names":false,"suffix":""},{"dropping-particle":"","family":"Martin","given":"Tomas D.","non-dropping-particle":"","parse-names":false,"suffix":""},{"dropping-particle":"","family":"Hess","given":"Philip J.","non-dropping-particle":"","parse-names":false,"suffix":""},{"dropping-particle":"","family":"Daniels","given":"Michael J.","non-dropping-particle":"","parse-names":false,"suffix":""},{"dropping-particle":"","family":"Beaver","given":"Thomas M.","non-dropping-particle":"","parse-names":false,"suffix":""},{"dropping-particle":"","family":"Klodell","given":"Charles T.","non-dropping-particle":"","parse-names":false,"suffix":""},{"dropping-particle":"","family":"Lee","given":"W. Anthony","non-dropping-particle":"","parse-names":false,"suffix":""}],"container-title":"Annals of Thoracic Surgery","id":"ITEM-5","issue":"6","issued":{"date-parts":[["2008"]]},"page":"1809-1814","publisher":"The Society of Thoracic Surgeons","title":"Extent of Aortic Coverage and Incidence of Spinal Cord Ischemia After Thoracic Endovascular Aneurysm Repair","type":"article-journal","volume":"86"},"uris":["http://www.mendeley.com/documents/?uuid=16a32fe9-79c4-4e8f-9374-2fe8a2e4eaf8"]},{"id":"ITEM-6","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S.","non-dropping-particle":"","parse-names":false,"suffix":""}],"id":"ITEM-6","issued":{"date-parts":[["2017"]]},"publisher":"Springer US","publisher-place":"Cham, Switzerland","title":"Endovascular Aortic Repair Current Techniques with Fenestrated, Branched and Parallel Stent-Grafts","type":"book"},"uris":["http://www.mendeley.com/documents/?uuid=000e0c0a-9f4e-4fa0-bb91-d903249e9bcf"]}],"mendeley":{"formattedCitation":"(Awad et al., 2017; Chaikof et al., 2018; Dias-Neto et al., 2017; Feezor et al., 2008; Hiraoka et al., 2018; Oderich, 2017)","plainTextFormattedCitation":"(Awad et al., 2017; Chaikof et al., 2018; Dias-Neto et al., 2017; Feezor et al., 2008; Hiraoka et al., 2018; Oderich, 2017)","previouslyFormattedCitation":"(Awad et al., 2017; Chaikof et al., 2018; Dias-Neto et al., 2017; Feezor et al., 2008; Hiraoka et al., 2018; Oderich, 2017)"},"properties":{"noteIndex":0},"schema":"https://github.com/citation-style-language/schema/raw/master/csl-citation.json"}</w:instrText>
      </w:r>
      <w:r w:rsidRPr="003A1CA0">
        <w:rPr>
          <w:lang w:val="es-CR"/>
        </w:rPr>
        <w:fldChar w:fldCharType="separate"/>
      </w:r>
      <w:r w:rsidR="0091486C" w:rsidRPr="0091486C">
        <w:rPr>
          <w:noProof/>
          <w:lang w:val="es-CR"/>
        </w:rPr>
        <w:t>(Awad et al., 2017; Chaikof et al., 2018; Dias-Neto et al., 2017; Feezor et al., 2008; Hiraoka et al., 2018; Oderich, 2017)</w:t>
      </w:r>
      <w:r w:rsidRPr="003A1CA0">
        <w:rPr>
          <w:lang w:val="es-CR"/>
        </w:rPr>
        <w:fldChar w:fldCharType="end"/>
      </w:r>
    </w:p>
    <w:p w14:paraId="1B084560" w14:textId="77777777" w:rsidR="00FC49C0" w:rsidRPr="00FC49C0" w:rsidRDefault="00FC49C0" w:rsidP="00FC49C0">
      <w:pPr>
        <w:rPr>
          <w:lang w:val="es-CR"/>
        </w:rPr>
      </w:pPr>
    </w:p>
    <w:p w14:paraId="25EFFFF5" w14:textId="112F67A7" w:rsidR="00175B33" w:rsidRPr="003A1CA0" w:rsidRDefault="00B90E0C" w:rsidP="00B05F46">
      <w:pPr>
        <w:pStyle w:val="Title"/>
      </w:pPr>
      <w:bookmarkStart w:id="31" w:name="_Toc47027840"/>
      <w:r w:rsidRPr="003A1CA0">
        <w:lastRenderedPageBreak/>
        <w:t xml:space="preserve">Estrategias para </w:t>
      </w:r>
      <w:r w:rsidR="00F33A14" w:rsidRPr="003A1CA0">
        <w:t xml:space="preserve">disminución de </w:t>
      </w:r>
      <w:r w:rsidRPr="003A1CA0">
        <w:t>riesgo de SCI</w:t>
      </w:r>
      <w:bookmarkEnd w:id="31"/>
    </w:p>
    <w:p w14:paraId="07D154A6" w14:textId="5A819B18" w:rsidR="00B90E0C" w:rsidRPr="003A1CA0" w:rsidRDefault="009637A0" w:rsidP="00612561">
      <w:pPr>
        <w:rPr>
          <w:lang w:val="es-CR"/>
        </w:rPr>
      </w:pPr>
      <w:r w:rsidRPr="003A1CA0">
        <w:rPr>
          <w:lang w:val="es-CR"/>
        </w:rPr>
        <w:t>A</w:t>
      </w:r>
      <w:r w:rsidR="00612561" w:rsidRPr="003A1CA0">
        <w:rPr>
          <w:lang w:val="es-CR"/>
        </w:rPr>
        <w:t>proximadamente un 20% de los p</w:t>
      </w:r>
      <w:r w:rsidR="00B90E0C" w:rsidRPr="003A1CA0">
        <w:rPr>
          <w:lang w:val="es-CR"/>
        </w:rPr>
        <w:t xml:space="preserve">acientes </w:t>
      </w:r>
      <w:r w:rsidR="00612561" w:rsidRPr="003A1CA0">
        <w:rPr>
          <w:lang w:val="es-CR"/>
        </w:rPr>
        <w:t xml:space="preserve">que </w:t>
      </w:r>
      <w:r w:rsidR="00B90E0C" w:rsidRPr="003A1CA0">
        <w:rPr>
          <w:lang w:val="es-CR"/>
        </w:rPr>
        <w:t xml:space="preserve">presentan síntomas de SCI posterior a la cirugía </w:t>
      </w:r>
      <w:r w:rsidR="00612561" w:rsidRPr="003A1CA0">
        <w:rPr>
          <w:lang w:val="es-CR"/>
        </w:rPr>
        <w:t>abierta de</w:t>
      </w:r>
      <w:r w:rsidR="00B90E0C" w:rsidRPr="003A1CA0">
        <w:rPr>
          <w:lang w:val="es-CR"/>
        </w:rPr>
        <w:t xml:space="preserve"> TAAA</w:t>
      </w:r>
      <w:r w:rsidR="00612561" w:rsidRPr="003A1CA0">
        <w:rPr>
          <w:lang w:val="es-CR"/>
        </w:rPr>
        <w:t xml:space="preserve"> tienen factores de riesgo</w:t>
      </w:r>
      <w:r w:rsidR="00B90E0C" w:rsidRPr="003A1CA0">
        <w:rPr>
          <w:lang w:val="es-CR"/>
        </w:rPr>
        <w:t>;</w:t>
      </w:r>
      <w:r w:rsidR="00612561" w:rsidRPr="003A1CA0">
        <w:rPr>
          <w:lang w:val="es-CR"/>
        </w:rPr>
        <w:t xml:space="preserve"> la utilización de protocol</w:t>
      </w:r>
      <w:r w:rsidRPr="003A1CA0">
        <w:rPr>
          <w:lang w:val="es-CR"/>
        </w:rPr>
        <w:t>o</w:t>
      </w:r>
      <w:r w:rsidR="00612561" w:rsidRPr="003A1CA0">
        <w:rPr>
          <w:lang w:val="es-CR"/>
        </w:rPr>
        <w:t xml:space="preserve">s y métodos preventivos ha </w:t>
      </w:r>
      <w:r w:rsidR="00B90E0C" w:rsidRPr="003A1CA0">
        <w:rPr>
          <w:lang w:val="es-CR"/>
        </w:rPr>
        <w:t>logrado disminuir la tasa de paraplej</w:t>
      </w:r>
      <w:r w:rsidR="009D7896">
        <w:rPr>
          <w:lang w:val="es-CR"/>
        </w:rPr>
        <w:t>í</w:t>
      </w:r>
      <w:r w:rsidR="00B90E0C" w:rsidRPr="003A1CA0">
        <w:rPr>
          <w:lang w:val="es-CR"/>
        </w:rPr>
        <w:t>a hasta casi un 5%</w:t>
      </w:r>
      <w:r w:rsidR="00612561" w:rsidRPr="003A1CA0">
        <w:rPr>
          <w:lang w:val="es-CR"/>
        </w:rPr>
        <w:t>.</w:t>
      </w:r>
    </w:p>
    <w:p w14:paraId="7530289E" w14:textId="1CF12D97" w:rsidR="00C60E12" w:rsidRPr="003A1CA0" w:rsidRDefault="00C60E12" w:rsidP="00C60E12">
      <w:pPr>
        <w:rPr>
          <w:lang w:val="es-CR"/>
        </w:rPr>
      </w:pPr>
      <w:bookmarkStart w:id="32" w:name="_Hlk46290985"/>
      <w:r w:rsidRPr="003A1CA0">
        <w:rPr>
          <w:lang w:val="es-CR"/>
        </w:rPr>
        <w:t xml:space="preserve">El uso generalizado de medidas complementarias para mejorar el aporte sanguíneo </w:t>
      </w:r>
      <w:r w:rsidR="00EA2516" w:rsidRPr="003A1CA0">
        <w:rPr>
          <w:lang w:val="es-CR"/>
        </w:rPr>
        <w:t>medular</w:t>
      </w:r>
      <w:r w:rsidRPr="003A1CA0">
        <w:rPr>
          <w:lang w:val="es-CR"/>
        </w:rPr>
        <w:t xml:space="preserve"> transoperatorio es ampliamente usad</w:t>
      </w:r>
      <w:r w:rsidR="00B32157">
        <w:rPr>
          <w:lang w:val="es-CR"/>
        </w:rPr>
        <w:t>o, dónde e</w:t>
      </w:r>
      <w:r w:rsidR="009637A0" w:rsidRPr="003A1CA0">
        <w:rPr>
          <w:lang w:val="es-CR"/>
        </w:rPr>
        <w:t xml:space="preserve">strategias preoperatorias, transoperatorias y postoperatorias son aplicadas para </w:t>
      </w:r>
      <w:r w:rsidR="009573A0" w:rsidRPr="003A1CA0">
        <w:rPr>
          <w:lang w:val="es-CR"/>
        </w:rPr>
        <w:t>maximizar</w:t>
      </w:r>
      <w:r w:rsidR="009637A0" w:rsidRPr="003A1CA0">
        <w:rPr>
          <w:lang w:val="es-CR"/>
        </w:rPr>
        <w:t xml:space="preserve"> la perfusión de la </w:t>
      </w:r>
      <w:r w:rsidR="003C51C0" w:rsidRPr="003A1CA0">
        <w:rPr>
          <w:lang w:val="es-CR"/>
        </w:rPr>
        <w:t>médula</w:t>
      </w:r>
      <w:r w:rsidR="009637A0" w:rsidRPr="003A1CA0">
        <w:rPr>
          <w:lang w:val="es-CR"/>
        </w:rPr>
        <w:t xml:space="preserve"> espinal con el fin de evitar SCI</w:t>
      </w:r>
      <w:r w:rsidR="00F01770">
        <w:rPr>
          <w:lang w:val="es-CR"/>
        </w:rPr>
        <w:t xml:space="preserve"> </w:t>
      </w:r>
      <w:r w:rsidR="00D22AD1" w:rsidRPr="003A1CA0">
        <w:rPr>
          <w:lang w:val="es-CR"/>
        </w:rPr>
        <w:fldChar w:fldCharType="begin" w:fldLock="1"/>
      </w:r>
      <w:r w:rsidR="00CA1DB1">
        <w:rPr>
          <w:lang w:val="es-CR"/>
        </w:rPr>
        <w:instrText>ADDIN CSL_CITATION {"citationItems":[{"id":"ITEM-1","itemData":{"DOI":"10.1016/j.jvs.2015.12.062","ISSN":"10976809","abstract":"Objective Transient and permanent paraparesis and paraplegia (spinal cord injury [SCI]) are reported in up to 13% of patients undergoing thoracic endovascular aortic repair (TEVAR) for descending thoracic aortic aneurysm, thoracoabdominal aortic aneurysm, and thoracic aortic dissection. We hypothesize that aggressive intraoperative and postoperative neuroprotective interventions prevent or significantly reduce all SCI in TEVAR. Methods Using a prospectively maintained, Institutional Review Board-approved database, we retrospectively reviewed all TEVARs performed in a university tertiary referral center from 2005 to 2014 to study the incidence of all transient and permanent lower extremity SCI. Only TEVARs for traumatic aortic tear were excluded. Arch debranching and carotid subclavian bypass were performed before TEVAR in patients with arch involvement. All patients had moderate systemic hypothermia (34°C), mean arterial pressure ≥90 mm Hg, and hemoglobin ≥10 g/dL. Patients received mannitol (12.5 g), methylprednisolone (30 mg/kg), and naloxone (1 μg/kg/h). Patients in whom &gt;12 cm of aortic coverage was planned had spinal fluid drained to a pressure of &lt;8 mm Hg intraoperatively and postoperatively until normal leg strength was confirmed. The main outcome measure was transient or permanent SCI. Results One hundred fifty-five patients had TEVAR between 2005 and 2014. Mean age was 74 years, and 56.1% were male. Descending thoracic aortic aneurysm was present in 91.6%, thoracoabdominal aortic aneurysm in 8.4%, and dissection in 28.8%. Presentation was acute in 42.5%. The procedure included carotid-subclavian bypass in 18.7% of patients. Seventy-two percent of patients had spinal fluid drainage. Mean aortic coverage was 25 cm. Eighty-one percent of patients had &gt;12 cm aortic coverage, and 49% had complete coverage of the thoracic aorta (coverage from subclavian to celiac artery). In-hospital mortality was 1.94%. Stroke occurred in 1.32% of patients. No patient had renal failure. SCI occurred in 0.65% (1 of 154) of patients. Conclusions SCI in TEVAR can be significantly reduced by using proactive intraoperative and postoperative neuroprotective interventions that prolong spinal cord ischemic tolerance and increase spinal cord perfusion and oxygen delivery.","author":[{"dropping-particle":"","family":"Acher","given":"Charles W.","non-dropping-particle":"","parse-names":false,"suffix":""},{"dropping-particle":"","family":"Acher","given":"Charles W.","non-dropping-particle":"","parse-names":false,"suffix":""},{"dropping-particle":"","family":"Marks","given":"Erich","non-dropping-particle":"","parse-names":false,"suffix":""},{"dropping-particle":"","family":"Wynn","given":"Martha","non-dropping-particle":"","parse-names":false,"suffix":""}],"container-title":"Journal of Vascular Surgery","id":"ITEM-1","issue":"6","issued":{"date-parts":[["2016"]]},"page":"1458-1465","publisher":"Society for Vascular Surgery","title":"Intraoperative neuroprotective interventions prevent spinal cord ischemia and injury in thoracic endovascular aortic repair","type":"article-journal","volume":"63"},"uris":["http://www.mendeley.com/documents/?uuid=04a935de-f654-49cd-b304-0cf3f8acc927"]},{"id":"ITEM-2","itemData":{"DOI":"10.1002/9781118504536","ISBN":"9781118504536","abstract":"Saves Time and Effort Find everything you need on the most advanced treatments for aortic and structural heart disease in one easy-to-reference book - Procedure videos included Percutaneous valve repair and replacement is one of the hottest topics in interventional cardiology. Substantial research has underscored the efficacy of emergent minimally-invasive procedures, and as a result percutaneous techniques are rapidly displacing surgical options as the treatment of choice for patients with aortic and structural heart disease. Until now, you have been forced to gather information about the latest advances in endovascular and hybrid therapies in piecemeal fashion, via journal articles or by attending seminars on individual techniques. Now, for the first time, you can get everything you need to add new techniques to your repertoire or achieve true mastery of procedures you have already begun to practice in one convenient book. Master Leading-Edge TherapiesPractical, Step-by-Step Guide to the Latest Endovascular and Hybrid Techniques Edited by two of the most experienced practitioners in the field, Endovascular and Hybrid Therapies for Structural Heart and Aortic Disease covers everything interventionalists, radiologists, cardiac sugeons, and vascular surgeons need to know to master leading-edge therapies, including: Equipment selection and preparation Expert tips and tricks on individual therapies Use of advanced imaging modalities like CT and real-time MRI Optimal management of complications and proper patient follow-up A review of the pertinent anatomy, information on patient evaluation Complex procedures and possible complications Essential hot topics: Hybrid Endovascular Aortic Arch Surgery, Technique of Thoracic Endografting for Thoracic Aneurysm using the Approved Gore TAG Device, Endovascular Robotics for Complex Aortic Intervention, and Transcatheter Closure of Mitral and Aortic Paravalvular Leaks, and more! Plus, each chapter is fully illustrated in color, and a companion website includes video clips of procedures covered in the text. Order your copy today!.","author":[{"dropping-particle":"","family":"Kpodonu","given":"Jacques","non-dropping-particle":"","parse-names":false,"suffix":""},{"dropping-particle":"","family":"Bonan","given":"Raoul","non-dropping-particle":"","parse-names":false,"suffix":""}],"container-title":"Endovascular and Hybrid Therapies for Structural Heart and Aortic Disease","edition":"1","editor":[{"dropping-particle":"","family":"Kpodonu","given":"Jacques","non-dropping-particle":"","parse-names":false,"suffix":""},{"dropping-particle":"","family":"Bonan","given":"Raoul","non-dropping-particle":"","parse-names":false,"suffix":""}],"id":"ITEM-2","issued":{"date-parts":[["2013"]]},"publisher":"John Wiley &amp; Sons, Ltd","publisher-place":"Oxford, UK","title":"Endovascular and hybrid therapies for structural heart and aortic disease","type":"book"},"uris":["http://www.mendeley.com/documents/?uuid=a2e3896f-4479-4b7f-aa8e-2012ef93f6fc"]}],"mendeley":{"formattedCitation":"(Acher et al., 2016; Kpodonu &amp; Bonan, 2013)","plainTextFormattedCitation":"(Acher et al., 2016; Kpodonu &amp; Bonan, 2013)","previouslyFormattedCitation":"(Acher et al., 2016)"},"properties":{"noteIndex":0},"schema":"https://github.com/citation-style-language/schema/raw/master/csl-citation.json"}</w:instrText>
      </w:r>
      <w:r w:rsidR="00D22AD1" w:rsidRPr="003A1CA0">
        <w:rPr>
          <w:lang w:val="es-CR"/>
        </w:rPr>
        <w:fldChar w:fldCharType="separate"/>
      </w:r>
      <w:r w:rsidR="00CA1DB1" w:rsidRPr="00CA1DB1">
        <w:rPr>
          <w:noProof/>
          <w:lang w:val="es-CR"/>
        </w:rPr>
        <w:t>(Acher et al., 2016; Kpodonu &amp; Bonan, 2013)</w:t>
      </w:r>
      <w:r w:rsidR="00D22AD1" w:rsidRPr="003A1CA0">
        <w:rPr>
          <w:lang w:val="es-CR"/>
        </w:rPr>
        <w:fldChar w:fldCharType="end"/>
      </w:r>
      <w:r w:rsidR="009637A0" w:rsidRPr="003A1CA0">
        <w:rPr>
          <w:lang w:val="es-CR"/>
        </w:rPr>
        <w:t>.</w:t>
      </w:r>
    </w:p>
    <w:bookmarkEnd w:id="32"/>
    <w:p w14:paraId="1ED15D56" w14:textId="1288EA32" w:rsidR="00D22AD1" w:rsidRPr="003A1CA0" w:rsidRDefault="00B32157" w:rsidP="00C60E12">
      <w:pPr>
        <w:rPr>
          <w:lang w:val="es-CR"/>
        </w:rPr>
      </w:pPr>
      <w:r>
        <w:rPr>
          <w:lang w:val="es-CR"/>
        </w:rPr>
        <w:t xml:space="preserve">Con el fin de un seguimiento adecuado para valorar tanto un diagnóstico como </w:t>
      </w:r>
      <w:r w:rsidR="00CA1DB1">
        <w:rPr>
          <w:lang w:val="es-CR"/>
        </w:rPr>
        <w:t>progresión</w:t>
      </w:r>
      <w:r>
        <w:rPr>
          <w:lang w:val="es-CR"/>
        </w:rPr>
        <w:t xml:space="preserve"> de posible SCI, se recomienda a</w:t>
      </w:r>
      <w:r w:rsidR="00D22AD1" w:rsidRPr="003A1CA0">
        <w:rPr>
          <w:lang w:val="es-CR"/>
        </w:rPr>
        <w:t xml:space="preserve">l egreso el paciente debe ser valorado a los 6 meses, 12 meses y luego anualmente con Angiotac </w:t>
      </w:r>
      <w:r w:rsidR="00D22AD1" w:rsidRPr="003A1CA0">
        <w:rPr>
          <w:lang w:val="es-CR"/>
        </w:rPr>
        <w:fldChar w:fldCharType="begin" w:fldLock="1"/>
      </w:r>
      <w:r w:rsidR="001A1B73">
        <w:rPr>
          <w:lang w:val="es-CR"/>
        </w:rPr>
        <w:instrText>ADDIN CSL_CITATION {"citationItems":[{"id":"ITEM-1","itemData":{"DOI":"10.1016/j.jvs.2018.04.018","ISSN":"10976809","PMID":"29937033","abstract":"Although follow-up after open surgical and endovascular procedures is generally regarded as an important part of the care provided by vascular surgeons, there are no detailed or comprehensive guidelines that specify the optimal approaches with regard to testing methods, indications for reintervention, and follow-up intervals. To provide guidance to the vascular surgeon, the Clinical Practice Council of the Society for Vascular Surgery appointed an expert panel and a methodologist to review the current clinical evidence and to develop recommendations for follow-up after vascular surgery procedures. For those procedures for which high-quality evidence was not available, recommendations were based on observational studies, committee consensus, and indirect evidence. Recognizing that there are numerous published reports on the role of duplex ultrasound for surveillance of infrainguinal vein bypass grafts, the Society commissioned a systematic review and meta-analysis on this topic. The panel classified the strength of each recommendation and the corresponding quality of evidence on the basis of the Grading of Recommendations Assessment, Development, and Evaluation (GRADE) system: recommendations were graded either strong or weak, and the quality of evidence was graded high, moderate, or low. The resulting recommendations represent a wide variety of open surgical and endovascular procedures involving the extracranial carotid artery, thoracic and abdominal aorta, mesenteric and renal arteries, and lower extremity arterial revascularization. The panel also identified many areas in which there was a lack of high-quality evidence to support their recommendations. This suggests that there are opportunities for further clinical research on testing methods, threshold criteria, and the role of surveillance as well as on the modes of failure and indications for reintervention after vascular surgery procedures.","author":[{"dropping-particle":"","family":"Zierler","given":"R. Eugene","non-dropping-particle":"","parse-names":false,"suffix":""},{"dropping-particle":"","family":"Jordan","given":"William D.","non-dropping-particle":"","parse-names":false,"suffix":""},{"dropping-particle":"","family":"Lal","given":"Brajesh K.","non-dropping-particle":"","parse-names":false,"suffix":""},{"dropping-particle":"","family":"Mussa","given":"Firas","non-dropping-particle":"","parse-names":false,"suffix":""},{"dropping-particle":"","family":"Leers","given":"Steven","non-dropping-particle":"","parse-names":false,"suffix":""},{"dropping-particle":"","family":"Fulton","given":"Joseph","non-dropping-particle":"","parse-names":false,"suffix":""},{"dropping-particle":"","family":"Pevec","given":"William","non-dropping-particle":"","parse-names":false,"suffix":""},{"dropping-particle":"","family":"Hill","given":"Andrew","non-dropping-particle":"","parse-names":false,"suffix":""},{"dropping-particle":"","family":"Murad","given":"M. Hassan","non-dropping-particle":"","parse-names":false,"suffix":""}],"container-title":"Journal of Vascular Surgery","id":"ITEM-1","issue":"1","issued":{"date-parts":[["2018"]]},"page":"256-284","publisher":"Elsevier Inc.","title":"The Society for Vascular Surgery practice guidelines on follow-up after vascular surgery arterial procedures","type":"article-journal","volume":"68"},"uris":["http://www.mendeley.com/documents/?uuid=05a71a67-937b-4386-b80d-9a0856c2fae0"]}],"mendeley":{"formattedCitation":"(Zierler et al., 2018)","plainTextFormattedCitation":"(Zierler et al., 2018)","previouslyFormattedCitation":"(Zierler et al., 2018)"},"properties":{"noteIndex":0},"schema":"https://github.com/citation-style-language/schema/raw/master/csl-citation.json"}</w:instrText>
      </w:r>
      <w:r w:rsidR="00D22AD1" w:rsidRPr="003A1CA0">
        <w:rPr>
          <w:lang w:val="es-CR"/>
        </w:rPr>
        <w:fldChar w:fldCharType="separate"/>
      </w:r>
      <w:r w:rsidR="00FA7019" w:rsidRPr="00FA7019">
        <w:rPr>
          <w:noProof/>
          <w:lang w:val="es-CR"/>
        </w:rPr>
        <w:t>(Zierler et al., 2018)</w:t>
      </w:r>
      <w:r w:rsidR="00D22AD1" w:rsidRPr="003A1CA0">
        <w:rPr>
          <w:lang w:val="es-CR"/>
        </w:rPr>
        <w:fldChar w:fldCharType="end"/>
      </w:r>
      <w:r w:rsidR="00D22AD1" w:rsidRPr="003A1CA0">
        <w:rPr>
          <w:lang w:val="es-CR"/>
        </w:rPr>
        <w:t>.</w:t>
      </w:r>
    </w:p>
    <w:p w14:paraId="59DF69B9" w14:textId="775111E4" w:rsidR="007877DD" w:rsidRPr="003A1CA0" w:rsidRDefault="007877DD" w:rsidP="00F33A14">
      <w:pPr>
        <w:pStyle w:val="Heading2"/>
        <w:rPr>
          <w:rFonts w:eastAsia="Times New Roman"/>
          <w:lang w:val="es-CR"/>
        </w:rPr>
      </w:pPr>
      <w:bookmarkStart w:id="33" w:name="_Toc47027841"/>
      <w:r w:rsidRPr="003A1CA0">
        <w:rPr>
          <w:rFonts w:eastAsia="Times New Roman"/>
          <w:lang w:val="es-CR"/>
        </w:rPr>
        <w:t xml:space="preserve">Manejo </w:t>
      </w:r>
      <w:r w:rsidRPr="003A1CA0">
        <w:rPr>
          <w:lang w:val="es-CR"/>
        </w:rPr>
        <w:t>Preoperatorio</w:t>
      </w:r>
      <w:bookmarkEnd w:id="33"/>
    </w:p>
    <w:p w14:paraId="7C284FC9" w14:textId="1AAF81DE" w:rsidR="007C5CD1" w:rsidRPr="003A1CA0" w:rsidRDefault="007C5CD1" w:rsidP="007C5CD1">
      <w:pPr>
        <w:rPr>
          <w:lang w:val="es-CR"/>
        </w:rPr>
      </w:pPr>
      <w:r w:rsidRPr="003A1CA0">
        <w:rPr>
          <w:lang w:val="es-CR"/>
        </w:rPr>
        <w:t>Un protocolo estandarizado preoperatorio debe ser aplicado en todos los pacientes,</w:t>
      </w:r>
      <w:r w:rsidR="00157AE6" w:rsidRPr="003A1CA0">
        <w:rPr>
          <w:lang w:val="es-CR"/>
        </w:rPr>
        <w:t xml:space="preserve"> se debe optimizar el estado cardiovascular del paciente y realizar estudios de imagen para valorar el aporte sanguíneo y la integridad de la red de vías colaterales de la </w:t>
      </w:r>
      <w:r w:rsidR="003C51C0" w:rsidRPr="003A1CA0">
        <w:rPr>
          <w:lang w:val="es-CR"/>
        </w:rPr>
        <w:t>médula</w:t>
      </w:r>
      <w:r w:rsidR="00157AE6" w:rsidRPr="003A1CA0">
        <w:rPr>
          <w:lang w:val="es-CR"/>
        </w:rPr>
        <w:t xml:space="preserve"> espinal</w:t>
      </w:r>
      <w:r w:rsidR="00B32157">
        <w:rPr>
          <w:lang w:val="es-CR"/>
        </w:rPr>
        <w:t xml:space="preserve"> con el fin de disminuir aún más el riesgo de SCI.</w:t>
      </w:r>
    </w:p>
    <w:p w14:paraId="01F21CF8" w14:textId="0A1A597B" w:rsidR="001D18BC" w:rsidRPr="003A1CA0" w:rsidRDefault="001D18BC" w:rsidP="00EA2516">
      <w:pPr>
        <w:pStyle w:val="Heading3"/>
        <w:spacing w:before="0"/>
        <w:rPr>
          <w:lang w:val="es-CR"/>
        </w:rPr>
      </w:pPr>
      <w:bookmarkStart w:id="34" w:name="_Toc47027842"/>
      <w:r w:rsidRPr="003A1CA0">
        <w:rPr>
          <w:lang w:val="es-CR"/>
        </w:rPr>
        <w:lastRenderedPageBreak/>
        <w:t>Valoración preoperatoria</w:t>
      </w:r>
      <w:bookmarkEnd w:id="34"/>
    </w:p>
    <w:p w14:paraId="0AE94DB4" w14:textId="73C965D7" w:rsidR="001D18BC" w:rsidRPr="003A1CA0" w:rsidRDefault="00434975" w:rsidP="00EA2516">
      <w:pPr>
        <w:spacing w:after="0"/>
        <w:rPr>
          <w:lang w:val="es-CR"/>
        </w:rPr>
      </w:pPr>
      <w:r w:rsidRPr="003A1CA0">
        <w:rPr>
          <w:lang w:val="es-CR"/>
        </w:rPr>
        <w:t>Evaluación del paciente multidisciplinario</w:t>
      </w:r>
      <w:r w:rsidR="00FC49C0">
        <w:rPr>
          <w:lang w:val="es-CR"/>
        </w:rPr>
        <w:t xml:space="preserve"> </w:t>
      </w:r>
      <w:r w:rsidR="009573A0" w:rsidRPr="003A1CA0">
        <w:rPr>
          <w:lang w:val="es-CR"/>
        </w:rPr>
        <w:fldChar w:fldCharType="begin" w:fldLock="1"/>
      </w:r>
      <w:r w:rsidR="00F01770">
        <w:rPr>
          <w:lang w:val="es-CR"/>
        </w:rPr>
        <w:instrText>ADDIN CSL_CITATION {"citationItems":[{"id":"ITEM-1","itemData":{"ISBN":"0000000000","author":[{"dropping-particle":"","family":"Vaquero","given":"Carlos","non-dropping-particle":"","parse-names":false,"suffix":""}],"edition":"1","editor":[{"dropping-particle":"","family":"Vaquero","given":"Carlos","non-dropping-particle":"","parse-names":false,"suffix":""}],"id":"ITEM-1","issued":{"date-parts":[["2006"]]},"publisher":"Guidant","publisher-place":"Valladolid, Spain","title":"Procedimientos Endovasculares","type":"book"},"uris":["http://www.mendeley.com/documents/?uuid=aad4e58f-5c65-48a9-b18b-7061b7b368c5"]}],"mendeley":{"formattedCitation":"(Vaquero, 2006)","plainTextFormattedCitation":"(Vaquero, 2006)","previouslyFormattedCitation":"(Vaquero, 2006)"},"properties":{"noteIndex":0},"schema":"https://github.com/citation-style-language/schema/raw/master/csl-citation.json"}</w:instrText>
      </w:r>
      <w:r w:rsidR="009573A0" w:rsidRPr="003A1CA0">
        <w:rPr>
          <w:lang w:val="es-CR"/>
        </w:rPr>
        <w:fldChar w:fldCharType="separate"/>
      </w:r>
      <w:r w:rsidR="00FA7019" w:rsidRPr="00FA7019">
        <w:rPr>
          <w:noProof/>
          <w:lang w:val="es-CR"/>
        </w:rPr>
        <w:t>(Vaquero, 2006)</w:t>
      </w:r>
      <w:r w:rsidR="009573A0" w:rsidRPr="003A1CA0">
        <w:rPr>
          <w:lang w:val="es-CR"/>
        </w:rPr>
        <w:fldChar w:fldCharType="end"/>
      </w:r>
      <w:r w:rsidRPr="003A1CA0">
        <w:rPr>
          <w:lang w:val="es-CR"/>
        </w:rPr>
        <w:t xml:space="preserve">: </w:t>
      </w:r>
    </w:p>
    <w:p w14:paraId="751B572C" w14:textId="77777777" w:rsidR="00434975" w:rsidRPr="003A1CA0" w:rsidRDefault="00434975" w:rsidP="007B0B9B">
      <w:pPr>
        <w:pStyle w:val="ListParagraph"/>
        <w:numPr>
          <w:ilvl w:val="0"/>
          <w:numId w:val="7"/>
        </w:numPr>
        <w:rPr>
          <w:lang w:val="es-CR"/>
        </w:rPr>
      </w:pPr>
      <w:r w:rsidRPr="003A1CA0">
        <w:rPr>
          <w:lang w:val="es-CR"/>
        </w:rPr>
        <w:t xml:space="preserve">Historia clínica y examen físico </w:t>
      </w:r>
    </w:p>
    <w:p w14:paraId="1A51EE97" w14:textId="6EED58F2" w:rsidR="00434975" w:rsidRPr="003A1CA0" w:rsidRDefault="00434975" w:rsidP="007B0B9B">
      <w:pPr>
        <w:pStyle w:val="ListParagraph"/>
        <w:numPr>
          <w:ilvl w:val="1"/>
          <w:numId w:val="7"/>
        </w:numPr>
        <w:rPr>
          <w:lang w:val="es-CR"/>
        </w:rPr>
      </w:pPr>
      <w:r w:rsidRPr="003A1CA0">
        <w:rPr>
          <w:lang w:val="es-CR"/>
        </w:rPr>
        <w:t>Evaluación de factores de riesgo</w:t>
      </w:r>
      <w:r w:rsidR="00D07AEB" w:rsidRPr="003A1CA0">
        <w:rPr>
          <w:lang w:val="es-CR"/>
        </w:rPr>
        <w:t xml:space="preserve"> y comorbilidades</w:t>
      </w:r>
    </w:p>
    <w:p w14:paraId="6630F7D6" w14:textId="18F3E69A" w:rsidR="00434975" w:rsidRPr="003A1CA0" w:rsidRDefault="00434975" w:rsidP="007B0B9B">
      <w:pPr>
        <w:pStyle w:val="ListParagraph"/>
        <w:numPr>
          <w:ilvl w:val="1"/>
          <w:numId w:val="7"/>
        </w:numPr>
        <w:rPr>
          <w:lang w:val="es-CR"/>
        </w:rPr>
      </w:pPr>
      <w:r w:rsidRPr="003A1CA0">
        <w:rPr>
          <w:lang w:val="es-CR"/>
        </w:rPr>
        <w:t>Estratificar Riesgo de SCI</w:t>
      </w:r>
    </w:p>
    <w:p w14:paraId="03A37842" w14:textId="799AC8DD" w:rsidR="00434975" w:rsidRPr="003A1CA0" w:rsidRDefault="00434975" w:rsidP="007B0B9B">
      <w:pPr>
        <w:pStyle w:val="ListParagraph"/>
        <w:numPr>
          <w:ilvl w:val="0"/>
          <w:numId w:val="7"/>
        </w:numPr>
        <w:rPr>
          <w:lang w:val="es-CR"/>
        </w:rPr>
      </w:pPr>
      <w:r w:rsidRPr="003A1CA0">
        <w:rPr>
          <w:lang w:val="es-CR"/>
        </w:rPr>
        <w:t>Estudios de laboratorio:</w:t>
      </w:r>
    </w:p>
    <w:p w14:paraId="4218BF25" w14:textId="06879899" w:rsidR="00434975" w:rsidRPr="003A1CA0" w:rsidRDefault="00434975" w:rsidP="007B0B9B">
      <w:pPr>
        <w:pStyle w:val="ListParagraph"/>
        <w:numPr>
          <w:ilvl w:val="1"/>
          <w:numId w:val="7"/>
        </w:numPr>
        <w:rPr>
          <w:lang w:val="es-CR"/>
        </w:rPr>
      </w:pPr>
      <w:r w:rsidRPr="003A1CA0">
        <w:rPr>
          <w:lang w:val="es-CR"/>
        </w:rPr>
        <w:t>Hemograma completo</w:t>
      </w:r>
    </w:p>
    <w:p w14:paraId="1AF5E80C" w14:textId="0DF5A6EF" w:rsidR="00434975" w:rsidRPr="003A1CA0" w:rsidRDefault="00434975" w:rsidP="007B0B9B">
      <w:pPr>
        <w:pStyle w:val="ListParagraph"/>
        <w:numPr>
          <w:ilvl w:val="1"/>
          <w:numId w:val="7"/>
        </w:numPr>
        <w:rPr>
          <w:lang w:val="es-CR"/>
        </w:rPr>
      </w:pPr>
      <w:r w:rsidRPr="003A1CA0">
        <w:rPr>
          <w:lang w:val="es-CR"/>
        </w:rPr>
        <w:t>Pruebas de función renal</w:t>
      </w:r>
    </w:p>
    <w:p w14:paraId="2411E449" w14:textId="4AB49E4B" w:rsidR="00434975" w:rsidRPr="003A1CA0" w:rsidRDefault="00434975" w:rsidP="007B0B9B">
      <w:pPr>
        <w:pStyle w:val="ListParagraph"/>
        <w:numPr>
          <w:ilvl w:val="1"/>
          <w:numId w:val="7"/>
        </w:numPr>
        <w:rPr>
          <w:lang w:val="es-CR"/>
        </w:rPr>
      </w:pPr>
      <w:r w:rsidRPr="003A1CA0">
        <w:rPr>
          <w:lang w:val="es-CR"/>
        </w:rPr>
        <w:t>Tiempos de coagulación</w:t>
      </w:r>
    </w:p>
    <w:p w14:paraId="0E2973B9" w14:textId="696FAC70" w:rsidR="00434975" w:rsidRPr="003A1CA0" w:rsidRDefault="00434975" w:rsidP="007B0B9B">
      <w:pPr>
        <w:pStyle w:val="ListParagraph"/>
        <w:numPr>
          <w:ilvl w:val="1"/>
          <w:numId w:val="7"/>
        </w:numPr>
        <w:rPr>
          <w:lang w:val="es-CR"/>
        </w:rPr>
      </w:pPr>
      <w:r w:rsidRPr="003A1CA0">
        <w:rPr>
          <w:lang w:val="es-CR"/>
        </w:rPr>
        <w:t>Perfil lipídico</w:t>
      </w:r>
    </w:p>
    <w:p w14:paraId="02F2118F" w14:textId="57F21F0E" w:rsidR="00434975" w:rsidRPr="003A1CA0" w:rsidRDefault="00434975" w:rsidP="007B0B9B">
      <w:pPr>
        <w:pStyle w:val="ListParagraph"/>
        <w:numPr>
          <w:ilvl w:val="0"/>
          <w:numId w:val="7"/>
        </w:numPr>
        <w:rPr>
          <w:lang w:val="es-CR"/>
        </w:rPr>
      </w:pPr>
      <w:r w:rsidRPr="003A1CA0">
        <w:rPr>
          <w:lang w:val="es-CR"/>
        </w:rPr>
        <w:t>Estudios de Imagen</w:t>
      </w:r>
    </w:p>
    <w:p w14:paraId="0094C0AA" w14:textId="3175A250" w:rsidR="00434975" w:rsidRPr="003A1CA0" w:rsidRDefault="00434975" w:rsidP="007B0B9B">
      <w:pPr>
        <w:pStyle w:val="ListParagraph"/>
        <w:numPr>
          <w:ilvl w:val="1"/>
          <w:numId w:val="7"/>
        </w:numPr>
        <w:rPr>
          <w:lang w:val="es-CR"/>
        </w:rPr>
      </w:pPr>
      <w:r w:rsidRPr="003A1CA0">
        <w:rPr>
          <w:lang w:val="es-CR"/>
        </w:rPr>
        <w:t>Angiotac</w:t>
      </w:r>
      <w:r w:rsidR="00EA2516" w:rsidRPr="003A1CA0">
        <w:rPr>
          <w:lang w:val="es-CR"/>
        </w:rPr>
        <w:t xml:space="preserve"> o </w:t>
      </w:r>
      <w:r w:rsidRPr="003A1CA0">
        <w:rPr>
          <w:lang w:val="es-CR"/>
        </w:rPr>
        <w:t>Angio</w:t>
      </w:r>
      <w:r w:rsidR="008C7712">
        <w:rPr>
          <w:lang w:val="es-CR"/>
        </w:rPr>
        <w:t>-R</w:t>
      </w:r>
      <w:r w:rsidRPr="003A1CA0">
        <w:rPr>
          <w:lang w:val="es-CR"/>
        </w:rPr>
        <w:t>esonancia</w:t>
      </w:r>
    </w:p>
    <w:p w14:paraId="39786F7D" w14:textId="4EDB771F" w:rsidR="00E84E01" w:rsidRPr="003A1CA0" w:rsidRDefault="00E84E01" w:rsidP="007B0B9B">
      <w:pPr>
        <w:pStyle w:val="ListParagraph"/>
        <w:numPr>
          <w:ilvl w:val="1"/>
          <w:numId w:val="7"/>
        </w:numPr>
        <w:rPr>
          <w:lang w:val="es-CR"/>
        </w:rPr>
      </w:pPr>
      <w:r w:rsidRPr="003A1CA0">
        <w:rPr>
          <w:lang w:val="es-CR"/>
        </w:rPr>
        <w:t xml:space="preserve">Identificación de arteria </w:t>
      </w:r>
      <w:r w:rsidR="00EA2516" w:rsidRPr="003A1CA0">
        <w:rPr>
          <w:lang w:val="es-CR"/>
        </w:rPr>
        <w:t>medular</w:t>
      </w:r>
      <w:r w:rsidRPr="003A1CA0">
        <w:rPr>
          <w:lang w:val="es-CR"/>
        </w:rPr>
        <w:t xml:space="preserve"> principal</w:t>
      </w:r>
      <w:r w:rsidR="00FC49C0">
        <w:rPr>
          <w:lang w:val="es-CR"/>
        </w:rPr>
        <w:t xml:space="preserve"> </w:t>
      </w:r>
      <w:r w:rsidRPr="003A1CA0">
        <w:rPr>
          <w:lang w:val="es-CR"/>
        </w:rPr>
        <w:fldChar w:fldCharType="begin" w:fldLock="1"/>
      </w:r>
      <w:r w:rsidR="001A1B73">
        <w:rPr>
          <w:lang w:val="es-CR"/>
        </w:rPr>
        <w:instrText>ADDIN CSL_CITATION {"citationItems":[{"id":"ITEM-1","itemData":{"DOI":"10.3978/j.issn.2225-319X.2014.04.03","ISSN":"2225-319X","author":[{"dropping-particle":"","family":"Riambau","given":"Vincent","non-dropping-particle":"","parse-names":false,"suffix":""},{"dropping-particle":"","family":"Capoccia","given":"Laura","non-dropping-particle":"","parse-names":false,"suffix":""},{"dropping-particle":"","family":"Mestres","given":"Gaspar","non-dropping-particle":"","parse-names":false,"suffix":""},{"dropping-particle":"","family":"Matute","given":"Purificiacion","non-dropping-particle":"","parse-names":false,"suffix":""}],"container-title":"Annals of cardiothoracic surgery","id":"ITEM-1","issue":"3","issued":{"date-parts":[["2014"]]},"page":"336-338","title":"Spinal cord protection and related complications in endovascular management of B dissection: LSA revascularization and CSF drainage.","type":"article-journal","volume":"3"},"uris":["http://www.mendeley.com/documents/?uuid=0279efb0-2832-45d8-84ba-41cafd76748d"]}],"mendeley":{"formattedCitation":"(Riambau et al., 2014)","plainTextFormattedCitation":"(Riambau et al., 2014)","previouslyFormattedCitation":"(Riambau et al., 2014)"},"properties":{"noteIndex":0},"schema":"https://github.com/citation-style-language/schema/raw/master/csl-citation.json"}</w:instrText>
      </w:r>
      <w:r w:rsidRPr="003A1CA0">
        <w:rPr>
          <w:lang w:val="es-CR"/>
        </w:rPr>
        <w:fldChar w:fldCharType="separate"/>
      </w:r>
      <w:r w:rsidR="00FA7019" w:rsidRPr="00FA7019">
        <w:rPr>
          <w:noProof/>
          <w:lang w:val="es-CR"/>
        </w:rPr>
        <w:t>(Riambau et al., 2014)</w:t>
      </w:r>
      <w:r w:rsidRPr="003A1CA0">
        <w:rPr>
          <w:lang w:val="es-CR"/>
        </w:rPr>
        <w:fldChar w:fldCharType="end"/>
      </w:r>
    </w:p>
    <w:p w14:paraId="037C1815" w14:textId="5475D2D3" w:rsidR="00434975" w:rsidRPr="003A1CA0" w:rsidRDefault="00434975" w:rsidP="007B0B9B">
      <w:pPr>
        <w:pStyle w:val="ListParagraph"/>
        <w:numPr>
          <w:ilvl w:val="0"/>
          <w:numId w:val="7"/>
        </w:numPr>
        <w:rPr>
          <w:lang w:val="es-CR"/>
        </w:rPr>
      </w:pPr>
      <w:r w:rsidRPr="003A1CA0">
        <w:rPr>
          <w:lang w:val="es-CR"/>
        </w:rPr>
        <w:t>Valoración por especialistas</w:t>
      </w:r>
      <w:r w:rsidR="00FC49C0">
        <w:rPr>
          <w:lang w:val="es-CR"/>
        </w:rPr>
        <w:t xml:space="preserve"> </w:t>
      </w:r>
      <w:r w:rsidR="00D07AEB" w:rsidRPr="003A1CA0">
        <w:rPr>
          <w:lang w:val="es-CR"/>
        </w:rPr>
        <w:fldChar w:fldCharType="begin" w:fldLock="1"/>
      </w:r>
      <w:r w:rsidR="001A1B73">
        <w:rPr>
          <w:lang w:val="es-CR"/>
        </w:rPr>
        <w:instrText>ADDIN CSL_CITATION {"citationItems":[{"id":"ITEM-1","itemData":{"DOI":"10.1016/j.jvs.2017.10.044","ISSN":"10976809","PMID":"29268916","abstract":"Background Decision-making related to the care of patients with an abdominal aortic aneurysm (AAA) is complex. Aneurysms present with varying risks of rupture, and patient-specific factors influence anticipated life expectancy, operative risk, and need to intervene. Careful attention to the choice of operative strategy along with optimal treatment of medical comorbidities is critical to achieving excellent outcomes. Moreover, appropriate postoperative surveillance is necessary to minimize subsequent aneurysm-related death or morbidity. Methods The committee made specific practice recommendations using the Grading of Recommendations Assessment, Development, and Evaluation system. Three systematic reviews were conducted to support this guideline. Two focused on evaluating the best modalities and optimal frequency for surveillance after endovascular aneurysm repair (EVAR). A third focused on identifying the best available evidence on the diagnosis and management of AAA. Specific areas of focus included (1) general approach to the patient, (2) treatment of the patient with an AAA, (3) anesthetic considerations and perioperative management, (4) postoperative and long-term management, and (5) cost and economic considerations. Results Along with providing guidance regarding the management of patients throughout the continuum of care, we have revised a number of prior recommendations and addressed a number of new areas of significance. New guidelines are provided for the surveillance of patients with an AAA, including recommended surveillance imaging at 12-month intervals for patients with an AAA of 4.0 to 4.9 cm in diameter. We recommend endovascular repair as the preferred method of treatment for ruptured aneurysms. Incorporating knowledge gained through the Vascular Quality Initiative and other regional quality collaboratives, we suggest that the Vascular Quality Initiative mortality risk score be used for mutual decision-making with patients considering aneurysm repair. We also suggest that elective EVAR be limited to hospitals with a documented mortality and conversion rate to open surgical repair of 2% or less and that perform at least 10 EVAR cases each year. We also suggest that elective open aneurysm repair be limited to hospitals with a documented mortality of 5% or less and that perform at least 10 open aortic operations of any type each year. To encourage the development of effective systems of care that would lead to improved outcomes for those pat…","author":[{"dropping-particle":"","family":"Chaikof","given":"Elliot L.","non-dropping-particle":"","parse-names":false,"suffix":""},{"dropping-particle":"","family":"Dalman","given":"Ronald L.","non-dropping-particle":"","parse-names":false,"suffix":""},{"dropping-particle":"","family":"Eskandari","given":"Mark K.","non-dropping-particle":"","parse-names":false,"suffix":""},{"dropping-particle":"","family":"Jackson","given":"Benjamin M.","non-dropping-particle":"","parse-names":false,"suffix":""},{"dropping-particle":"","family":"Lee","given":"W. Anthony","non-dropping-particle":"","parse-names":false,"suffix":""},{"dropping-particle":"","family":"Mansour","given":"M. Ashraf","non-dropping-particle":"","parse-names":false,"suffix":""},{"dropping-particle":"","family":"Mastracci","given":"Tara M.","non-dropping-particle":"","parse-names":false,"suffix":""},{"dropping-particle":"","family":"Mell","given":"Matthew","non-dropping-particle":"","parse-names":false,"suffix":""},{"dropping-particle":"","family":"Murad","given":"M. Hassan","non-dropping-particle":"","parse-names":false,"suffix":""},{"dropping-particle":"","family":"Nguyen","given":"Louis L.","non-dropping-particle":"","parse-names":false,"suffix":""},{"dropping-particle":"","family":"Oderich","given":"Gustavo S.","non-dropping-particle":"","parse-names":false,"suffix":""},{"dropping-particle":"","family":"Patel","given":"Madhukar S.","non-dropping-particle":"","parse-names":false,"suffix":""},{"dropping-particle":"","family":"Schermerhorn","given":"Marc L.","non-dropping-particle":"","parse-names":false,"suffix":""},{"dropping-particle":"","family":"Starnes","given":"Benjamin W.","non-dropping-particle":"","parse-names":false,"suffix":""}],"container-title":"Journal of Vascular Surgery","id":"ITEM-1","issue":"1","issued":{"date-parts":[["2018"]]},"page":"2-77.e2","publisher":"Society for Vascular Surgery","title":"The Society for Vascular Surgery practice guidelines on the care of patients with an abdominal aortic aneurysm","type":"article-journal","volume":"67"},"uris":["http://www.mendeley.com/documents/?uuid=30696adc-4f78-4f19-af6f-5fac8d7082b3"]}],"mendeley":{"formattedCitation":"(Chaikof et al., 2018)","plainTextFormattedCitation":"(Chaikof et al., 2018)","previouslyFormattedCitation":"(Chaikof et al., 2018)"},"properties":{"noteIndex":0},"schema":"https://github.com/citation-style-language/schema/raw/master/csl-citation.json"}</w:instrText>
      </w:r>
      <w:r w:rsidR="00D07AEB" w:rsidRPr="003A1CA0">
        <w:rPr>
          <w:lang w:val="es-CR"/>
        </w:rPr>
        <w:fldChar w:fldCharType="separate"/>
      </w:r>
      <w:r w:rsidR="00FA7019" w:rsidRPr="00FA7019">
        <w:rPr>
          <w:noProof/>
          <w:lang w:val="es-CR"/>
        </w:rPr>
        <w:t>(Chaikof et al., 2018)</w:t>
      </w:r>
      <w:r w:rsidR="00D07AEB" w:rsidRPr="003A1CA0">
        <w:rPr>
          <w:lang w:val="es-CR"/>
        </w:rPr>
        <w:fldChar w:fldCharType="end"/>
      </w:r>
    </w:p>
    <w:p w14:paraId="79BE8BF1" w14:textId="79124FA4" w:rsidR="00434975" w:rsidRPr="003A1CA0" w:rsidRDefault="00434975" w:rsidP="007B0B9B">
      <w:pPr>
        <w:pStyle w:val="ListParagraph"/>
        <w:numPr>
          <w:ilvl w:val="1"/>
          <w:numId w:val="7"/>
        </w:numPr>
        <w:rPr>
          <w:lang w:val="es-CR"/>
        </w:rPr>
      </w:pPr>
      <w:r w:rsidRPr="003A1CA0">
        <w:rPr>
          <w:lang w:val="es-CR"/>
        </w:rPr>
        <w:t>Cardiología, solo si tiene antecedentes de enfermedad cardiovascular</w:t>
      </w:r>
    </w:p>
    <w:p w14:paraId="4E864535" w14:textId="4CA2EA04" w:rsidR="00434975" w:rsidRPr="003A1CA0" w:rsidRDefault="00434975" w:rsidP="007B0B9B">
      <w:pPr>
        <w:pStyle w:val="ListParagraph"/>
        <w:numPr>
          <w:ilvl w:val="1"/>
          <w:numId w:val="7"/>
        </w:numPr>
        <w:rPr>
          <w:lang w:val="es-CR"/>
        </w:rPr>
      </w:pPr>
      <w:r w:rsidRPr="003A1CA0">
        <w:rPr>
          <w:lang w:val="es-CR"/>
        </w:rPr>
        <w:t>Anestesiología</w:t>
      </w:r>
    </w:p>
    <w:p w14:paraId="20F876DE" w14:textId="725F4756" w:rsidR="00434975" w:rsidRPr="003A1CA0" w:rsidRDefault="00434975" w:rsidP="007B0B9B">
      <w:pPr>
        <w:pStyle w:val="ListParagraph"/>
        <w:numPr>
          <w:ilvl w:val="0"/>
          <w:numId w:val="7"/>
        </w:numPr>
        <w:rPr>
          <w:lang w:val="es-CR"/>
        </w:rPr>
      </w:pPr>
      <w:r w:rsidRPr="003A1CA0">
        <w:rPr>
          <w:lang w:val="es-CR"/>
        </w:rPr>
        <w:t>Educación al paciente</w:t>
      </w:r>
    </w:p>
    <w:p w14:paraId="720E187E" w14:textId="64021E51" w:rsidR="00D22AD1" w:rsidRPr="003A1CA0" w:rsidRDefault="00D22AD1" w:rsidP="007B0B9B">
      <w:pPr>
        <w:pStyle w:val="ListParagraph"/>
        <w:numPr>
          <w:ilvl w:val="1"/>
          <w:numId w:val="7"/>
        </w:numPr>
        <w:rPr>
          <w:lang w:val="es-CR"/>
        </w:rPr>
      </w:pPr>
      <w:r w:rsidRPr="003A1CA0">
        <w:rPr>
          <w:lang w:val="es-CR"/>
        </w:rPr>
        <w:t>Cesación de fumado</w:t>
      </w:r>
    </w:p>
    <w:p w14:paraId="4051EE5B" w14:textId="51A9BA9C" w:rsidR="007D5A56" w:rsidRPr="003A1CA0" w:rsidRDefault="007D5A56" w:rsidP="007B0B9B">
      <w:pPr>
        <w:pStyle w:val="ListParagraph"/>
        <w:numPr>
          <w:ilvl w:val="1"/>
          <w:numId w:val="7"/>
        </w:numPr>
        <w:rPr>
          <w:lang w:val="es-CR"/>
        </w:rPr>
      </w:pPr>
      <w:r w:rsidRPr="003A1CA0">
        <w:rPr>
          <w:lang w:val="es-CR"/>
        </w:rPr>
        <w:t>Ejercicio</w:t>
      </w:r>
    </w:p>
    <w:p w14:paraId="089DC58B" w14:textId="29D7A457" w:rsidR="00D22AD1" w:rsidRPr="003A1CA0" w:rsidRDefault="00D22AD1" w:rsidP="007B0B9B">
      <w:pPr>
        <w:pStyle w:val="ListParagraph"/>
        <w:numPr>
          <w:ilvl w:val="1"/>
          <w:numId w:val="7"/>
        </w:numPr>
        <w:rPr>
          <w:lang w:val="es-CR"/>
        </w:rPr>
      </w:pPr>
      <w:r w:rsidRPr="003A1CA0">
        <w:rPr>
          <w:lang w:val="es-CR"/>
        </w:rPr>
        <w:t>Uso adecuado de medicamentos</w:t>
      </w:r>
    </w:p>
    <w:p w14:paraId="4C40ABE6" w14:textId="514F61C2" w:rsidR="00434975" w:rsidRPr="003A1CA0" w:rsidRDefault="00434975" w:rsidP="007B0B9B">
      <w:pPr>
        <w:pStyle w:val="ListParagraph"/>
        <w:numPr>
          <w:ilvl w:val="1"/>
          <w:numId w:val="7"/>
        </w:numPr>
        <w:rPr>
          <w:lang w:val="es-CR"/>
        </w:rPr>
      </w:pPr>
      <w:r w:rsidRPr="003A1CA0">
        <w:rPr>
          <w:lang w:val="es-CR"/>
        </w:rPr>
        <w:t xml:space="preserve">Expectativas y riesgos </w:t>
      </w:r>
      <w:r w:rsidR="00D22AD1" w:rsidRPr="003A1CA0">
        <w:rPr>
          <w:lang w:val="es-CR"/>
        </w:rPr>
        <w:t>quirúrgicos</w:t>
      </w:r>
    </w:p>
    <w:p w14:paraId="44B3AFAB" w14:textId="7D3B5392" w:rsidR="00434975" w:rsidRPr="003A1CA0" w:rsidRDefault="00434975" w:rsidP="007B0B9B">
      <w:pPr>
        <w:pStyle w:val="ListParagraph"/>
        <w:numPr>
          <w:ilvl w:val="1"/>
          <w:numId w:val="7"/>
        </w:numPr>
        <w:rPr>
          <w:lang w:val="es-CR"/>
        </w:rPr>
      </w:pPr>
      <w:r w:rsidRPr="003A1CA0">
        <w:rPr>
          <w:lang w:val="es-CR"/>
        </w:rPr>
        <w:t>Complicaciones</w:t>
      </w:r>
    </w:p>
    <w:p w14:paraId="68020667" w14:textId="35BC3775" w:rsidR="00434975" w:rsidRPr="003A1CA0" w:rsidRDefault="00434975" w:rsidP="007B0B9B">
      <w:pPr>
        <w:pStyle w:val="ListParagraph"/>
        <w:numPr>
          <w:ilvl w:val="1"/>
          <w:numId w:val="7"/>
        </w:numPr>
        <w:rPr>
          <w:lang w:val="es-CR"/>
        </w:rPr>
      </w:pPr>
      <w:r w:rsidRPr="003A1CA0">
        <w:rPr>
          <w:lang w:val="es-CR"/>
        </w:rPr>
        <w:t>Sobrevida a 5 años</w:t>
      </w:r>
    </w:p>
    <w:p w14:paraId="51C70DEA" w14:textId="69585FEB" w:rsidR="007C5CD1" w:rsidRPr="003A1CA0" w:rsidRDefault="007C5CD1" w:rsidP="00C60E12">
      <w:pPr>
        <w:pStyle w:val="Heading3"/>
        <w:rPr>
          <w:lang w:val="es-CR"/>
        </w:rPr>
      </w:pPr>
      <w:bookmarkStart w:id="35" w:name="_Toc47027843"/>
      <w:r w:rsidRPr="003A1CA0">
        <w:rPr>
          <w:lang w:val="es-CR"/>
        </w:rPr>
        <w:lastRenderedPageBreak/>
        <w:t>Manejo Presión Arterial</w:t>
      </w:r>
      <w:bookmarkEnd w:id="35"/>
    </w:p>
    <w:p w14:paraId="4EFDCAA9" w14:textId="2A2910BE" w:rsidR="007C5CD1" w:rsidRPr="003A1CA0" w:rsidRDefault="00EB7AE7" w:rsidP="007C5CD1">
      <w:pPr>
        <w:rPr>
          <w:lang w:val="es-CR"/>
        </w:rPr>
      </w:pPr>
      <w:r w:rsidRPr="003A1CA0">
        <w:rPr>
          <w:lang w:val="es-CR"/>
        </w:rPr>
        <w:t>S</w:t>
      </w:r>
      <w:r w:rsidR="00E6221C" w:rsidRPr="003A1CA0">
        <w:rPr>
          <w:lang w:val="es-CR"/>
        </w:rPr>
        <w:t>uspensión</w:t>
      </w:r>
      <w:r w:rsidR="007C5CD1" w:rsidRPr="003A1CA0">
        <w:rPr>
          <w:lang w:val="es-CR"/>
        </w:rPr>
        <w:t xml:space="preserve"> de bloqueadores de canales de calcio </w:t>
      </w:r>
      <w:r w:rsidRPr="003A1CA0">
        <w:rPr>
          <w:lang w:val="es-CR"/>
        </w:rPr>
        <w:t xml:space="preserve">e </w:t>
      </w:r>
      <w:r w:rsidR="00EA2516" w:rsidRPr="003A1CA0">
        <w:rPr>
          <w:lang w:val="es-CR"/>
        </w:rPr>
        <w:t>inhibidores</w:t>
      </w:r>
      <w:r w:rsidRPr="003A1CA0">
        <w:rPr>
          <w:lang w:val="es-CR"/>
        </w:rPr>
        <w:t xml:space="preserve"> de la enzima convertidora de angiotensina (IECAs)</w:t>
      </w:r>
      <w:r w:rsidR="007C5CD1" w:rsidRPr="003A1CA0">
        <w:rPr>
          <w:lang w:val="es-CR"/>
        </w:rPr>
        <w:t xml:space="preserve"> 4-6 semanas previo al procedimiento exceptuando pacientes con PAS &gt;160mmHg. </w:t>
      </w:r>
    </w:p>
    <w:p w14:paraId="54CE3039" w14:textId="4892A85E" w:rsidR="00615D0F" w:rsidRPr="003A1CA0" w:rsidRDefault="00615D0F" w:rsidP="00615D0F">
      <w:pPr>
        <w:pStyle w:val="Heading3"/>
        <w:rPr>
          <w:lang w:val="es-CR"/>
        </w:rPr>
      </w:pPr>
      <w:bookmarkStart w:id="36" w:name="_Toc47027844"/>
      <w:r w:rsidRPr="003A1CA0">
        <w:rPr>
          <w:lang w:val="es-CR"/>
        </w:rPr>
        <w:t>Tratamiento farmacológico</w:t>
      </w:r>
      <w:bookmarkEnd w:id="36"/>
    </w:p>
    <w:p w14:paraId="2C91470A" w14:textId="49D9C669" w:rsidR="00615D0F" w:rsidRPr="003A1CA0" w:rsidRDefault="00615D0F" w:rsidP="007B0B9B">
      <w:pPr>
        <w:pStyle w:val="ListParagraph"/>
        <w:numPr>
          <w:ilvl w:val="0"/>
          <w:numId w:val="8"/>
        </w:numPr>
        <w:rPr>
          <w:lang w:val="es-CR"/>
        </w:rPr>
      </w:pPr>
      <w:r w:rsidRPr="003A1CA0">
        <w:rPr>
          <w:lang w:val="es-CR"/>
        </w:rPr>
        <w:t xml:space="preserve">Inicio preoperatorio de </w:t>
      </w:r>
      <w:r w:rsidR="00EA2516" w:rsidRPr="003A1CA0">
        <w:rPr>
          <w:lang w:val="es-CR"/>
        </w:rPr>
        <w:t>infusión</w:t>
      </w:r>
      <w:r w:rsidRPr="003A1CA0">
        <w:rPr>
          <w:lang w:val="es-CR"/>
        </w:rPr>
        <w:t xml:space="preserve"> de naloxona 1</w:t>
      </w:r>
      <w:r w:rsidRPr="003A1CA0">
        <w:rPr>
          <w:rFonts w:cs="Arial"/>
          <w:lang w:val="es-CR"/>
        </w:rPr>
        <w:t>µ</w:t>
      </w:r>
      <w:r w:rsidRPr="003A1CA0">
        <w:rPr>
          <w:lang w:val="es-CR"/>
        </w:rPr>
        <w:t>g/kg/hr.</w:t>
      </w:r>
      <w:r w:rsidR="00083574">
        <w:rPr>
          <w:lang w:val="es-CR"/>
        </w:rPr>
        <w:fldChar w:fldCharType="begin" w:fldLock="1"/>
      </w:r>
      <w:r w:rsidR="00083574">
        <w:rPr>
          <w:lang w:val="es-CR"/>
        </w:rPr>
        <w:instrText>ADDIN CSL_CITATION {"citationItems":[{"id":"ITEM-1","itemData":{"DOI":"10.1016/j.jvs.2015.12.062","ISSN":"10976809","abstract":"Objective Transient and permanent paraparesis and paraplegia (spinal cord injury [SCI]) are reported in up to 13% of patients undergoing thoracic endovascular aortic repair (TEVAR) for descending thoracic aortic aneurysm, thoracoabdominal aortic aneurysm, and thoracic aortic dissection. We hypothesize that aggressive intraoperative and postoperative neuroprotective interventions prevent or significantly reduce all SCI in TEVAR. Methods Using a prospectively maintained, Institutional Review Board-approved database, we retrospectively reviewed all TEVARs performed in a university tertiary referral center from 2005 to 2014 to study the incidence of all transient and permanent lower extremity SCI. Only TEVARs for traumatic aortic tear were excluded. Arch debranching and carotid subclavian bypass were performed before TEVAR in patients with arch involvement. All patients had moderate systemic hypothermia (34°C), mean arterial pressure ≥90 mm Hg, and hemoglobin ≥10 g/dL. Patients received mannitol (12.5 g), methylprednisolone (30 mg/kg), and naloxone (1 μg/kg/h). Patients in whom &gt;12 cm of aortic coverage was planned had spinal fluid drained to a pressure of &lt;8 mm Hg intraoperatively and postoperatively until normal leg strength was confirmed. The main outcome measure was transient or permanent SCI. Results One hundred fifty-five patients had TEVAR between 2005 and 2014. Mean age was 74 years, and 56.1% were male. Descending thoracic aortic aneurysm was present in 91.6%, thoracoabdominal aortic aneurysm in 8.4%, and dissection in 28.8%. Presentation was acute in 42.5%. The procedure included carotid-subclavian bypass in 18.7% of patients. Seventy-two percent of patients had spinal fluid drainage. Mean aortic coverage was 25 cm. Eighty-one percent of patients had &gt;12 cm aortic coverage, and 49% had complete coverage of the thoracic aorta (coverage from subclavian to celiac artery). In-hospital mortality was 1.94%. Stroke occurred in 1.32% of patients. No patient had renal failure. SCI occurred in 0.65% (1 of 154) of patients. Conclusions SCI in TEVAR can be significantly reduced by using proactive intraoperative and postoperative neuroprotective interventions that prolong spinal cord ischemic tolerance and increase spinal cord perfusion and oxygen delivery.","author":[{"dropping-particle":"","family":"Acher","given":"Charles W.","non-dropping-particle":"","parse-names":false,"suffix":""},{"dropping-particle":"","family":"Acher","given":"Charles W.","non-dropping-particle":"","parse-names":false,"suffix":""},{"dropping-particle":"","family":"Marks","given":"Erich","non-dropping-particle":"","parse-names":false,"suffix":""},{"dropping-particle":"","family":"Wynn","given":"Martha","non-dropping-particle":"","parse-names":false,"suffix":""}],"container-title":"Journal of Vascular Surgery","id":"ITEM-1","issue":"6","issued":{"date-parts":[["2016"]]},"page":"1458-1465","publisher":"Society for Vascular Surgery","title":"Intraoperative neuroprotective interventions prevent spinal cord ischemia and injury in thoracic endovascular aortic repair","type":"article-journal","volume":"63"},"uris":["http://www.mendeley.com/documents/?uuid=04a935de-f654-49cd-b304-0cf3f8acc927"]}],"mendeley":{"formattedCitation":"(Acher et al., 2016)","plainTextFormattedCitation":"(Acher et al., 2016)","previouslyFormattedCitation":"(Acher et al., 2016)"},"properties":{"noteIndex":0},"schema":"https://github.com/citation-style-language/schema/raw/master/csl-citation.json"}</w:instrText>
      </w:r>
      <w:r w:rsidR="00083574">
        <w:rPr>
          <w:lang w:val="es-CR"/>
        </w:rPr>
        <w:fldChar w:fldCharType="separate"/>
      </w:r>
      <w:r w:rsidR="00083574" w:rsidRPr="00083574">
        <w:rPr>
          <w:noProof/>
          <w:lang w:val="es-CR"/>
        </w:rPr>
        <w:t>(Acher et al., 2016)</w:t>
      </w:r>
      <w:r w:rsidR="00083574">
        <w:rPr>
          <w:lang w:val="es-CR"/>
        </w:rPr>
        <w:fldChar w:fldCharType="end"/>
      </w:r>
    </w:p>
    <w:p w14:paraId="35927B8E" w14:textId="5A81F231" w:rsidR="00615D0F" w:rsidRPr="003A1CA0" w:rsidRDefault="00615D0F" w:rsidP="007B0B9B">
      <w:pPr>
        <w:pStyle w:val="ListParagraph"/>
        <w:numPr>
          <w:ilvl w:val="0"/>
          <w:numId w:val="8"/>
        </w:numPr>
        <w:rPr>
          <w:lang w:val="es-CR"/>
        </w:rPr>
      </w:pPr>
      <w:r w:rsidRPr="003A1CA0">
        <w:rPr>
          <w:lang w:val="es-CR"/>
        </w:rPr>
        <w:t xml:space="preserve">Posterior a la inducción con naloxona iniciar metilprednisolona a 30mg/kg dosis </w:t>
      </w:r>
      <w:r w:rsidR="00EA2516" w:rsidRPr="003A1CA0">
        <w:rPr>
          <w:lang w:val="es-CR"/>
        </w:rPr>
        <w:t>única</w:t>
      </w:r>
      <w:r w:rsidR="003C51C0" w:rsidRPr="003A1CA0">
        <w:rPr>
          <w:lang w:val="es-CR"/>
        </w:rPr>
        <w:t>.</w:t>
      </w:r>
    </w:p>
    <w:p w14:paraId="67427A1A" w14:textId="35AF6586" w:rsidR="00615D0F" w:rsidRPr="003A1CA0" w:rsidRDefault="00615D0F" w:rsidP="007B0B9B">
      <w:pPr>
        <w:pStyle w:val="ListParagraph"/>
        <w:numPr>
          <w:ilvl w:val="0"/>
          <w:numId w:val="8"/>
        </w:numPr>
        <w:rPr>
          <w:lang w:val="es-CR"/>
        </w:rPr>
      </w:pPr>
      <w:r w:rsidRPr="003A1CA0">
        <w:rPr>
          <w:lang w:val="es-CR"/>
        </w:rPr>
        <w:t>Manitol 12.5g</w:t>
      </w:r>
      <w:r w:rsidR="00083574">
        <w:rPr>
          <w:lang w:val="es-CR"/>
        </w:rPr>
        <w:t xml:space="preserve"> (0.25 g/kg a 1 g/kg)</w:t>
      </w:r>
      <w:r w:rsidRPr="003A1CA0">
        <w:rPr>
          <w:lang w:val="es-CR"/>
        </w:rPr>
        <w:t xml:space="preserve"> pre</w:t>
      </w:r>
      <w:r w:rsidR="00EA2516" w:rsidRPr="003A1CA0">
        <w:rPr>
          <w:lang w:val="es-CR"/>
        </w:rPr>
        <w:t>-</w:t>
      </w:r>
      <w:r w:rsidRPr="003A1CA0">
        <w:rPr>
          <w:lang w:val="es-CR"/>
        </w:rPr>
        <w:t xml:space="preserve">colocación de </w:t>
      </w:r>
      <w:r w:rsidR="00B32157">
        <w:rPr>
          <w:lang w:val="es-CR"/>
        </w:rPr>
        <w:t>pr</w:t>
      </w:r>
      <w:r w:rsidR="00341851">
        <w:rPr>
          <w:lang w:val="es-CR"/>
        </w:rPr>
        <w:t>ó</w:t>
      </w:r>
      <w:r w:rsidR="00B32157">
        <w:rPr>
          <w:lang w:val="es-CR"/>
        </w:rPr>
        <w:t>tesis</w:t>
      </w:r>
      <w:r w:rsidRPr="003A1CA0">
        <w:rPr>
          <w:lang w:val="es-CR"/>
        </w:rPr>
        <w:t xml:space="preserve"> y posterior a la colocación </w:t>
      </w:r>
      <w:r w:rsidR="00EA2516" w:rsidRPr="003A1CA0">
        <w:rPr>
          <w:lang w:val="es-CR"/>
        </w:rPr>
        <w:t>de este</w:t>
      </w:r>
      <w:r w:rsidRPr="003A1CA0">
        <w:rPr>
          <w:lang w:val="es-CR"/>
        </w:rPr>
        <w:t>.</w:t>
      </w:r>
      <w:r w:rsidR="00083574">
        <w:rPr>
          <w:lang w:val="es-CR"/>
        </w:rPr>
        <w:t xml:space="preserve"> </w:t>
      </w:r>
      <w:r w:rsidR="00083574">
        <w:rPr>
          <w:lang w:val="es-CR"/>
        </w:rPr>
        <w:fldChar w:fldCharType="begin" w:fldLock="1"/>
      </w:r>
      <w:r w:rsidR="00083574">
        <w:rPr>
          <w:lang w:val="es-CR"/>
        </w:rPr>
        <w:instrText>ADDIN CSL_CITATION {"citationItems":[{"id":"ITEM-1","itemData":{"DOI":"10.1161/CIR.0b013e3181d4739e","ISSN":"15244539","author":[{"dropping-particle":"","family":"Hiratzka","given":"Loren F.","non-dropping-particle":"","parse-names":false,"suffix":""},{"dropping-particle":"","family":"Bakris","given":"George L.","non-dropping-particle":"","parse-names":false,"suffix":""},{"dropping-particle":"","family":"Beckman","given":"Joshua A.","non-dropping-particle":"","parse-names":false,"suffix":""},{"dropping-particle":"","family":"Bersin","given":"Robert M.","non-dropping-particle":"","parse-names":false,"suffix":""},{"dropping-particle":"","family":"Carr","given":"Vincent F.","non-dropping-particle":"","parse-names":false,"suffix":""},{"dropping-particle":"","family":"Casey","given":"Donald E.","non-dropping-particle":"","parse-names":false,"suffix":""},{"dropping-particle":"","family":"Eagle","given":"Kim A.","non-dropping-particle":"","parse-names":false,"suffix":""},{"dropping-particle":"","family":"Hermann","given":"Luke K.","non-dropping-particle":"","parse-names":false,"suffix":""},{"dropping-particle":"","family":"Isselbacher","given":"Eric M.","non-dropping-particle":"","parse-names":false,"suffix":""},{"dropping-particle":"","family":"Kazerooni","given":"Ella A.","non-dropping-particle":"","parse-names":false,"suffix":""},{"dropping-particle":"","family":"Kouchoukos","given":"Nicholas T.","non-dropping-particle":"","parse-names":false,"suffix":""},{"dropping-particle":"","family":"Lytle","given":"Bruce W.","non-dropping-particle":"","parse-names":false,"suffix":""},{"dropping-particle":"","family":"Milewicz","given":"Dianna M.","non-dropping-particle":"","parse-names":false,"suffix":""},{"dropping-particle":"","family":"Reich","given":"David L.","non-dropping-particle":"","parse-names":false,"suffix":""},{"dropping-particle":"","family":"Sen","given":"Souvik","non-dropping-particle":"","parse-names":false,"suffix":""},{"dropping-particle":"","family":"Shinn","given":"Julie A.","non-dropping-particle":"","parse-names":false,"suffix":""},{"dropping-particle":"","family":"Svensson","given":"Lars G.","non-dropping-particle":"","parse-names":false,"suffix":""},{"dropping-particle":"","family":"Williams","given":"David M.","non-dropping-particle":"","parse-names":false,"suffix":""},{"dropping-particle":"","family":"Jacobs","given":"Alice K.","non-dropping-particle":"","parse-names":false,"suffix":""},{"dropping-particle":"","family":"Smith","given":"Sidney C.","non-dropping-particle":"","parse-names":false,"suffix":""},{"dropping-particle":"","family":"Anderson","given":"Jeffery L.","non-dropping-particle":"","parse-names":false,"suffix":""},{"dropping-particle":"","family":"Adams","given":"Cynthia D.","non-dropping-particle":"","parse-names":false,"suffix":""},{"dropping-particle":"","family":"Buller","given":"Christopher E.","non-dropping-particle":"","parse-names":false,"suffix":""},{"dropping-particle":"","family":"Creager","given":"Mark A.","non-dropping-particle":"","parse-names":false,"suffix":""},{"dropping-particle":"","family":"Ettinger","given":"Steven M.","non-dropping-particle":"","parse-names":false,"suffix":""},{"dropping-particle":"","family":"Guyton","given":"Robert A.","non-dropping-particle":"","parse-names":false,"suffix":""},{"dropping-particle":"","family":"Halperin","given":"Jonathan L.","non-dropping-particle":"","parse-names":false,"suffix":""},{"dropping-particle":"","family":"Hunt","given":"Sharon A.","non-dropping-particle":"","parse-names":false,"suffix":""},{"dropping-particle":"","family":"Krumholz","given":"Harlan M.","non-dropping-particle":"","parse-names":false,"suffix":""},{"dropping-particle":"","family":"Kushner","given":"Frederick G.","non-dropping-particle":"","parse-names":false,"suffix":""},{"dropping-particle":"","family":"Nishimura","given":"Rick","non-dropping-particle":"","parse-names":false,"suffix":""},{"dropping-particle":"","family":"Page","given":"Richard L.","non-dropping-particle":"","parse-names":false,"suffix":""},{"dropping-particle":"","family":"Riegel","given":"Barbara","non-dropping-particle":"","parse-names":false,"suffix":""},{"dropping-particle":"","family":"Stevenson","given":"William G.","non-dropping-particle":"","parse-names":false,"suffix":""},{"dropping-particle":"","family":"Tarkington","given":"Lynn G.","non-dropping-particle":"","parse-names":false,"suffix":""},{"dropping-particle":"","family":"Yancy","given":"Clyde W.","non-dropping-particle":"","parse-names":false,"suffix":""}],"container-title":"Circulation","id":"ITEM-1","issue":"13","issued":{"date-parts":[["2010"]]},"page":"266-369","title":"2010 ACCF/AHA/AATS/ACR/ASA/SCA/SCAI/SIR/STS/SVM guidelines for the diagnosis and management of patients with thoracic aortic disease: Executive summary: A report of the american college of cardiology foundation/american heart association task force on pra","type":"article-journal","volume":"121"},"uris":["http://www.mendeley.com/documents/?uuid=e9c5bff2-e24d-4a3c-a808-e50e5eb19779"]}],"mendeley":{"formattedCitation":"(Hiratzka et al., 2010)","plainTextFormattedCitation":"(Hiratzka et al., 2010)","previouslyFormattedCitation":"(Hiratzka et al., 2010)"},"properties":{"noteIndex":0},"schema":"https://github.com/citation-style-language/schema/raw/master/csl-citation.json"}</w:instrText>
      </w:r>
      <w:r w:rsidR="00083574">
        <w:rPr>
          <w:lang w:val="es-CR"/>
        </w:rPr>
        <w:fldChar w:fldCharType="separate"/>
      </w:r>
      <w:r w:rsidR="00083574" w:rsidRPr="00083574">
        <w:rPr>
          <w:noProof/>
          <w:lang w:val="es-CR"/>
        </w:rPr>
        <w:t>(Hiratzka et al., 2010)</w:t>
      </w:r>
      <w:r w:rsidR="00083574">
        <w:rPr>
          <w:lang w:val="es-CR"/>
        </w:rPr>
        <w:fldChar w:fldCharType="end"/>
      </w:r>
    </w:p>
    <w:p w14:paraId="724C6E19" w14:textId="5057DA18" w:rsidR="00D536AF" w:rsidRPr="003A1CA0" w:rsidRDefault="00D536AF" w:rsidP="00F33A14">
      <w:pPr>
        <w:pStyle w:val="Heading3"/>
        <w:rPr>
          <w:lang w:val="es-CR"/>
        </w:rPr>
      </w:pPr>
      <w:bookmarkStart w:id="37" w:name="_Toc47027845"/>
      <w:r w:rsidRPr="003A1CA0">
        <w:rPr>
          <w:lang w:val="es-CR"/>
        </w:rPr>
        <w:t>Procedimientos escalonados</w:t>
      </w:r>
      <w:bookmarkEnd w:id="37"/>
    </w:p>
    <w:p w14:paraId="5556A4B5" w14:textId="055F958D" w:rsidR="00D536AF" w:rsidRPr="003A1CA0" w:rsidRDefault="00D536AF" w:rsidP="007C5CD1">
      <w:pPr>
        <w:rPr>
          <w:lang w:val="es-CR"/>
        </w:rPr>
      </w:pPr>
      <w:r w:rsidRPr="003A1CA0">
        <w:rPr>
          <w:lang w:val="es-CR"/>
        </w:rPr>
        <w:t xml:space="preserve">El abordaje endovascular por etapas se usa en pacientes con TAAA de tipo I-II. </w:t>
      </w:r>
      <w:r w:rsidR="00EB7AE7" w:rsidRPr="003A1CA0">
        <w:rPr>
          <w:lang w:val="es-CR"/>
        </w:rPr>
        <w:t xml:space="preserve">Se recomienda: </w:t>
      </w:r>
    </w:p>
    <w:p w14:paraId="5FE9BCC6" w14:textId="7B557576" w:rsidR="00202054" w:rsidRPr="003A1CA0" w:rsidRDefault="00202054" w:rsidP="007B0B9B">
      <w:pPr>
        <w:pStyle w:val="ListParagraph"/>
        <w:numPr>
          <w:ilvl w:val="0"/>
          <w:numId w:val="4"/>
        </w:numPr>
        <w:rPr>
          <w:lang w:val="es-CR"/>
        </w:rPr>
      </w:pPr>
      <w:r w:rsidRPr="003A1CA0">
        <w:rPr>
          <w:lang w:val="es-CR"/>
        </w:rPr>
        <w:t>Reparación</w:t>
      </w:r>
      <w:r w:rsidR="00D536AF" w:rsidRPr="003A1CA0">
        <w:rPr>
          <w:lang w:val="es-CR"/>
        </w:rPr>
        <w:t xml:space="preserve"> </w:t>
      </w:r>
      <w:r w:rsidR="003C51C0" w:rsidRPr="003A1CA0">
        <w:rPr>
          <w:lang w:val="es-CR"/>
        </w:rPr>
        <w:t>aórtica</w:t>
      </w:r>
      <w:r w:rsidR="00D536AF" w:rsidRPr="003A1CA0">
        <w:rPr>
          <w:lang w:val="es-CR"/>
        </w:rPr>
        <w:t xml:space="preserve"> en 2 tiempos</w:t>
      </w:r>
    </w:p>
    <w:p w14:paraId="2E06AECE" w14:textId="087ED766" w:rsidR="00202054" w:rsidRPr="003A1CA0" w:rsidRDefault="00202054" w:rsidP="007B0B9B">
      <w:pPr>
        <w:pStyle w:val="ListParagraph"/>
        <w:numPr>
          <w:ilvl w:val="1"/>
          <w:numId w:val="4"/>
        </w:numPr>
        <w:rPr>
          <w:lang w:val="es-CR"/>
        </w:rPr>
      </w:pPr>
      <w:r w:rsidRPr="003A1CA0">
        <w:rPr>
          <w:lang w:val="es-CR"/>
        </w:rPr>
        <w:t xml:space="preserve">Cobertura </w:t>
      </w:r>
      <w:r w:rsidR="003C51C0" w:rsidRPr="003A1CA0">
        <w:rPr>
          <w:lang w:val="es-CR"/>
        </w:rPr>
        <w:t>aórtica</w:t>
      </w:r>
      <w:r w:rsidRPr="003A1CA0">
        <w:rPr>
          <w:lang w:val="es-CR"/>
        </w:rPr>
        <w:t xml:space="preserve"> secuencial dejando un endoleak</w:t>
      </w:r>
      <w:r w:rsidR="00B32157">
        <w:rPr>
          <w:lang w:val="es-CR"/>
        </w:rPr>
        <w:t xml:space="preserve"> </w:t>
      </w:r>
      <w:r w:rsidRPr="003A1CA0">
        <w:rPr>
          <w:lang w:val="es-CR"/>
        </w:rPr>
        <w:t>Ib y completar la reparación 6-8 semanas posteriores al primer procedimiento.</w:t>
      </w:r>
    </w:p>
    <w:p w14:paraId="721238A9" w14:textId="4725DE71" w:rsidR="00202054" w:rsidRPr="003A1CA0" w:rsidRDefault="00202054" w:rsidP="007B0B9B">
      <w:pPr>
        <w:pStyle w:val="ListParagraph"/>
        <w:numPr>
          <w:ilvl w:val="0"/>
          <w:numId w:val="4"/>
        </w:numPr>
        <w:rPr>
          <w:lang w:val="es-CR"/>
        </w:rPr>
      </w:pPr>
      <w:r w:rsidRPr="003A1CA0">
        <w:rPr>
          <w:lang w:val="es-CR"/>
        </w:rPr>
        <w:t>Infusión</w:t>
      </w:r>
      <w:r w:rsidR="00D536AF" w:rsidRPr="003A1CA0">
        <w:rPr>
          <w:lang w:val="es-CR"/>
        </w:rPr>
        <w:t xml:space="preserve"> temporal del saco aneurismático (TASP)</w:t>
      </w:r>
      <w:r w:rsidR="00FC49C0">
        <w:rPr>
          <w:lang w:val="es-CR"/>
        </w:rPr>
        <w:t xml:space="preserve"> </w:t>
      </w:r>
      <w:r w:rsidR="00731122" w:rsidRPr="003A1CA0">
        <w:rPr>
          <w:lang w:val="es-CR"/>
        </w:rPr>
        <w:fldChar w:fldCharType="begin" w:fldLock="1"/>
      </w:r>
      <w:r w:rsidR="001A1B73">
        <w:rPr>
          <w:lang w:val="es-CR"/>
        </w:rPr>
        <w:instrText>ADDIN CSL_CITATION {"citationItems":[{"id":"ITEM-1","itemData":{"DOI":"10.1016/j.gde.2016.03.011","abstract":"Genetic and epigenetic heterogeneity is emerging as a fundamental property of human cancers. Reflecting the genesis of tumors as an evolutionary process driven by clonal selection. The complexity of clonal architecture has been known for many years in the setting of acute myeloid leukemia (AML), based on karyotyping studies. However the true complexity of AMLs is only now being understood thanks to in depth genome sequencing studies in humans, which reveal that heterogeneity is a multilayered and involves not only the genome but also the epigenome. Here, we review recent advances in genetic and epigenetic heterogeneity and clonal dynamics in AML and their relevance to biology, clinical outcomes and therapeutic implications. Special attention is focused on somatic mutations affecting regulators of cytosine methylation, since these tend to occur early in disease evolution, reprogram the epigenome of hematopoietic stem cells, and are linked to unfavorable outcome.","author":[{"dropping-particle":"","family":"L. Sheng, M. Christopher","given":"A. Melnick","non-dropping-particle":"","parse-names":false,"suffix":""}],"container-title":"Physiology &amp; behavior","id":"ITEM-1","issue":"1","issued":{"date-parts":[["2016"]]},"page":"100–106","title":"Spinal Cord Injury after Thoracic Endovascular Aortic Aneurysm","type":"article-journal","volume":"176"},"uris":["http://www.mendeley.com/documents/?uuid=ed9e9b7e-8cda-4d83-9672-16739551f5a5"]}],"mendeley":{"formattedCitation":"(L. Sheng, M. Christopher, 2016)","plainTextFormattedCitation":"(L. Sheng, M. Christopher, 2016)","previouslyFormattedCitation":"(L. Sheng, M. Christopher, 2016)"},"properties":{"noteIndex":0},"schema":"https://github.com/citation-style-language/schema/raw/master/csl-citation.json"}</w:instrText>
      </w:r>
      <w:r w:rsidR="00731122" w:rsidRPr="003A1CA0">
        <w:rPr>
          <w:lang w:val="es-CR"/>
        </w:rPr>
        <w:fldChar w:fldCharType="separate"/>
      </w:r>
      <w:r w:rsidR="00FA7019" w:rsidRPr="00FA7019">
        <w:rPr>
          <w:noProof/>
          <w:lang w:val="es-CR"/>
        </w:rPr>
        <w:t>(L. Sheng, M. Christopher, 2016)</w:t>
      </w:r>
      <w:r w:rsidR="00731122" w:rsidRPr="003A1CA0">
        <w:rPr>
          <w:lang w:val="es-CR"/>
        </w:rPr>
        <w:fldChar w:fldCharType="end"/>
      </w:r>
    </w:p>
    <w:p w14:paraId="73957FAE" w14:textId="45739C6E" w:rsidR="00EA2516" w:rsidRPr="00B32157" w:rsidRDefault="009573A0" w:rsidP="00B32157">
      <w:pPr>
        <w:pStyle w:val="ListParagraph"/>
        <w:numPr>
          <w:ilvl w:val="1"/>
          <w:numId w:val="4"/>
        </w:numPr>
        <w:rPr>
          <w:lang w:val="es-CR"/>
        </w:rPr>
      </w:pPr>
      <w:r w:rsidRPr="003A1CA0">
        <w:rPr>
          <w:lang w:val="es-CR"/>
        </w:rPr>
        <w:t xml:space="preserve">Establecimiento de endoleak dentro del aneurisma cubierto con endoprótesis que será utilizado para perfundir vasos </w:t>
      </w:r>
      <w:r w:rsidR="00EA2516" w:rsidRPr="003A1CA0">
        <w:rPr>
          <w:lang w:val="es-CR"/>
        </w:rPr>
        <w:t>e</w:t>
      </w:r>
      <w:r w:rsidRPr="003A1CA0">
        <w:rPr>
          <w:lang w:val="es-CR"/>
        </w:rPr>
        <w:t>spl</w:t>
      </w:r>
      <w:r w:rsidR="00EA2516" w:rsidRPr="003A1CA0">
        <w:rPr>
          <w:lang w:val="es-CR"/>
        </w:rPr>
        <w:t>á</w:t>
      </w:r>
      <w:r w:rsidRPr="003A1CA0">
        <w:rPr>
          <w:lang w:val="es-CR"/>
        </w:rPr>
        <w:t>cnicos</w:t>
      </w:r>
      <w:r w:rsidR="00731122" w:rsidRPr="003A1CA0">
        <w:rPr>
          <w:lang w:val="es-CR"/>
        </w:rPr>
        <w:t xml:space="preserve"> en la primera parte de un abordaje escalonado previo a TEVAR.</w:t>
      </w:r>
    </w:p>
    <w:p w14:paraId="670BE839" w14:textId="03EE99F8" w:rsidR="00D536AF" w:rsidRPr="003A1CA0" w:rsidRDefault="00EB7AE7" w:rsidP="007B0B9B">
      <w:pPr>
        <w:pStyle w:val="ListParagraph"/>
        <w:numPr>
          <w:ilvl w:val="0"/>
          <w:numId w:val="4"/>
        </w:numPr>
        <w:rPr>
          <w:lang w:val="es-CR"/>
        </w:rPr>
      </w:pPr>
      <w:r w:rsidRPr="003A1CA0">
        <w:rPr>
          <w:lang w:val="es-CR"/>
        </w:rPr>
        <w:lastRenderedPageBreak/>
        <w:t>Embolización</w:t>
      </w:r>
      <w:r w:rsidR="00D536AF" w:rsidRPr="003A1CA0">
        <w:rPr>
          <w:lang w:val="es-CR"/>
        </w:rPr>
        <w:t xml:space="preserve"> mínimamente invasiva de la arteria segmentaria (MISACE)</w:t>
      </w:r>
    </w:p>
    <w:p w14:paraId="51257999" w14:textId="518E9D73" w:rsidR="009573A0" w:rsidRPr="003A1CA0" w:rsidRDefault="00B32157" w:rsidP="007B0B9B">
      <w:pPr>
        <w:pStyle w:val="ListParagraph"/>
        <w:numPr>
          <w:ilvl w:val="1"/>
          <w:numId w:val="4"/>
        </w:numPr>
        <w:rPr>
          <w:lang w:val="es-CR"/>
        </w:rPr>
      </w:pPr>
      <w:r>
        <w:rPr>
          <w:lang w:val="es-CR"/>
        </w:rPr>
        <w:t>E</w:t>
      </w:r>
      <w:r w:rsidR="009573A0" w:rsidRPr="003A1CA0">
        <w:rPr>
          <w:lang w:val="es-CR"/>
        </w:rPr>
        <w:t xml:space="preserve">mbolización individual de las </w:t>
      </w:r>
      <w:r w:rsidR="003C51C0" w:rsidRPr="003A1CA0">
        <w:rPr>
          <w:lang w:val="es-CR"/>
        </w:rPr>
        <w:t>A.</w:t>
      </w:r>
      <w:r w:rsidR="009573A0" w:rsidRPr="003A1CA0">
        <w:rPr>
          <w:lang w:val="es-CR"/>
        </w:rPr>
        <w:t xml:space="preserve"> segmentarias</w:t>
      </w:r>
      <w:r>
        <w:rPr>
          <w:lang w:val="es-CR"/>
        </w:rPr>
        <w:t xml:space="preserve"> con el fin de</w:t>
      </w:r>
      <w:r w:rsidR="009573A0" w:rsidRPr="003A1CA0">
        <w:rPr>
          <w:lang w:val="es-CR"/>
        </w:rPr>
        <w:t xml:space="preserve"> estimula</w:t>
      </w:r>
      <w:r>
        <w:rPr>
          <w:lang w:val="es-CR"/>
        </w:rPr>
        <w:t>r</w:t>
      </w:r>
      <w:r w:rsidR="009573A0" w:rsidRPr="003A1CA0">
        <w:rPr>
          <w:lang w:val="es-CR"/>
        </w:rPr>
        <w:t xml:space="preserve"> la angiogénesis de vías colaterales.</w:t>
      </w:r>
    </w:p>
    <w:p w14:paraId="74A2A65A" w14:textId="7973395D" w:rsidR="00157AE6" w:rsidRPr="003A1CA0" w:rsidRDefault="00157AE6" w:rsidP="007B0B9B">
      <w:pPr>
        <w:pStyle w:val="ListParagraph"/>
        <w:numPr>
          <w:ilvl w:val="0"/>
          <w:numId w:val="4"/>
        </w:numPr>
        <w:rPr>
          <w:lang w:val="es-CR"/>
        </w:rPr>
      </w:pPr>
      <w:r w:rsidRPr="003A1CA0">
        <w:rPr>
          <w:lang w:val="es-CR"/>
        </w:rPr>
        <w:t xml:space="preserve">Considerar revascularización de </w:t>
      </w:r>
      <w:r w:rsidR="003C51C0" w:rsidRPr="003A1CA0">
        <w:rPr>
          <w:lang w:val="es-CR"/>
        </w:rPr>
        <w:t>A.</w:t>
      </w:r>
      <w:r w:rsidRPr="003A1CA0">
        <w:rPr>
          <w:lang w:val="es-CR"/>
        </w:rPr>
        <w:t xml:space="preserve"> </w:t>
      </w:r>
      <w:r w:rsidR="00EA2516" w:rsidRPr="003A1CA0">
        <w:rPr>
          <w:lang w:val="es-CR"/>
        </w:rPr>
        <w:t>hipogástricas</w:t>
      </w:r>
      <w:r w:rsidRPr="003A1CA0">
        <w:rPr>
          <w:lang w:val="es-CR"/>
        </w:rPr>
        <w:t xml:space="preserve"> y </w:t>
      </w:r>
      <w:r w:rsidR="003C51C0" w:rsidRPr="003A1CA0">
        <w:rPr>
          <w:lang w:val="es-CR"/>
        </w:rPr>
        <w:t>A.</w:t>
      </w:r>
      <w:r w:rsidRPr="003A1CA0">
        <w:rPr>
          <w:lang w:val="es-CR"/>
        </w:rPr>
        <w:t xml:space="preserve"> Subclavia según sea necesario.</w:t>
      </w:r>
    </w:p>
    <w:p w14:paraId="23CE9F15" w14:textId="77777777" w:rsidR="00816E39" w:rsidRPr="003A1CA0" w:rsidRDefault="00816E39" w:rsidP="00F02EAC">
      <w:pPr>
        <w:pStyle w:val="Heading3"/>
        <w:rPr>
          <w:lang w:val="es-CR"/>
        </w:rPr>
      </w:pPr>
      <w:bookmarkStart w:id="38" w:name="_Toc47027846"/>
      <w:r w:rsidRPr="003A1CA0">
        <w:rPr>
          <w:lang w:val="es-CR"/>
        </w:rPr>
        <w:t>Perfusión de extremidades inferiores</w:t>
      </w:r>
      <w:bookmarkEnd w:id="38"/>
    </w:p>
    <w:p w14:paraId="26AB73E0" w14:textId="01A5CB23" w:rsidR="00816E39" w:rsidRPr="003A1CA0" w:rsidRDefault="00816E39" w:rsidP="00816E39">
      <w:pPr>
        <w:rPr>
          <w:lang w:val="es-CR"/>
        </w:rPr>
      </w:pPr>
      <w:r w:rsidRPr="003A1CA0">
        <w:rPr>
          <w:lang w:val="es-CR"/>
        </w:rPr>
        <w:t xml:space="preserve">El planeamiento estratégico del procedimiento quirúrgico es esencial para prevenir el SCI; </w:t>
      </w:r>
      <w:r w:rsidR="00B32157">
        <w:rPr>
          <w:lang w:val="es-CR"/>
        </w:rPr>
        <w:t>es aquí donde nace la importancia de determinar el</w:t>
      </w:r>
      <w:r w:rsidRPr="003A1CA0">
        <w:rPr>
          <w:lang w:val="es-CR"/>
        </w:rPr>
        <w:t xml:space="preserve"> abordaje del acceso vascular previo a la cirugía</w:t>
      </w:r>
      <w:r w:rsidR="00D37DB6" w:rsidRPr="003A1CA0">
        <w:rPr>
          <w:lang w:val="es-CR"/>
        </w:rPr>
        <w:t xml:space="preserve"> tomando en cuenta la estratificación de riesgo del paciente.</w:t>
      </w:r>
    </w:p>
    <w:p w14:paraId="48B9A7CB" w14:textId="3AEBCB7C" w:rsidR="00816E39" w:rsidRPr="003A1CA0" w:rsidRDefault="00B32157" w:rsidP="00816E39">
      <w:pPr>
        <w:rPr>
          <w:lang w:val="es-CR"/>
        </w:rPr>
      </w:pPr>
      <w:r>
        <w:rPr>
          <w:lang w:val="es-CR"/>
        </w:rPr>
        <w:t>Se debe recordar que los introductores</w:t>
      </w:r>
      <w:r w:rsidR="00816E39" w:rsidRPr="003A1CA0">
        <w:rPr>
          <w:lang w:val="es-CR"/>
        </w:rPr>
        <w:t xml:space="preserve"> femorales de gran calibre están asociados a isquemia pélvica y de miembros inferiores</w:t>
      </w:r>
      <w:r w:rsidR="00CF4E08" w:rsidRPr="003A1CA0">
        <w:rPr>
          <w:lang w:val="es-CR"/>
        </w:rPr>
        <w:t xml:space="preserve"> (</w:t>
      </w:r>
      <w:r w:rsidR="003A1CA0">
        <w:rPr>
          <w:lang w:val="es-CR"/>
        </w:rPr>
        <w:t>I</w:t>
      </w:r>
      <w:r w:rsidR="00CF4E08" w:rsidRPr="003A1CA0">
        <w:rPr>
          <w:lang w:val="es-CR"/>
        </w:rPr>
        <w:t xml:space="preserve">magen </w:t>
      </w:r>
      <w:r w:rsidR="00EA2516" w:rsidRPr="003A1CA0">
        <w:rPr>
          <w:lang w:val="es-CR"/>
        </w:rPr>
        <w:t>5</w:t>
      </w:r>
      <w:r w:rsidR="00CF4E08" w:rsidRPr="003A1CA0">
        <w:rPr>
          <w:lang w:val="es-CR"/>
        </w:rPr>
        <w:t>.</w:t>
      </w:r>
      <w:r w:rsidR="003A1CA0">
        <w:rPr>
          <w:lang w:val="es-CR"/>
        </w:rPr>
        <w:t>A</w:t>
      </w:r>
      <w:r w:rsidR="00CF4E08" w:rsidRPr="003A1CA0">
        <w:rPr>
          <w:lang w:val="es-CR"/>
        </w:rPr>
        <w:t>)</w:t>
      </w:r>
      <w:r w:rsidR="00816E39" w:rsidRPr="003A1CA0">
        <w:rPr>
          <w:lang w:val="es-CR"/>
        </w:rPr>
        <w:t xml:space="preserve"> aumentado el riesgo de SCI por compromiso de vías colaterales (iliaca interna y femoral profunda).</w:t>
      </w:r>
    </w:p>
    <w:p w14:paraId="1566F54F" w14:textId="2F6F52AE" w:rsidR="00816E39" w:rsidRPr="003A1CA0" w:rsidRDefault="00B32157" w:rsidP="00160017">
      <w:pPr>
        <w:rPr>
          <w:lang w:val="es-CR"/>
        </w:rPr>
      </w:pPr>
      <w:r>
        <w:rPr>
          <w:lang w:val="es-CR"/>
        </w:rPr>
        <w:t>Debido a esto, se</w:t>
      </w:r>
      <w:r w:rsidR="00816E39" w:rsidRPr="003A1CA0">
        <w:rPr>
          <w:lang w:val="es-CR"/>
        </w:rPr>
        <w:t xml:space="preserve"> recomiendan los siguientes accesos para disminuir el riesgo de isquemia:</w:t>
      </w:r>
    </w:p>
    <w:p w14:paraId="29DD9405" w14:textId="12D35D36" w:rsidR="00816E39" w:rsidRPr="003A1CA0" w:rsidRDefault="00816E39" w:rsidP="007B0B9B">
      <w:pPr>
        <w:numPr>
          <w:ilvl w:val="0"/>
          <w:numId w:val="5"/>
        </w:numPr>
        <w:contextualSpacing/>
        <w:rPr>
          <w:rFonts w:eastAsia="Times New Roman" w:cs="Times New Roman"/>
          <w:lang w:val="es-CR"/>
        </w:rPr>
      </w:pPr>
      <w:r w:rsidRPr="003A1CA0">
        <w:rPr>
          <w:rFonts w:eastAsia="Times New Roman" w:cs="Times New Roman"/>
          <w:lang w:val="es-CR"/>
        </w:rPr>
        <w:t xml:space="preserve">Acceso con introductor pequeño en la </w:t>
      </w:r>
      <w:r w:rsidR="003C51C0" w:rsidRPr="003A1CA0">
        <w:rPr>
          <w:rFonts w:eastAsia="Times New Roman" w:cs="Times New Roman"/>
          <w:lang w:val="es-CR"/>
        </w:rPr>
        <w:t>A.</w:t>
      </w:r>
      <w:r w:rsidRPr="003A1CA0">
        <w:rPr>
          <w:rFonts w:eastAsia="Times New Roman" w:cs="Times New Roman"/>
          <w:lang w:val="es-CR"/>
        </w:rPr>
        <w:t xml:space="preserve"> Femoral </w:t>
      </w:r>
      <w:r w:rsidR="00B32157">
        <w:rPr>
          <w:rFonts w:eastAsia="Times New Roman" w:cs="Times New Roman"/>
          <w:lang w:val="es-CR"/>
        </w:rPr>
        <w:t>S</w:t>
      </w:r>
      <w:r w:rsidRPr="003A1CA0">
        <w:rPr>
          <w:rFonts w:eastAsia="Times New Roman" w:cs="Times New Roman"/>
          <w:lang w:val="es-CR"/>
        </w:rPr>
        <w:t>uperficial conectado a</w:t>
      </w:r>
      <w:r w:rsidR="00B32157">
        <w:rPr>
          <w:rFonts w:eastAsia="Times New Roman" w:cs="Times New Roman"/>
          <w:lang w:val="es-CR"/>
        </w:rPr>
        <w:t>l introdu</w:t>
      </w:r>
      <w:r w:rsidR="00FC49C0">
        <w:rPr>
          <w:rFonts w:eastAsia="Times New Roman" w:cs="Times New Roman"/>
          <w:lang w:val="es-CR"/>
        </w:rPr>
        <w:t>c</w:t>
      </w:r>
      <w:r w:rsidR="00B32157">
        <w:rPr>
          <w:rFonts w:eastAsia="Times New Roman" w:cs="Times New Roman"/>
          <w:lang w:val="es-CR"/>
        </w:rPr>
        <w:t xml:space="preserve">tor en A. Femoral </w:t>
      </w:r>
      <w:r w:rsidR="008C7712">
        <w:rPr>
          <w:rFonts w:eastAsia="Times New Roman" w:cs="Times New Roman"/>
          <w:lang w:val="es-CR"/>
        </w:rPr>
        <w:t>común</w:t>
      </w:r>
      <w:r w:rsidR="00B32157">
        <w:rPr>
          <w:rFonts w:eastAsia="Times New Roman" w:cs="Times New Roman"/>
          <w:lang w:val="es-CR"/>
        </w:rPr>
        <w:t xml:space="preserve"> </w:t>
      </w:r>
      <w:r w:rsidRPr="003A1CA0">
        <w:rPr>
          <w:rFonts w:eastAsia="Times New Roman" w:cs="Times New Roman"/>
          <w:lang w:val="es-CR"/>
        </w:rPr>
        <w:t>creando un Shunt</w:t>
      </w:r>
      <w:r w:rsidR="00B32157">
        <w:rPr>
          <w:rFonts w:eastAsia="Times New Roman" w:cs="Times New Roman"/>
          <w:lang w:val="es-CR"/>
        </w:rPr>
        <w:t xml:space="preserve"> para asegurar flujo arterial al miembro inferior</w:t>
      </w:r>
      <w:r w:rsidR="00160017" w:rsidRPr="003A1CA0">
        <w:rPr>
          <w:rFonts w:eastAsia="Times New Roman" w:cs="Times New Roman"/>
          <w:lang w:val="es-CR"/>
        </w:rPr>
        <w:t xml:space="preserve"> (Imagen </w:t>
      </w:r>
      <w:r w:rsidR="003A1CA0">
        <w:rPr>
          <w:rFonts w:eastAsia="Times New Roman" w:cs="Times New Roman"/>
          <w:lang w:val="es-CR"/>
        </w:rPr>
        <w:t>5</w:t>
      </w:r>
      <w:r w:rsidR="00160017" w:rsidRPr="003A1CA0">
        <w:rPr>
          <w:rFonts w:eastAsia="Times New Roman" w:cs="Times New Roman"/>
          <w:lang w:val="es-CR"/>
        </w:rPr>
        <w:t>.</w:t>
      </w:r>
      <w:r w:rsidR="003A1CA0">
        <w:rPr>
          <w:rFonts w:eastAsia="Times New Roman" w:cs="Times New Roman"/>
          <w:lang w:val="es-CR"/>
        </w:rPr>
        <w:t>B</w:t>
      </w:r>
      <w:r w:rsidR="00160017" w:rsidRPr="003A1CA0">
        <w:rPr>
          <w:rFonts w:eastAsia="Times New Roman" w:cs="Times New Roman"/>
          <w:lang w:val="es-CR"/>
        </w:rPr>
        <w:t>)</w:t>
      </w:r>
    </w:p>
    <w:p w14:paraId="34843FC3" w14:textId="3DE753B2" w:rsidR="00816E39" w:rsidRPr="003A1CA0" w:rsidRDefault="00816E39" w:rsidP="007B0B9B">
      <w:pPr>
        <w:numPr>
          <w:ilvl w:val="0"/>
          <w:numId w:val="5"/>
        </w:numPr>
        <w:contextualSpacing/>
        <w:rPr>
          <w:rFonts w:eastAsia="Times New Roman" w:cs="Times New Roman"/>
          <w:lang w:val="es-CR"/>
        </w:rPr>
      </w:pPr>
      <w:r w:rsidRPr="003A1CA0">
        <w:rPr>
          <w:rFonts w:eastAsia="Times New Roman" w:cs="Times New Roman"/>
          <w:lang w:val="es-CR"/>
        </w:rPr>
        <w:t xml:space="preserve">Conducto temporal en </w:t>
      </w:r>
      <w:r w:rsidR="003C51C0" w:rsidRPr="003A1CA0">
        <w:rPr>
          <w:rFonts w:eastAsia="Times New Roman" w:cs="Times New Roman"/>
          <w:lang w:val="es-CR"/>
        </w:rPr>
        <w:t>A.</w:t>
      </w:r>
      <w:r w:rsidRPr="003A1CA0">
        <w:rPr>
          <w:rFonts w:eastAsia="Times New Roman" w:cs="Times New Roman"/>
          <w:lang w:val="es-CR"/>
        </w:rPr>
        <w:t xml:space="preserve"> iliaca; uso recomendado en pacientes con </w:t>
      </w:r>
      <w:r w:rsidR="003C51C0" w:rsidRPr="003A1CA0">
        <w:rPr>
          <w:rFonts w:eastAsia="Times New Roman" w:cs="Times New Roman"/>
          <w:lang w:val="es-CR"/>
        </w:rPr>
        <w:t>A.</w:t>
      </w:r>
      <w:r w:rsidRPr="003A1CA0">
        <w:rPr>
          <w:rFonts w:eastAsia="Times New Roman" w:cs="Times New Roman"/>
          <w:lang w:val="es-CR"/>
        </w:rPr>
        <w:t xml:space="preserve"> iliacas pequeñas, enfermedad aorto-iliaca oclusiva severa o en casos de </w:t>
      </w:r>
      <w:r w:rsidR="00D37DB6" w:rsidRPr="003A1CA0">
        <w:rPr>
          <w:rFonts w:eastAsia="Times New Roman" w:cs="Times New Roman"/>
          <w:lang w:val="es-CR"/>
        </w:rPr>
        <w:t>tiempo quirúrgico estimado &gt;2horas.</w:t>
      </w:r>
      <w:r w:rsidRPr="003A1CA0">
        <w:rPr>
          <w:rFonts w:eastAsia="Times New Roman" w:cs="Times New Roman"/>
          <w:lang w:val="es-CR"/>
        </w:rPr>
        <w:t xml:space="preserve"> </w:t>
      </w:r>
      <w:r w:rsidR="00CF4E08" w:rsidRPr="003A1CA0">
        <w:rPr>
          <w:rFonts w:eastAsia="Times New Roman" w:cs="Times New Roman"/>
          <w:lang w:val="es-CR"/>
        </w:rPr>
        <w:t xml:space="preserve">Se puede utilizar un conducto </w:t>
      </w:r>
      <w:r w:rsidR="00CF4E08" w:rsidRPr="003A1CA0">
        <w:rPr>
          <w:rFonts w:eastAsia="Times New Roman" w:cs="Times New Roman"/>
          <w:lang w:val="es-CR"/>
        </w:rPr>
        <w:lastRenderedPageBreak/>
        <w:t xml:space="preserve">femoral con anastomosis a la </w:t>
      </w:r>
      <w:r w:rsidR="003C51C0" w:rsidRPr="003A1CA0">
        <w:rPr>
          <w:rFonts w:eastAsia="Times New Roman" w:cs="Times New Roman"/>
          <w:lang w:val="es-CR"/>
        </w:rPr>
        <w:t>A.</w:t>
      </w:r>
      <w:r w:rsidR="00CF4E08" w:rsidRPr="003A1CA0">
        <w:rPr>
          <w:rFonts w:eastAsia="Times New Roman" w:cs="Times New Roman"/>
          <w:lang w:val="es-CR"/>
        </w:rPr>
        <w:t xml:space="preserve"> femoral común el cual permite restablecer la irrigación de miembros inferiores. (</w:t>
      </w:r>
      <w:r w:rsidR="00FC49C0">
        <w:rPr>
          <w:rFonts w:eastAsia="Times New Roman" w:cs="Times New Roman"/>
          <w:lang w:val="es-CR"/>
        </w:rPr>
        <w:t>I</w:t>
      </w:r>
      <w:r w:rsidR="00CF4E08" w:rsidRPr="003A1CA0">
        <w:rPr>
          <w:rFonts w:eastAsia="Times New Roman" w:cs="Times New Roman"/>
          <w:lang w:val="es-CR"/>
        </w:rPr>
        <w:t xml:space="preserve">magen </w:t>
      </w:r>
      <w:r w:rsidR="003A1CA0">
        <w:rPr>
          <w:rFonts w:eastAsia="Times New Roman" w:cs="Times New Roman"/>
          <w:lang w:val="es-CR"/>
        </w:rPr>
        <w:t>5</w:t>
      </w:r>
      <w:r w:rsidR="00CF4E08" w:rsidRPr="003A1CA0">
        <w:rPr>
          <w:rFonts w:eastAsia="Times New Roman" w:cs="Times New Roman"/>
          <w:lang w:val="es-CR"/>
        </w:rPr>
        <w:t>.</w:t>
      </w:r>
      <w:r w:rsidR="003A1CA0">
        <w:rPr>
          <w:rFonts w:eastAsia="Times New Roman" w:cs="Times New Roman"/>
          <w:lang w:val="es-CR"/>
        </w:rPr>
        <w:t>C)</w:t>
      </w:r>
    </w:p>
    <w:p w14:paraId="46FA1D96" w14:textId="2C34493D" w:rsidR="00CF4E08" w:rsidRPr="003A1CA0" w:rsidRDefault="00CF4E08" w:rsidP="007B0B9B">
      <w:pPr>
        <w:numPr>
          <w:ilvl w:val="0"/>
          <w:numId w:val="5"/>
        </w:numPr>
        <w:contextualSpacing/>
        <w:rPr>
          <w:rFonts w:eastAsia="Times New Roman" w:cs="Times New Roman"/>
          <w:lang w:val="es-CR"/>
        </w:rPr>
      </w:pPr>
      <w:r w:rsidRPr="003A1CA0">
        <w:rPr>
          <w:rFonts w:eastAsia="Times New Roman" w:cs="Times New Roman"/>
          <w:lang w:val="es-CR"/>
        </w:rPr>
        <w:t>Abordaje femoral percutáneo para la colocación del dispositivo aórtico, ramas renales fenestradas y dispositivo bifurcado</w:t>
      </w:r>
      <w:r w:rsidR="00B32157">
        <w:rPr>
          <w:rFonts w:eastAsia="Times New Roman" w:cs="Times New Roman"/>
          <w:lang w:val="es-CR"/>
        </w:rPr>
        <w:t>, dónd</w:t>
      </w:r>
      <w:r w:rsidRPr="003A1CA0">
        <w:rPr>
          <w:rFonts w:eastAsia="Times New Roman" w:cs="Times New Roman"/>
          <w:lang w:val="es-CR"/>
        </w:rPr>
        <w:t>e</w:t>
      </w:r>
      <w:r w:rsidR="00B32157">
        <w:rPr>
          <w:rFonts w:eastAsia="Times New Roman" w:cs="Times New Roman"/>
          <w:lang w:val="es-CR"/>
        </w:rPr>
        <w:t xml:space="preserve"> se debe de</w:t>
      </w:r>
      <w:r w:rsidRPr="003A1CA0">
        <w:rPr>
          <w:rFonts w:eastAsia="Times New Roman" w:cs="Times New Roman"/>
          <w:lang w:val="es-CR"/>
        </w:rPr>
        <w:t xml:space="preserve"> reestablece</w:t>
      </w:r>
      <w:r w:rsidR="00B32157">
        <w:rPr>
          <w:rFonts w:eastAsia="Times New Roman" w:cs="Times New Roman"/>
          <w:lang w:val="es-CR"/>
        </w:rPr>
        <w:t>r</w:t>
      </w:r>
      <w:r w:rsidRPr="003A1CA0">
        <w:rPr>
          <w:rFonts w:eastAsia="Times New Roman" w:cs="Times New Roman"/>
          <w:lang w:val="es-CR"/>
        </w:rPr>
        <w:t xml:space="preserve"> el flujo a miembros inferiores en &lt;2 horas. </w:t>
      </w:r>
      <w:r w:rsidR="00B32157">
        <w:rPr>
          <w:rFonts w:eastAsia="Times New Roman" w:cs="Times New Roman"/>
          <w:lang w:val="es-CR"/>
        </w:rPr>
        <w:t xml:space="preserve">Para la </w:t>
      </w:r>
      <w:r w:rsidR="008C7712">
        <w:rPr>
          <w:rFonts w:eastAsia="Times New Roman" w:cs="Times New Roman"/>
          <w:lang w:val="es-CR"/>
        </w:rPr>
        <w:t>revascularización</w:t>
      </w:r>
      <w:r w:rsidR="00B32157">
        <w:rPr>
          <w:rFonts w:eastAsia="Times New Roman" w:cs="Times New Roman"/>
          <w:lang w:val="es-CR"/>
        </w:rPr>
        <w:t xml:space="preserve"> de </w:t>
      </w:r>
      <w:r w:rsidR="00B32157" w:rsidRPr="003A1CA0">
        <w:rPr>
          <w:rFonts w:eastAsia="Times New Roman" w:cs="Times New Roman"/>
          <w:lang w:val="es-CR"/>
        </w:rPr>
        <w:t>A. mesentérica superior y el tronco celiaco</w:t>
      </w:r>
      <w:r w:rsidR="00B32157">
        <w:rPr>
          <w:rFonts w:eastAsia="Times New Roman" w:cs="Times New Roman"/>
          <w:lang w:val="es-CR"/>
        </w:rPr>
        <w:t xml:space="preserve">, se recomienda completar estos pasos mediante una punción de miembro superior izquierdo. </w:t>
      </w:r>
      <w:r w:rsidRPr="003A1CA0">
        <w:rPr>
          <w:rFonts w:eastAsia="Times New Roman" w:cs="Times New Roman"/>
          <w:lang w:val="es-CR"/>
        </w:rPr>
        <w:t>(</w:t>
      </w:r>
      <w:r w:rsidR="00EA2516" w:rsidRPr="003A1CA0">
        <w:rPr>
          <w:rFonts w:eastAsia="Times New Roman" w:cs="Times New Roman"/>
          <w:lang w:val="es-CR"/>
        </w:rPr>
        <w:t>I</w:t>
      </w:r>
      <w:r w:rsidRPr="003A1CA0">
        <w:rPr>
          <w:rFonts w:eastAsia="Times New Roman" w:cs="Times New Roman"/>
          <w:lang w:val="es-CR"/>
        </w:rPr>
        <w:t xml:space="preserve">magen </w:t>
      </w:r>
      <w:r w:rsidR="00EA2516" w:rsidRPr="003A1CA0">
        <w:rPr>
          <w:rFonts w:eastAsia="Times New Roman" w:cs="Times New Roman"/>
          <w:lang w:val="es-CR"/>
        </w:rPr>
        <w:t>6</w:t>
      </w:r>
      <w:r w:rsidRPr="003A1CA0">
        <w:rPr>
          <w:rFonts w:eastAsia="Times New Roman" w:cs="Times New Roman"/>
          <w:lang w:val="es-CR"/>
        </w:rPr>
        <w:t>)</w:t>
      </w:r>
    </w:p>
    <w:p w14:paraId="1C461305" w14:textId="77777777" w:rsidR="00EA2516" w:rsidRPr="003A1CA0" w:rsidRDefault="00EA2516" w:rsidP="008C7712">
      <w:pPr>
        <w:spacing w:after="0"/>
        <w:ind w:firstLine="0"/>
        <w:jc w:val="center"/>
        <w:rPr>
          <w:lang w:val="es-CR"/>
        </w:rPr>
      </w:pPr>
      <w:r w:rsidRPr="003A1CA0">
        <w:rPr>
          <w:noProof/>
          <w:lang w:val="es-CR"/>
        </w:rPr>
        <w:drawing>
          <wp:inline distT="0" distB="0" distL="0" distR="0" wp14:anchorId="0EAD8C28" wp14:editId="32E69427">
            <wp:extent cx="3882626" cy="4480968"/>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01522" cy="4502776"/>
                    </a:xfrm>
                    <a:prstGeom prst="rect">
                      <a:avLst/>
                    </a:prstGeom>
                    <a:noFill/>
                    <a:ln>
                      <a:noFill/>
                    </a:ln>
                  </pic:spPr>
                </pic:pic>
              </a:graphicData>
            </a:graphic>
          </wp:inline>
        </w:drawing>
      </w:r>
    </w:p>
    <w:p w14:paraId="475478DD" w14:textId="109361B4" w:rsidR="00EA2516" w:rsidRDefault="00EA2516" w:rsidP="00083574">
      <w:pPr>
        <w:pStyle w:val="Prrafodelista1"/>
        <w:spacing w:after="0"/>
        <w:rPr>
          <w:lang w:val="es-CR"/>
        </w:rPr>
      </w:pPr>
      <w:r w:rsidRPr="003A1CA0">
        <w:rPr>
          <w:lang w:val="es-CR"/>
        </w:rPr>
        <w:t>Imagen 5. A. introductores transfermorales b. Shunt transfemoral con introductor pequeño c. conducto femoral e iliaco.</w:t>
      </w:r>
    </w:p>
    <w:p w14:paraId="14C8753C" w14:textId="382AA992" w:rsidR="00083574" w:rsidRDefault="00083574" w:rsidP="00083574">
      <w:pPr>
        <w:pStyle w:val="Prrafodelista1"/>
        <w:rPr>
          <w:lang w:val="es-CR"/>
        </w:rPr>
      </w:pPr>
      <w:r w:rsidRPr="001A1B73">
        <w:rPr>
          <w:lang w:val="es-CR"/>
        </w:rPr>
        <w:t xml:space="preserve">Fuente: Tomado de </w:t>
      </w:r>
      <w:r>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Pr>
          <w:lang w:val="es-CR"/>
        </w:rPr>
        <w:fldChar w:fldCharType="separate"/>
      </w:r>
      <w:r w:rsidR="0091486C" w:rsidRPr="0091486C">
        <w:rPr>
          <w:noProof/>
          <w:lang w:val="es-CR"/>
        </w:rPr>
        <w:t>(Oderich, 2017)</w:t>
      </w:r>
      <w:r>
        <w:rPr>
          <w:lang w:val="es-CR"/>
        </w:rPr>
        <w:fldChar w:fldCharType="end"/>
      </w:r>
    </w:p>
    <w:p w14:paraId="05E96170" w14:textId="31E9B20B" w:rsidR="00796E0A" w:rsidRPr="003A1CA0" w:rsidRDefault="00160017" w:rsidP="00EA2516">
      <w:pPr>
        <w:spacing w:after="0"/>
        <w:ind w:firstLine="0"/>
        <w:jc w:val="center"/>
        <w:rPr>
          <w:lang w:val="es-CR"/>
        </w:rPr>
      </w:pPr>
      <w:r w:rsidRPr="003A1CA0">
        <w:rPr>
          <w:noProof/>
          <w:lang w:val="es-CR"/>
        </w:rPr>
        <w:lastRenderedPageBreak/>
        <w:drawing>
          <wp:inline distT="0" distB="0" distL="0" distR="0" wp14:anchorId="2708855D" wp14:editId="0CF0F923">
            <wp:extent cx="3810595" cy="472637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12604" cy="4728871"/>
                    </a:xfrm>
                    <a:prstGeom prst="rect">
                      <a:avLst/>
                    </a:prstGeom>
                    <a:noFill/>
                    <a:ln>
                      <a:noFill/>
                    </a:ln>
                  </pic:spPr>
                </pic:pic>
              </a:graphicData>
            </a:graphic>
          </wp:inline>
        </w:drawing>
      </w:r>
    </w:p>
    <w:p w14:paraId="29C0888E" w14:textId="4FC296D5" w:rsidR="00CF4E08" w:rsidRDefault="00CF4E08" w:rsidP="00083574">
      <w:pPr>
        <w:pStyle w:val="Prrafodelista1"/>
        <w:spacing w:after="0"/>
        <w:rPr>
          <w:lang w:val="es-CR"/>
        </w:rPr>
      </w:pPr>
      <w:r w:rsidRPr="003A1CA0">
        <w:rPr>
          <w:lang w:val="es-CR"/>
        </w:rPr>
        <w:t xml:space="preserve">Imagen </w:t>
      </w:r>
      <w:r w:rsidR="00EA2516" w:rsidRPr="003A1CA0">
        <w:rPr>
          <w:lang w:val="es-CR"/>
        </w:rPr>
        <w:t>6.</w:t>
      </w:r>
      <w:r w:rsidRPr="003A1CA0">
        <w:rPr>
          <w:lang w:val="es-CR"/>
        </w:rPr>
        <w:t xml:space="preserve"> Acceso femoral percutáneo.</w:t>
      </w:r>
    </w:p>
    <w:p w14:paraId="3273B9A1" w14:textId="35D76050" w:rsidR="00083574" w:rsidRDefault="00083574" w:rsidP="00083574">
      <w:pPr>
        <w:pStyle w:val="Prrafodelista1"/>
        <w:rPr>
          <w:lang w:val="es-CR"/>
        </w:rPr>
      </w:pPr>
      <w:r w:rsidRPr="001A1B73">
        <w:rPr>
          <w:lang w:val="es-CR"/>
        </w:rPr>
        <w:t xml:space="preserve">Fuente: Tomado de </w:t>
      </w:r>
      <w:r>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Pr>
          <w:lang w:val="es-CR"/>
        </w:rPr>
        <w:fldChar w:fldCharType="separate"/>
      </w:r>
      <w:r w:rsidR="0091486C" w:rsidRPr="0091486C">
        <w:rPr>
          <w:noProof/>
          <w:lang w:val="es-CR"/>
        </w:rPr>
        <w:t>(Oderich, 2017)</w:t>
      </w:r>
      <w:r>
        <w:rPr>
          <w:lang w:val="es-CR"/>
        </w:rPr>
        <w:fldChar w:fldCharType="end"/>
      </w:r>
    </w:p>
    <w:p w14:paraId="25371734" w14:textId="568C2591" w:rsidR="007877DD" w:rsidRPr="003A1CA0" w:rsidRDefault="007877DD" w:rsidP="00F33A14">
      <w:pPr>
        <w:pStyle w:val="Heading2"/>
        <w:rPr>
          <w:rFonts w:eastAsia="Times New Roman"/>
          <w:lang w:val="es-CR"/>
        </w:rPr>
      </w:pPr>
      <w:bookmarkStart w:id="39" w:name="_Toc47027847"/>
      <w:r w:rsidRPr="003A1CA0">
        <w:rPr>
          <w:rFonts w:eastAsia="Times New Roman"/>
          <w:lang w:val="es-CR"/>
        </w:rPr>
        <w:t>Manejo transoperatorio</w:t>
      </w:r>
      <w:bookmarkEnd w:id="39"/>
    </w:p>
    <w:p w14:paraId="72E63E3E" w14:textId="4C51C8BD" w:rsidR="00157AE6" w:rsidRPr="003A1CA0" w:rsidRDefault="007D5A56" w:rsidP="00796E0A">
      <w:pPr>
        <w:rPr>
          <w:lang w:val="es-CR"/>
        </w:rPr>
      </w:pPr>
      <w:r w:rsidRPr="003A1CA0">
        <w:rPr>
          <w:lang w:val="es-CR"/>
        </w:rPr>
        <w:t xml:space="preserve">La preparación del paciente en la sala de operaciones incluye colocación de Sonda </w:t>
      </w:r>
      <w:r w:rsidR="00E84E01" w:rsidRPr="003A1CA0">
        <w:rPr>
          <w:lang w:val="es-CR"/>
        </w:rPr>
        <w:t>nasogástrica</w:t>
      </w:r>
      <w:r w:rsidRPr="003A1CA0">
        <w:rPr>
          <w:lang w:val="es-CR"/>
        </w:rPr>
        <w:t>, Sonda Fole</w:t>
      </w:r>
      <w:r w:rsidR="00E84E01" w:rsidRPr="003A1CA0">
        <w:rPr>
          <w:lang w:val="es-CR"/>
        </w:rPr>
        <w:t xml:space="preserve">y y drenajes lumbares. </w:t>
      </w:r>
      <w:r w:rsidR="00160017" w:rsidRPr="003A1CA0">
        <w:rPr>
          <w:lang w:val="es-CR"/>
        </w:rPr>
        <w:t xml:space="preserve">El abordaje intraoperatorio utiliza el neuromonitoreo como predictor de </w:t>
      </w:r>
      <w:r w:rsidR="00664A1B" w:rsidRPr="003A1CA0">
        <w:rPr>
          <w:lang w:val="es-CR"/>
        </w:rPr>
        <w:t>isquemia</w:t>
      </w:r>
      <w:r w:rsidR="00083574">
        <w:rPr>
          <w:lang w:val="es-CR"/>
        </w:rPr>
        <w:t xml:space="preserve"> </w:t>
      </w:r>
      <w:r w:rsidR="0042699C" w:rsidRPr="003A1CA0">
        <w:rPr>
          <w:lang w:val="es-CR"/>
        </w:rPr>
        <w:fldChar w:fldCharType="begin" w:fldLock="1"/>
      </w:r>
      <w:r w:rsidR="001A1B73">
        <w:rPr>
          <w:lang w:val="es-CR"/>
        </w:rPr>
        <w:instrText>ADDIN CSL_CITATION {"citationItems":[{"id":"ITEM-1","itemData":{"DOI":"10.1016/j.athoracsur.2007.03.066","ISSN":"00034975","abstract":"Background: Clinical utility of somatosensory evoked potentials (SSEP) in descending thoracic and thoracoabdominal aortic repair is debated. We reviewed our practical experience with SSEP in descending thoracic and thoracoabdominal aortic repairs. Methods: Between January 2000 and April 2005, we used SSEP monitoring in 444 patients (270 thoracoabdominal aorta and 174 descending thoracic aorta). Median age was 68 years; 36% were female. Only changes of spinal origin were analyzed. Changes were classified as (1) no change, (2) transient changes that returned to baseline by the end of the procedure, or (3) persistent changes that did not return to baseline by the end of the procedure. Results: Somatosensory evoked potential changes occurred in 87 (19.6%) patients; 22 (25%) of these did not return to baseline. Immediate neurologic deficit occurred in 8 of 444 patients (1.8%); five deficits (5 of 87; 5.8%) occurred in patients with SSEP changes, compared with three deficits (3 of 357; 0.8%) in patients without changes. Odds ratio for this comparison was 7.2 (p &lt; 0.002). Somatosensory evoked potential was a poor screening tool for neurologic deficit, with a sensitivity of 62.5% and specificity 81.2%. Negative predictive value was 99.2%, indicating a very low event probability in the absence of SSEP changes. Delayed neurologic deficit occurred in 3.2% and was not related to SSEP changes. Somatosensory evoked potential changes were also associated with increased 30-day mortality and low glomerular filtration rate. Conclusions: Intraoperative SSEP monitoring was reliable in ruling out spinal injury in descending thoracic and thoracoabdominal aortic repair, but had a low sensitivity. It did not predict delayed neurologic deficit. Spinal SSEP change was an independent predictor of mortality and correlated with low preoperative glomerular filtration rate. © 2007 The Society of Thoracic Surgeons.","author":[{"dropping-particle":"","family":"Achouh","given":"Paul E.","non-dropping-particle":"","parse-names":false,"suffix":""},{"dropping-particle":"","family":"Estrera","given":"Anthony L.","non-dropping-particle":"","parse-names":false,"suffix":""},{"dropping-particle":"","family":"Miller","given":"Charles C.","non-dropping-particle":"","parse-names":false,"suffix":""},{"dropping-particle":"","family":"Azizzadeh","given":"Ali","non-dropping-particle":"","parse-names":false,"suffix":""},{"dropping-particle":"","family":"Irani","given":"Adel","non-dropping-particle":"","parse-names":false,"suffix":""},{"dropping-particle":"","family":"Wegryn","given":"Tara L.","non-dropping-particle":"","parse-names":false,"suffix":""},{"dropping-particle":"","family":"Safi","given":"Hazim J.","non-dropping-particle":"","parse-names":false,"suffix":""}],"container-title":"Annals of Thoracic Surgery","id":"ITEM-1","issue":"3","issued":{"date-parts":[["2007"]]},"page":"782-788","title":"Role of Somatosensory Evoked Potentials in Predicting Outcome During Thoracoabdominal Aortic Repair","type":"article-journal","volume":"84"},"uris":["http://www.mendeley.com/documents/?uuid=ae7528c5-28f2-431c-bc99-694f0cb877db"]}],"mendeley":{"formattedCitation":"(Achouh et al., 2007)","plainTextFormattedCitation":"(Achouh et al., 2007)","previouslyFormattedCitation":"(Achouh et al., 2007)"},"properties":{"noteIndex":0},"schema":"https://github.com/citation-style-language/schema/raw/master/csl-citation.json"}</w:instrText>
      </w:r>
      <w:r w:rsidR="0042699C" w:rsidRPr="003A1CA0">
        <w:rPr>
          <w:lang w:val="es-CR"/>
        </w:rPr>
        <w:fldChar w:fldCharType="separate"/>
      </w:r>
      <w:r w:rsidR="00FA7019" w:rsidRPr="00FA7019">
        <w:rPr>
          <w:noProof/>
          <w:lang w:val="es-CR"/>
        </w:rPr>
        <w:t>(Achouh et al., 2007)</w:t>
      </w:r>
      <w:r w:rsidR="0042699C" w:rsidRPr="003A1CA0">
        <w:rPr>
          <w:lang w:val="es-CR"/>
        </w:rPr>
        <w:fldChar w:fldCharType="end"/>
      </w:r>
      <w:r w:rsidR="00160017" w:rsidRPr="003A1CA0">
        <w:rPr>
          <w:lang w:val="es-CR"/>
        </w:rPr>
        <w:t xml:space="preserve">; </w:t>
      </w:r>
      <w:r w:rsidR="00664A1B" w:rsidRPr="003A1CA0">
        <w:rPr>
          <w:lang w:val="es-CR"/>
        </w:rPr>
        <w:t>este sienta</w:t>
      </w:r>
      <w:r w:rsidR="00160017" w:rsidRPr="003A1CA0">
        <w:rPr>
          <w:lang w:val="es-CR"/>
        </w:rPr>
        <w:t xml:space="preserve"> la base del algoritmo para optimizar la perfusión de la </w:t>
      </w:r>
      <w:r w:rsidR="003C51C0" w:rsidRPr="003A1CA0">
        <w:rPr>
          <w:lang w:val="es-CR"/>
        </w:rPr>
        <w:t>médula</w:t>
      </w:r>
      <w:r w:rsidR="00160017" w:rsidRPr="003A1CA0">
        <w:rPr>
          <w:lang w:val="es-CR"/>
        </w:rPr>
        <w:t xml:space="preserve"> espinal </w:t>
      </w:r>
      <w:r w:rsidR="00796E0A" w:rsidRPr="003A1CA0">
        <w:rPr>
          <w:lang w:val="es-CR"/>
        </w:rPr>
        <w:t xml:space="preserve">(imagen </w:t>
      </w:r>
      <w:r w:rsidR="00EA2516" w:rsidRPr="003A1CA0">
        <w:rPr>
          <w:lang w:val="es-CR"/>
        </w:rPr>
        <w:t>7</w:t>
      </w:r>
      <w:r w:rsidR="00796E0A" w:rsidRPr="003A1CA0">
        <w:rPr>
          <w:lang w:val="es-CR"/>
        </w:rPr>
        <w:t xml:space="preserve">). </w:t>
      </w:r>
    </w:p>
    <w:p w14:paraId="681C8351" w14:textId="04BCFF0F" w:rsidR="00796E0A" w:rsidRPr="003A1CA0" w:rsidRDefault="00796E0A" w:rsidP="00796E0A">
      <w:pPr>
        <w:spacing w:after="0"/>
        <w:ind w:firstLine="0"/>
        <w:jc w:val="center"/>
        <w:rPr>
          <w:lang w:val="es-CR"/>
        </w:rPr>
      </w:pPr>
      <w:r w:rsidRPr="003A1CA0">
        <w:rPr>
          <w:noProof/>
          <w:lang w:val="es-CR"/>
        </w:rPr>
        <w:lastRenderedPageBreak/>
        <w:drawing>
          <wp:inline distT="0" distB="0" distL="0" distR="0" wp14:anchorId="00D034A5" wp14:editId="57194820">
            <wp:extent cx="3625962" cy="4606506"/>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34522" cy="4617381"/>
                    </a:xfrm>
                    <a:prstGeom prst="rect">
                      <a:avLst/>
                    </a:prstGeom>
                    <a:noFill/>
                    <a:ln>
                      <a:noFill/>
                    </a:ln>
                  </pic:spPr>
                </pic:pic>
              </a:graphicData>
            </a:graphic>
          </wp:inline>
        </w:drawing>
      </w:r>
    </w:p>
    <w:p w14:paraId="486D0ADB" w14:textId="788EE0B6" w:rsidR="00160017" w:rsidRDefault="00796E0A" w:rsidP="00083574">
      <w:pPr>
        <w:pStyle w:val="Prrafodelista1"/>
        <w:spacing w:after="0"/>
        <w:rPr>
          <w:lang w:val="es-CR"/>
        </w:rPr>
      </w:pPr>
      <w:r w:rsidRPr="003A1CA0">
        <w:rPr>
          <w:lang w:val="es-CR"/>
        </w:rPr>
        <w:t xml:space="preserve">Imagen </w:t>
      </w:r>
      <w:r w:rsidR="00EA2516" w:rsidRPr="003A1CA0">
        <w:rPr>
          <w:lang w:val="es-CR"/>
        </w:rPr>
        <w:t>7.</w:t>
      </w:r>
      <w:r w:rsidRPr="003A1CA0">
        <w:rPr>
          <w:lang w:val="es-CR"/>
        </w:rPr>
        <w:t xml:space="preserve"> Algoritmo de maniobras intraoperatorias</w:t>
      </w:r>
    </w:p>
    <w:p w14:paraId="068DEF97" w14:textId="4006EF64" w:rsidR="00083574" w:rsidRDefault="00083574" w:rsidP="00083574">
      <w:pPr>
        <w:pStyle w:val="Prrafodelista1"/>
        <w:rPr>
          <w:lang w:val="es-CR"/>
        </w:rPr>
      </w:pPr>
      <w:r w:rsidRPr="001A1B73">
        <w:rPr>
          <w:lang w:val="es-CR"/>
        </w:rPr>
        <w:t xml:space="preserve">Fuente: Tomado de </w:t>
      </w:r>
      <w:r>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Pr>
          <w:lang w:val="es-CR"/>
        </w:rPr>
        <w:fldChar w:fldCharType="separate"/>
      </w:r>
      <w:r w:rsidR="0091486C" w:rsidRPr="0091486C">
        <w:rPr>
          <w:noProof/>
          <w:lang w:val="es-CR"/>
        </w:rPr>
        <w:t>(Oderich, 2017)</w:t>
      </w:r>
      <w:r>
        <w:rPr>
          <w:lang w:val="es-CR"/>
        </w:rPr>
        <w:fldChar w:fldCharType="end"/>
      </w:r>
    </w:p>
    <w:p w14:paraId="4EA2C0B7" w14:textId="228E59AF" w:rsidR="009637A0" w:rsidRPr="003A1CA0" w:rsidRDefault="00157AE6" w:rsidP="00157AE6">
      <w:pPr>
        <w:rPr>
          <w:lang w:val="es-CR"/>
        </w:rPr>
      </w:pPr>
      <w:r w:rsidRPr="003A1CA0">
        <w:rPr>
          <w:lang w:val="es-CR"/>
        </w:rPr>
        <w:t>Es esencial contar con un anestesiólogo experimentado</w:t>
      </w:r>
      <w:r w:rsidR="009637A0" w:rsidRPr="003A1CA0">
        <w:rPr>
          <w:lang w:val="es-CR"/>
        </w:rPr>
        <w:t xml:space="preserve"> en el manejo de SCI</w:t>
      </w:r>
      <w:r w:rsidR="00C23413">
        <w:rPr>
          <w:lang w:val="es-CR"/>
        </w:rPr>
        <w:t xml:space="preserve">, y es aquí </w:t>
      </w:r>
      <w:r w:rsidR="00F01770">
        <w:rPr>
          <w:lang w:val="es-CR"/>
        </w:rPr>
        <w:t>donde</w:t>
      </w:r>
      <w:r w:rsidR="00C23413">
        <w:rPr>
          <w:lang w:val="es-CR"/>
        </w:rPr>
        <w:t xml:space="preserve"> </w:t>
      </w:r>
      <w:r w:rsidR="009637A0" w:rsidRPr="003A1CA0">
        <w:rPr>
          <w:lang w:val="es-CR"/>
        </w:rPr>
        <w:t xml:space="preserve">la valoración del paciente en conjunto </w:t>
      </w:r>
      <w:r w:rsidR="00C23413">
        <w:rPr>
          <w:lang w:val="es-CR"/>
        </w:rPr>
        <w:t xml:space="preserve">con el equipo de anestesia se considera fundamental </w:t>
      </w:r>
      <w:r w:rsidR="009637A0" w:rsidRPr="003A1CA0">
        <w:rPr>
          <w:lang w:val="es-CR"/>
        </w:rPr>
        <w:t xml:space="preserve">para determinar un plan quirúrgico eficiente. </w:t>
      </w:r>
    </w:p>
    <w:p w14:paraId="406FFFE1" w14:textId="6D845026" w:rsidR="00157AE6" w:rsidRPr="003A1CA0" w:rsidRDefault="00157AE6" w:rsidP="00157AE6">
      <w:pPr>
        <w:rPr>
          <w:lang w:val="es-CR"/>
        </w:rPr>
      </w:pPr>
      <w:r w:rsidRPr="003A1CA0">
        <w:rPr>
          <w:lang w:val="es-CR"/>
        </w:rPr>
        <w:t xml:space="preserve">Las maniobras compensatorias son realizadas </w:t>
      </w:r>
      <w:r w:rsidR="00C23413">
        <w:rPr>
          <w:lang w:val="es-CR"/>
        </w:rPr>
        <w:t>inicialmente</w:t>
      </w:r>
      <w:r w:rsidRPr="003A1CA0">
        <w:rPr>
          <w:lang w:val="es-CR"/>
        </w:rPr>
        <w:t xml:space="preserve"> por el anestesiólogo y posteriormente por el cirujano;</w:t>
      </w:r>
      <w:r w:rsidR="009637A0" w:rsidRPr="003A1CA0">
        <w:rPr>
          <w:lang w:val="es-CR"/>
        </w:rPr>
        <w:t xml:space="preserve"> durante la cirugía e</w:t>
      </w:r>
      <w:r w:rsidRPr="003A1CA0">
        <w:rPr>
          <w:lang w:val="es-CR"/>
        </w:rPr>
        <w:t xml:space="preserve">l cirujano debe excluir un </w:t>
      </w:r>
      <w:r w:rsidR="009637A0" w:rsidRPr="003A1CA0">
        <w:rPr>
          <w:lang w:val="es-CR"/>
        </w:rPr>
        <w:t>número</w:t>
      </w:r>
      <w:r w:rsidRPr="003A1CA0">
        <w:rPr>
          <w:lang w:val="es-CR"/>
        </w:rPr>
        <w:t xml:space="preserve"> mínimo necesario de </w:t>
      </w:r>
      <w:r w:rsidR="003C51C0" w:rsidRPr="003A1CA0">
        <w:rPr>
          <w:lang w:val="es-CR"/>
        </w:rPr>
        <w:t>A.</w:t>
      </w:r>
      <w:r w:rsidRPr="003A1CA0">
        <w:rPr>
          <w:lang w:val="es-CR"/>
        </w:rPr>
        <w:t xml:space="preserve"> intercostales, evitar cubrir la </w:t>
      </w:r>
      <w:r w:rsidR="003C51C0" w:rsidRPr="003A1CA0">
        <w:rPr>
          <w:lang w:val="es-CR"/>
        </w:rPr>
        <w:t>A.</w:t>
      </w:r>
      <w:r w:rsidRPr="003A1CA0">
        <w:rPr>
          <w:lang w:val="es-CR"/>
        </w:rPr>
        <w:t xml:space="preserve"> subclavia </w:t>
      </w:r>
      <w:r w:rsidR="00C23413">
        <w:rPr>
          <w:lang w:val="es-CR"/>
        </w:rPr>
        <w:t>asi como la</w:t>
      </w:r>
      <w:r w:rsidRPr="003A1CA0">
        <w:rPr>
          <w:lang w:val="es-CR"/>
        </w:rPr>
        <w:t xml:space="preserve"> </w:t>
      </w:r>
      <w:r w:rsidR="009637A0" w:rsidRPr="003A1CA0">
        <w:rPr>
          <w:lang w:val="es-CR"/>
        </w:rPr>
        <w:t>hipogástrica</w:t>
      </w:r>
      <w:r w:rsidRPr="003A1CA0">
        <w:rPr>
          <w:lang w:val="es-CR"/>
        </w:rPr>
        <w:t>,</w:t>
      </w:r>
      <w:r w:rsidR="009637A0" w:rsidRPr="003A1CA0">
        <w:rPr>
          <w:lang w:val="es-CR"/>
        </w:rPr>
        <w:t xml:space="preserve"> y </w:t>
      </w:r>
      <w:r w:rsidRPr="003A1CA0">
        <w:rPr>
          <w:lang w:val="es-CR"/>
        </w:rPr>
        <w:t xml:space="preserve">evitar la </w:t>
      </w:r>
      <w:r w:rsidR="009637A0" w:rsidRPr="003A1CA0">
        <w:rPr>
          <w:lang w:val="es-CR"/>
        </w:rPr>
        <w:t>manipulación</w:t>
      </w:r>
      <w:r w:rsidRPr="003A1CA0">
        <w:rPr>
          <w:lang w:val="es-CR"/>
        </w:rPr>
        <w:t xml:space="preserve"> excesiva de injertos.</w:t>
      </w:r>
      <w:r w:rsidR="009637A0" w:rsidRPr="003A1CA0">
        <w:rPr>
          <w:lang w:val="es-CR"/>
        </w:rPr>
        <w:t xml:space="preserve"> Además</w:t>
      </w:r>
      <w:r w:rsidR="00EA2516" w:rsidRPr="003A1CA0">
        <w:rPr>
          <w:lang w:val="es-CR"/>
        </w:rPr>
        <w:t>, se</w:t>
      </w:r>
      <w:r w:rsidR="009637A0" w:rsidRPr="003A1CA0">
        <w:rPr>
          <w:lang w:val="es-CR"/>
        </w:rPr>
        <w:t xml:space="preserve"> debe estar atento a los cambios en el neuromonitoreo y tener una comunicación </w:t>
      </w:r>
      <w:r w:rsidR="009637A0" w:rsidRPr="003A1CA0">
        <w:rPr>
          <w:lang w:val="es-CR"/>
        </w:rPr>
        <w:lastRenderedPageBreak/>
        <w:t>asertiva constante con el anestesiólogo para poder realizar las maniobras de reperfusión cuando sean necesarias.</w:t>
      </w:r>
    </w:p>
    <w:p w14:paraId="471F0602" w14:textId="696B74B9" w:rsidR="00AB5B91" w:rsidRPr="003A1CA0" w:rsidRDefault="00AB5B91" w:rsidP="00F01770">
      <w:pPr>
        <w:spacing w:after="0"/>
        <w:rPr>
          <w:lang w:val="es-CR"/>
        </w:rPr>
      </w:pPr>
      <w:r w:rsidRPr="003A1CA0">
        <w:rPr>
          <w:lang w:val="es-CR"/>
        </w:rPr>
        <w:t xml:space="preserve">Resumen de Estrategias preventivas </w:t>
      </w:r>
      <w:r w:rsidR="00D22AD1" w:rsidRPr="003A1CA0">
        <w:rPr>
          <w:lang w:val="es-CR"/>
        </w:rPr>
        <w:t>trans operatorias</w:t>
      </w:r>
      <w:r w:rsidR="00F01770">
        <w:rPr>
          <w:lang w:val="es-CR"/>
        </w:rPr>
        <w:t xml:space="preserve"> </w:t>
      </w:r>
      <w:r w:rsidRPr="003A1CA0">
        <w:rPr>
          <w:lang w:val="es-CR"/>
        </w:rPr>
        <w:fldChar w:fldCharType="begin" w:fldLock="1"/>
      </w:r>
      <w:r w:rsidR="0091486C">
        <w:rPr>
          <w:lang w:val="es-CR"/>
        </w:rPr>
        <w:instrText>ADDIN CSL_CITATION {"citationItems":[{"id":"ITEM-1","itemData":{"ISSN":"00219509","PMID":"26731537","abstract":"Despite the improved understanding of spinal cord anatomy and spinal cord ischemia pathophysiology, the rate of debilitating postoperative paraparesis or paraplegia is still not negligible after procedures for thoracic or thoracoabdominal aortic disease. Single studies have demonstrated the role of different treatment modalities to prevent or treat spinal cord ischemia. A multimodal approach, however, is advocated by most authors. Even after the employment of endovascular techniques become routine, the rate of spinal cord ischemia after treatment of thoracoabdominal aortic pathology remained unchanged over time. Spinal cord ischemia is often treatable by different means that concur to improve indirect spinal perfusion through collateral circulation; it should, therefore, be managed promptly and aggressively due to its potential reversibility. Ongoing technical improvements of non-invasive diagnostic tools may allow a better preoperative assessment of the spinal vascular network and a better planning of both open and endovascular thoracic or thoracoabdominal repair.","author":[{"dropping-particle":"","family":"Melissano","given":"Germano","non-dropping-particle":"","parse-names":false,"suffix":""},{"dropping-particle":"","family":"Bertoglio","given":"Luca","non-dropping-particle":"","parse-names":false,"suffix":""},{"dropping-particle":"","family":"Mascia","given":"Daniele","non-dropping-particle":"","parse-names":false,"suffix":""},{"dropping-particle":"","family":"Rinaldi","given":"Enrico","non-dropping-particle":"","parse-names":false,"suffix":""},{"dropping-particle":"","family":"Carrop","given":"Ubaldo","non-dropping-particle":"Del","parse-names":false,"suffix":""},{"dropping-particle":"","family":"Nardelli","given":"Asquale","non-dropping-particle":"","parse-names":false,"suffix":""},{"dropping-particle":"","family":"Chiesa","given":"Roberto","non-dropping-particle":"","parse-names":false,"suffix":""}],"container-title":"Journal of Cardiovascular Surgery","id":"ITEM-1","issue":"2","issued":{"date-parts":[["2016"]]},"page":"191-201","title":"Spinal cord ischemia is multifactorial: What is the best protocol?","type":"article-journal","volume":"57"},"uris":["http://www.mendeley.com/documents/?uuid=0524e5a3-e7a6-44c1-b114-0a26090a5229"]},{"id":"ITEM-2","itemData":{"DOI":"10.5772/19640","author":[{"dropping-particle":"","family":"Ohsawa","given":"Suguru","non-dropping-particle":"","parse-names":false,"suffix":""},{"dropping-particle":"","family":"Hirabayashi","given":"Shinji","non-dropping-particle":"","parse-names":false,"suffix":""}],"container-title":"Diagnosis, Screening and Treatment of Abdominal, Thoracoabdominal and Thoracic Aortic Aneurysms","edition":"1","editor":[{"dropping-particle":"","family":"Grundmann","given":"Reinhart","non-dropping-particle":"","parse-names":false,"suffix":""}],"id":"ITEM-2","issued":{"date-parts":[["2011"]]},"publisher":"InTech","publisher-place":"Kreiskliniken Reutlingen, Germany","title":"Rehabilitation for Spinal Cord Injury Caused by Thoracic Aortic Aneurysm","type":"book"},"uris":["http://www.mendeley.com/documents/?uuid=0f69b37e-1923-4af7-a60c-c4609b8c7379"]}],"mendeley":{"formattedCitation":"(Germano Melissano et al., 2016; Ohsawa &amp; Hirabayashi, 2011)","plainTextFormattedCitation":"(Germano Melissano et al., 2016; Ohsawa &amp; Hirabayashi, 2011)","previouslyFormattedCitation":"(Germano Melissano et al., 2016; Ohsawa &amp; Hirabayashi, 2011)"},"properties":{"noteIndex":0},"schema":"https://github.com/citation-style-language/schema/raw/master/csl-citation.json"}</w:instrText>
      </w:r>
      <w:r w:rsidRPr="003A1CA0">
        <w:rPr>
          <w:lang w:val="es-CR"/>
        </w:rPr>
        <w:fldChar w:fldCharType="separate"/>
      </w:r>
      <w:r w:rsidR="00FA7019" w:rsidRPr="00FA7019">
        <w:rPr>
          <w:noProof/>
          <w:lang w:val="es-CR"/>
        </w:rPr>
        <w:t>(Germano Melissano et al., 2016; Ohsawa &amp; Hirabayashi, 2011)</w:t>
      </w:r>
      <w:r w:rsidRPr="003A1CA0">
        <w:rPr>
          <w:lang w:val="es-CR"/>
        </w:rPr>
        <w:fldChar w:fldCharType="end"/>
      </w:r>
      <w:r w:rsidR="00F01770">
        <w:rPr>
          <w:lang w:val="es-CR"/>
        </w:rPr>
        <w:t>:</w:t>
      </w:r>
    </w:p>
    <w:p w14:paraId="0C365159" w14:textId="0413577B" w:rsidR="00AB5B91" w:rsidRPr="003A1CA0" w:rsidRDefault="00D22AD1" w:rsidP="00F01770">
      <w:pPr>
        <w:numPr>
          <w:ilvl w:val="0"/>
          <w:numId w:val="2"/>
        </w:numPr>
        <w:spacing w:after="0"/>
        <w:contextualSpacing/>
        <w:rPr>
          <w:rFonts w:eastAsia="Times New Roman" w:cs="Times New Roman"/>
          <w:lang w:val="es-CR"/>
        </w:rPr>
      </w:pPr>
      <w:r w:rsidRPr="003A1CA0">
        <w:rPr>
          <w:rFonts w:eastAsia="Times New Roman" w:cs="Times New Roman"/>
          <w:lang w:val="es-CR"/>
        </w:rPr>
        <w:t>Reducir</w:t>
      </w:r>
      <w:r w:rsidR="00AB5B91" w:rsidRPr="003A1CA0">
        <w:rPr>
          <w:rFonts w:eastAsia="Times New Roman" w:cs="Times New Roman"/>
          <w:lang w:val="es-CR"/>
        </w:rPr>
        <w:t xml:space="preserve"> el tiempo de isquemia de la </w:t>
      </w:r>
      <w:r w:rsidR="003C51C0" w:rsidRPr="003A1CA0">
        <w:rPr>
          <w:rFonts w:eastAsia="Times New Roman" w:cs="Times New Roman"/>
          <w:lang w:val="es-CR"/>
        </w:rPr>
        <w:t>médula</w:t>
      </w:r>
      <w:r w:rsidR="00AB5B91" w:rsidRPr="003A1CA0">
        <w:rPr>
          <w:rFonts w:eastAsia="Times New Roman" w:cs="Times New Roman"/>
          <w:lang w:val="es-CR"/>
        </w:rPr>
        <w:t xml:space="preserve"> espinal</w:t>
      </w:r>
    </w:p>
    <w:p w14:paraId="6C24FE47" w14:textId="77777777" w:rsidR="00D22AD1" w:rsidRPr="003A1CA0" w:rsidRDefault="00D22AD1" w:rsidP="007B0B9B">
      <w:pPr>
        <w:numPr>
          <w:ilvl w:val="1"/>
          <w:numId w:val="2"/>
        </w:numPr>
        <w:contextualSpacing/>
        <w:rPr>
          <w:rFonts w:eastAsia="Times New Roman" w:cs="Times New Roman"/>
          <w:lang w:val="es-CR"/>
        </w:rPr>
      </w:pPr>
      <w:r w:rsidRPr="003A1CA0">
        <w:rPr>
          <w:rFonts w:eastAsia="Times New Roman" w:cs="Times New Roman"/>
          <w:lang w:val="es-CR"/>
        </w:rPr>
        <w:t>Reconstrucción segmentaria de la aorta descendente</w:t>
      </w:r>
    </w:p>
    <w:p w14:paraId="1ADB75E9" w14:textId="7159E9AC"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Reducir el tiempo de c</w:t>
      </w:r>
      <w:r w:rsidR="003A1CA0" w:rsidRPr="003A1CA0">
        <w:rPr>
          <w:rFonts w:eastAsia="Times New Roman" w:cs="Times New Roman"/>
          <w:lang w:val="es-CR"/>
        </w:rPr>
        <w:t>l</w:t>
      </w:r>
      <w:r w:rsidRPr="003A1CA0">
        <w:rPr>
          <w:rFonts w:eastAsia="Times New Roman" w:cs="Times New Roman"/>
          <w:lang w:val="es-CR"/>
        </w:rPr>
        <w:t xml:space="preserve">ampeo </w:t>
      </w:r>
      <w:r w:rsidR="00D22AD1" w:rsidRPr="003A1CA0">
        <w:rPr>
          <w:rFonts w:eastAsia="Times New Roman" w:cs="Times New Roman"/>
          <w:lang w:val="es-CR"/>
        </w:rPr>
        <w:t>aórtico</w:t>
      </w:r>
    </w:p>
    <w:p w14:paraId="7047366C" w14:textId="4292541B"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 xml:space="preserve">Clampeo </w:t>
      </w:r>
      <w:r w:rsidR="00D22AD1" w:rsidRPr="003A1CA0">
        <w:rPr>
          <w:rFonts w:eastAsia="Times New Roman" w:cs="Times New Roman"/>
          <w:lang w:val="es-CR"/>
        </w:rPr>
        <w:t>aórtico</w:t>
      </w:r>
      <w:r w:rsidRPr="003A1CA0">
        <w:rPr>
          <w:rFonts w:eastAsia="Times New Roman" w:cs="Times New Roman"/>
          <w:lang w:val="es-CR"/>
        </w:rPr>
        <w:t xml:space="preserve"> secuencial</w:t>
      </w:r>
    </w:p>
    <w:p w14:paraId="76FFB1B6" w14:textId="3CA295D0"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 xml:space="preserve">Perfusión </w:t>
      </w:r>
      <w:r w:rsidR="003C51C0" w:rsidRPr="003A1CA0">
        <w:rPr>
          <w:rFonts w:eastAsia="Times New Roman" w:cs="Times New Roman"/>
          <w:lang w:val="es-CR"/>
        </w:rPr>
        <w:t>aórtica</w:t>
      </w:r>
      <w:r w:rsidRPr="003A1CA0">
        <w:rPr>
          <w:rFonts w:eastAsia="Times New Roman" w:cs="Times New Roman"/>
          <w:lang w:val="es-CR"/>
        </w:rPr>
        <w:t xml:space="preserve"> distal</w:t>
      </w:r>
      <w:r w:rsidR="00D22AD1" w:rsidRPr="003A1CA0">
        <w:rPr>
          <w:rFonts w:eastAsia="Times New Roman" w:cs="Times New Roman"/>
          <w:lang w:val="es-CR"/>
        </w:rPr>
        <w:t xml:space="preserve"> con un shunt pasivo</w:t>
      </w:r>
    </w:p>
    <w:p w14:paraId="4A518349" w14:textId="79B2EA39" w:rsidR="00AB5B91" w:rsidRPr="003A1CA0" w:rsidRDefault="00AB5B91" w:rsidP="007B0B9B">
      <w:pPr>
        <w:numPr>
          <w:ilvl w:val="0"/>
          <w:numId w:val="2"/>
        </w:numPr>
        <w:contextualSpacing/>
        <w:rPr>
          <w:rFonts w:eastAsia="Times New Roman" w:cs="Times New Roman"/>
          <w:lang w:val="es-CR"/>
        </w:rPr>
      </w:pPr>
      <w:r w:rsidRPr="003A1CA0">
        <w:rPr>
          <w:rFonts w:eastAsia="Times New Roman" w:cs="Times New Roman"/>
          <w:lang w:val="es-CR"/>
        </w:rPr>
        <w:t xml:space="preserve">Mantener la perfusión de la </w:t>
      </w:r>
      <w:r w:rsidR="003C51C0" w:rsidRPr="003A1CA0">
        <w:rPr>
          <w:rFonts w:eastAsia="Times New Roman" w:cs="Times New Roman"/>
          <w:lang w:val="es-CR"/>
        </w:rPr>
        <w:t>médula</w:t>
      </w:r>
      <w:r w:rsidRPr="003A1CA0">
        <w:rPr>
          <w:rFonts w:eastAsia="Times New Roman" w:cs="Times New Roman"/>
          <w:lang w:val="es-CR"/>
        </w:rPr>
        <w:t xml:space="preserve"> espinal</w:t>
      </w:r>
    </w:p>
    <w:p w14:paraId="0D276F97" w14:textId="1786FB6F" w:rsidR="00D22AD1" w:rsidRPr="003A1CA0" w:rsidRDefault="00D22AD1" w:rsidP="007B0B9B">
      <w:pPr>
        <w:numPr>
          <w:ilvl w:val="1"/>
          <w:numId w:val="2"/>
        </w:numPr>
        <w:contextualSpacing/>
        <w:rPr>
          <w:rFonts w:eastAsia="Times New Roman" w:cs="Times New Roman"/>
          <w:lang w:val="es-CR"/>
        </w:rPr>
      </w:pPr>
      <w:r w:rsidRPr="003A1CA0">
        <w:rPr>
          <w:rFonts w:eastAsia="Times New Roman" w:cs="Times New Roman"/>
          <w:lang w:val="es-CR"/>
        </w:rPr>
        <w:t>Hipertensi</w:t>
      </w:r>
      <w:r w:rsidR="003A1CA0" w:rsidRPr="003A1CA0">
        <w:rPr>
          <w:rFonts w:eastAsia="Times New Roman" w:cs="Times New Roman"/>
          <w:lang w:val="es-CR"/>
        </w:rPr>
        <w:t>ó</w:t>
      </w:r>
      <w:r w:rsidRPr="003A1CA0">
        <w:rPr>
          <w:rFonts w:eastAsia="Times New Roman" w:cs="Times New Roman"/>
          <w:lang w:val="es-CR"/>
        </w:rPr>
        <w:t>n permisiva</w:t>
      </w:r>
      <w:r w:rsidR="003A1CA0" w:rsidRPr="003A1CA0">
        <w:rPr>
          <w:rFonts w:eastAsia="Times New Roman" w:cs="Times New Roman"/>
          <w:lang w:val="es-CR"/>
        </w:rPr>
        <w:t xml:space="preserve"> y d</w:t>
      </w:r>
      <w:r w:rsidRPr="003A1CA0">
        <w:rPr>
          <w:rFonts w:eastAsia="Times New Roman" w:cs="Times New Roman"/>
          <w:lang w:val="es-CR"/>
        </w:rPr>
        <w:t>renaje de LCR</w:t>
      </w:r>
    </w:p>
    <w:p w14:paraId="34265E36" w14:textId="24A3529B" w:rsidR="00AB5B91" w:rsidRPr="003A1CA0" w:rsidRDefault="003A1CA0" w:rsidP="007B0B9B">
      <w:pPr>
        <w:numPr>
          <w:ilvl w:val="1"/>
          <w:numId w:val="2"/>
        </w:numPr>
        <w:contextualSpacing/>
        <w:rPr>
          <w:rFonts w:eastAsia="Times New Roman" w:cs="Times New Roman"/>
          <w:lang w:val="es-CR"/>
        </w:rPr>
      </w:pPr>
      <w:r w:rsidRPr="003A1CA0">
        <w:rPr>
          <w:rFonts w:eastAsia="Times New Roman" w:cs="Times New Roman"/>
          <w:lang w:val="es-CR"/>
        </w:rPr>
        <w:t>Visualización</w:t>
      </w:r>
      <w:r w:rsidR="00AB5B91" w:rsidRPr="003A1CA0">
        <w:rPr>
          <w:rFonts w:eastAsia="Times New Roman" w:cs="Times New Roman"/>
          <w:lang w:val="es-CR"/>
        </w:rPr>
        <w:t xml:space="preserve"> preoperatoria y </w:t>
      </w:r>
      <w:r w:rsidRPr="003A1CA0">
        <w:rPr>
          <w:rFonts w:eastAsia="Times New Roman" w:cs="Times New Roman"/>
          <w:lang w:val="es-CR"/>
        </w:rPr>
        <w:t>revascularización</w:t>
      </w:r>
      <w:r w:rsidR="00AB5B91" w:rsidRPr="003A1CA0">
        <w:rPr>
          <w:rFonts w:eastAsia="Times New Roman" w:cs="Times New Roman"/>
          <w:lang w:val="es-CR"/>
        </w:rPr>
        <w:t xml:space="preserve"> selectiva de </w:t>
      </w:r>
      <w:r w:rsidR="003C51C0" w:rsidRPr="003A1CA0">
        <w:rPr>
          <w:rFonts w:eastAsia="Times New Roman" w:cs="Times New Roman"/>
          <w:lang w:val="es-CR"/>
        </w:rPr>
        <w:t>A.</w:t>
      </w:r>
      <w:r w:rsidR="00AB5B91" w:rsidRPr="003A1CA0">
        <w:rPr>
          <w:rFonts w:eastAsia="Times New Roman" w:cs="Times New Roman"/>
          <w:lang w:val="es-CR"/>
        </w:rPr>
        <w:t xml:space="preserve"> intercostales esenciales</w:t>
      </w:r>
    </w:p>
    <w:p w14:paraId="3EF91D87" w14:textId="15ABC34C"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 xml:space="preserve">Preservar </w:t>
      </w:r>
      <w:r w:rsidR="003C51C0" w:rsidRPr="003A1CA0">
        <w:rPr>
          <w:rFonts w:eastAsia="Times New Roman" w:cs="Times New Roman"/>
          <w:lang w:val="es-CR"/>
        </w:rPr>
        <w:t>A.</w:t>
      </w:r>
      <w:r w:rsidRPr="003A1CA0">
        <w:rPr>
          <w:rFonts w:eastAsia="Times New Roman" w:cs="Times New Roman"/>
          <w:lang w:val="es-CR"/>
        </w:rPr>
        <w:t xml:space="preserve"> subclavias e </w:t>
      </w:r>
      <w:r w:rsidR="003A1CA0" w:rsidRPr="003A1CA0">
        <w:rPr>
          <w:rFonts w:eastAsia="Times New Roman" w:cs="Times New Roman"/>
          <w:lang w:val="es-CR"/>
        </w:rPr>
        <w:t>hipogástricas</w:t>
      </w:r>
    </w:p>
    <w:p w14:paraId="75EE8AB3" w14:textId="1B5C971E"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Evitar reparación simult</w:t>
      </w:r>
      <w:r w:rsidR="00341851">
        <w:rPr>
          <w:rFonts w:eastAsia="Times New Roman" w:cs="Times New Roman"/>
          <w:lang w:val="es-CR"/>
        </w:rPr>
        <w:t>á</w:t>
      </w:r>
      <w:r w:rsidRPr="003A1CA0">
        <w:rPr>
          <w:rFonts w:eastAsia="Times New Roman" w:cs="Times New Roman"/>
          <w:lang w:val="es-CR"/>
        </w:rPr>
        <w:t xml:space="preserve">nea de aorta torácica y abdominal </w:t>
      </w:r>
    </w:p>
    <w:p w14:paraId="5B4BD9E1" w14:textId="77777777" w:rsidR="00AB5B91" w:rsidRPr="003A1CA0" w:rsidRDefault="00AB5B91" w:rsidP="007B0B9B">
      <w:pPr>
        <w:numPr>
          <w:ilvl w:val="0"/>
          <w:numId w:val="2"/>
        </w:numPr>
        <w:contextualSpacing/>
        <w:rPr>
          <w:rFonts w:eastAsia="Times New Roman" w:cs="Times New Roman"/>
          <w:lang w:val="es-CR"/>
        </w:rPr>
      </w:pPr>
      <w:r w:rsidRPr="003A1CA0">
        <w:rPr>
          <w:rFonts w:eastAsia="Times New Roman" w:cs="Times New Roman"/>
          <w:lang w:val="es-CR"/>
        </w:rPr>
        <w:t>Aumentar la tolerancia a isquemia</w:t>
      </w:r>
    </w:p>
    <w:p w14:paraId="07F27977" w14:textId="77777777"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Hipotermia sistémica moderada</w:t>
      </w:r>
    </w:p>
    <w:p w14:paraId="7C2A6CD8" w14:textId="77777777"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Paro circulatorio hipotérmico</w:t>
      </w:r>
    </w:p>
    <w:p w14:paraId="029E9787" w14:textId="77777777"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Enfriamiento epidural selectivo</w:t>
      </w:r>
    </w:p>
    <w:p w14:paraId="1927CFAA" w14:textId="0404CBCE" w:rsidR="00AB5B91" w:rsidRPr="003A1CA0" w:rsidRDefault="003A1CA0" w:rsidP="007B0B9B">
      <w:pPr>
        <w:numPr>
          <w:ilvl w:val="1"/>
          <w:numId w:val="2"/>
        </w:numPr>
        <w:contextualSpacing/>
        <w:rPr>
          <w:rFonts w:eastAsia="Times New Roman" w:cs="Times New Roman"/>
          <w:lang w:val="es-CR"/>
        </w:rPr>
      </w:pPr>
      <w:r w:rsidRPr="003A1CA0">
        <w:rPr>
          <w:rFonts w:eastAsia="Times New Roman" w:cs="Times New Roman"/>
          <w:lang w:val="es-CR"/>
        </w:rPr>
        <w:t>Neuro protección</w:t>
      </w:r>
      <w:r w:rsidR="00AB5B91" w:rsidRPr="003A1CA0">
        <w:rPr>
          <w:rFonts w:eastAsia="Times New Roman" w:cs="Times New Roman"/>
          <w:lang w:val="es-CR"/>
        </w:rPr>
        <w:t xml:space="preserve"> farmacológica</w:t>
      </w:r>
    </w:p>
    <w:p w14:paraId="27567A63" w14:textId="77777777" w:rsidR="00AB5B91" w:rsidRPr="003A1CA0" w:rsidRDefault="00AB5B91" w:rsidP="007B0B9B">
      <w:pPr>
        <w:numPr>
          <w:ilvl w:val="0"/>
          <w:numId w:val="2"/>
        </w:numPr>
        <w:contextualSpacing/>
        <w:rPr>
          <w:rFonts w:eastAsia="Times New Roman" w:cs="Times New Roman"/>
          <w:lang w:val="es-CR"/>
        </w:rPr>
      </w:pPr>
      <w:r w:rsidRPr="003A1CA0">
        <w:rPr>
          <w:rFonts w:eastAsia="Times New Roman" w:cs="Times New Roman"/>
          <w:lang w:val="es-CR"/>
        </w:rPr>
        <w:t>Detección temprana de SCI</w:t>
      </w:r>
    </w:p>
    <w:p w14:paraId="3BA1F956" w14:textId="77777777"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SSEP transoperatorio</w:t>
      </w:r>
    </w:p>
    <w:p w14:paraId="74FA4FF8" w14:textId="4598936F" w:rsidR="00AB5B91" w:rsidRPr="003A1CA0" w:rsidRDefault="00AB5B91" w:rsidP="007B0B9B">
      <w:pPr>
        <w:numPr>
          <w:ilvl w:val="1"/>
          <w:numId w:val="2"/>
        </w:numPr>
        <w:contextualSpacing/>
        <w:rPr>
          <w:rFonts w:eastAsia="Times New Roman" w:cs="Times New Roman"/>
          <w:lang w:val="es-CR"/>
        </w:rPr>
      </w:pPr>
      <w:r w:rsidRPr="003A1CA0">
        <w:rPr>
          <w:rFonts w:eastAsia="Times New Roman" w:cs="Times New Roman"/>
          <w:lang w:val="es-CR"/>
        </w:rPr>
        <w:t>Evaluación neurológica temprana</w:t>
      </w:r>
      <w:r w:rsidR="00D22AD1" w:rsidRPr="003A1CA0">
        <w:rPr>
          <w:rFonts w:eastAsia="Times New Roman" w:cs="Times New Roman"/>
          <w:lang w:val="es-CR"/>
        </w:rPr>
        <w:t xml:space="preserve"> y seriada</w:t>
      </w:r>
    </w:p>
    <w:p w14:paraId="46CFE6B0" w14:textId="5D0466BA" w:rsidR="007211B1" w:rsidRPr="003A1CA0" w:rsidRDefault="007211B1" w:rsidP="00F33A14">
      <w:pPr>
        <w:pStyle w:val="Heading3"/>
        <w:rPr>
          <w:lang w:val="es-CR"/>
        </w:rPr>
      </w:pPr>
      <w:bookmarkStart w:id="40" w:name="_Toc47027848"/>
      <w:r w:rsidRPr="003A1CA0">
        <w:rPr>
          <w:lang w:val="es-CR"/>
        </w:rPr>
        <w:lastRenderedPageBreak/>
        <w:t>N</w:t>
      </w:r>
      <w:r w:rsidR="00A8335D" w:rsidRPr="003A1CA0">
        <w:rPr>
          <w:lang w:val="es-CR"/>
        </w:rPr>
        <w:t>e</w:t>
      </w:r>
      <w:r w:rsidRPr="003A1CA0">
        <w:rPr>
          <w:lang w:val="es-CR"/>
        </w:rPr>
        <w:t>uromonitoreo</w:t>
      </w:r>
      <w:bookmarkEnd w:id="40"/>
    </w:p>
    <w:p w14:paraId="66671F49" w14:textId="7FF0E643" w:rsidR="00B868CB" w:rsidRPr="003A1CA0" w:rsidRDefault="00B868CB" w:rsidP="00B868CB">
      <w:pPr>
        <w:rPr>
          <w:lang w:val="es-CR"/>
        </w:rPr>
      </w:pPr>
      <w:r w:rsidRPr="003A1CA0">
        <w:rPr>
          <w:lang w:val="es-CR"/>
        </w:rPr>
        <w:t xml:space="preserve">El neuromonitoreo es ampliamente usado durante los procedimientos quirúrgicos. La columna anterior o lateral de la </w:t>
      </w:r>
      <w:r w:rsidR="003C51C0" w:rsidRPr="003A1CA0">
        <w:rPr>
          <w:lang w:val="es-CR"/>
        </w:rPr>
        <w:t>médula</w:t>
      </w:r>
      <w:r w:rsidRPr="003A1CA0">
        <w:rPr>
          <w:lang w:val="es-CR"/>
        </w:rPr>
        <w:t xml:space="preserve"> espinal es altamente sensible a la disminución de la perfusión de oxígeno, esto permite identificar datos de isquemia</w:t>
      </w:r>
      <w:r w:rsidR="00C23413">
        <w:rPr>
          <w:lang w:val="es-CR"/>
        </w:rPr>
        <w:t xml:space="preserve"> medular en el tiempo</w:t>
      </w:r>
      <w:r w:rsidRPr="003A1CA0">
        <w:rPr>
          <w:lang w:val="es-CR"/>
        </w:rPr>
        <w:t xml:space="preserve"> intraoperato</w:t>
      </w:r>
      <w:r w:rsidR="00C23413">
        <w:rPr>
          <w:lang w:val="es-CR"/>
        </w:rPr>
        <w:t>rio</w:t>
      </w:r>
      <w:r w:rsidR="00F01770">
        <w:rPr>
          <w:lang w:val="es-CR"/>
        </w:rPr>
        <w:t xml:space="preserve"> </w:t>
      </w:r>
      <w:r w:rsidR="00AB5B91" w:rsidRPr="003A1CA0">
        <w:rPr>
          <w:lang w:val="es-CR"/>
        </w:rPr>
        <w:fldChar w:fldCharType="begin" w:fldLock="1"/>
      </w:r>
      <w:r w:rsidR="001A1B73">
        <w:rPr>
          <w:lang w:val="es-CR"/>
        </w:rPr>
        <w:instrText>ADDIN CSL_CITATION {"citationItems":[{"id":"ITEM-1","itemData":{"DOI":"10.1016/j.atc.2006.08.002","ISSN":"08898537","abstract":"IOM has become commonly used by many surgeons to enhance their intraoperative decision making and reduce the morbidity and mortality of selected procedures. The ability to perform these tests rests on the anesthesiologist's ability to provide the patient with an anesthetic plan that provides comfort and monitoring. When events occur, the anesthesiologist's knowledge and ability to manipulate the patient's physiologic condition become integral to the decision making. A good understanding of the neural anatomy, impact of physiology, and anesthetic medications can allow effective IOM and good team decision making when changes in IOM occur. © 2006 Elsevier Inc. All rights reserved.","author":[{"dropping-particle":"","family":"Jameson","given":"Leslie C.","non-dropping-particle":"","parse-names":false,"suffix":""},{"dropping-particle":"","family":"Sloan","given":"Tod B.","non-dropping-particle":"","parse-names":false,"suffix":""}],"container-title":"Anesthesiology Clinics of North America","id":"ITEM-1","issue":"4","issued":{"date-parts":[["2006"]]},"page":"777-791","title":"Monitoring of the Brain and Spinal Cord","type":"article-journal","volume":"24"},"uris":["http://www.mendeley.com/documents/?uuid=c5179617-1cb1-4ff9-bb4d-3dab87af4e79"]}],"mendeley":{"formattedCitation":"(Jameson &amp; Sloan, 2006)","plainTextFormattedCitation":"(Jameson &amp; Sloan, 2006)","previouslyFormattedCitation":"(Jameson &amp; Sloan, 2006)"},"properties":{"noteIndex":0},"schema":"https://github.com/citation-style-language/schema/raw/master/csl-citation.json"}</w:instrText>
      </w:r>
      <w:r w:rsidR="00AB5B91" w:rsidRPr="003A1CA0">
        <w:rPr>
          <w:lang w:val="es-CR"/>
        </w:rPr>
        <w:fldChar w:fldCharType="separate"/>
      </w:r>
      <w:r w:rsidR="00FA7019" w:rsidRPr="00FA7019">
        <w:rPr>
          <w:noProof/>
          <w:lang w:val="es-CR"/>
        </w:rPr>
        <w:t>(Jameson &amp; Sloan, 2006)</w:t>
      </w:r>
      <w:r w:rsidR="00AB5B91" w:rsidRPr="003A1CA0">
        <w:rPr>
          <w:lang w:val="es-CR"/>
        </w:rPr>
        <w:fldChar w:fldCharType="end"/>
      </w:r>
      <w:r w:rsidRPr="003A1CA0">
        <w:rPr>
          <w:lang w:val="es-CR"/>
        </w:rPr>
        <w:t xml:space="preserve">. </w:t>
      </w:r>
    </w:p>
    <w:p w14:paraId="58D858BA" w14:textId="1249D642" w:rsidR="00B868CB" w:rsidRPr="003A1CA0" w:rsidRDefault="00B868CB" w:rsidP="00B868CB">
      <w:pPr>
        <w:rPr>
          <w:lang w:val="es-CR"/>
        </w:rPr>
      </w:pPr>
      <w:r w:rsidRPr="003A1CA0">
        <w:rPr>
          <w:lang w:val="es-CR"/>
        </w:rPr>
        <w:t xml:space="preserve">En reparación abierta de TAAA el neuromonitoreo guía el proceso de reimplantación de las arterias intercostales mejorando la perfusión </w:t>
      </w:r>
      <w:r w:rsidR="00EA2516" w:rsidRPr="003A1CA0">
        <w:rPr>
          <w:lang w:val="es-CR"/>
        </w:rPr>
        <w:t>medular</w:t>
      </w:r>
      <w:r w:rsidRPr="003A1CA0">
        <w:rPr>
          <w:lang w:val="es-CR"/>
        </w:rPr>
        <w:t xml:space="preserve">. En TEVAR la detección temprana de cambios isquémicos permite identificar pacientes con un riesgo aumentado de SCI con el objetivo de prevenir el deterioro </w:t>
      </w:r>
      <w:r w:rsidR="00190104" w:rsidRPr="003A1CA0">
        <w:rPr>
          <w:lang w:val="es-CR"/>
        </w:rPr>
        <w:t>hemodinámico.</w:t>
      </w:r>
    </w:p>
    <w:p w14:paraId="3CECBECF" w14:textId="57BE9518" w:rsidR="00190104" w:rsidRPr="003A1CA0" w:rsidRDefault="00190104" w:rsidP="00B868CB">
      <w:pPr>
        <w:rPr>
          <w:lang w:val="es-CR"/>
        </w:rPr>
      </w:pPr>
      <w:r w:rsidRPr="003A1CA0">
        <w:rPr>
          <w:lang w:val="es-CR"/>
        </w:rPr>
        <w:t xml:space="preserve">Potenciales Evocados Somatosensoriales (SSEP) y Potenciales Evocados Motores (MEP) son utilizados para el neuromonitoreo. Se </w:t>
      </w:r>
      <w:r w:rsidR="00044890" w:rsidRPr="003A1CA0">
        <w:rPr>
          <w:lang w:val="es-CR"/>
        </w:rPr>
        <w:t>envían</w:t>
      </w:r>
      <w:r w:rsidRPr="003A1CA0">
        <w:rPr>
          <w:lang w:val="es-CR"/>
        </w:rPr>
        <w:t xml:space="preserve"> descargas a la corteza motora a través de electrodos colocados al nivel de C3, C4 y en cuero cabelludo</w:t>
      </w:r>
      <w:r w:rsidR="00044890" w:rsidRPr="003A1CA0">
        <w:rPr>
          <w:lang w:val="es-CR"/>
        </w:rPr>
        <w:t xml:space="preserve"> (MEP)</w:t>
      </w:r>
      <w:r w:rsidRPr="003A1CA0">
        <w:rPr>
          <w:lang w:val="es-CR"/>
        </w:rPr>
        <w:t xml:space="preserve"> cada 10-15min documentando la respuesta de músculos en las extremidades superiores e inferiores</w:t>
      </w:r>
      <w:r w:rsidR="00F01770">
        <w:rPr>
          <w:lang w:val="es-CR"/>
        </w:rPr>
        <w:t xml:space="preserve"> </w:t>
      </w:r>
      <w:r w:rsidR="00615D0F" w:rsidRPr="003A1CA0">
        <w:rPr>
          <w:lang w:val="es-CR"/>
        </w:rPr>
        <w:fldChar w:fldCharType="begin" w:fldLock="1"/>
      </w:r>
      <w:r w:rsidR="001A1B73">
        <w:rPr>
          <w:lang w:val="es-CR"/>
        </w:rPr>
        <w:instrText>ADDIN CSL_CITATION {"citationItems":[{"id":"ITEM-1","itemData":{"DOI":"10.1055/s-2004-830431","ISSN":"01716425","abstract":"Objectives: The article describes a procedure for the intraoperative neurophysiological placement of electrodes to control the spinal cord function during thoracoabdominal aortic aneurysm repair. Material and Methods: Intraoperative monitoring is performed by motor-evoked myogenic potentials after transcranial electric stimulation (tcMEP) and somatosensory-evoked potentials (SSEP). In tcMEP, the stimulating percutaneous needle electrodes are placed at C3 and C4 according to the 10-20 system for EEG recordings. TcMEP are recorded from the anterior tibial and gastrocnemius muscles on both sides. The SSEP electrodes are placed laterally and caudally onto the malleolus medialis in order to stimulate the tibial nerve. The stimulus is documented via electrodes attached to the scalp within the sensory cortex region. Results: The application of the electrodes is both easy to learn and can be performed without further difficulties. Once attached, the electrodes provide a quick assessment and interpretation of spinal cord function. The identification of external sources of disturbance during the monitoring (e. g. insufficient impedance, unfavourable electrode positioning, and technical interference caused by medical equipment) enables the supervisor to differentiate between normal and abnormal neurological responses. Conclusions: TcMEP and SSEP allow an adequate, direct, and reliable intraoperative assessment of spinal cord function, enabling the surgeon to diagnose an impending ischaemia and act accordingly. This measurement technique provides the surgical team with a means of integrating neurological aspects during thoracoabdominal aneurysm repair.","author":[{"dropping-particle":"","family":"Weigang","given":"Ernst","non-dropping-particle":"","parse-names":false,"suffix":""},{"dropping-particle":"","family":"Hartert","given":"M.","non-dropping-particle":"","parse-names":false,"suffix":""},{"dropping-particle":"","family":"Sircar","given":"R.","non-dropping-particle":"","parse-names":false,"suffix":""},{"dropping-particle":"V.","family":"Samson","given":"P.","non-dropping-particle":"","parse-names":false,"suffix":""},{"dropping-particle":"","family":"Pitzer","given":"K.","non-dropping-particle":"","parse-names":false,"suffix":""},{"dropping-particle":"","family":"Genstorfer","given":"J.","non-dropping-particle":"","parse-names":false,"suffix":""},{"dropping-particle":"","family":"Zentner","given":"J.","non-dropping-particle":"","parse-names":false,"suffix":""},{"dropping-particle":"","family":"Beyersdorf","given":"F.","non-dropping-particle":"","parse-names":false,"suffix":""}],"container-title":"Thoracic and Cardiovascular Surgeon","id":"ITEM-1","issue":"1","issued":{"date-parts":[["2005"]]},"page":"28-32","title":"Setup of neurophysiological monitoring with tcMEP/SSEP during thoracoabdominal aneurysm repair","type":"article-journal","volume":"53"},"uris":["http://www.mendeley.com/documents/?uuid=e5343e3d-938d-456e-a9c6-4b8312148504"]}],"mendeley":{"formattedCitation":"(Weigang et al., 2005)","plainTextFormattedCitation":"(Weigang et al., 2005)","previouslyFormattedCitation":"(Weigang et al., 2005)"},"properties":{"noteIndex":0},"schema":"https://github.com/citation-style-language/schema/raw/master/csl-citation.json"}</w:instrText>
      </w:r>
      <w:r w:rsidR="00615D0F" w:rsidRPr="003A1CA0">
        <w:rPr>
          <w:lang w:val="es-CR"/>
        </w:rPr>
        <w:fldChar w:fldCharType="separate"/>
      </w:r>
      <w:r w:rsidR="00FA7019" w:rsidRPr="00FA7019">
        <w:rPr>
          <w:noProof/>
          <w:lang w:val="es-CR"/>
        </w:rPr>
        <w:t>(Weigang et al., 2005)</w:t>
      </w:r>
      <w:r w:rsidR="00615D0F" w:rsidRPr="003A1CA0">
        <w:rPr>
          <w:lang w:val="es-CR"/>
        </w:rPr>
        <w:fldChar w:fldCharType="end"/>
      </w:r>
      <w:r w:rsidRPr="003A1CA0">
        <w:rPr>
          <w:lang w:val="es-CR"/>
        </w:rPr>
        <w:t xml:space="preserve">. </w:t>
      </w:r>
    </w:p>
    <w:p w14:paraId="57A66A11" w14:textId="4CAEDDCB" w:rsidR="002734CF" w:rsidRPr="003A1CA0" w:rsidRDefault="00190104" w:rsidP="002734CF">
      <w:pPr>
        <w:rPr>
          <w:lang w:val="es-CR"/>
        </w:rPr>
      </w:pPr>
      <w:r w:rsidRPr="003A1CA0">
        <w:rPr>
          <w:lang w:val="es-CR"/>
        </w:rPr>
        <w:t>El m</w:t>
      </w:r>
      <w:r w:rsidR="00341851">
        <w:rPr>
          <w:lang w:val="es-CR"/>
        </w:rPr>
        <w:t>ú</w:t>
      </w:r>
      <w:r w:rsidRPr="003A1CA0">
        <w:rPr>
          <w:lang w:val="es-CR"/>
        </w:rPr>
        <w:t xml:space="preserve">sculo extensor común de los </w:t>
      </w:r>
      <w:r w:rsidR="00341851">
        <w:rPr>
          <w:lang w:val="es-CR"/>
        </w:rPr>
        <w:t>dedos</w:t>
      </w:r>
      <w:r w:rsidRPr="003A1CA0">
        <w:rPr>
          <w:lang w:val="es-CR"/>
        </w:rPr>
        <w:t xml:space="preserve"> es utilizado para diferenciar la respuesta neurogénica e identificar datos isquémicos en los miembros inferiores captados en los </w:t>
      </w:r>
      <w:r w:rsidR="00044890" w:rsidRPr="003A1CA0">
        <w:rPr>
          <w:lang w:val="es-CR"/>
        </w:rPr>
        <w:t>electrodos</w:t>
      </w:r>
      <w:r w:rsidRPr="003A1CA0">
        <w:rPr>
          <w:lang w:val="es-CR"/>
        </w:rPr>
        <w:t xml:space="preserve"> subdérmicos bilaterales del electroencefalograma (EEG)</w:t>
      </w:r>
      <w:r w:rsidR="00044890" w:rsidRPr="003A1CA0">
        <w:rPr>
          <w:lang w:val="es-CR"/>
        </w:rPr>
        <w:t>. Los electrodos son colocados en los músculos isquiotibiales, el m</w:t>
      </w:r>
      <w:r w:rsidR="00341851">
        <w:rPr>
          <w:lang w:val="es-CR"/>
        </w:rPr>
        <w:t>ú</w:t>
      </w:r>
      <w:r w:rsidR="00044890" w:rsidRPr="003A1CA0">
        <w:rPr>
          <w:lang w:val="es-CR"/>
        </w:rPr>
        <w:t>sculo</w:t>
      </w:r>
      <w:r w:rsidR="002734CF" w:rsidRPr="003A1CA0">
        <w:rPr>
          <w:lang w:val="es-CR"/>
        </w:rPr>
        <w:t xml:space="preserve"> t</w:t>
      </w:r>
      <w:r w:rsidR="00044890" w:rsidRPr="003A1CA0">
        <w:rPr>
          <w:lang w:val="es-CR"/>
        </w:rPr>
        <w:t>ibial anterior y en el m</w:t>
      </w:r>
      <w:r w:rsidR="00341851">
        <w:rPr>
          <w:lang w:val="es-CR"/>
        </w:rPr>
        <w:t>ú</w:t>
      </w:r>
      <w:r w:rsidR="00044890" w:rsidRPr="003A1CA0">
        <w:rPr>
          <w:lang w:val="es-CR"/>
        </w:rPr>
        <w:t xml:space="preserve">sculo abductor del hallux (ver imagen </w:t>
      </w:r>
      <w:r w:rsidR="003A1CA0" w:rsidRPr="003A1CA0">
        <w:rPr>
          <w:lang w:val="es-CR"/>
        </w:rPr>
        <w:t>8</w:t>
      </w:r>
      <w:r w:rsidR="00044890" w:rsidRPr="003A1CA0">
        <w:rPr>
          <w:lang w:val="es-CR"/>
        </w:rPr>
        <w:t xml:space="preserve"> y </w:t>
      </w:r>
      <w:r w:rsidR="003A1CA0" w:rsidRPr="003A1CA0">
        <w:rPr>
          <w:lang w:val="es-CR"/>
        </w:rPr>
        <w:t>9</w:t>
      </w:r>
      <w:r w:rsidR="00044890" w:rsidRPr="003A1CA0">
        <w:rPr>
          <w:lang w:val="es-CR"/>
        </w:rPr>
        <w:t>).</w:t>
      </w:r>
    </w:p>
    <w:p w14:paraId="6BECF738" w14:textId="77777777" w:rsidR="002734CF" w:rsidRPr="003A1CA0" w:rsidRDefault="002734CF" w:rsidP="003A1CA0">
      <w:pPr>
        <w:spacing w:after="0"/>
        <w:ind w:firstLine="0"/>
        <w:jc w:val="center"/>
        <w:rPr>
          <w:lang w:val="es-CR"/>
        </w:rPr>
      </w:pPr>
      <w:r w:rsidRPr="003A1CA0">
        <w:rPr>
          <w:noProof/>
          <w:lang w:val="es-CR"/>
        </w:rPr>
        <w:lastRenderedPageBreak/>
        <w:drawing>
          <wp:inline distT="0" distB="0" distL="0" distR="0" wp14:anchorId="77EDA6B5" wp14:editId="10719FC5">
            <wp:extent cx="3907767" cy="32983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13665" cy="3303337"/>
                    </a:xfrm>
                    <a:prstGeom prst="rect">
                      <a:avLst/>
                    </a:prstGeom>
                    <a:noFill/>
                    <a:ln>
                      <a:noFill/>
                    </a:ln>
                  </pic:spPr>
                </pic:pic>
              </a:graphicData>
            </a:graphic>
          </wp:inline>
        </w:drawing>
      </w:r>
    </w:p>
    <w:p w14:paraId="7CD5150D" w14:textId="3E1D9069" w:rsidR="002734CF" w:rsidRDefault="002734CF" w:rsidP="00083574">
      <w:pPr>
        <w:pStyle w:val="Prrafodelista1"/>
        <w:spacing w:after="0"/>
        <w:rPr>
          <w:lang w:val="es-CR"/>
        </w:rPr>
      </w:pPr>
      <w:r w:rsidRPr="003A1CA0">
        <w:rPr>
          <w:lang w:val="es-CR"/>
        </w:rPr>
        <w:t>Imagen</w:t>
      </w:r>
      <w:r w:rsidR="003A1CA0" w:rsidRPr="003A1CA0">
        <w:rPr>
          <w:lang w:val="es-CR"/>
        </w:rPr>
        <w:t xml:space="preserve"> 8.</w:t>
      </w:r>
      <w:r w:rsidRPr="003A1CA0">
        <w:rPr>
          <w:lang w:val="es-CR"/>
        </w:rPr>
        <w:t xml:space="preserve"> Colocación de </w:t>
      </w:r>
      <w:r w:rsidR="003A1CA0" w:rsidRPr="003A1CA0">
        <w:rPr>
          <w:lang w:val="es-CR"/>
        </w:rPr>
        <w:t>electrodos</w:t>
      </w:r>
      <w:r w:rsidRPr="003A1CA0">
        <w:rPr>
          <w:lang w:val="es-CR"/>
        </w:rPr>
        <w:t xml:space="preserve"> del EEG</w:t>
      </w:r>
    </w:p>
    <w:p w14:paraId="087FFCBB" w14:textId="5A6E623B" w:rsidR="00083574" w:rsidRDefault="00083574" w:rsidP="00083574">
      <w:pPr>
        <w:pStyle w:val="Prrafodelista1"/>
        <w:rPr>
          <w:lang w:val="es-CR"/>
        </w:rPr>
      </w:pPr>
      <w:r w:rsidRPr="001A1B73">
        <w:rPr>
          <w:lang w:val="es-CR"/>
        </w:rPr>
        <w:t xml:space="preserve">Fuente: Tomado de </w:t>
      </w:r>
      <w:r>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Pr>
          <w:lang w:val="es-CR"/>
        </w:rPr>
        <w:fldChar w:fldCharType="separate"/>
      </w:r>
      <w:r w:rsidR="0091486C" w:rsidRPr="0091486C">
        <w:rPr>
          <w:noProof/>
          <w:lang w:val="es-CR"/>
        </w:rPr>
        <w:t>(Oderich, 2017)</w:t>
      </w:r>
      <w:r>
        <w:rPr>
          <w:lang w:val="es-CR"/>
        </w:rPr>
        <w:fldChar w:fldCharType="end"/>
      </w:r>
    </w:p>
    <w:p w14:paraId="1595A1B7" w14:textId="77777777" w:rsidR="002734CF" w:rsidRPr="003A1CA0" w:rsidRDefault="002734CF" w:rsidP="003A1CA0">
      <w:pPr>
        <w:spacing w:after="0"/>
        <w:ind w:firstLine="0"/>
        <w:jc w:val="center"/>
        <w:rPr>
          <w:lang w:val="es-CR"/>
        </w:rPr>
      </w:pPr>
      <w:r w:rsidRPr="003A1CA0">
        <w:rPr>
          <w:noProof/>
          <w:lang w:val="es-CR"/>
        </w:rPr>
        <w:drawing>
          <wp:inline distT="0" distB="0" distL="0" distR="0" wp14:anchorId="60FD8A5B" wp14:editId="79B1C183">
            <wp:extent cx="5167630" cy="3615055"/>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67630" cy="3615055"/>
                    </a:xfrm>
                    <a:prstGeom prst="rect">
                      <a:avLst/>
                    </a:prstGeom>
                    <a:noFill/>
                    <a:ln>
                      <a:noFill/>
                    </a:ln>
                  </pic:spPr>
                </pic:pic>
              </a:graphicData>
            </a:graphic>
          </wp:inline>
        </w:drawing>
      </w:r>
    </w:p>
    <w:p w14:paraId="2869A50D" w14:textId="7171A7B9" w:rsidR="002734CF" w:rsidRDefault="002734CF" w:rsidP="00083574">
      <w:pPr>
        <w:pStyle w:val="Prrafodelista1"/>
        <w:spacing w:after="0"/>
        <w:rPr>
          <w:lang w:val="es-CR"/>
        </w:rPr>
      </w:pPr>
      <w:r w:rsidRPr="003A1CA0">
        <w:rPr>
          <w:lang w:val="es-CR"/>
        </w:rPr>
        <w:t xml:space="preserve">Imagen </w:t>
      </w:r>
      <w:r w:rsidR="003A1CA0" w:rsidRPr="003A1CA0">
        <w:rPr>
          <w:lang w:val="es-CR"/>
        </w:rPr>
        <w:t>9.</w:t>
      </w:r>
      <w:r w:rsidRPr="003A1CA0">
        <w:rPr>
          <w:lang w:val="es-CR"/>
        </w:rPr>
        <w:t xml:space="preserve"> Vías neuronales de SSEP y MEP</w:t>
      </w:r>
    </w:p>
    <w:p w14:paraId="4A84E238" w14:textId="37B405CE" w:rsidR="00083574" w:rsidRDefault="00083574" w:rsidP="00083574">
      <w:pPr>
        <w:pStyle w:val="Prrafodelista1"/>
        <w:rPr>
          <w:lang w:val="es-CR"/>
        </w:rPr>
      </w:pPr>
      <w:r w:rsidRPr="001A1B73">
        <w:rPr>
          <w:lang w:val="es-CR"/>
        </w:rPr>
        <w:t xml:space="preserve">Fuente: Tomado de </w:t>
      </w:r>
      <w:r>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Pr>
          <w:lang w:val="es-CR"/>
        </w:rPr>
        <w:fldChar w:fldCharType="separate"/>
      </w:r>
      <w:r w:rsidR="0091486C" w:rsidRPr="0091486C">
        <w:rPr>
          <w:noProof/>
          <w:lang w:val="es-CR"/>
        </w:rPr>
        <w:t>(Oderich, 2017)</w:t>
      </w:r>
      <w:r>
        <w:rPr>
          <w:lang w:val="es-CR"/>
        </w:rPr>
        <w:fldChar w:fldCharType="end"/>
      </w:r>
    </w:p>
    <w:p w14:paraId="7D3E7E9E" w14:textId="77777777" w:rsidR="002734CF" w:rsidRPr="003A1CA0" w:rsidRDefault="002734CF" w:rsidP="002734CF">
      <w:pPr>
        <w:rPr>
          <w:lang w:val="es-CR"/>
        </w:rPr>
      </w:pPr>
      <w:r w:rsidRPr="003A1CA0">
        <w:rPr>
          <w:lang w:val="es-CR"/>
        </w:rPr>
        <w:lastRenderedPageBreak/>
        <w:t xml:space="preserve">Una reducción ≥75% de la amplitud basal es considerado significativo para realizar maniobras compensatorias. El primer paso del algoritmo es realizado por anestesia (PAM y pLCR), la normalización del MEP/SSEP posterior a las maniobras permite continuar con el procedimiento quirúrgico como planeado. </w:t>
      </w:r>
    </w:p>
    <w:p w14:paraId="3BCBB163" w14:textId="04C96D3D" w:rsidR="002734CF" w:rsidRPr="003A1CA0" w:rsidRDefault="002734CF" w:rsidP="002734CF">
      <w:pPr>
        <w:rPr>
          <w:lang w:val="es-CR"/>
        </w:rPr>
      </w:pPr>
      <w:r w:rsidRPr="003A1CA0">
        <w:rPr>
          <w:lang w:val="es-CR"/>
        </w:rPr>
        <w:t>Se debe restablecer el flujo sanguíneo en miembros inferiores y pelvis en pacientes sin mejoría o deterioro del neuromonitoreo a pesar de las maniobras iniciales. Si existe normalización de la amplitud basal el procedimiento se finaliza de manera planeada; sin embargo, si el deterioro persiste a pesar del restablecimiento del flujo se debe detener el procedimiento.</w:t>
      </w:r>
    </w:p>
    <w:p w14:paraId="4353A3FD" w14:textId="03E568DD" w:rsidR="00AD0348" w:rsidRPr="003A1CA0" w:rsidRDefault="00AD0348" w:rsidP="002734CF">
      <w:pPr>
        <w:pStyle w:val="Heading3"/>
        <w:rPr>
          <w:lang w:val="es-CR"/>
        </w:rPr>
      </w:pPr>
      <w:bookmarkStart w:id="41" w:name="_Toc47027849"/>
      <w:r w:rsidRPr="003A1CA0">
        <w:rPr>
          <w:lang w:val="es-CR"/>
        </w:rPr>
        <w:t xml:space="preserve">Espectroscopia cercana a </w:t>
      </w:r>
      <w:r w:rsidR="003A1CA0" w:rsidRPr="003A1CA0">
        <w:rPr>
          <w:lang w:val="es-CR"/>
        </w:rPr>
        <w:t>Infrarrojo</w:t>
      </w:r>
      <w:r w:rsidRPr="003A1CA0">
        <w:rPr>
          <w:lang w:val="es-CR"/>
        </w:rPr>
        <w:t xml:space="preserve"> (NIRS)</w:t>
      </w:r>
      <w:bookmarkEnd w:id="41"/>
    </w:p>
    <w:p w14:paraId="3E2C9BA6" w14:textId="16D98203" w:rsidR="00AD0348" w:rsidRPr="003A1CA0" w:rsidRDefault="00AD0348" w:rsidP="00AD0348">
      <w:pPr>
        <w:rPr>
          <w:lang w:val="es-CR"/>
        </w:rPr>
      </w:pPr>
      <w:r w:rsidRPr="003A1CA0">
        <w:rPr>
          <w:lang w:val="es-CR"/>
        </w:rPr>
        <w:t>La espectroscopia es un concepto reciente que permite el monitoreo no invasivo</w:t>
      </w:r>
      <w:r w:rsidR="00083574">
        <w:rPr>
          <w:lang w:val="es-CR"/>
        </w:rPr>
        <w:t xml:space="preserve"> </w:t>
      </w:r>
      <w:r w:rsidR="00EE0A5F" w:rsidRPr="003A1CA0">
        <w:rPr>
          <w:lang w:val="es-CR"/>
        </w:rPr>
        <w:fldChar w:fldCharType="begin" w:fldLock="1"/>
      </w:r>
      <w:r w:rsidR="001A1B73">
        <w:rPr>
          <w:lang w:val="es-CR"/>
        </w:rPr>
        <w:instrText>ADDIN CSL_CITATION {"citationItems":[{"id":"ITEM-1","itemData":{"DOI":"10.1093/bja/aew218","ISSN":"14716771","abstract":"There has been a growing interest in using intraoperative neuromonitoring to reduce the incidence of stroke and paralysis in major vascular interventions. Electroencephalography, various neurophysiological evoked potential measurements, transcranial Doppler, and near-infrared spectroscopy are some of the modalities currently used to detect neural injuries. A good understanding of these modalities and their interactions with anaesthesia is important to maximize their value and to allow meaningful interpretation of their results. In view of the inter-individual differences in anatomy, physiological reserves, and severity of pathological processes, neuromonitoring may be a valuable method to evaluate the well-being of the nervous system during and after surgical interventions. In this review, we summarize some of their applications, efficacies, and drawbacks in major carotid and aortic surgeries.","author":[{"dropping-particle":"","family":"So","given":"V. C.","non-dropping-particle":"","parse-names":false,"suffix":""},{"dropping-particle":"","family":"Poon","given":"C. C.M.","non-dropping-particle":"","parse-names":false,"suffix":""}],"container-title":"British Journal of Anaesthesia","id":"ITEM-1","issued":{"date-parts":[["2016"]]},"page":"ii13-ii25","title":"Intraoperative neuromonitoring in major vascular surgery","type":"article-journal","volume":"117"},"uris":["http://www.mendeley.com/documents/?uuid=d58b137a-6099-4ba6-8218-65a7c4c900ad"]}],"mendeley":{"formattedCitation":"(So &amp; Poon, 2016)","plainTextFormattedCitation":"(So &amp; Poon, 2016)","previouslyFormattedCitation":"(So &amp; Poon, 2016)"},"properties":{"noteIndex":0},"schema":"https://github.com/citation-style-language/schema/raw/master/csl-citation.json"}</w:instrText>
      </w:r>
      <w:r w:rsidR="00EE0A5F" w:rsidRPr="003A1CA0">
        <w:rPr>
          <w:lang w:val="es-CR"/>
        </w:rPr>
        <w:fldChar w:fldCharType="separate"/>
      </w:r>
      <w:r w:rsidR="00FA7019" w:rsidRPr="00FA7019">
        <w:rPr>
          <w:noProof/>
          <w:lang w:val="es-CR"/>
        </w:rPr>
        <w:t>(So &amp; Poon, 2016)</w:t>
      </w:r>
      <w:r w:rsidR="00EE0A5F" w:rsidRPr="003A1CA0">
        <w:rPr>
          <w:lang w:val="es-CR"/>
        </w:rPr>
        <w:fldChar w:fldCharType="end"/>
      </w:r>
      <w:r w:rsidRPr="003A1CA0">
        <w:rPr>
          <w:lang w:val="es-CR"/>
        </w:rPr>
        <w:t xml:space="preserve"> en tiempo real de la saturación de </w:t>
      </w:r>
      <w:r w:rsidR="006B06BE" w:rsidRPr="003A1CA0">
        <w:rPr>
          <w:lang w:val="es-CR"/>
        </w:rPr>
        <w:t>oxígeno</w:t>
      </w:r>
      <w:r w:rsidRPr="003A1CA0">
        <w:rPr>
          <w:lang w:val="es-CR"/>
        </w:rPr>
        <w:t xml:space="preserve"> en la hemoglobina de los músculos paraespinales. NIRS </w:t>
      </w:r>
      <w:r w:rsidR="006B06BE" w:rsidRPr="003A1CA0">
        <w:rPr>
          <w:lang w:val="es-CR"/>
        </w:rPr>
        <w:t>evalúa</w:t>
      </w:r>
      <w:r w:rsidRPr="003A1CA0">
        <w:rPr>
          <w:lang w:val="es-CR"/>
        </w:rPr>
        <w:t xml:space="preserve"> la capacidad de las vías colaterales para mantener la perfusión espinal.</w:t>
      </w:r>
    </w:p>
    <w:p w14:paraId="078F6A0E" w14:textId="1E129E5E" w:rsidR="006B06BE" w:rsidRPr="003A1CA0" w:rsidRDefault="006B06BE" w:rsidP="00AD0348">
      <w:pPr>
        <w:rPr>
          <w:lang w:val="es-CR"/>
        </w:rPr>
      </w:pPr>
      <w:r w:rsidRPr="003A1CA0">
        <w:rPr>
          <w:lang w:val="es-CR"/>
        </w:rPr>
        <w:t>NIRS predice de manera segura síntomas de SCI y los resultados se correlacionan adecuadamente con los datos obtenidos con MEP; con la ventaja de que la medición con NIRS no se ve afectada por cambios isquémicos y puede utilizarse en el periodo postoperatorio.</w:t>
      </w:r>
    </w:p>
    <w:p w14:paraId="499D3BEE" w14:textId="1A485A15" w:rsidR="00AB5B91" w:rsidRPr="003A1CA0" w:rsidRDefault="006B06BE" w:rsidP="00AB5B91">
      <w:pPr>
        <w:rPr>
          <w:lang w:val="es-CR"/>
        </w:rPr>
      </w:pPr>
      <w:r w:rsidRPr="003A1CA0">
        <w:rPr>
          <w:lang w:val="es-CR"/>
        </w:rPr>
        <w:t xml:space="preserve">Cabe destacar que se requieren </w:t>
      </w:r>
      <w:r w:rsidR="00EE0A5F" w:rsidRPr="003A1CA0">
        <w:rPr>
          <w:lang w:val="es-CR"/>
        </w:rPr>
        <w:t>más</w:t>
      </w:r>
      <w:r w:rsidRPr="003A1CA0">
        <w:rPr>
          <w:lang w:val="es-CR"/>
        </w:rPr>
        <w:t xml:space="preserve"> estudios para determinar si los datos obtenidos son reproducibles.</w:t>
      </w:r>
      <w:r w:rsidR="00AB5B91" w:rsidRPr="003A1CA0">
        <w:rPr>
          <w:lang w:val="es-CR"/>
        </w:rPr>
        <w:t xml:space="preserve"> </w:t>
      </w:r>
    </w:p>
    <w:p w14:paraId="6FACDE2A" w14:textId="67DA852C" w:rsidR="002734CF" w:rsidRPr="003A1CA0" w:rsidRDefault="002734CF" w:rsidP="002734CF">
      <w:pPr>
        <w:pStyle w:val="Heading3"/>
        <w:rPr>
          <w:lang w:val="es-CR"/>
        </w:rPr>
      </w:pPr>
      <w:bookmarkStart w:id="42" w:name="_Toc47027850"/>
      <w:r w:rsidRPr="003A1CA0">
        <w:rPr>
          <w:lang w:val="es-CR"/>
        </w:rPr>
        <w:lastRenderedPageBreak/>
        <w:t>Manejo Presión Arterial</w:t>
      </w:r>
      <w:bookmarkEnd w:id="42"/>
    </w:p>
    <w:p w14:paraId="55D3E0D3" w14:textId="0D066020" w:rsidR="002734CF" w:rsidRPr="003A1CA0" w:rsidRDefault="002734CF" w:rsidP="002734CF">
      <w:pPr>
        <w:rPr>
          <w:lang w:val="es-CR"/>
        </w:rPr>
      </w:pPr>
      <w:r w:rsidRPr="003A1CA0">
        <w:rPr>
          <w:lang w:val="es-CR"/>
        </w:rPr>
        <w:t xml:space="preserve">Hipertensión permisiva transoperatoria con PAM meta de ≥80mmHg titulado según indicadores de neuromonitoreo, se recomienda </w:t>
      </w:r>
      <w:r w:rsidR="00C23413">
        <w:rPr>
          <w:lang w:val="es-CR"/>
        </w:rPr>
        <w:t xml:space="preserve">mantener </w:t>
      </w:r>
      <w:r w:rsidRPr="003A1CA0">
        <w:rPr>
          <w:lang w:val="es-CR"/>
        </w:rPr>
        <w:t>un</w:t>
      </w:r>
      <w:r w:rsidR="00C23413">
        <w:rPr>
          <w:lang w:val="es-CR"/>
        </w:rPr>
        <w:t>a</w:t>
      </w:r>
      <w:r w:rsidRPr="003A1CA0">
        <w:rPr>
          <w:lang w:val="es-CR"/>
        </w:rPr>
        <w:t xml:space="preserve"> PAM &gt;100mmHg si hay una disminución en la amplitud basal</w:t>
      </w:r>
    </w:p>
    <w:p w14:paraId="3C64EA53" w14:textId="77777777" w:rsidR="002734CF" w:rsidRPr="003A1CA0" w:rsidRDefault="002734CF" w:rsidP="002734CF">
      <w:pPr>
        <w:pStyle w:val="Heading3"/>
        <w:rPr>
          <w:lang w:val="es-CR"/>
        </w:rPr>
      </w:pPr>
      <w:bookmarkStart w:id="43" w:name="_Toc47027851"/>
      <w:r w:rsidRPr="003A1CA0">
        <w:rPr>
          <w:lang w:val="es-CR"/>
        </w:rPr>
        <w:t>Drenaje de LCR</w:t>
      </w:r>
      <w:bookmarkEnd w:id="43"/>
    </w:p>
    <w:p w14:paraId="067E4CAB" w14:textId="315D68BC" w:rsidR="002734CF" w:rsidRPr="003A1CA0" w:rsidRDefault="002734CF" w:rsidP="002734CF">
      <w:pPr>
        <w:rPr>
          <w:lang w:val="es-CR"/>
        </w:rPr>
      </w:pPr>
      <w:r w:rsidRPr="003A1CA0">
        <w:rPr>
          <w:lang w:val="es-CR"/>
        </w:rPr>
        <w:t>La Asociación Americana del Corazón (AHA por sus siglas en inglés) da como recomendación clase I</w:t>
      </w:r>
      <w:r w:rsidR="00083574">
        <w:rPr>
          <w:lang w:val="es-CR"/>
        </w:rPr>
        <w:t xml:space="preserve"> </w:t>
      </w:r>
      <w:r w:rsidRPr="003A1CA0">
        <w:rPr>
          <w:lang w:val="es-CR"/>
        </w:rPr>
        <w:fldChar w:fldCharType="begin" w:fldLock="1"/>
      </w:r>
      <w:r w:rsidR="001A1B73">
        <w:rPr>
          <w:lang w:val="es-CR"/>
        </w:rPr>
        <w:instrText>ADDIN CSL_CITATION {"citationItems":[{"id":"ITEM-1","itemData":{"DOI":"10.1161/CIR.0b013e3181d4739e","ISSN":"15244539","author":[{"dropping-particle":"","family":"Hiratzka","given":"Loren F.","non-dropping-particle":"","parse-names":false,"suffix":""},{"dropping-particle":"","family":"Bakris","given":"George L.","non-dropping-particle":"","parse-names":false,"suffix":""},{"dropping-particle":"","family":"Beckman","given":"Joshua A.","non-dropping-particle":"","parse-names":false,"suffix":""},{"dropping-particle":"","family":"Bersin","given":"Robert M.","non-dropping-particle":"","parse-names":false,"suffix":""},{"dropping-particle":"","family":"Carr","given":"Vincent F.","non-dropping-particle":"","parse-names":false,"suffix":""},{"dropping-particle":"","family":"Casey","given":"Donald E.","non-dropping-particle":"","parse-names":false,"suffix":""},{"dropping-particle":"","family":"Eagle","given":"Kim A.","non-dropping-particle":"","parse-names":false,"suffix":""},{"dropping-particle":"","family":"Hermann","given":"Luke K.","non-dropping-particle":"","parse-names":false,"suffix":""},{"dropping-particle":"","family":"Isselbacher","given":"Eric M.","non-dropping-particle":"","parse-names":false,"suffix":""},{"dropping-particle":"","family":"Kazerooni","given":"Ella A.","non-dropping-particle":"","parse-names":false,"suffix":""},{"dropping-particle":"","family":"Kouchoukos","given":"Nicholas T.","non-dropping-particle":"","parse-names":false,"suffix":""},{"dropping-particle":"","family":"Lytle","given":"Bruce W.","non-dropping-particle":"","parse-names":false,"suffix":""},{"dropping-particle":"","family":"Milewicz","given":"Dianna M.","non-dropping-particle":"","parse-names":false,"suffix":""},{"dropping-particle":"","family":"Reich","given":"David L.","non-dropping-particle":"","parse-names":false,"suffix":""},{"dropping-particle":"","family":"Sen","given":"Souvik","non-dropping-particle":"","parse-names":false,"suffix":""},{"dropping-particle":"","family":"Shinn","given":"Julie A.","non-dropping-particle":"","parse-names":false,"suffix":""},{"dropping-particle":"","family":"Svensson","given":"Lars G.","non-dropping-particle":"","parse-names":false,"suffix":""},{"dropping-particle":"","family":"Williams","given":"David M.","non-dropping-particle":"","parse-names":false,"suffix":""},{"dropping-particle":"","family":"Jacobs","given":"Alice K.","non-dropping-particle":"","parse-names":false,"suffix":""},{"dropping-particle":"","family":"Smith","given":"Sidney C.","non-dropping-particle":"","parse-names":false,"suffix":""},{"dropping-particle":"","family":"Anderson","given":"Jeffery L.","non-dropping-particle":"","parse-names":false,"suffix":""},{"dropping-particle":"","family":"Adams","given":"Cynthia D.","non-dropping-particle":"","parse-names":false,"suffix":""},{"dropping-particle":"","family":"Buller","given":"Christopher E.","non-dropping-particle":"","parse-names":false,"suffix":""},{"dropping-particle":"","family":"Creager","given":"Mark A.","non-dropping-particle":"","parse-names":false,"suffix":""},{"dropping-particle":"","family":"Ettinger","given":"Steven M.","non-dropping-particle":"","parse-names":false,"suffix":""},{"dropping-particle":"","family":"Guyton","given":"Robert A.","non-dropping-particle":"","parse-names":false,"suffix":""},{"dropping-particle":"","family":"Halperin","given":"Jonathan L.","non-dropping-particle":"","parse-names":false,"suffix":""},{"dropping-particle":"","family":"Hunt","given":"Sharon A.","non-dropping-particle":"","parse-names":false,"suffix":""},{"dropping-particle":"","family":"Krumholz","given":"Harlan M.","non-dropping-particle":"","parse-names":false,"suffix":""},{"dropping-particle":"","family":"Kushner","given":"Frederick G.","non-dropping-particle":"","parse-names":false,"suffix":""},{"dropping-particle":"","family":"Nishimura","given":"Rick","non-dropping-particle":"","parse-names":false,"suffix":""},{"dropping-particle":"","family":"Page","given":"Richard L.","non-dropping-particle":"","parse-names":false,"suffix":""},{"dropping-particle":"","family":"Riegel","given":"Barbara","non-dropping-particle":"","parse-names":false,"suffix":""},{"dropping-particle":"","family":"Stevenson","given":"William G.","non-dropping-particle":"","parse-names":false,"suffix":""},{"dropping-particle":"","family":"Tarkington","given":"Lynn G.","non-dropping-particle":"","parse-names":false,"suffix":""},{"dropping-particle":"","family":"Yancy","given":"Clyde W.","non-dropping-particle":"","parse-names":false,"suffix":""}],"container-title":"Circulation","id":"ITEM-1","issue":"13","issued":{"date-parts":[["2010"]]},"page":"266-369","title":"2010 ACCF/AHA/AATS/ACR/ASA/SCA/SCAI/SIR/STS/SVM guidelines for the diagnosis and management of patients with thoracic aortic disease: Executive summary: A report of the american college of cardiology foundation/american heart association task force on pra","type":"article-journal","volume":"121"},"uris":["http://www.mendeley.com/documents/?uuid=e9c5bff2-e24d-4a3c-a808-e50e5eb19779"]}],"mendeley":{"formattedCitation":"(Hiratzka et al., 2010)","plainTextFormattedCitation":"(Hiratzka et al., 2010)","previouslyFormattedCitation":"(Hiratzka et al., 2010)"},"properties":{"noteIndex":0},"schema":"https://github.com/citation-style-language/schema/raw/master/csl-citation.json"}</w:instrText>
      </w:r>
      <w:r w:rsidRPr="003A1CA0">
        <w:rPr>
          <w:lang w:val="es-CR"/>
        </w:rPr>
        <w:fldChar w:fldCharType="separate"/>
      </w:r>
      <w:r w:rsidR="00FA7019" w:rsidRPr="00FA7019">
        <w:rPr>
          <w:noProof/>
          <w:lang w:val="es-CR"/>
        </w:rPr>
        <w:t>(Hiratzka et al., 2010)</w:t>
      </w:r>
      <w:r w:rsidRPr="003A1CA0">
        <w:rPr>
          <w:lang w:val="es-CR"/>
        </w:rPr>
        <w:fldChar w:fldCharType="end"/>
      </w:r>
      <w:r w:rsidRPr="003A1CA0">
        <w:rPr>
          <w:lang w:val="es-CR"/>
        </w:rPr>
        <w:t xml:space="preserve"> el drenaje de líquido cefalorraquídeo (LCR), </w:t>
      </w:r>
      <w:r w:rsidR="00C23413">
        <w:rPr>
          <w:lang w:val="es-CR"/>
        </w:rPr>
        <w:t>consiste en</w:t>
      </w:r>
      <w:r w:rsidRPr="003A1CA0">
        <w:rPr>
          <w:lang w:val="es-CR"/>
        </w:rPr>
        <w:t xml:space="preserve"> una estrategia protectora transoperatoria en pacientes con riesgo aumentado de SCI sometidos a TEVAR o cirugía abierta de TAA</w:t>
      </w:r>
      <w:r w:rsidR="003C51C0" w:rsidRPr="003A1CA0">
        <w:rPr>
          <w:lang w:val="es-CR"/>
        </w:rPr>
        <w:t>A.</w:t>
      </w:r>
    </w:p>
    <w:p w14:paraId="364FFFC8" w14:textId="5D9A81CD" w:rsidR="002734CF" w:rsidRPr="003A1CA0" w:rsidRDefault="002734CF" w:rsidP="002734CF">
      <w:pPr>
        <w:rPr>
          <w:lang w:val="es-CR"/>
        </w:rPr>
      </w:pPr>
      <w:r w:rsidRPr="003A1CA0">
        <w:rPr>
          <w:lang w:val="es-CR"/>
        </w:rPr>
        <w:t>El drenaje profiláctico debe realizarse en pacientes con factor de riesgo aumentado</w:t>
      </w:r>
      <w:r w:rsidR="00083574">
        <w:rPr>
          <w:lang w:val="es-CR"/>
        </w:rPr>
        <w:t xml:space="preserve"> </w:t>
      </w:r>
      <w:r w:rsidR="001D18BC" w:rsidRPr="003A1CA0">
        <w:rPr>
          <w:lang w:val="es-CR"/>
        </w:rPr>
        <w:fldChar w:fldCharType="begin" w:fldLock="1"/>
      </w:r>
      <w:r w:rsidR="001A1B73">
        <w:rPr>
          <w:lang w:val="es-CR"/>
        </w:rPr>
        <w:instrText>ADDIN CSL_CITATION {"citationItems":[{"id":"ITEM-1","itemData":{"DOI":"10.1007/s11748-014-0395-9","ISSN":"18636713","PMID":"24696427","abstract":"The incidence of spinal cord injury in thoracic endovascular aortic repair (TEVAR) has been 3-5 % from recent major papers where sacrifice of the critical intercostal arteries is inevitable by a stent graft. Hemodynamic stability, which depends on a network of blood vessels around the cord is most important not only during but also after stent-graft deployment. High risk factors of spinal cord injury during endovascular aortic repair are (1) coverage of the left subclavian artery, (2) extensive coverage of long segments of the thoracic aorta, (3) prior downstream aortic repair, (4) compromising important intercostal (T8-L1), vertebral, pelvic and hypogastric collaterals, and (5) shaggy aorta. Preoperative, intraoperative, and postoperative managements have been required to prevent spinal cord injury with TEVAR. For imaging assessment of blood supply to spinal cord including Adamkiewicz artery, prophylactic cerebrospinal fluid drainage is mandatory, and monitoring motor-evoked potential is recommended for high risk factors of spinal cord injury. Mean arterial pressure should be maintained over 90 mmHg after stent-graft placement for a while to prevent delayed spinal cord ischemia in high-risk patients of spinal cord ischemia. Finally, because spinal cord injury during TEVAR is not rare and negligible, perioperative care during TEVAR should be strictly performed according to the protocol proposed by each cardiovascular team. © 2014 The Japanese Association for Thoracic Surgery.","author":[{"dropping-particle":"","family":"Uchida","given":"Naomichi","non-dropping-particle":"","parse-names":false,"suffix":""}],"container-title":"General Thoracic and Cardiovascular Surgery","id":"ITEM-1","issue":"7","issued":{"date-parts":[["2014"]]},"page":"391-397","title":"How to prevent spinal cord injury during endovascular repair of thoracic aortic disease","type":"article-journal","volume":"62"},"uris":["http://www.mendeley.com/documents/?uuid=bfd8a604-6f3a-483d-a5db-ef126cc7f46c"]}],"mendeley":{"formattedCitation":"(Uchida, 2014)","plainTextFormattedCitation":"(Uchida, 2014)","previouslyFormattedCitation":"(Uchida, 2014)"},"properties":{"noteIndex":0},"schema":"https://github.com/citation-style-language/schema/raw/master/csl-citation.json"}</w:instrText>
      </w:r>
      <w:r w:rsidR="001D18BC" w:rsidRPr="003A1CA0">
        <w:rPr>
          <w:lang w:val="es-CR"/>
        </w:rPr>
        <w:fldChar w:fldCharType="separate"/>
      </w:r>
      <w:r w:rsidR="00FA7019" w:rsidRPr="00FA7019">
        <w:rPr>
          <w:noProof/>
          <w:lang w:val="es-CR"/>
        </w:rPr>
        <w:t>(Uchida, 2014)</w:t>
      </w:r>
      <w:r w:rsidR="001D18BC" w:rsidRPr="003A1CA0">
        <w:rPr>
          <w:lang w:val="es-CR"/>
        </w:rPr>
        <w:fldChar w:fldCharType="end"/>
      </w:r>
      <w:r w:rsidRPr="003A1CA0">
        <w:rPr>
          <w:lang w:val="es-CR"/>
        </w:rPr>
        <w:t xml:space="preserve">, en casos quirúrgicos que abarquen una cobertura de injerto </w:t>
      </w:r>
      <w:r w:rsidRPr="003A1CA0">
        <w:rPr>
          <w:rFonts w:cs="Arial"/>
          <w:lang w:val="es-CR"/>
        </w:rPr>
        <w:t>≥</w:t>
      </w:r>
      <w:r w:rsidRPr="003A1CA0">
        <w:rPr>
          <w:lang w:val="es-CR"/>
        </w:rPr>
        <w:t>4-5cm o colocación de 2 stents</w:t>
      </w:r>
      <w:r w:rsidR="00083574">
        <w:rPr>
          <w:lang w:val="es-CR"/>
        </w:rPr>
        <w:t xml:space="preserve"> </w:t>
      </w:r>
      <w:r w:rsidR="00AB5B91" w:rsidRPr="003A1CA0">
        <w:rPr>
          <w:lang w:val="es-CR"/>
        </w:rPr>
        <w:fldChar w:fldCharType="begin" w:fldLock="1"/>
      </w:r>
      <w:r w:rsidR="001A1B73">
        <w:rPr>
          <w:lang w:val="es-CR"/>
        </w:rPr>
        <w:instrText>ADDIN CSL_CITATION {"citationItems":[{"id":"ITEM-1","itemData":{"DOI":"10.1177/1526602815620898","ISSN":"15451550","abstract":"Purpose: To review outcomes of continuous motor/somatosensory-evoked potential (MEP/SSEP) monitoring, cerebrospinal fluid drainage, and selective use of iliofemoral conduits in patients undergoing endovascular repair of descending thoracic aneurysm (DTA) and thoracoabdominal aortic aneurysms (TAAAs). Methods: The clinical data of 49 patients (mean age 75±8 years; 38 men) who underwent endovascular repair of DTA and TAAAs (2011-2014) were reviewed. All patients had cerebrospinal fluid drainage, permissive hypertension (mean arterial pressure ≥80 mm Hg), and MEP/SSEP monitoring. There were 44 (90%) patients with TAAAs and 5 (10%) with DTA. Types I and II TAAAs were repaired in staged procedures. Iliofemoral conduits were used for small iliac arteries and to minimize time of lower extremity ischemia in patients with difficult anatomy. In patients with changes in MEP/SSEPs, a standardized protocol was employed to optimize spinal cord perfusion and restore lower extremity blood flow. Endpoints were mortality, spinal cord injury (SCI), and lower extremity ischemic complications. Results: Sixteen (33%) patients had staged TAAA repair. A total of 163 visceral arteries were targeted by fenestrations and branches (mean 3.7±1.0 vessels/patient). Temporary iliofemoral conduits were used in 16 limbs/14 patients. A stable MEP/SSEP was achieved in all patients. Thirty-one (63%) patients had a ≥75% decrease in MEP/SSEP amplitude in 50 limbs starting on average 75±28 minutes after obtaining vascular access. MEP/SSEP amplitude improved with maneuvers in 12 (39%) patients and returned to baseline with restoration of lower extremity flow in all except 1 patient who developed immediate SCI. Thirty-day mortality was 4%. Three (6%) patients had SCI, 2 permanent and 1 temporary at 14 days. There were no lower extremity ischemic complications. Conclusion: Neuromonitoring predicted immediate SCI and allowed use of a protocol to optimize spinal cord and lower extremity perfusion during complex endovascular aortic repair. Larger clinical experience is needed to evaluate the efficacy of neuromonitoring to prevent SCI.","author":[{"dropping-particle":"V.","family":"Banga","given":"Peter","non-dropping-particle":"","parse-names":false,"suffix":""},{"dropping-particle":"","family":"Oderich","given":"Gustavo S.","non-dropping-particle":"","parse-names":false,"suffix":""},{"dropping-particle":"","family":"Souza","given":"Leonardo Reis","non-dropping-particle":"De","parse-names":false,"suffix":""},{"dropping-particle":"","family":"Hofer","given":"Jan","non-dropping-particle":"","parse-names":false,"suffix":""},{"dropping-particle":"","family":"Cazares Gonzalez","given":"Meaghan L.","non-dropping-particle":"","parse-names":false,"suffix":""},{"dropping-particle":"","family":"Pulido","given":"Juan N.","non-dropping-particle":"","parse-names":false,"suffix":""},{"dropping-particle":"","family":"Cha","given":"Stephen","non-dropping-particle":"","parse-names":false,"suffix":""},{"dropping-particle":"","family":"Gloviczki","given":"Peter","non-dropping-particle":"","parse-names":false,"suffix":""}],"container-title":"Journal of Endovascular Therapy","id":"ITEM-1","issue":"1","issued":{"date-parts":[["2016"]]},"page":"139-149","title":"Neuromonitoring, cerebrospinal fluid drainage, and selective use of iliofemoral conduits to minimize risk of spinal cord injury during complex endovascular aortic repair","type":"article-journal","volume":"23"},"uris":["http://www.mendeley.com/documents/?uuid=e37f16ad-bc4d-4003-ba9c-c04afd2ae76a"]}],"mendeley":{"formattedCitation":"(Banga et al., 2016)","plainTextFormattedCitation":"(Banga et al., 2016)","previouslyFormattedCitation":"(Banga et al., 2016)"},"properties":{"noteIndex":0},"schema":"https://github.com/citation-style-language/schema/raw/master/csl-citation.json"}</w:instrText>
      </w:r>
      <w:r w:rsidR="00AB5B91" w:rsidRPr="003A1CA0">
        <w:rPr>
          <w:lang w:val="es-CR"/>
        </w:rPr>
        <w:fldChar w:fldCharType="separate"/>
      </w:r>
      <w:r w:rsidR="00FA7019" w:rsidRPr="00FA7019">
        <w:rPr>
          <w:noProof/>
          <w:lang w:val="es-CR"/>
        </w:rPr>
        <w:t>(Banga et al., 2016)</w:t>
      </w:r>
      <w:r w:rsidR="00AB5B91" w:rsidRPr="003A1CA0">
        <w:rPr>
          <w:lang w:val="es-CR"/>
        </w:rPr>
        <w:fldChar w:fldCharType="end"/>
      </w:r>
      <w:r w:rsidRPr="003A1CA0">
        <w:rPr>
          <w:lang w:val="es-CR"/>
        </w:rPr>
        <w:t xml:space="preserve"> oclusivos por encima del tronco celiaco, el objetivo es mantener la presión del LCR en 10mmHg. </w:t>
      </w:r>
      <w:r w:rsidR="00C23413">
        <w:rPr>
          <w:lang w:val="es-CR"/>
        </w:rPr>
        <w:t xml:space="preserve">Sin </w:t>
      </w:r>
      <w:r w:rsidR="008C7712">
        <w:rPr>
          <w:lang w:val="es-CR"/>
        </w:rPr>
        <w:t>embargo,</w:t>
      </w:r>
      <w:r w:rsidR="00C23413">
        <w:rPr>
          <w:lang w:val="es-CR"/>
        </w:rPr>
        <w:t xml:space="preserve"> se destaca la importancia de evitar</w:t>
      </w:r>
      <w:r w:rsidR="00405B00" w:rsidRPr="003A1CA0">
        <w:rPr>
          <w:lang w:val="es-CR"/>
        </w:rPr>
        <w:t xml:space="preserve"> el drenaje profiláctico en pacientes con TAAA IV-V.</w:t>
      </w:r>
    </w:p>
    <w:p w14:paraId="36147652" w14:textId="44862F4C" w:rsidR="002734CF" w:rsidRPr="003A1CA0" w:rsidRDefault="002734CF" w:rsidP="002734CF">
      <w:pPr>
        <w:rPr>
          <w:lang w:val="es-CR"/>
        </w:rPr>
      </w:pPr>
      <w:r w:rsidRPr="003A1CA0">
        <w:rPr>
          <w:lang w:val="es-CR"/>
        </w:rPr>
        <w:t xml:space="preserve">El drenaje espinal debe abrirse por 15 min cada hora con un drenaje máximo de </w:t>
      </w:r>
      <w:r w:rsidR="00E84E01" w:rsidRPr="003A1CA0">
        <w:rPr>
          <w:lang w:val="es-CR"/>
        </w:rPr>
        <w:t>15-</w:t>
      </w:r>
      <w:r w:rsidRPr="003A1CA0">
        <w:rPr>
          <w:lang w:val="es-CR"/>
        </w:rPr>
        <w:t>20ml por hora</w:t>
      </w:r>
      <w:r w:rsidR="00083574">
        <w:rPr>
          <w:lang w:val="es-CR"/>
        </w:rPr>
        <w:t xml:space="preserve"> </w:t>
      </w:r>
      <w:r w:rsidR="001D18BC" w:rsidRPr="003A1CA0">
        <w:rPr>
          <w:lang w:val="es-CR"/>
        </w:rPr>
        <w:fldChar w:fldCharType="begin" w:fldLock="1"/>
      </w:r>
      <w:r w:rsidR="001A1B73">
        <w:rPr>
          <w:lang w:val="es-CR"/>
        </w:rPr>
        <w:instrText>ADDIN CSL_CITATION {"citationItems":[{"id":"ITEM-1","itemData":{"DOI":"10.1002/ana.24610","ISSN":"15318249","PMID":"26841128","abstract":"Objective Motor evoked potentials (MEPs) monitoring can promptly detect spinal cord ischemia (SCI) from aortic clamping during open thoracoabdominal aneurysm repair (OTAAR) with distal aortic perfusion (DAP) and thus help decrease the risk of immediate postoperative SCI (IP-SCI). However, neither stable MEPs during aortic clamp interval (ACI) nor absence of IP-SCI eliminate the possibility of delayed postoperative SCI (DP-SCI). We hypothesized that extension of MEPs monitoring beyond ACI can also help decrease the risk of DP-SCI. Methods We identified 150 consecutive patients at our institution between April 2005 and October 2014 who underwent OTAAR with DAP and MEPs monitoring and had no IP-SCI. Using logistic regression analysis, we studied the independent effect of extended MEPs monitoring on the risk of developing DP-SCI. We used a propensity score analysis to adjust for potential confounders, such as poorly controlled hypertension, previous aneurysm surgery, splenectomy, acute aortic dissection, aneurysm type, older age, and history of diabetes and smoking. Results From the 150 patients, 129 (86%) remained neurologically intact whereas 21 (14%) developed DP-SCI. Nineteen of these twenty-one patients (90%) had no extended monitoring. Fifty-seven of fifty-nine (97%) patients who benefited from extended monitoring had no DP-SCI (p = 0.003). Extended MEPs monitoring was independently associated with decreased risk of DP-SCI (odds ratio = 0.14; 95% confidence interval: 0.03, 0.65; p = 0.01). Interpretation MEPs detect the lowest systemic blood pressure that ensures appropriate spinal cord perfusion in the postoperative period. Thus, they inform the hemodynamic management of patients post-OTAAR, particularly in the absence of a reliable neurological exam.","author":[{"dropping-particle":"","family":"See","given":"Reiner B.","non-dropping-particle":"","parse-names":false,"suffix":""},{"dropping-particle":"","family":"Awosika","given":"Oluwole O.","non-dropping-particle":"","parse-names":false,"suffix":""},{"dropping-particle":"","family":"Cambria","given":"Richard P.","non-dropping-particle":"","parse-names":false,"suffix":""},{"dropping-particle":"","family":"Conrad","given":"Mark F.","non-dropping-particle":"","parse-names":false,"suffix":""},{"dropping-particle":"","family":"Lancaster","given":"Robert T.","non-dropping-particle":"","parse-names":false,"suffix":""},{"dropping-particle":"","family":"Patel","given":"Virendra I.","non-dropping-particle":"","parse-names":false,"suffix":""},{"dropping-particle":"V.","family":"Chitilian","given":"Hovig","non-dropping-particle":"","parse-names":false,"suffix":""},{"dropping-particle":"","family":"Kumar","given":"Sandeep","non-dropping-particle":"","parse-names":false,"suffix":""},{"dropping-particle":"V.","family":"Simon","given":"Mirela","non-dropping-particle":"","parse-names":false,"suffix":""}],"container-title":"Annals of Neurology","id":"ITEM-1","issue":"4","issued":{"date-parts":[["2016"]]},"page":"636-645","title":"Extended Motor Evoked Potentials Monitoring Helps Prevent Delayed Paraplegia after Aortic Surgery","type":"article-journal","volume":"79"},"uris":["http://www.mendeley.com/documents/?uuid=aaf02dc4-637c-445b-9239-1f02d99bcfad"]},{"id":"ITEM-2","itemData":{"DOI":"10.1016/j.jtcvs.2010.07.058","ISSN":"00225223","abstract":"Objective: Monitoring during thoracoabdominal aortic aneurysm repair has included the use of cerebrospinal fluid drainage and motor and somatosensory evoked potentials. We report our experience with neuromonitoring-guided thoracoabdominal aortic aneurysm repair. Methods: Between November 2008 and January 2010, 105 thoracic aorta repairs were performed; 89% of patients (93/105) underwent repair using cerebrospinal fluid drainage and distal aortic perfusion. In addition, somatosensory and motor evoked potentials were monitored during repair, and active intraoperative maneuvers were undertaken in response to changes in the signals. Intraoperative maneuvers included intercostal artery reimplantation. Results: In-hospital mortality for thoracic and thoracoabdominal aortic repair was 5.7% (6/105). Immediate spinal cord injury occurred in 1 patient (1%), and 3 patients (3%) had delayed neurologic deficit. Intercostal arteries were reattached in 85% of possible cases (51/60). Somatosensory evoked potentials achieved adequate readings in 99% of cases (102/103). Loss of somatosensory evoked potential was encountered in 26% of cases (27/102), and return of somatosensory evoked potentials occurred in all cases after intraoperative maneuvers. Motor evoked potentials achieved adequate readings in 96% of cases (99/103). Loss of motor evoked potential was encountered in 50% of cases (50/99), and return of motor evoked potentials occurred in all but 1 case (95%). This patient awoke with an immediate spinal neurologic deficit. Conclusions: Neuromonitoring using somatosensory evoked potentials and motor evoked potentials seems useful during thoracoabdominal aortic aneurysm repair. Alterations in intraoperative conduct resulted in return of neuromonitoring signals. This suggests a benefit in intercostal artery reimplantation via increasing perfusion to the collateral network of the spinal cord. Further studies using neuromonitoring-guided repair of thoracoabdominal aortic aneurysms are warranted. Copyright © 2010 by The American Association for Thoracic Surgery.","author":[{"dropping-particle":"","family":"Estrera","given":"Anthony L.","non-dropping-particle":"","parse-names":false,"suffix":""},{"dropping-particle":"","family":"Sheinbaum","given":"Roy","non-dropping-particle":"","parse-names":false,"suffix":""},{"dropping-particle":"","family":"Miller","given":"Charles C.","non-dropping-particle":"","parse-names":false,"suffix":""},{"dropping-particle":"","family":"Harrison","given":"Ryan","non-dropping-particle":"","parse-names":false,"suffix":""},{"dropping-particle":"","family":"Safi","given":"Hazim J.","non-dropping-particle":"","parse-names":false,"suffix":""}],"container-title":"Journal of Thoracic and Cardiovascular Surgery","id":"ITEM-2","issue":"6 SUPPL.","issued":{"date-parts":[["2010"]]},"page":"S131-S135","publisher":"The American Association for Thoracic Surgery","title":"Neuromonitor-guided repair of thoracoabdominal aortic aneurysms","type":"article-journal","volume":"140"},"uris":["http://www.mendeley.com/documents/?uuid=41c102d1-b571-4140-8e4c-8e1a63b44a3f"]}],"mendeley":{"formattedCitation":"(Estrera et al., 2010; See et al., 2016)","plainTextFormattedCitation":"(Estrera et al., 2010; See et al., 2016)","previouslyFormattedCitation":"(Estrera et al., 2010; See et al., 2016)"},"properties":{"noteIndex":0},"schema":"https://github.com/citation-style-language/schema/raw/master/csl-citation.json"}</w:instrText>
      </w:r>
      <w:r w:rsidR="001D18BC" w:rsidRPr="003A1CA0">
        <w:rPr>
          <w:lang w:val="es-CR"/>
        </w:rPr>
        <w:fldChar w:fldCharType="separate"/>
      </w:r>
      <w:r w:rsidR="00FA7019" w:rsidRPr="00FA7019">
        <w:rPr>
          <w:noProof/>
          <w:lang w:val="es-CR"/>
        </w:rPr>
        <w:t>(Estrera et al., 2010; See et al., 2016)</w:t>
      </w:r>
      <w:r w:rsidR="001D18BC" w:rsidRPr="003A1CA0">
        <w:rPr>
          <w:lang w:val="es-CR"/>
        </w:rPr>
        <w:fldChar w:fldCharType="end"/>
      </w:r>
      <w:r w:rsidRPr="003A1CA0">
        <w:rPr>
          <w:lang w:val="es-CR"/>
        </w:rPr>
        <w:t>. En caso de observarse cambios en el neuromonitoreo la presión debe disminuirse a 0-5mmHg, aumentando de nuevo a 10mmHg cuando haya reversión de los cambios documentados</w:t>
      </w:r>
      <w:r w:rsidR="00083574">
        <w:rPr>
          <w:lang w:val="es-CR"/>
        </w:rPr>
        <w:t xml:space="preserve"> </w:t>
      </w:r>
      <w:r w:rsidR="006B06BE" w:rsidRPr="003A1CA0">
        <w:rPr>
          <w:lang w:val="es-CR"/>
        </w:rPr>
        <w:fldChar w:fldCharType="begin" w:fldLock="1"/>
      </w:r>
      <w:r w:rsidR="001A1B73">
        <w:rPr>
          <w:lang w:val="es-CR"/>
        </w:rPr>
        <w:instrText>ADDIN CSL_CITATION {"citationItems":[{"id":"ITEM-1","itemData":{"DOI":"10.1016/j.athoracsur.2013.03.016","ISSN":"00034975","abstract":"Background: The optimal use of lumbar cerebrospinal fluid drainage for the prevention of spinal cord ischemia (SCI) with thoracic endovascular aortic repair (TEVAR) remains unclear. Here, we report our experience with selective preoperative lumbar drain placement with TEVAR. Methods: Between May 2002 and January 12, 381 TEVAR procedures were performed at a single referral institution. Preoperative lumbar drains were placed selectively in patients considered high-risk for SCI due to planned long-segment aortic coverage with a history of prior aortic intervention or planned hybrid Crawford extent I to III thoracoabdominal aortic aneurysm repair. Results: Preoperative lumbar drains were placed in 81 patients (21%); of these, drain placement in 38 (47%) was for procedures involving long-segment descending thoracic aortic coverage in the setting of prior descending thoracic or infrarenal aortic repair, and in 43 (53%) was for hybrid thoracoabdominal aortic aneurysm repair. SCI occurred in 12 patients (14.8%) who received a preoperative lumbar drain, transient in 6 (7.4%) and permanent in 6 (7.4%), whereas SCI occurred in 13 patients (4.3%) who did not receive a preoperative lumbar drain, 12 transient (4.0%) and 1 permanent (0.3%). A lumbar drain complication occurred in 9 drain patients (11.1%), although none resulted in permanent disability. Age, postoperative hypotension, and the number of endografts implanted were independently associated with SCI. Preoperative lumbar drain placement was not associated with reduced SCI. Conclusions: Restricted use of preoperative lumbar drains for patients at high-risk of SCI undergoing TEVAR appears safe and leads to low rates of SCI in nondrained patients. However, the utility of preoperative lumbar drains in preventing SCI with TEVAR remains questionable and should be weighed against the risk of drain complications. © 2013 The Society of Thoracic Surgeons.","author":[{"dropping-particle":"","family":"Hanna","given":"Jennifer M.","non-dropping-particle":"","parse-names":false,"suffix":""},{"dropping-particle":"","family":"Andersen","given":"Nicholas D.","non-dropping-particle":"","parse-names":false,"suffix":""},{"dropping-particle":"","family":"Aziz","given":"Hamza","non-dropping-particle":"","parse-names":false,"suffix":""},{"dropping-particle":"","family":"Shah","given":"Asad A.","non-dropping-particle":"","parse-names":false,"suffix":""},{"dropping-particle":"","family":"McCann","given":"Richard L.","non-dropping-particle":"","parse-names":false,"suffix":""},{"dropping-particle":"","family":"Hughes","given":"G. Chad","non-dropping-particle":"","parse-names":false,"suffix":""}],"container-title":"Annals of Thoracic Surgery","id":"ITEM-1","issue":"6","issued":{"date-parts":[["2013"]]},"page":"1968-1975","publisher":"Elsevier Inc","title":"Results with selective preoperative lumbar drain placement for thoracic endovascular aortic repair","type":"article-journal","volume":"95"},"uris":["http://www.mendeley.com/documents/?uuid=bf65b7c4-e0cd-4bc6-82bd-f9a730d6e1ad"]}],"mendeley":{"formattedCitation":"(Hanna et al., 2013)","plainTextFormattedCitation":"(Hanna et al., 2013)","previouslyFormattedCitation":"(Hanna et al., 2013)"},"properties":{"noteIndex":0},"schema":"https://github.com/citation-style-language/schema/raw/master/csl-citation.json"}</w:instrText>
      </w:r>
      <w:r w:rsidR="006B06BE" w:rsidRPr="003A1CA0">
        <w:rPr>
          <w:lang w:val="es-CR"/>
        </w:rPr>
        <w:fldChar w:fldCharType="separate"/>
      </w:r>
      <w:r w:rsidR="00FA7019" w:rsidRPr="00FA7019">
        <w:rPr>
          <w:noProof/>
          <w:lang w:val="es-CR"/>
        </w:rPr>
        <w:t>(Hanna et al., 2013)</w:t>
      </w:r>
      <w:r w:rsidR="006B06BE" w:rsidRPr="003A1CA0">
        <w:rPr>
          <w:lang w:val="es-CR"/>
        </w:rPr>
        <w:fldChar w:fldCharType="end"/>
      </w:r>
      <w:r w:rsidRPr="003A1CA0">
        <w:rPr>
          <w:lang w:val="es-CR"/>
        </w:rPr>
        <w:t xml:space="preserve">. </w:t>
      </w:r>
    </w:p>
    <w:p w14:paraId="1214DF87" w14:textId="48EFD942" w:rsidR="00396674" w:rsidRPr="003A1CA0" w:rsidRDefault="00396674" w:rsidP="00396674">
      <w:pPr>
        <w:pStyle w:val="Heading3"/>
        <w:rPr>
          <w:lang w:val="es-CR"/>
        </w:rPr>
      </w:pPr>
      <w:bookmarkStart w:id="44" w:name="_Toc47027852"/>
      <w:r w:rsidRPr="003A1CA0">
        <w:rPr>
          <w:lang w:val="es-CR"/>
        </w:rPr>
        <w:lastRenderedPageBreak/>
        <w:t>Hipotermia neuroprotectora</w:t>
      </w:r>
      <w:bookmarkEnd w:id="44"/>
    </w:p>
    <w:p w14:paraId="6416C4AB" w14:textId="7B92173D" w:rsidR="00396674" w:rsidRPr="003A1CA0" w:rsidRDefault="00396674" w:rsidP="00396674">
      <w:pPr>
        <w:rPr>
          <w:lang w:val="es-CR"/>
        </w:rPr>
      </w:pPr>
      <w:r w:rsidRPr="003A1CA0">
        <w:rPr>
          <w:lang w:val="es-CR"/>
        </w:rPr>
        <w:t xml:space="preserve">Hipotermia permisiva moderada sistémica </w:t>
      </w:r>
      <w:r w:rsidR="00CA3A5D" w:rsidRPr="003A1CA0">
        <w:rPr>
          <w:lang w:val="es-CR"/>
        </w:rPr>
        <w:t xml:space="preserve">con </w:t>
      </w:r>
      <w:r w:rsidRPr="003A1CA0">
        <w:rPr>
          <w:lang w:val="es-CR"/>
        </w:rPr>
        <w:t>temperatura</w:t>
      </w:r>
      <w:r w:rsidR="00CA3A5D" w:rsidRPr="003A1CA0">
        <w:rPr>
          <w:lang w:val="es-CR"/>
        </w:rPr>
        <w:t>s</w:t>
      </w:r>
      <w:r w:rsidRPr="003A1CA0">
        <w:rPr>
          <w:lang w:val="es-CR"/>
        </w:rPr>
        <w:t xml:space="preserve"> </w:t>
      </w:r>
      <w:r w:rsidR="00CA3A5D" w:rsidRPr="003A1CA0">
        <w:rPr>
          <w:lang w:val="es-CR"/>
        </w:rPr>
        <w:t>entre</w:t>
      </w:r>
      <w:r w:rsidRPr="003A1CA0">
        <w:rPr>
          <w:lang w:val="es-CR"/>
        </w:rPr>
        <w:t xml:space="preserve"> 32°-34°C</w:t>
      </w:r>
      <w:r w:rsidR="00083574">
        <w:rPr>
          <w:lang w:val="es-CR"/>
        </w:rPr>
        <w:t xml:space="preserve"> </w:t>
      </w:r>
      <w:r w:rsidRPr="003A1CA0">
        <w:rPr>
          <w:lang w:val="es-CR"/>
        </w:rPr>
        <w:fldChar w:fldCharType="begin" w:fldLock="1"/>
      </w:r>
      <w:r w:rsidR="001A1B73">
        <w:rPr>
          <w:lang w:val="es-CR"/>
        </w:rPr>
        <w:instrText>ADDIN CSL_CITATION {"citationItems":[{"id":"ITEM-1","itemData":{"DOI":"10.1002/ana.24610","ISSN":"15318249","PMID":"26841128","abstract":"Objective Motor evoked potentials (MEPs) monitoring can promptly detect spinal cord ischemia (SCI) from aortic clamping during open thoracoabdominal aneurysm repair (OTAAR) with distal aortic perfusion (DAP) and thus help decrease the risk of immediate postoperative SCI (IP-SCI). However, neither stable MEPs during aortic clamp interval (ACI) nor absence of IP-SCI eliminate the possibility of delayed postoperative SCI (DP-SCI). We hypothesized that extension of MEPs monitoring beyond ACI can also help decrease the risk of DP-SCI. Methods We identified 150 consecutive patients at our institution between April 2005 and October 2014 who underwent OTAAR with DAP and MEPs monitoring and had no IP-SCI. Using logistic regression analysis, we studied the independent effect of extended MEPs monitoring on the risk of developing DP-SCI. We used a propensity score analysis to adjust for potential confounders, such as poorly controlled hypertension, previous aneurysm surgery, splenectomy, acute aortic dissection, aneurysm type, older age, and history of diabetes and smoking. Results From the 150 patients, 129 (86%) remained neurologically intact whereas 21 (14%) developed DP-SCI. Nineteen of these twenty-one patients (90%) had no extended monitoring. Fifty-seven of fifty-nine (97%) patients who benefited from extended monitoring had no DP-SCI (p = 0.003). Extended MEPs monitoring was independently associated with decreased risk of DP-SCI (odds ratio = 0.14; 95% confidence interval: 0.03, 0.65; p = 0.01). Interpretation MEPs detect the lowest systemic blood pressure that ensures appropriate spinal cord perfusion in the postoperative period. Thus, they inform the hemodynamic management of patients post-OTAAR, particularly in the absence of a reliable neurological exam.","author":[{"dropping-particle":"","family":"See","given":"Reiner B.","non-dropping-particle":"","parse-names":false,"suffix":""},{"dropping-particle":"","family":"Awosika","given":"Oluwole O.","non-dropping-particle":"","parse-names":false,"suffix":""},{"dropping-particle":"","family":"Cambria","given":"Richard P.","non-dropping-particle":"","parse-names":false,"suffix":""},{"dropping-particle":"","family":"Conrad","given":"Mark F.","non-dropping-particle":"","parse-names":false,"suffix":""},{"dropping-particle":"","family":"Lancaster","given":"Robert T.","non-dropping-particle":"","parse-names":false,"suffix":""},{"dropping-particle":"","family":"Patel","given":"Virendra I.","non-dropping-particle":"","parse-names":false,"suffix":""},{"dropping-particle":"V.","family":"Chitilian","given":"Hovig","non-dropping-particle":"","parse-names":false,"suffix":""},{"dropping-particle":"","family":"Kumar","given":"Sandeep","non-dropping-particle":"","parse-names":false,"suffix":""},{"dropping-particle":"V.","family":"Simon","given":"Mirela","non-dropping-particle":"","parse-names":false,"suffix":""}],"container-title":"Annals of Neurology","id":"ITEM-1","issue":"4","issued":{"date-parts":[["2016"]]},"page":"636-645","title":"Extended Motor Evoked Potentials Monitoring Helps Prevent Delayed Paraplegia after Aortic Surgery","type":"article-journal","volume":"79"},"uris":["http://www.mendeley.com/documents/?uuid=aaf02dc4-637c-445b-9239-1f02d99bcfad"]}],"mendeley":{"formattedCitation":"(See et al., 2016)","plainTextFormattedCitation":"(See et al., 2016)","previouslyFormattedCitation":"(See et al., 2016)"},"properties":{"noteIndex":0},"schema":"https://github.com/citation-style-language/schema/raw/master/csl-citation.json"}</w:instrText>
      </w:r>
      <w:r w:rsidRPr="003A1CA0">
        <w:rPr>
          <w:lang w:val="es-CR"/>
        </w:rPr>
        <w:fldChar w:fldCharType="separate"/>
      </w:r>
      <w:r w:rsidR="00FA7019" w:rsidRPr="00FA7019">
        <w:rPr>
          <w:noProof/>
          <w:lang w:val="es-CR"/>
        </w:rPr>
        <w:t>(See et al., 2016)</w:t>
      </w:r>
      <w:r w:rsidRPr="003A1CA0">
        <w:rPr>
          <w:lang w:val="es-CR"/>
        </w:rPr>
        <w:fldChar w:fldCharType="end"/>
      </w:r>
      <w:r w:rsidR="00CA3A5D" w:rsidRPr="003A1CA0">
        <w:rPr>
          <w:lang w:val="es-CR"/>
        </w:rPr>
        <w:t xml:space="preserve"> y el</w:t>
      </w:r>
      <w:r w:rsidRPr="003A1CA0">
        <w:rPr>
          <w:lang w:val="es-CR"/>
        </w:rPr>
        <w:t xml:space="preserve"> uso de hipotermia regional selectiva mediante la reducción de la temperatura epidural</w:t>
      </w:r>
      <w:r w:rsidR="00C23413">
        <w:rPr>
          <w:lang w:val="es-CR"/>
        </w:rPr>
        <w:t xml:space="preserve">, consiste en </w:t>
      </w:r>
      <w:r w:rsidRPr="003A1CA0">
        <w:rPr>
          <w:lang w:val="es-CR"/>
        </w:rPr>
        <w:t>opciones para evitar las complicaciones de SCI.</w:t>
      </w:r>
      <w:r w:rsidR="00CA3A5D" w:rsidRPr="003A1CA0">
        <w:rPr>
          <w:lang w:val="es-CR"/>
        </w:rPr>
        <w:t xml:space="preserve"> </w:t>
      </w:r>
      <w:r w:rsidR="00C23413">
        <w:rPr>
          <w:lang w:val="es-CR"/>
        </w:rPr>
        <w:t>Se describe que el</w:t>
      </w:r>
      <w:r w:rsidR="00CA3A5D" w:rsidRPr="003A1CA0">
        <w:rPr>
          <w:lang w:val="es-CR"/>
        </w:rPr>
        <w:t xml:space="preserve"> factor protector hipotérmico se da por una baja de la demanda metabólica asociado con la disminución del consumo de </w:t>
      </w:r>
      <w:r w:rsidR="003A1CA0" w:rsidRPr="003A1CA0">
        <w:rPr>
          <w:lang w:val="es-CR"/>
        </w:rPr>
        <w:t>oxígeno</w:t>
      </w:r>
      <w:r w:rsidR="00CA3A5D" w:rsidRPr="003A1CA0">
        <w:rPr>
          <w:lang w:val="es-CR"/>
        </w:rPr>
        <w:t xml:space="preserve"> de la </w:t>
      </w:r>
      <w:r w:rsidR="003C51C0" w:rsidRPr="003A1CA0">
        <w:rPr>
          <w:lang w:val="es-CR"/>
        </w:rPr>
        <w:t>médula</w:t>
      </w:r>
      <w:r w:rsidR="00CA3A5D" w:rsidRPr="003A1CA0">
        <w:rPr>
          <w:lang w:val="es-CR"/>
        </w:rPr>
        <w:t xml:space="preserve"> espinal</w:t>
      </w:r>
      <w:r w:rsidR="00083574">
        <w:rPr>
          <w:lang w:val="es-CR"/>
        </w:rPr>
        <w:t xml:space="preserve"> </w:t>
      </w:r>
      <w:r w:rsidR="00CA3A5D" w:rsidRPr="003A1CA0">
        <w:rPr>
          <w:lang w:val="es-CR"/>
        </w:rPr>
        <w:fldChar w:fldCharType="begin" w:fldLock="1"/>
      </w:r>
      <w:r w:rsidR="001A1B73">
        <w:rPr>
          <w:lang w:val="es-CR"/>
        </w:rPr>
        <w:instrText>ADDIN CSL_CITATION {"citationItems":[{"id":"ITEM-1","itemData":{"DOI":"10.1093/ejcts/ezv142","ISBN":"4976127028","ISSN":"1873734X","PMID":"25991554","abstract":"Ischaemic spinal cord injury (SCI) remains the Achilles heel of open and endovascular descending thoracic and thoracoabdominal repair. Neurological outcomes have improved coincidentially with the introduction of neuroprotective measures. However, SCI (paraplegia and paraparesis) remains the most devastating complication. The aim of this position paper is to provide physicians with broad information regarding spinal cord blood supply, to share strategies for shortening intraprocedural spinal cord ischaemia and to increase spinal cord tolerance to transitory ischaemia through detection of ischaemia and augmentation of spinal cord blood perfusion. This study is meant to support physicians caring for patients in need of any kind of thoracic or thoracoabdominal aortic repair in decision-making algorithms in order to understand, prevent or reverse ischaemic SCI. Information has been extracted from focused publications available in the PubMed database, which are cohort studies, experimental research reports, case reports, reviews, short series and meta-analyses. Individual chapters of this position paper were assigned and after delivery harmonized by Christian D. Etz, Ernst Weigang and Martin Czerny. Consequently, further writing assignments were distributed within the group and delivered in August 2014. The final version was submitted to the EJCTS for review in September 2014.","author":[{"dropping-particle":"","family":"Etz","given":"Christian D.","non-dropping-particle":"","parse-names":false,"suffix":""},{"dropping-particle":"","family":"Weigang","given":"Ernst","non-dropping-particle":"","parse-names":false,"suffix":""},{"dropping-particle":"","family":"Hartert","given":"Marc","non-dropping-particle":"","parse-names":false,"suffix":""},{"dropping-particle":"","family":"Lonn","given":"Lars","non-dropping-particle":"","parse-names":false,"suffix":""},{"dropping-particle":"","family":"Mestres","given":"Carlos A.","non-dropping-particle":"","parse-names":false,"suffix":""},{"dropping-particle":"","family":"Bartolomeo","given":"Roberto","non-dropping-particle":"Di","parse-names":false,"suffix":""},{"dropping-particle":"","family":"Bachet","given":"Jean E.","non-dropping-particle":"","parse-names":false,"suffix":""},{"dropping-particle":"","family":"Carrel","given":"Thierry P.","non-dropping-particle":"","parse-names":false,"suffix":""},{"dropping-particle":"","family":"Grabenwöger","given":"Martin","non-dropping-particle":"","parse-names":false,"suffix":""},{"dropping-particle":"","family":"Schepens","given":"Marc A.A.M.","non-dropping-particle":"","parse-names":false,"suffix":""},{"dropping-particle":"","family":"Czerny","given":"Martin","non-dropping-particle":"","parse-names":false,"suffix":""}],"container-title":"European Journal of Cardio-thoracic Surgery","id":"ITEM-1","issue":"6","issued":{"date-parts":[["2015"]]},"page":"943-957","title":"Contemporary spinal cord protection during thoracic and thoracoabdominal aortic surgery and endovascular aortic repair: A position paper of the vascular domain of the European association for cardio-thoracic surgery","type":"article-journal","volume":"47"},"uris":["http://www.mendeley.com/documents/?uuid=2d35e3d1-095f-491a-8586-b3e74c6a3539"]}],"mendeley":{"formattedCitation":"(Etz et al., 2015)","plainTextFormattedCitation":"(Etz et al., 2015)","previouslyFormattedCitation":"(Etz et al., 2015)"},"properties":{"noteIndex":0},"schema":"https://github.com/citation-style-language/schema/raw/master/csl-citation.json"}</w:instrText>
      </w:r>
      <w:r w:rsidR="00CA3A5D" w:rsidRPr="003A1CA0">
        <w:rPr>
          <w:lang w:val="es-CR"/>
        </w:rPr>
        <w:fldChar w:fldCharType="separate"/>
      </w:r>
      <w:r w:rsidR="00FA7019" w:rsidRPr="00FA7019">
        <w:rPr>
          <w:noProof/>
          <w:lang w:val="es-CR"/>
        </w:rPr>
        <w:t>(Etz et al., 2015)</w:t>
      </w:r>
      <w:r w:rsidR="00CA3A5D" w:rsidRPr="003A1CA0">
        <w:rPr>
          <w:lang w:val="es-CR"/>
        </w:rPr>
        <w:fldChar w:fldCharType="end"/>
      </w:r>
      <w:r w:rsidR="00CA3A5D" w:rsidRPr="003A1CA0">
        <w:rPr>
          <w:lang w:val="es-CR"/>
        </w:rPr>
        <w:t xml:space="preserve">. </w:t>
      </w:r>
    </w:p>
    <w:p w14:paraId="7DCBFA0F" w14:textId="10DE0440" w:rsidR="00CA3A5D" w:rsidRPr="003A1CA0" w:rsidRDefault="00CA3A5D" w:rsidP="00396674">
      <w:pPr>
        <w:rPr>
          <w:lang w:val="es-CR"/>
        </w:rPr>
      </w:pPr>
      <w:r w:rsidRPr="003A1CA0">
        <w:rPr>
          <w:lang w:val="es-CR"/>
        </w:rPr>
        <w:t>Además, la hipotermia protege la célula durante la reperfusión al estabilizar las membranas, aten</w:t>
      </w:r>
      <w:r w:rsidR="00C23413">
        <w:rPr>
          <w:lang w:val="es-CR"/>
        </w:rPr>
        <w:t>uando</w:t>
      </w:r>
      <w:r w:rsidRPr="003A1CA0">
        <w:rPr>
          <w:lang w:val="es-CR"/>
        </w:rPr>
        <w:t xml:space="preserve"> la respuesta inflamatoria y excitotóxic</w:t>
      </w:r>
      <w:r w:rsidR="00865513">
        <w:rPr>
          <w:lang w:val="es-CR"/>
        </w:rPr>
        <w:t>a</w:t>
      </w:r>
      <w:r w:rsidR="003C51C0" w:rsidRPr="003A1CA0">
        <w:rPr>
          <w:lang w:val="es-CR"/>
        </w:rPr>
        <w:t>.</w:t>
      </w:r>
    </w:p>
    <w:p w14:paraId="42931FE3" w14:textId="73EEAC48" w:rsidR="00396674" w:rsidRPr="003A1CA0" w:rsidRDefault="00CA3A5D" w:rsidP="00CA3A5D">
      <w:pPr>
        <w:pStyle w:val="Heading3"/>
        <w:rPr>
          <w:lang w:val="es-CR"/>
        </w:rPr>
      </w:pPr>
      <w:bookmarkStart w:id="45" w:name="_Toc47027853"/>
      <w:r w:rsidRPr="003A1CA0">
        <w:rPr>
          <w:lang w:val="es-CR"/>
        </w:rPr>
        <w:t>Tratamiento farmacológico</w:t>
      </w:r>
      <w:bookmarkEnd w:id="45"/>
    </w:p>
    <w:p w14:paraId="26542983" w14:textId="1D8C9DE9" w:rsidR="00705303" w:rsidRPr="003A1CA0" w:rsidRDefault="0042699C" w:rsidP="00705303">
      <w:pPr>
        <w:rPr>
          <w:lang w:val="es-CR"/>
        </w:rPr>
      </w:pPr>
      <w:r w:rsidRPr="003A1CA0">
        <w:rPr>
          <w:lang w:val="es-CR"/>
        </w:rPr>
        <w:t xml:space="preserve">El manejo del dolor se realiza por parte de anestesia utilizando el </w:t>
      </w:r>
      <w:r w:rsidR="003A1CA0" w:rsidRPr="003A1CA0">
        <w:rPr>
          <w:lang w:val="es-CR"/>
        </w:rPr>
        <w:t>catéter</w:t>
      </w:r>
      <w:r w:rsidRPr="003A1CA0">
        <w:rPr>
          <w:lang w:val="es-CR"/>
        </w:rPr>
        <w:t xml:space="preserve"> epidural. Mientras tenga el </w:t>
      </w:r>
      <w:r w:rsidR="003A1CA0" w:rsidRPr="003A1CA0">
        <w:rPr>
          <w:lang w:val="es-CR"/>
        </w:rPr>
        <w:t>catéter</w:t>
      </w:r>
      <w:r w:rsidRPr="003A1CA0">
        <w:rPr>
          <w:lang w:val="es-CR"/>
        </w:rPr>
        <w:t xml:space="preserve"> epidural para analgesia se deben evitar los </w:t>
      </w:r>
      <w:r w:rsidR="00865513" w:rsidRPr="003A1CA0">
        <w:rPr>
          <w:lang w:val="es-CR"/>
        </w:rPr>
        <w:t>opioides</w:t>
      </w:r>
      <w:r w:rsidRPr="003A1CA0">
        <w:rPr>
          <w:lang w:val="es-CR"/>
        </w:rPr>
        <w:t>.</w:t>
      </w:r>
      <w:r w:rsidR="003A1CA0" w:rsidRPr="003A1CA0">
        <w:rPr>
          <w:lang w:val="es-CR"/>
        </w:rPr>
        <w:t xml:space="preserve"> Se deben utilizar fármacos según la necesidad metabólica del paciente (Tabla 4).</w:t>
      </w:r>
    </w:p>
    <w:tbl>
      <w:tblPr>
        <w:tblW w:w="98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797"/>
        <w:gridCol w:w="2008"/>
      </w:tblGrid>
      <w:tr w:rsidR="00CA3A5D" w:rsidRPr="003A1CA0" w14:paraId="121FF337" w14:textId="77777777" w:rsidTr="003A1CA0">
        <w:trPr>
          <w:trHeight w:val="300"/>
          <w:jc w:val="center"/>
        </w:trPr>
        <w:tc>
          <w:tcPr>
            <w:tcW w:w="7797" w:type="dxa"/>
            <w:shd w:val="clear" w:color="4472C4" w:fill="4472C4"/>
            <w:noWrap/>
            <w:vAlign w:val="bottom"/>
            <w:hideMark/>
          </w:tcPr>
          <w:p w14:paraId="4FFC9B50" w14:textId="79E5AE52" w:rsidR="00CA3A5D" w:rsidRPr="003A1CA0" w:rsidRDefault="00CA3A5D" w:rsidP="00CA3A5D">
            <w:pPr>
              <w:spacing w:after="0" w:line="240" w:lineRule="auto"/>
              <w:ind w:firstLine="0"/>
              <w:jc w:val="center"/>
              <w:rPr>
                <w:rFonts w:eastAsia="Times New Roman" w:cs="Arial"/>
                <w:b/>
                <w:bCs/>
                <w:color w:val="FFFFFF"/>
                <w:szCs w:val="24"/>
                <w:lang w:val="es-CR" w:eastAsia="es-CR" w:bidi="ar-SA"/>
              </w:rPr>
            </w:pPr>
            <w:r w:rsidRPr="003A1CA0">
              <w:rPr>
                <w:rFonts w:eastAsia="Times New Roman" w:cs="Arial"/>
                <w:b/>
                <w:bCs/>
                <w:color w:val="FFFFFF"/>
                <w:szCs w:val="24"/>
                <w:lang w:val="es-CR" w:eastAsia="es-CR" w:bidi="ar-SA"/>
              </w:rPr>
              <w:t xml:space="preserve">Mecanismo de </w:t>
            </w:r>
            <w:r w:rsidR="008C7712" w:rsidRPr="003A1CA0">
              <w:rPr>
                <w:rFonts w:eastAsia="Times New Roman" w:cs="Arial"/>
                <w:b/>
                <w:bCs/>
                <w:color w:val="FFFFFF"/>
                <w:szCs w:val="24"/>
                <w:lang w:val="es-CR" w:eastAsia="es-CR" w:bidi="ar-SA"/>
              </w:rPr>
              <w:t>protección</w:t>
            </w:r>
          </w:p>
        </w:tc>
        <w:tc>
          <w:tcPr>
            <w:tcW w:w="2008" w:type="dxa"/>
            <w:shd w:val="clear" w:color="4472C4" w:fill="4472C4"/>
            <w:noWrap/>
            <w:vAlign w:val="bottom"/>
            <w:hideMark/>
          </w:tcPr>
          <w:p w14:paraId="28DF1B1D" w14:textId="4339E97E" w:rsidR="00CA3A5D" w:rsidRPr="003A1CA0" w:rsidRDefault="003A1CA0" w:rsidP="00CA3A5D">
            <w:pPr>
              <w:spacing w:after="0" w:line="240" w:lineRule="auto"/>
              <w:ind w:firstLine="0"/>
              <w:jc w:val="center"/>
              <w:rPr>
                <w:rFonts w:eastAsia="Times New Roman" w:cs="Arial"/>
                <w:b/>
                <w:bCs/>
                <w:color w:val="FFFFFF"/>
                <w:szCs w:val="24"/>
                <w:lang w:val="es-CR" w:eastAsia="es-CR" w:bidi="ar-SA"/>
              </w:rPr>
            </w:pPr>
            <w:r w:rsidRPr="003A1CA0">
              <w:rPr>
                <w:rFonts w:eastAsia="Times New Roman" w:cs="Arial"/>
                <w:b/>
                <w:bCs/>
                <w:color w:val="FFFFFF"/>
                <w:szCs w:val="24"/>
                <w:lang w:val="es-CR" w:eastAsia="es-CR" w:bidi="ar-SA"/>
              </w:rPr>
              <w:t>Fármaco</w:t>
            </w:r>
          </w:p>
        </w:tc>
      </w:tr>
      <w:tr w:rsidR="00CA3A5D" w:rsidRPr="003A1CA0" w14:paraId="64A90C26" w14:textId="77777777" w:rsidTr="003A1CA0">
        <w:trPr>
          <w:trHeight w:val="300"/>
          <w:jc w:val="center"/>
        </w:trPr>
        <w:tc>
          <w:tcPr>
            <w:tcW w:w="7797" w:type="dxa"/>
            <w:shd w:val="clear" w:color="B4C6E7" w:fill="B4C6E7"/>
            <w:noWrap/>
            <w:vAlign w:val="bottom"/>
            <w:hideMark/>
          </w:tcPr>
          <w:p w14:paraId="6EC249FD" w14:textId="2A845406"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Reducción</w:t>
            </w:r>
            <w:r w:rsidR="00CA3A5D" w:rsidRPr="003A1CA0">
              <w:rPr>
                <w:rFonts w:eastAsia="Times New Roman" w:cs="Arial"/>
                <w:color w:val="000000"/>
                <w:szCs w:val="24"/>
                <w:lang w:val="es-CR" w:eastAsia="es-CR" w:bidi="ar-SA"/>
              </w:rPr>
              <w:t xml:space="preserve"> demanda de O2</w:t>
            </w:r>
          </w:p>
        </w:tc>
        <w:tc>
          <w:tcPr>
            <w:tcW w:w="2008" w:type="dxa"/>
            <w:shd w:val="clear" w:color="B4C6E7" w:fill="B4C6E7"/>
            <w:noWrap/>
            <w:vAlign w:val="bottom"/>
            <w:hideMark/>
          </w:tcPr>
          <w:p w14:paraId="2E9D53EA" w14:textId="08F07AFB"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Barbitúricos</w:t>
            </w:r>
          </w:p>
        </w:tc>
      </w:tr>
      <w:tr w:rsidR="00CA3A5D" w:rsidRPr="003A1CA0" w14:paraId="4A9F4D6E" w14:textId="77777777" w:rsidTr="003A1CA0">
        <w:trPr>
          <w:trHeight w:val="300"/>
          <w:jc w:val="center"/>
        </w:trPr>
        <w:tc>
          <w:tcPr>
            <w:tcW w:w="7797" w:type="dxa"/>
            <w:shd w:val="clear" w:color="D9E1F2" w:fill="D9E1F2"/>
            <w:noWrap/>
            <w:vAlign w:val="bottom"/>
            <w:hideMark/>
          </w:tcPr>
          <w:p w14:paraId="44440D55" w14:textId="181A6F96"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Disminución</w:t>
            </w:r>
            <w:r w:rsidR="00CA3A5D" w:rsidRPr="003A1CA0">
              <w:rPr>
                <w:rFonts w:eastAsia="Times New Roman" w:cs="Arial"/>
                <w:color w:val="000000"/>
                <w:szCs w:val="24"/>
                <w:lang w:val="es-CR" w:eastAsia="es-CR" w:bidi="ar-SA"/>
              </w:rPr>
              <w:t xml:space="preserve"> de </w:t>
            </w:r>
            <w:r w:rsidRPr="003A1CA0">
              <w:rPr>
                <w:rFonts w:eastAsia="Times New Roman" w:cs="Arial"/>
                <w:color w:val="000000"/>
                <w:szCs w:val="24"/>
                <w:lang w:val="es-CR" w:eastAsia="es-CR" w:bidi="ar-SA"/>
              </w:rPr>
              <w:t>inflamación</w:t>
            </w:r>
            <w:r w:rsidR="00CA3A5D" w:rsidRPr="003A1CA0">
              <w:rPr>
                <w:rFonts w:eastAsia="Times New Roman" w:cs="Arial"/>
                <w:color w:val="000000"/>
                <w:szCs w:val="24"/>
                <w:lang w:val="es-CR" w:eastAsia="es-CR" w:bidi="ar-SA"/>
              </w:rPr>
              <w:t xml:space="preserve"> y </w:t>
            </w:r>
            <w:r w:rsidRPr="003A1CA0">
              <w:rPr>
                <w:rFonts w:eastAsia="Times New Roman" w:cs="Arial"/>
                <w:color w:val="000000"/>
                <w:szCs w:val="24"/>
                <w:lang w:val="es-CR" w:eastAsia="es-CR" w:bidi="ar-SA"/>
              </w:rPr>
              <w:t>estabilización</w:t>
            </w:r>
            <w:r w:rsidR="00CA3A5D" w:rsidRPr="003A1CA0">
              <w:rPr>
                <w:rFonts w:eastAsia="Times New Roman" w:cs="Arial"/>
                <w:color w:val="000000"/>
                <w:szCs w:val="24"/>
                <w:lang w:val="es-CR" w:eastAsia="es-CR" w:bidi="ar-SA"/>
              </w:rPr>
              <w:t xml:space="preserve"> de membranas </w:t>
            </w:r>
            <w:r w:rsidRPr="003A1CA0">
              <w:rPr>
                <w:rFonts w:eastAsia="Times New Roman" w:cs="Arial"/>
                <w:color w:val="000000"/>
                <w:szCs w:val="24"/>
                <w:lang w:val="es-CR" w:eastAsia="es-CR" w:bidi="ar-SA"/>
              </w:rPr>
              <w:t>celulares</w:t>
            </w:r>
          </w:p>
        </w:tc>
        <w:tc>
          <w:tcPr>
            <w:tcW w:w="2008" w:type="dxa"/>
            <w:shd w:val="clear" w:color="D9E1F2" w:fill="D9E1F2"/>
            <w:noWrap/>
            <w:vAlign w:val="bottom"/>
            <w:hideMark/>
          </w:tcPr>
          <w:p w14:paraId="01C05591" w14:textId="77777777" w:rsidR="00CA3A5D" w:rsidRPr="003A1CA0" w:rsidRDefault="00CA3A5D"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Corticoesteroides</w:t>
            </w:r>
          </w:p>
        </w:tc>
      </w:tr>
      <w:tr w:rsidR="00CA3A5D" w:rsidRPr="003A1CA0" w14:paraId="09DC8300" w14:textId="77777777" w:rsidTr="003A1CA0">
        <w:trPr>
          <w:trHeight w:val="300"/>
          <w:jc w:val="center"/>
        </w:trPr>
        <w:tc>
          <w:tcPr>
            <w:tcW w:w="7797" w:type="dxa"/>
            <w:shd w:val="clear" w:color="B4C6E7" w:fill="B4C6E7"/>
            <w:noWrap/>
            <w:vAlign w:val="bottom"/>
            <w:hideMark/>
          </w:tcPr>
          <w:p w14:paraId="5C6A3FD1" w14:textId="742FDB2C"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Reducción</w:t>
            </w:r>
            <w:r w:rsidR="00CA3A5D" w:rsidRPr="003A1CA0">
              <w:rPr>
                <w:rFonts w:eastAsia="Times New Roman" w:cs="Arial"/>
                <w:color w:val="000000"/>
                <w:szCs w:val="24"/>
                <w:lang w:val="es-CR" w:eastAsia="es-CR" w:bidi="ar-SA"/>
              </w:rPr>
              <w:t xml:space="preserve"> excitatoria mediada por </w:t>
            </w:r>
            <w:r w:rsidRPr="003A1CA0">
              <w:rPr>
                <w:rFonts w:eastAsia="Times New Roman" w:cs="Arial"/>
                <w:color w:val="000000"/>
                <w:szCs w:val="24"/>
                <w:lang w:val="es-CR" w:eastAsia="es-CR" w:bidi="ar-SA"/>
              </w:rPr>
              <w:t>aminoácidos</w:t>
            </w:r>
          </w:p>
        </w:tc>
        <w:tc>
          <w:tcPr>
            <w:tcW w:w="2008" w:type="dxa"/>
            <w:shd w:val="clear" w:color="B4C6E7" w:fill="B4C6E7"/>
            <w:noWrap/>
            <w:vAlign w:val="bottom"/>
            <w:hideMark/>
          </w:tcPr>
          <w:p w14:paraId="731F1103" w14:textId="77777777" w:rsidR="00CA3A5D" w:rsidRPr="003A1CA0" w:rsidRDefault="00CA3A5D"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Naloxona</w:t>
            </w:r>
          </w:p>
        </w:tc>
      </w:tr>
      <w:tr w:rsidR="00CA3A5D" w:rsidRPr="003A1CA0" w14:paraId="7CF975EE" w14:textId="77777777" w:rsidTr="003A1CA0">
        <w:trPr>
          <w:trHeight w:val="300"/>
          <w:jc w:val="center"/>
        </w:trPr>
        <w:tc>
          <w:tcPr>
            <w:tcW w:w="7797" w:type="dxa"/>
            <w:shd w:val="clear" w:color="D9E1F2" w:fill="D9E1F2"/>
            <w:noWrap/>
            <w:vAlign w:val="bottom"/>
            <w:hideMark/>
          </w:tcPr>
          <w:p w14:paraId="6B9A417B" w14:textId="658FA5DF"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Reducción</w:t>
            </w:r>
            <w:r w:rsidR="00CA3A5D" w:rsidRPr="003A1CA0">
              <w:rPr>
                <w:rFonts w:eastAsia="Times New Roman" w:cs="Arial"/>
                <w:color w:val="000000"/>
                <w:szCs w:val="24"/>
                <w:lang w:val="es-CR" w:eastAsia="es-CR" w:bidi="ar-SA"/>
              </w:rPr>
              <w:t xml:space="preserve"> edema intracelular</w:t>
            </w:r>
          </w:p>
        </w:tc>
        <w:tc>
          <w:tcPr>
            <w:tcW w:w="2008" w:type="dxa"/>
            <w:shd w:val="clear" w:color="D9E1F2" w:fill="D9E1F2"/>
            <w:noWrap/>
            <w:vAlign w:val="bottom"/>
            <w:hideMark/>
          </w:tcPr>
          <w:p w14:paraId="17CF0B84" w14:textId="0BCCC0F0"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Manitol</w:t>
            </w:r>
          </w:p>
        </w:tc>
      </w:tr>
      <w:tr w:rsidR="00CA3A5D" w:rsidRPr="003A1CA0" w14:paraId="797F8352" w14:textId="77777777" w:rsidTr="003A1CA0">
        <w:trPr>
          <w:trHeight w:val="300"/>
          <w:jc w:val="center"/>
        </w:trPr>
        <w:tc>
          <w:tcPr>
            <w:tcW w:w="7797" w:type="dxa"/>
            <w:shd w:val="clear" w:color="B4C6E7" w:fill="B4C6E7"/>
            <w:noWrap/>
            <w:vAlign w:val="bottom"/>
            <w:hideMark/>
          </w:tcPr>
          <w:p w14:paraId="092E2765" w14:textId="77777777" w:rsidR="00CA3A5D" w:rsidRPr="003A1CA0" w:rsidRDefault="00CA3A5D"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Captura de radicales libres</w:t>
            </w:r>
          </w:p>
        </w:tc>
        <w:tc>
          <w:tcPr>
            <w:tcW w:w="2008" w:type="dxa"/>
            <w:shd w:val="clear" w:color="B4C6E7" w:fill="B4C6E7"/>
            <w:noWrap/>
            <w:vAlign w:val="bottom"/>
            <w:hideMark/>
          </w:tcPr>
          <w:p w14:paraId="4AAA11F3" w14:textId="62567025" w:rsidR="00CA3A5D" w:rsidRPr="003A1CA0" w:rsidRDefault="003A1CA0" w:rsidP="00CA3A5D">
            <w:pPr>
              <w:spacing w:after="0" w:line="240" w:lineRule="auto"/>
              <w:ind w:firstLine="0"/>
              <w:jc w:val="left"/>
              <w:rPr>
                <w:rFonts w:eastAsia="Times New Roman" w:cs="Arial"/>
                <w:color w:val="000000"/>
                <w:szCs w:val="24"/>
                <w:lang w:val="es-CR" w:eastAsia="es-CR" w:bidi="ar-SA"/>
              </w:rPr>
            </w:pPr>
            <w:r w:rsidRPr="003A1CA0">
              <w:rPr>
                <w:rFonts w:eastAsia="Times New Roman" w:cs="Arial"/>
                <w:color w:val="000000"/>
                <w:szCs w:val="24"/>
                <w:lang w:val="es-CR" w:eastAsia="es-CR" w:bidi="ar-SA"/>
              </w:rPr>
              <w:t>Manitol</w:t>
            </w:r>
          </w:p>
        </w:tc>
      </w:tr>
    </w:tbl>
    <w:p w14:paraId="2C0AFF3A" w14:textId="0C215001" w:rsidR="002734CF" w:rsidRDefault="00157AE6" w:rsidP="00083574">
      <w:pPr>
        <w:pStyle w:val="Prrafodelista1"/>
        <w:spacing w:after="0"/>
        <w:rPr>
          <w:lang w:val="es-CR"/>
        </w:rPr>
      </w:pPr>
      <w:r w:rsidRPr="003A1CA0">
        <w:rPr>
          <w:lang w:val="es-CR"/>
        </w:rPr>
        <w:t xml:space="preserve">Tabla </w:t>
      </w:r>
      <w:r w:rsidR="003A1CA0" w:rsidRPr="003A1CA0">
        <w:rPr>
          <w:lang w:val="es-CR"/>
        </w:rPr>
        <w:t>4. M</w:t>
      </w:r>
      <w:r w:rsidRPr="003A1CA0">
        <w:rPr>
          <w:lang w:val="es-CR"/>
        </w:rPr>
        <w:t xml:space="preserve">ecanismo de protección </w:t>
      </w:r>
      <w:r w:rsidR="003A1CA0" w:rsidRPr="003A1CA0">
        <w:rPr>
          <w:lang w:val="es-CR"/>
        </w:rPr>
        <w:t>farmacológica</w:t>
      </w:r>
    </w:p>
    <w:p w14:paraId="7506F154" w14:textId="1BE97138" w:rsidR="00083574" w:rsidRPr="00083574" w:rsidRDefault="00083574" w:rsidP="00083574">
      <w:pPr>
        <w:pStyle w:val="Prrafodelista1"/>
        <w:rPr>
          <w:lang w:val="es-CR"/>
        </w:rPr>
      </w:pPr>
      <w:r>
        <w:rPr>
          <w:lang w:val="es-CR"/>
        </w:rPr>
        <w:t xml:space="preserve">Fuente: Adaptado de </w:t>
      </w:r>
      <w:r>
        <w:rPr>
          <w:lang w:val="es-CR"/>
        </w:rPr>
        <w:fldChar w:fldCharType="begin" w:fldLock="1"/>
      </w:r>
      <w:r w:rsidR="0091486C">
        <w:rPr>
          <w:lang w:val="es-CR"/>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approach.","author":[{"dropping-particle":"","family":"Oderich","given":"Gustavo S.","non-dropping-particle":"","parse-names":false,"suffix":""}],"edition":"1","editor":[{"dropping-particle":"","family":"Oderich","given":"Gustavo S.","non-dropping-particle":"","parse-names":false,"suffix":""}],"id":"ITEM-1","issued":{"date-parts":[["2017"]]},"publisher":"Springer US","publisher-place":"Cham, Switzerland","title":"Endovascular Aortic Repair Current Techniques with Fenestrated, Branched and Parallel Stent-Grafts","type":"book"},"uris":["http://www.mendeley.com/documents/?uuid=000e0c0a-9f4e-4fa0-bb91-d903249e9bcf"]}],"mendeley":{"formattedCitation":"(Oderich, 2017)","plainTextFormattedCitation":"(Oderich, 2017)","previouslyFormattedCitation":"(Oderich, 2017)"},"properties":{"noteIndex":0},"schema":"https://github.com/citation-style-language/schema/raw/master/csl-citation.json"}</w:instrText>
      </w:r>
      <w:r>
        <w:rPr>
          <w:lang w:val="es-CR"/>
        </w:rPr>
        <w:fldChar w:fldCharType="separate"/>
      </w:r>
      <w:r w:rsidR="0091486C" w:rsidRPr="0091486C">
        <w:rPr>
          <w:noProof/>
          <w:lang w:val="es-CR"/>
        </w:rPr>
        <w:t>(Oderich, 2017)</w:t>
      </w:r>
      <w:r>
        <w:rPr>
          <w:lang w:val="es-CR"/>
        </w:rPr>
        <w:fldChar w:fldCharType="end"/>
      </w:r>
    </w:p>
    <w:p w14:paraId="204E4FAC" w14:textId="5279D316" w:rsidR="007877DD" w:rsidRPr="003A1CA0" w:rsidRDefault="007877DD" w:rsidP="00F33A14">
      <w:pPr>
        <w:pStyle w:val="Heading2"/>
        <w:rPr>
          <w:rFonts w:eastAsia="Times New Roman"/>
          <w:lang w:val="es-CR"/>
        </w:rPr>
      </w:pPr>
      <w:bookmarkStart w:id="46" w:name="_Toc47027854"/>
      <w:r w:rsidRPr="003A1CA0">
        <w:rPr>
          <w:rFonts w:eastAsia="Times New Roman"/>
          <w:lang w:val="es-CR"/>
        </w:rPr>
        <w:t>Manejo postoperatorio</w:t>
      </w:r>
      <w:bookmarkEnd w:id="46"/>
    </w:p>
    <w:p w14:paraId="4D9CF436" w14:textId="23946269" w:rsidR="009C5C61" w:rsidRPr="003A1CA0" w:rsidRDefault="00881421" w:rsidP="009C5C61">
      <w:pPr>
        <w:rPr>
          <w:lang w:val="es-CR"/>
        </w:rPr>
      </w:pPr>
      <w:r w:rsidRPr="003A1CA0">
        <w:rPr>
          <w:lang w:val="es-CR"/>
        </w:rPr>
        <w:t xml:space="preserve">Optimizar factores fisiológicos en el postoperatorio inmediato para procurar un aporte tisular de </w:t>
      </w:r>
      <w:r w:rsidR="00AB5B91" w:rsidRPr="003A1CA0">
        <w:rPr>
          <w:lang w:val="es-CR"/>
        </w:rPr>
        <w:t>oxígeno</w:t>
      </w:r>
      <w:r w:rsidRPr="003A1CA0">
        <w:rPr>
          <w:lang w:val="es-CR"/>
        </w:rPr>
        <w:t xml:space="preserve"> apropiado es importante para reducir la incidencia y </w:t>
      </w:r>
      <w:r w:rsidRPr="003A1CA0">
        <w:rPr>
          <w:lang w:val="es-CR"/>
        </w:rPr>
        <w:lastRenderedPageBreak/>
        <w:t xml:space="preserve">potencialmente mejorar la recuperación de isquemia </w:t>
      </w:r>
      <w:r w:rsidR="00EA2516" w:rsidRPr="003A1CA0">
        <w:rPr>
          <w:lang w:val="es-CR"/>
        </w:rPr>
        <w:t>medular</w:t>
      </w:r>
      <w:r w:rsidRPr="003A1CA0">
        <w:rPr>
          <w:lang w:val="es-CR"/>
        </w:rPr>
        <w:t xml:space="preserve">. </w:t>
      </w:r>
      <w:r w:rsidR="002734CF" w:rsidRPr="003A1CA0">
        <w:rPr>
          <w:lang w:val="es-CR"/>
        </w:rPr>
        <w:t xml:space="preserve">El manejo postoperatorio se realiza en la Unidad de Cuidados Intensivos </w:t>
      </w:r>
      <w:r w:rsidRPr="003A1CA0">
        <w:rPr>
          <w:lang w:val="es-CR"/>
        </w:rPr>
        <w:t>con</w:t>
      </w:r>
      <w:r w:rsidR="002734CF" w:rsidRPr="003A1CA0">
        <w:rPr>
          <w:lang w:val="es-CR"/>
        </w:rPr>
        <w:t xml:space="preserve"> monitore</w:t>
      </w:r>
      <w:r w:rsidRPr="003A1CA0">
        <w:rPr>
          <w:lang w:val="es-CR"/>
        </w:rPr>
        <w:t>o continuo de</w:t>
      </w:r>
      <w:r w:rsidR="009C5C61" w:rsidRPr="003A1CA0">
        <w:rPr>
          <w:lang w:val="es-CR"/>
        </w:rPr>
        <w:t xml:space="preserve">l paciente </w:t>
      </w:r>
      <w:r w:rsidR="002734CF" w:rsidRPr="003A1CA0">
        <w:rPr>
          <w:lang w:val="es-CR"/>
        </w:rPr>
        <w:t>por 72horas</w:t>
      </w:r>
      <w:r w:rsidR="00F01770">
        <w:rPr>
          <w:lang w:val="es-CR"/>
        </w:rPr>
        <w:t xml:space="preserve"> </w:t>
      </w:r>
      <w:r w:rsidR="00D07AEB" w:rsidRPr="003A1CA0">
        <w:rPr>
          <w:lang w:val="es-CR"/>
        </w:rPr>
        <w:fldChar w:fldCharType="begin" w:fldLock="1"/>
      </w:r>
      <w:r w:rsidR="001A1B73">
        <w:rPr>
          <w:lang w:val="es-CR"/>
        </w:rPr>
        <w:instrText>ADDIN CSL_CITATION {"citationItems":[{"id":"ITEM-1","itemData":{"DOI":"10.1385/NCC","author":[{"dropping-particle":"","family":"Hirsch","given":"Lawrence James","non-dropping-particle":"","parse-names":false,"suffix":""},{"dropping-particle":"","family":"Schmidt","given":"J Michael","non-dropping-particle":"","parse-names":false,"suffix":""},{"dropping-particle":"","family":"Care","given":"Neurocritical","non-dropping-particle":"","parse-names":false,"suffix":""}],"id":"ITEM-1","issue":"April","issued":{"date-parts":[["2017"]]},"title":"The Treatment of Spinal Cord Ischemia Following Thoracic Endovascular Aortic Repair","type":"article-journal"},"uris":["http://www.mendeley.com/documents/?uuid=62175e3c-cac7-4115-af11-0450acf83283"]}],"mendeley":{"formattedCitation":"(Hirsch et al., 2017)","plainTextFormattedCitation":"(Hirsch et al., 2017)","previouslyFormattedCitation":"(Hirsch et al., 2017)"},"properties":{"noteIndex":0},"schema":"https://github.com/citation-style-language/schema/raw/master/csl-citation.json"}</w:instrText>
      </w:r>
      <w:r w:rsidR="00D07AEB" w:rsidRPr="003A1CA0">
        <w:rPr>
          <w:lang w:val="es-CR"/>
        </w:rPr>
        <w:fldChar w:fldCharType="separate"/>
      </w:r>
      <w:r w:rsidR="00FA7019" w:rsidRPr="00FA7019">
        <w:rPr>
          <w:noProof/>
          <w:lang w:val="es-CR"/>
        </w:rPr>
        <w:t>(Hirsch et al., 2017)</w:t>
      </w:r>
      <w:r w:rsidR="00D07AEB" w:rsidRPr="003A1CA0">
        <w:rPr>
          <w:lang w:val="es-CR"/>
        </w:rPr>
        <w:fldChar w:fldCharType="end"/>
      </w:r>
      <w:r w:rsidR="00C23413">
        <w:rPr>
          <w:lang w:val="es-CR"/>
        </w:rPr>
        <w:t xml:space="preserve">, de suma importancia continuar con </w:t>
      </w:r>
      <w:r w:rsidRPr="003A1CA0">
        <w:rPr>
          <w:lang w:val="es-CR"/>
        </w:rPr>
        <w:t xml:space="preserve"> </w:t>
      </w:r>
      <w:r w:rsidR="00C23413">
        <w:rPr>
          <w:lang w:val="es-CR"/>
        </w:rPr>
        <w:t>e</w:t>
      </w:r>
      <w:r w:rsidR="00AB5B91" w:rsidRPr="003A1CA0">
        <w:rPr>
          <w:lang w:val="es-CR"/>
        </w:rPr>
        <w:t>valuaciones neurológicas</w:t>
      </w:r>
      <w:r w:rsidR="00C23413">
        <w:rPr>
          <w:lang w:val="es-CR"/>
        </w:rPr>
        <w:t xml:space="preserve"> que se</w:t>
      </w:r>
      <w:r w:rsidR="00AB5B91" w:rsidRPr="003A1CA0">
        <w:rPr>
          <w:lang w:val="es-CR"/>
        </w:rPr>
        <w:t xml:space="preserve"> deben realizar al menos cada hor</w:t>
      </w:r>
      <w:r w:rsidR="003A1CA0" w:rsidRPr="003A1CA0">
        <w:rPr>
          <w:lang w:val="es-CR"/>
        </w:rPr>
        <w:t>a</w:t>
      </w:r>
      <w:r w:rsidR="00F01770">
        <w:rPr>
          <w:lang w:val="es-CR"/>
        </w:rPr>
        <w:t xml:space="preserve"> </w:t>
      </w:r>
      <w:r w:rsidR="00AB5B91" w:rsidRPr="003A1CA0">
        <w:rPr>
          <w:lang w:val="es-CR"/>
        </w:rPr>
        <w:fldChar w:fldCharType="begin" w:fldLock="1"/>
      </w:r>
      <w:r w:rsidR="001A1B73">
        <w:rPr>
          <w:lang w:val="es-CR"/>
        </w:rPr>
        <w:instrText>ADDIN CSL_CITATION {"citationItems":[{"id":"ITEM-1","itemData":{"DOI":"10.1016/j.jvs.2008.08.119","ISSN":"07415214","abstract":"Objective: To examine the incidence of and the anatomic factors that may contribute to spinal cord ischemia (SCI) in patients with a history of abdominal aortic aneurysms (AAA) after thoracic endovascular aortic repair (TEVAR). Methods: The medical records, computed tomography (CT) angiograms, and a prospectively maintained clinical database of all TEVAR patients at a single institution between 2000 and 2007 were reviewed. Select preoperative demographics, thoracoabdominal aortoiliac anatomy, intraoperative procedural variables, and postoperative outcomes were examined. Univariate and multivariate analyses were performed and odds ratio estimates were reported with 95% confidence intervals. Results: Of the 261 patients who underwent TEVAR, 27 developed SCI (10%). Thirteen (48%) of these 27 patients were completely reversed with spinal drainage, and 14 (52%) were permanent. Patients with SCI tended to be older (P = .006), male (P = .049), and required more emergent procedures (P = .051) performed under general anesthesia (P = .004). Interestingly, while prior AAA repair (50/261, 19%) alone was not associated with SCI (P = .44), a history of either repaired or unrepaired AAA (101/261, 39%) was a predictor of SCI on multivariate analysis (odds ratio [OR] = 4.35 [1.43, 14.3], P = .10), independent of thoracic aortic coverage (P = .001) and lumbar artery patency (P = .008), both of which were also associated with SCI. Conclusion: Although the causes of SCI after TEVAR are multifactorial, abdominal aortic anatomy appears to be associated with development of this complication. Patients with either prior AAA repair or those with unrepaired AAA appear to be at increased risk for SCI. © 2009 The Society for Vascular Surgery.","author":[{"dropping-particle":"","family":"Martin","given":"Daniel J.","non-dropping-particle":"","parse-names":false,"suffix":""},{"dropping-particle":"","family":"Martin","given":"Tomas D.","non-dropping-particle":"","parse-names":false,"suffix":""},{"dropping-particle":"","family":"Hess","given":"Philip J.","non-dropping-particle":"","parse-names":false,"suffix":""},{"dropping-particle":"","family":"Daniels","given":"Michael J.","non-dropping-particle":"","parse-names":false,"suffix":""},{"dropping-particle":"","family":"Feezor","given":"Robert J.","non-dropping-particle":"","parse-names":false,"suffix":""},{"dropping-particle":"","family":"Lee","given":"W. Anthony","non-dropping-particle":"","parse-names":false,"suffix":""}],"container-title":"Journal of Vascular Surgery","id":"ITEM-1","issue":"2","issued":{"date-parts":[["2009"]]},"page":"302-306","publisher":"Elsevier Inc.","title":"Spinal cord ischemia after TEVAR in patients with abdominal aortic aneurysms","type":"article-journal","volume":"49"},"uris":["http://www.mendeley.com/documents/?uuid=43a2b64a-9fb9-4c38-b0a0-acef0a657260"]}],"mendeley":{"formattedCitation":"(Martin et al., 2009)","plainTextFormattedCitation":"(Martin et al., 2009)","previouslyFormattedCitation":"(Martin et al., 2009)"},"properties":{"noteIndex":0},"schema":"https://github.com/citation-style-language/schema/raw/master/csl-citation.json"}</w:instrText>
      </w:r>
      <w:r w:rsidR="00AB5B91" w:rsidRPr="003A1CA0">
        <w:rPr>
          <w:lang w:val="es-CR"/>
        </w:rPr>
        <w:fldChar w:fldCharType="separate"/>
      </w:r>
      <w:r w:rsidR="00FA7019" w:rsidRPr="00FA7019">
        <w:rPr>
          <w:noProof/>
          <w:lang w:val="es-CR"/>
        </w:rPr>
        <w:t>(Martin et al., 2009)</w:t>
      </w:r>
      <w:r w:rsidR="00AB5B91" w:rsidRPr="003A1CA0">
        <w:rPr>
          <w:lang w:val="es-CR"/>
        </w:rPr>
        <w:fldChar w:fldCharType="end"/>
      </w:r>
      <w:r w:rsidR="00F01770">
        <w:rPr>
          <w:lang w:val="es-CR"/>
        </w:rPr>
        <w:t>.</w:t>
      </w:r>
    </w:p>
    <w:p w14:paraId="70C85498" w14:textId="0A67B8F4" w:rsidR="007C5CD1" w:rsidRPr="003A1CA0" w:rsidRDefault="007C5CD1" w:rsidP="00F33A14">
      <w:pPr>
        <w:pStyle w:val="Heading3"/>
        <w:rPr>
          <w:lang w:val="es-CR"/>
        </w:rPr>
      </w:pPr>
      <w:bookmarkStart w:id="47" w:name="_Toc47027855"/>
      <w:r w:rsidRPr="003A1CA0">
        <w:rPr>
          <w:lang w:val="es-CR"/>
        </w:rPr>
        <w:t>Manejo Presión Arterial</w:t>
      </w:r>
      <w:bookmarkEnd w:id="47"/>
      <w:r w:rsidRPr="003A1CA0">
        <w:rPr>
          <w:lang w:val="es-CR"/>
        </w:rPr>
        <w:t xml:space="preserve"> </w:t>
      </w:r>
    </w:p>
    <w:p w14:paraId="482F2C73" w14:textId="0E90135D" w:rsidR="007C5CD1" w:rsidRPr="003A1CA0" w:rsidRDefault="00405B00" w:rsidP="007C5CD1">
      <w:pPr>
        <w:rPr>
          <w:lang w:val="es-CR"/>
        </w:rPr>
      </w:pPr>
      <w:r w:rsidRPr="003A1CA0">
        <w:rPr>
          <w:lang w:val="es-CR"/>
        </w:rPr>
        <w:t>H</w:t>
      </w:r>
      <w:r w:rsidR="00E6221C" w:rsidRPr="003A1CA0">
        <w:rPr>
          <w:lang w:val="es-CR"/>
        </w:rPr>
        <w:t>ipertensión</w:t>
      </w:r>
      <w:r w:rsidR="007211B1" w:rsidRPr="003A1CA0">
        <w:rPr>
          <w:lang w:val="es-CR"/>
        </w:rPr>
        <w:t xml:space="preserve"> permisiva </w:t>
      </w:r>
      <w:r w:rsidR="00E6221C" w:rsidRPr="003A1CA0">
        <w:rPr>
          <w:lang w:val="es-CR"/>
        </w:rPr>
        <w:t>postoperatoria</w:t>
      </w:r>
      <w:r w:rsidR="007211B1" w:rsidRPr="003A1CA0">
        <w:rPr>
          <w:lang w:val="es-CR"/>
        </w:rPr>
        <w:t xml:space="preserve"> con una </w:t>
      </w:r>
      <w:r w:rsidR="007C5CD1" w:rsidRPr="003A1CA0">
        <w:rPr>
          <w:lang w:val="es-CR"/>
        </w:rPr>
        <w:t>meta</w:t>
      </w:r>
      <w:r w:rsidR="007211B1" w:rsidRPr="003A1CA0">
        <w:rPr>
          <w:lang w:val="es-CR"/>
        </w:rPr>
        <w:t xml:space="preserve"> de la PAM</w:t>
      </w:r>
      <w:r w:rsidR="007C5CD1" w:rsidRPr="003A1CA0">
        <w:rPr>
          <w:lang w:val="es-CR"/>
        </w:rPr>
        <w:t xml:space="preserve"> ≥80mmHg </w:t>
      </w:r>
      <w:r w:rsidR="00E6221C" w:rsidRPr="003A1CA0">
        <w:rPr>
          <w:lang w:val="es-CR"/>
        </w:rPr>
        <w:t xml:space="preserve">por </w:t>
      </w:r>
      <w:r w:rsidR="007C5CD1" w:rsidRPr="003A1CA0">
        <w:rPr>
          <w:lang w:val="es-CR"/>
        </w:rPr>
        <w:t>72hrs post</w:t>
      </w:r>
      <w:r w:rsidR="003A1CA0" w:rsidRPr="003A1CA0">
        <w:rPr>
          <w:lang w:val="es-CR"/>
        </w:rPr>
        <w:t>quirúrgico</w:t>
      </w:r>
      <w:r w:rsidR="007C5CD1" w:rsidRPr="003A1CA0">
        <w:rPr>
          <w:lang w:val="es-CR"/>
        </w:rPr>
        <w:t xml:space="preserve"> titulado según la evaluación neurológic</w:t>
      </w:r>
      <w:r w:rsidR="003A1CA0" w:rsidRPr="003A1CA0">
        <w:rPr>
          <w:lang w:val="es-CR"/>
        </w:rPr>
        <w:t>a</w:t>
      </w:r>
      <w:r w:rsidR="003C51C0" w:rsidRPr="003A1CA0">
        <w:rPr>
          <w:lang w:val="es-CR"/>
        </w:rPr>
        <w:t>.</w:t>
      </w:r>
      <w:r w:rsidR="007C5CD1" w:rsidRPr="003A1CA0">
        <w:rPr>
          <w:lang w:val="es-CR"/>
        </w:rPr>
        <w:t xml:space="preserve"> Si se detectan cambios neurológicos se recomienda una PAM &gt;100mmHg</w:t>
      </w:r>
      <w:r w:rsidR="00F01770">
        <w:rPr>
          <w:lang w:val="es-CR"/>
        </w:rPr>
        <w:t xml:space="preserve"> </w:t>
      </w:r>
      <w:r w:rsidR="00D07AEB" w:rsidRPr="003A1CA0">
        <w:rPr>
          <w:lang w:val="es-CR"/>
        </w:rPr>
        <w:fldChar w:fldCharType="begin" w:fldLock="1"/>
      </w:r>
      <w:r w:rsidR="001A1B73">
        <w:rPr>
          <w:lang w:val="es-CR"/>
        </w:rPr>
        <w:instrText>ADDIN CSL_CITATION {"citationItems":[{"id":"ITEM-1","itemData":{"DOI":"10.1016/j.athoracsur.2006.05.037","ISSN":"00034975","abstract":"Background: Thoracic or thoracoabdominal aortic stent-graft repair has shown a reduction in morbidity and mortality rates due to the procedure's advantages (no aortic cross-clamping, continuous distal aortic perfusion, no reperfusion injury). However, 3% to 12% of the patients are at risk of spinal cord ischemia. We investigated spinal cord protective measures with evoked potentials, cerebrospinal fluid drainage, and prevention of hypotension to minimize postoperative neurologic deficit. Methods: Between November 2000 and July 2005, vital parameters and spinal cord function were monitored, including cerebrospinal fluid pressure and transcranial motor-evoked and somatosensory-evoked potentials in 36 stent-graft procedures (31 patients) on the thoracic or thoracoabdominal aorta. Results: Stent-graft placement was technically successful in all patients. We achieved a survival rate of 100% without neurologic deficit after fast-track extubation. Eleven of 31 patients exhibited changes in evoked potentials during stent-graft deployment. In 12 of 31 patients (including the 11 with evoked potential alterations), cerebrospinal fluid pressure exceeded 15 mm Hg. Cerebrospinal fluid drainage and vital parameter adjustment were executed in those instances. We observed intraoperative evoked potential total recovery in 10 of 11 patients after these interventions. Conclusions: Interventions to improve spinal cord perfusion led to total recovery of spinal function in most patients (10/11). Therefore, spinal cord protective measures with motor- and somatosensory-evoked potential monitoring, cerebrospinal fluid drainage, and prevention of hypotension can reduce the incidence of spinal cord ischemia and improve the neurologic outcome of patients undergoing endovascular thoracic or thoracoabdominal aortic repair. © 2006 The Society of Thoracic Surgeons.","author":[{"dropping-particle":"","family":"Weigang","given":"Ernst","non-dropping-particle":"","parse-names":false,"suffix":""},{"dropping-particle":"","family":"Hartert","given":"Marc","non-dropping-particle":"","parse-names":false,"suffix":""},{"dropping-particle":"","family":"Siegenthaler","given":"Michael P.","non-dropping-particle":"","parse-names":false,"suffix":""},{"dropping-particle":"","family":"Beckmann","given":"Nicholas A.","non-dropping-particle":"","parse-names":false,"suffix":""},{"dropping-particle":"","family":"Sircar","given":"Ronen","non-dropping-particle":"","parse-names":false,"suffix":""},{"dropping-particle":"","family":"Szabò","given":"Gàbor","non-dropping-particle":"","parse-names":false,"suffix":""},{"dropping-particle":"","family":"Etz","given":"Christian D.","non-dropping-particle":"","parse-names":false,"suffix":""},{"dropping-particle":"","family":"Luehr","given":"Maximilian","non-dropping-particle":"","parse-names":false,"suffix":""},{"dropping-particle":"","family":"Samson","given":"Patrick","non-dropping-particle":"von","parse-names":false,"suffix":""},{"dropping-particle":"","family":"Beyersdorf","given":"Friedhelm","non-dropping-particle":"","parse-names":false,"suffix":""}],"container-title":"Annals of Thoracic Surgery","id":"ITEM-1","issue":"5","issued":{"date-parts":[["2006"]]},"page":"1679-1687","title":"Perioperative Management to Improve Neurologic Outcome in Thoracic or Thoracoabdominal Aortic Stent-Grafting","type":"article-journal","volume":"82"},"uris":["http://www.mendeley.com/documents/?uuid=522efc1b-6598-4644-b44f-66b1c0362b61"]}],"mendeley":{"formattedCitation":"(Weigang et al., 2006)","plainTextFormattedCitation":"(Weigang et al., 2006)","previouslyFormattedCitation":"(Weigang et al., 2006)"},"properties":{"noteIndex":0},"schema":"https://github.com/citation-style-language/schema/raw/master/csl-citation.json"}</w:instrText>
      </w:r>
      <w:r w:rsidR="00D07AEB" w:rsidRPr="003A1CA0">
        <w:rPr>
          <w:lang w:val="es-CR"/>
        </w:rPr>
        <w:fldChar w:fldCharType="separate"/>
      </w:r>
      <w:r w:rsidR="00FA7019" w:rsidRPr="00FA7019">
        <w:rPr>
          <w:noProof/>
          <w:lang w:val="es-CR"/>
        </w:rPr>
        <w:t>(Weigang et al., 2006)</w:t>
      </w:r>
      <w:r w:rsidR="00D07AEB" w:rsidRPr="003A1CA0">
        <w:rPr>
          <w:lang w:val="es-CR"/>
        </w:rPr>
        <w:fldChar w:fldCharType="end"/>
      </w:r>
      <w:r w:rsidR="0042699C" w:rsidRPr="003A1CA0">
        <w:rPr>
          <w:lang w:val="es-CR"/>
        </w:rPr>
        <w:t xml:space="preserve"> utilizando norepinefrina a dosis de 0.01-0.15</w:t>
      </w:r>
      <w:r w:rsidR="0042699C" w:rsidRPr="003A1CA0">
        <w:rPr>
          <w:rFonts w:cs="Arial"/>
          <w:lang w:val="es-CR"/>
        </w:rPr>
        <w:t>µ</w:t>
      </w:r>
      <w:r w:rsidR="0042699C" w:rsidRPr="003A1CA0">
        <w:rPr>
          <w:lang w:val="es-CR"/>
        </w:rPr>
        <w:t>g/kg/min.</w:t>
      </w:r>
    </w:p>
    <w:p w14:paraId="59F8462D" w14:textId="46411332" w:rsidR="007211B1" w:rsidRPr="003A1CA0" w:rsidRDefault="007211B1" w:rsidP="00F33A14">
      <w:pPr>
        <w:pStyle w:val="Heading3"/>
        <w:rPr>
          <w:lang w:val="es-CR"/>
        </w:rPr>
      </w:pPr>
      <w:bookmarkStart w:id="48" w:name="_Toc47027856"/>
      <w:r w:rsidRPr="003A1CA0">
        <w:rPr>
          <w:lang w:val="es-CR"/>
        </w:rPr>
        <w:t>Hemoglobina</w:t>
      </w:r>
      <w:bookmarkEnd w:id="48"/>
    </w:p>
    <w:p w14:paraId="498A496B" w14:textId="49FBE7F0" w:rsidR="007211B1" w:rsidRPr="003A1CA0" w:rsidRDefault="00D056B2" w:rsidP="007C5CD1">
      <w:pPr>
        <w:rPr>
          <w:lang w:val="es-CR"/>
        </w:rPr>
      </w:pPr>
      <w:r>
        <w:rPr>
          <w:lang w:val="es-CR"/>
        </w:rPr>
        <w:t>Se debe tener</w:t>
      </w:r>
      <w:r w:rsidR="0042699C" w:rsidRPr="003A1CA0">
        <w:rPr>
          <w:lang w:val="es-CR"/>
        </w:rPr>
        <w:t xml:space="preserve"> un control de hemoglobina y hematocrito en el postoperatorio inmediat</w:t>
      </w:r>
      <w:r w:rsidR="003A1CA0" w:rsidRPr="003A1CA0">
        <w:rPr>
          <w:lang w:val="es-CR"/>
        </w:rPr>
        <w:t>a</w:t>
      </w:r>
      <w:r>
        <w:rPr>
          <w:lang w:val="es-CR"/>
        </w:rPr>
        <w:t xml:space="preserve">, con la </w:t>
      </w:r>
      <w:r w:rsidR="008C7712">
        <w:rPr>
          <w:lang w:val="es-CR"/>
        </w:rPr>
        <w:t>recomendación</w:t>
      </w:r>
      <w:r w:rsidR="007211B1" w:rsidRPr="003A1CA0">
        <w:rPr>
          <w:lang w:val="es-CR"/>
        </w:rPr>
        <w:t xml:space="preserve"> </w:t>
      </w:r>
      <w:r>
        <w:rPr>
          <w:lang w:val="es-CR"/>
        </w:rPr>
        <w:t>de</w:t>
      </w:r>
      <w:r w:rsidR="007211B1" w:rsidRPr="003A1CA0">
        <w:rPr>
          <w:lang w:val="es-CR"/>
        </w:rPr>
        <w:t xml:space="preserve"> mantener la Hb &gt;10mg/dl en las primeras 48hrs </w:t>
      </w:r>
      <w:r w:rsidR="003A1CA0" w:rsidRPr="003A1CA0">
        <w:rPr>
          <w:lang w:val="es-CR"/>
        </w:rPr>
        <w:t>postquirúrgicas</w:t>
      </w:r>
      <w:r w:rsidR="007211B1" w:rsidRPr="003A1CA0">
        <w:rPr>
          <w:lang w:val="es-CR"/>
        </w:rPr>
        <w:t>, el uso de hemoderivados es recomendado para mantener la meta de Hb previo al retiro de los drenajes lumbares.</w:t>
      </w:r>
    </w:p>
    <w:p w14:paraId="1D8F4B2C" w14:textId="476AD7B2" w:rsidR="007211B1" w:rsidRPr="003A1CA0" w:rsidRDefault="007211B1" w:rsidP="00F33A14">
      <w:pPr>
        <w:pStyle w:val="Heading3"/>
        <w:rPr>
          <w:lang w:val="es-CR"/>
        </w:rPr>
      </w:pPr>
      <w:bookmarkStart w:id="49" w:name="_Toc47027857"/>
      <w:r w:rsidRPr="003A1CA0">
        <w:rPr>
          <w:lang w:val="es-CR"/>
        </w:rPr>
        <w:t>Drenaje de LCR</w:t>
      </w:r>
      <w:bookmarkEnd w:id="49"/>
    </w:p>
    <w:p w14:paraId="4D27B74A" w14:textId="1A78A779" w:rsidR="00405B00" w:rsidRPr="003A1CA0" w:rsidRDefault="002734CF" w:rsidP="007211B1">
      <w:pPr>
        <w:rPr>
          <w:lang w:val="es-CR"/>
        </w:rPr>
      </w:pPr>
      <w:r w:rsidRPr="003A1CA0">
        <w:rPr>
          <w:lang w:val="es-CR"/>
        </w:rPr>
        <w:t>Debe continuarse e</w:t>
      </w:r>
      <w:r w:rsidR="007211B1" w:rsidRPr="003A1CA0">
        <w:rPr>
          <w:lang w:val="es-CR"/>
        </w:rPr>
        <w:t>l drenaje de LCR</w:t>
      </w:r>
      <w:r w:rsidRPr="003A1CA0">
        <w:rPr>
          <w:lang w:val="es-CR"/>
        </w:rPr>
        <w:t xml:space="preserve"> </w:t>
      </w:r>
      <w:r w:rsidR="00E6221C" w:rsidRPr="003A1CA0">
        <w:rPr>
          <w:lang w:val="es-CR"/>
        </w:rPr>
        <w:t xml:space="preserve">por </w:t>
      </w:r>
      <w:r w:rsidR="00405B00" w:rsidRPr="003A1CA0">
        <w:rPr>
          <w:lang w:val="es-CR"/>
        </w:rPr>
        <w:t>24</w:t>
      </w:r>
      <w:r w:rsidR="00E6221C" w:rsidRPr="003A1CA0">
        <w:rPr>
          <w:lang w:val="es-CR"/>
        </w:rPr>
        <w:t>-72 horas</w:t>
      </w:r>
      <w:r w:rsidR="00083574">
        <w:rPr>
          <w:lang w:val="es-CR"/>
        </w:rPr>
        <w:t xml:space="preserve"> </w:t>
      </w:r>
      <w:r w:rsidR="001D18BC" w:rsidRPr="003A1CA0">
        <w:rPr>
          <w:lang w:val="es-CR"/>
        </w:rPr>
        <w:fldChar w:fldCharType="begin" w:fldLock="1"/>
      </w:r>
      <w:r w:rsidR="001A1B73">
        <w:rPr>
          <w:lang w:val="es-CR"/>
        </w:rPr>
        <w:instrText>ADDIN CSL_CITATION {"citationItems":[{"id":"ITEM-1","itemData":{"DOI":"10.1016/j.jvs.2008.08.005","ISSN":"07415214","abstract":"Objectives: Use of motor evoked potentials (MEP) and somatosensory evoked potentials (SSEP) monitoring during thoracic and thoracoabdominal aortic surgery is controversial. This study evaluated the intraoperative use of SSEP and MEP during thoracoabdominal repair and assessed their role in decreasing the risk of spinal cord ischemia and paralysis. Methods: We conducted paired SSEP and MEP monitoring to assess agreement between the methods and their ability to predict neurologic outcome in 233 patients. Changes in SSEP and MEP monitoring were classified as no change, reversible change, or irreversible change during the intraoperative period and by the conclusion of surgery. Agreement between the methods was computed using the Cohen κ statistic. Sensitivity, specificity, and positive and negative predictive values were computed for each method on the immediate and delayed neurologic deficit. Results: Immediate neurologic deficit, determined immediately upon awakening from anesthesia and confirmed by a neurologist, occurred in eight of 233 (3.4%) patients. For any change (reversible plus irreversible), agreement between MEP and SSEP was relatively low (κ = 0.53), despite being highly statistically significant (P &lt; .001). MEP tended to overestimate SSEP for immediate neurologic deficit, demonstrating a 53% false-positive rate, compared with a 33% false-positive rate for SSEP (specificity ratio, 1.42; P &lt; .0001). With irreversible change, agreement between the methods was 90% (κ = 0.896, P &lt; .0001). Only irreversible change was significantly associated with neurologic outcome (odds ratio, 21.9; P &lt; .00001 for SSEP; 60.8, P &lt; .0001 for MEP), but sensitivity and positive predictive values were low (37% and 33% for SSEP; 22% and 45% for MEP, respectively). Reversible changes in neurophysiologic monitoring were not significantly associated with immediate neurologic deficit. Negative predictive values for all negative evoked potential findings were &gt;98% for immediate deficit. No evoked potential variables were associated with delayed deficit. Conclusions: SSEP and MEP monitoring were highly correlated only when intraoperative changes were irreversible. Reversible changes were not significantly associated with immediate neurologic deficit. Irreversible changes were significantly associated with immediate neurologic deficit, and the findings were identical for SSEP and MEP in this variable, indicating that the more complex MEP measures do not add further informatio…","author":[{"dropping-particle":"","family":"Keyhani","given":"Kourosh","non-dropping-particle":"","parse-names":false,"suffix":""},{"dropping-particle":"","family":"Miller","given":"Charles C.","non-dropping-particle":"","parse-names":false,"suffix":""},{"dropping-particle":"","family":"Estrera","given":"Anthony L.","non-dropping-particle":"","parse-names":false,"suffix":""},{"dropping-particle":"","family":"Wegryn","given":"Tara","non-dropping-particle":"","parse-names":false,"suffix":""},{"dropping-particle":"","family":"Sheinbaum","given":"Roy","non-dropping-particle":"","parse-names":false,"suffix":""},{"dropping-particle":"","family":"Safi","given":"Hazim J.","non-dropping-particle":"","parse-names":false,"suffix":""}],"container-title":"Journal of Vascular Surgery","id":"ITEM-1","issue":"1","issued":{"date-parts":[["2009"]]},"page":"36-41","publisher":"The Society for Vascular Surgery","title":"Analysis of motor and somatosensory evoked potentials during thoracic and thoracoabdominal aortic aneurysm repair","type":"article-journal","volume":"49"},"uris":["http://www.mendeley.com/documents/?uuid=7f77747e-f1a0-4bbb-b566-60f4b42e9f5a"]}],"mendeley":{"formattedCitation":"(Keyhani et al., 2009)","plainTextFormattedCitation":"(Keyhani et al., 2009)","previouslyFormattedCitation":"(Keyhani et al., 2009)"},"properties":{"noteIndex":0},"schema":"https://github.com/citation-style-language/schema/raw/master/csl-citation.json"}</w:instrText>
      </w:r>
      <w:r w:rsidR="001D18BC" w:rsidRPr="003A1CA0">
        <w:rPr>
          <w:lang w:val="es-CR"/>
        </w:rPr>
        <w:fldChar w:fldCharType="separate"/>
      </w:r>
      <w:r w:rsidR="00FA7019" w:rsidRPr="00FA7019">
        <w:rPr>
          <w:noProof/>
          <w:lang w:val="es-CR"/>
        </w:rPr>
        <w:t>(Keyhani et al., 2009)</w:t>
      </w:r>
      <w:r w:rsidR="001D18BC" w:rsidRPr="003A1CA0">
        <w:rPr>
          <w:lang w:val="es-CR"/>
        </w:rPr>
        <w:fldChar w:fldCharType="end"/>
      </w:r>
      <w:r w:rsidR="00405B00" w:rsidRPr="003A1CA0">
        <w:rPr>
          <w:lang w:val="es-CR"/>
        </w:rPr>
        <w:t xml:space="preserve"> según el tipo de TAAA; la indicación de drenaje postoperatorio es igual al manejo de LCR intraoperatorio con un drenaje máximo de 150ml por dí</w:t>
      </w:r>
      <w:r w:rsidR="003A1CA0" w:rsidRPr="003A1CA0">
        <w:rPr>
          <w:lang w:val="es-CR"/>
        </w:rPr>
        <w:t>a</w:t>
      </w:r>
      <w:r w:rsidR="003C51C0" w:rsidRPr="003A1CA0">
        <w:rPr>
          <w:lang w:val="es-CR"/>
        </w:rPr>
        <w:t>.</w:t>
      </w:r>
    </w:p>
    <w:p w14:paraId="423188A4" w14:textId="59A8B7CA" w:rsidR="00405B00" w:rsidRPr="003A1CA0" w:rsidRDefault="00405B00" w:rsidP="007211B1">
      <w:pPr>
        <w:rPr>
          <w:lang w:val="es-CR"/>
        </w:rPr>
      </w:pPr>
      <w:r w:rsidRPr="003A1CA0">
        <w:rPr>
          <w:lang w:val="es-CR"/>
        </w:rPr>
        <w:t xml:space="preserve">TAAA de tipo </w:t>
      </w:r>
      <w:r w:rsidR="00E6221C" w:rsidRPr="003A1CA0">
        <w:rPr>
          <w:lang w:val="es-CR"/>
        </w:rPr>
        <w:t>I-III</w:t>
      </w:r>
      <w:r w:rsidRPr="003A1CA0">
        <w:rPr>
          <w:lang w:val="es-CR"/>
        </w:rPr>
        <w:t xml:space="preserve"> requiere drenaje continuo de LCR por 48-72 horas, en TAAA de tipo IV se mantiene el drenaje por 24 horas. </w:t>
      </w:r>
      <w:r w:rsidR="009C5C61" w:rsidRPr="003A1CA0">
        <w:rPr>
          <w:lang w:val="es-CR"/>
        </w:rPr>
        <w:t xml:space="preserve">La indicación de suspensión </w:t>
      </w:r>
      <w:r w:rsidR="009C5C61" w:rsidRPr="003A1CA0">
        <w:rPr>
          <w:lang w:val="es-CR"/>
        </w:rPr>
        <w:lastRenderedPageBreak/>
        <w:t xml:space="preserve">del drenaje se realiza </w:t>
      </w:r>
      <w:r w:rsidRPr="003A1CA0">
        <w:rPr>
          <w:lang w:val="es-CR"/>
        </w:rPr>
        <w:t xml:space="preserve">posterior a 6hrs de clampeo </w:t>
      </w:r>
      <w:r w:rsidR="009C5C61" w:rsidRPr="003A1CA0">
        <w:rPr>
          <w:lang w:val="es-CR"/>
        </w:rPr>
        <w:t xml:space="preserve">del catéter epidural </w:t>
      </w:r>
      <w:r w:rsidRPr="003A1CA0">
        <w:rPr>
          <w:lang w:val="es-CR"/>
        </w:rPr>
        <w:t>en pacientes hemodinámicamente estables</w:t>
      </w:r>
      <w:r w:rsidR="0091486C">
        <w:rPr>
          <w:lang w:val="es-CR"/>
        </w:rPr>
        <w:t xml:space="preserve"> </w:t>
      </w:r>
      <w:r w:rsidR="001D18BC" w:rsidRPr="003A1CA0">
        <w:rPr>
          <w:lang w:val="es-CR"/>
        </w:rPr>
        <w:fldChar w:fldCharType="begin" w:fldLock="1"/>
      </w:r>
      <w:r w:rsidR="00F01770">
        <w:rPr>
          <w:lang w:val="es-CR"/>
        </w:rPr>
        <w:instrText>ADDIN CSL_CITATION {"citationItems":[{"id":"ITEM-1","itemData":{"ISBN":"9788870516630","author":[{"dropping-particle":"","family":"Melissano","given":"Germano;","non-dropping-particle":"","parse-names":false,"suffix":""},{"dropping-particle":"","family":"Oderich","given":"Gustavo S;","non-dropping-particle":"","parse-names":false,"suffix":""},{"dropping-particle":"","family":"Chiesa","given":"Roberto","non-dropping-particle":"","parse-names":false,"suffix":""}],"edition":"1","editor":[{"dropping-particle":"","family":"Melissano","given":"Germano;","non-dropping-particle":"","parse-names":false,"suffix":""},{"dropping-particle":"","family":"Chiesa","given":"Roberto","non-dropping-particle":"","parse-names":false,"suffix":""}],"id":"ITEM-1","issued":{"date-parts":[["2018"]]},"publisher":"edi-ermes","publisher-place":"Milan, Italy","title":"Aortic Complexities","type":"book"},"uris":["http://www.mendeley.com/documents/?uuid=d78c99f9-ca45-4f64-a363-9a15f76f8b54"]}],"mendeley":{"formattedCitation":"(Germano; Melissano et al., 2018)","plainTextFormattedCitation":"(Germano; Melissano et al., 2018)","previouslyFormattedCitation":"(Germano; Melissano et al., 2018)"},"properties":{"noteIndex":0},"schema":"https://github.com/citation-style-language/schema/raw/master/csl-citation.json"}</w:instrText>
      </w:r>
      <w:r w:rsidR="001D18BC" w:rsidRPr="003A1CA0">
        <w:rPr>
          <w:lang w:val="es-CR"/>
        </w:rPr>
        <w:fldChar w:fldCharType="separate"/>
      </w:r>
      <w:r w:rsidR="00FA7019" w:rsidRPr="00FA7019">
        <w:rPr>
          <w:noProof/>
          <w:lang w:val="es-CR"/>
        </w:rPr>
        <w:t>(Germano; Melissano et al., 2018)</w:t>
      </w:r>
      <w:r w:rsidR="001D18BC" w:rsidRPr="003A1CA0">
        <w:rPr>
          <w:lang w:val="es-CR"/>
        </w:rPr>
        <w:fldChar w:fldCharType="end"/>
      </w:r>
      <w:r w:rsidRPr="003A1CA0">
        <w:rPr>
          <w:lang w:val="es-CR"/>
        </w:rPr>
        <w:t>.</w:t>
      </w:r>
    </w:p>
    <w:p w14:paraId="687750E8" w14:textId="290E16E7" w:rsidR="009C5C61" w:rsidRPr="003A1CA0" w:rsidRDefault="009C5C61" w:rsidP="00612561">
      <w:pPr>
        <w:pStyle w:val="Heading3"/>
        <w:rPr>
          <w:lang w:val="es-CR"/>
        </w:rPr>
      </w:pPr>
      <w:bookmarkStart w:id="50" w:name="_Toc47027858"/>
      <w:r w:rsidRPr="003A1CA0">
        <w:rPr>
          <w:lang w:val="es-CR"/>
        </w:rPr>
        <w:t>Déficit neurológico tardío</w:t>
      </w:r>
      <w:bookmarkEnd w:id="50"/>
    </w:p>
    <w:p w14:paraId="441E039D" w14:textId="3610DBE2" w:rsidR="004E4967" w:rsidRPr="003A1CA0" w:rsidRDefault="0068398E" w:rsidP="009C5C61">
      <w:pPr>
        <w:rPr>
          <w:lang w:val="es-CR"/>
        </w:rPr>
      </w:pPr>
      <w:r w:rsidRPr="003A1CA0">
        <w:rPr>
          <w:lang w:val="es-CR"/>
        </w:rPr>
        <w:t xml:space="preserve">Característicamente los datos de isquemia tardía son comunes </w:t>
      </w:r>
      <w:r w:rsidR="009C5C61" w:rsidRPr="003A1CA0">
        <w:rPr>
          <w:lang w:val="es-CR"/>
        </w:rPr>
        <w:t xml:space="preserve">posterior a TEVAR, </w:t>
      </w:r>
      <w:r w:rsidRPr="003A1CA0">
        <w:rPr>
          <w:lang w:val="es-CR"/>
        </w:rPr>
        <w:t>los</w:t>
      </w:r>
      <w:r w:rsidR="009C5C61" w:rsidRPr="003A1CA0">
        <w:rPr>
          <w:lang w:val="es-CR"/>
        </w:rPr>
        <w:t xml:space="preserve"> </w:t>
      </w:r>
      <w:r w:rsidRPr="003A1CA0">
        <w:rPr>
          <w:lang w:val="es-CR"/>
        </w:rPr>
        <w:t xml:space="preserve">síntomas se manifiestan en 1-10 días postoperatorios. </w:t>
      </w:r>
      <w:r w:rsidR="004E4967" w:rsidRPr="003A1CA0">
        <w:rPr>
          <w:lang w:val="es-CR"/>
        </w:rPr>
        <w:t>L</w:t>
      </w:r>
      <w:r w:rsidR="006B06BE" w:rsidRPr="003A1CA0">
        <w:rPr>
          <w:lang w:val="es-CR"/>
        </w:rPr>
        <w:t>a</w:t>
      </w:r>
      <w:r w:rsidR="004E4967" w:rsidRPr="003A1CA0">
        <w:rPr>
          <w:lang w:val="es-CR"/>
        </w:rPr>
        <w:t xml:space="preserve"> </w:t>
      </w:r>
      <w:r w:rsidR="006B06BE" w:rsidRPr="003A1CA0">
        <w:rPr>
          <w:lang w:val="es-CR"/>
        </w:rPr>
        <w:t>mayoría</w:t>
      </w:r>
      <w:r w:rsidR="004E4967" w:rsidRPr="003A1CA0">
        <w:rPr>
          <w:lang w:val="es-CR"/>
        </w:rPr>
        <w:t xml:space="preserve"> de los pacientes con déficit neurológico tardío experimentaron episodios hipotensivos perioperatorios.</w:t>
      </w:r>
    </w:p>
    <w:p w14:paraId="1E757470" w14:textId="6DDFD87A" w:rsidR="009C5C61" w:rsidRPr="003A1CA0" w:rsidRDefault="0068398E" w:rsidP="009C5C61">
      <w:pPr>
        <w:rPr>
          <w:lang w:val="es-CR"/>
        </w:rPr>
      </w:pPr>
      <w:r w:rsidRPr="003A1CA0">
        <w:rPr>
          <w:lang w:val="es-CR"/>
        </w:rPr>
        <w:t>El protocolo COPS se desarrolló para el manejo de esta patología tardía</w:t>
      </w:r>
      <w:r w:rsidR="004E4967" w:rsidRPr="003A1CA0">
        <w:rPr>
          <w:lang w:val="es-CR"/>
        </w:rPr>
        <w:t>:</w:t>
      </w:r>
    </w:p>
    <w:p w14:paraId="476F1B16" w14:textId="2FD82632" w:rsidR="009C5C61" w:rsidRPr="003A1CA0" w:rsidRDefault="009C5C61" w:rsidP="007B0B9B">
      <w:pPr>
        <w:pStyle w:val="ListParagraph"/>
        <w:numPr>
          <w:ilvl w:val="0"/>
          <w:numId w:val="6"/>
        </w:numPr>
        <w:rPr>
          <w:lang w:val="es-CR"/>
        </w:rPr>
      </w:pPr>
      <w:r w:rsidRPr="003A1CA0">
        <w:rPr>
          <w:b/>
          <w:bCs/>
          <w:lang w:val="es-CR"/>
        </w:rPr>
        <w:t>C</w:t>
      </w:r>
      <w:r w:rsidR="004E7E10" w:rsidRPr="003A1CA0">
        <w:rPr>
          <w:lang w:val="es-CR"/>
        </w:rPr>
        <w:t>(L</w:t>
      </w:r>
      <w:r w:rsidR="004E7E10" w:rsidRPr="003A1CA0">
        <w:rPr>
          <w:b/>
          <w:bCs/>
          <w:lang w:val="es-CR"/>
        </w:rPr>
        <w:t>C</w:t>
      </w:r>
      <w:r w:rsidR="004E7E10" w:rsidRPr="003A1CA0">
        <w:rPr>
          <w:lang w:val="es-CR"/>
        </w:rPr>
        <w:t>R)</w:t>
      </w:r>
      <w:r w:rsidR="004E7E10" w:rsidRPr="003A1CA0">
        <w:rPr>
          <w:b/>
          <w:bCs/>
          <w:lang w:val="es-CR"/>
        </w:rPr>
        <w:t xml:space="preserve"> </w:t>
      </w:r>
      <w:r w:rsidR="004E7E10" w:rsidRPr="003A1CA0">
        <w:rPr>
          <w:lang w:val="es-CR"/>
        </w:rPr>
        <w:t xml:space="preserve">Valorar el funcionamiento del catéter epidural: Disminuir pLCR &lt;5mmHg constante y mantener drenaje por 7 </w:t>
      </w:r>
      <w:r w:rsidR="0068398E" w:rsidRPr="003A1CA0">
        <w:rPr>
          <w:lang w:val="es-CR"/>
        </w:rPr>
        <w:t>días</w:t>
      </w:r>
      <w:r w:rsidR="004E7E10" w:rsidRPr="003A1CA0">
        <w:rPr>
          <w:lang w:val="es-CR"/>
        </w:rPr>
        <w:t>. Disfunción del catéter es indicación para reemplazo inmediato del mismo</w:t>
      </w:r>
    </w:p>
    <w:p w14:paraId="4E130F72" w14:textId="0BF2867C" w:rsidR="004E7E10" w:rsidRPr="003A1CA0" w:rsidRDefault="004E7E10" w:rsidP="007B0B9B">
      <w:pPr>
        <w:pStyle w:val="ListParagraph"/>
        <w:numPr>
          <w:ilvl w:val="0"/>
          <w:numId w:val="6"/>
        </w:numPr>
        <w:rPr>
          <w:lang w:val="es-CR"/>
        </w:rPr>
      </w:pPr>
      <w:r w:rsidRPr="003A1CA0">
        <w:rPr>
          <w:lang w:val="es-CR"/>
        </w:rPr>
        <w:t>(</w:t>
      </w:r>
      <w:r w:rsidRPr="003A1CA0">
        <w:rPr>
          <w:b/>
          <w:bCs/>
          <w:lang w:val="es-CR"/>
        </w:rPr>
        <w:t>O</w:t>
      </w:r>
      <w:r w:rsidRPr="003A1CA0">
        <w:rPr>
          <w:lang w:val="es-CR"/>
        </w:rPr>
        <w:t xml:space="preserve">xígeno) Valorar aporte O2: Optimizar flujo de </w:t>
      </w:r>
      <w:r w:rsidR="003A1CA0" w:rsidRPr="003A1CA0">
        <w:rPr>
          <w:lang w:val="es-CR"/>
        </w:rPr>
        <w:t>oxígeno</w:t>
      </w:r>
      <w:r w:rsidRPr="003A1CA0">
        <w:rPr>
          <w:lang w:val="es-CR"/>
        </w:rPr>
        <w:t xml:space="preserve"> para mantener una Saturación O2 &gt;90%. Aumentar la meta de hemoglobina a &gt;12mg/dL y un índice cardiaco &gt;2.5L/min/BS</w:t>
      </w:r>
      <w:r w:rsidR="003C51C0" w:rsidRPr="003A1CA0">
        <w:rPr>
          <w:lang w:val="es-CR"/>
        </w:rPr>
        <w:t>A.</w:t>
      </w:r>
    </w:p>
    <w:p w14:paraId="2A462546" w14:textId="220474DE" w:rsidR="004E7E10" w:rsidRPr="003A1CA0" w:rsidRDefault="004E7E10" w:rsidP="007B0B9B">
      <w:pPr>
        <w:pStyle w:val="ListParagraph"/>
        <w:numPr>
          <w:ilvl w:val="0"/>
          <w:numId w:val="6"/>
        </w:numPr>
        <w:rPr>
          <w:lang w:val="es-CR"/>
        </w:rPr>
      </w:pPr>
      <w:r w:rsidRPr="003A1CA0">
        <w:rPr>
          <w:b/>
          <w:bCs/>
          <w:lang w:val="es-CR"/>
        </w:rPr>
        <w:t xml:space="preserve">PS </w:t>
      </w:r>
      <w:r w:rsidRPr="003A1CA0">
        <w:rPr>
          <w:lang w:val="es-CR"/>
        </w:rPr>
        <w:t>(E</w:t>
      </w:r>
      <w:r w:rsidRPr="003A1CA0">
        <w:rPr>
          <w:b/>
          <w:bCs/>
          <w:lang w:val="es-CR"/>
        </w:rPr>
        <w:t>s</w:t>
      </w:r>
      <w:r w:rsidRPr="003A1CA0">
        <w:rPr>
          <w:lang w:val="es-CR"/>
        </w:rPr>
        <w:t xml:space="preserve">tatus del </w:t>
      </w:r>
      <w:r w:rsidRPr="003A1CA0">
        <w:rPr>
          <w:b/>
          <w:bCs/>
          <w:lang w:val="es-CR"/>
        </w:rPr>
        <w:t>P</w:t>
      </w:r>
      <w:r w:rsidRPr="003A1CA0">
        <w:rPr>
          <w:lang w:val="es-CR"/>
        </w:rPr>
        <w:t>aciente) Valorar estado basal del paciente: Identificar, diagnosticar y tratar complicaciones sistémicas cardiopulmonares, renales y sépticas.</w:t>
      </w:r>
    </w:p>
    <w:p w14:paraId="60201834" w14:textId="7768C58A" w:rsidR="00D22AD1" w:rsidRPr="003A1CA0" w:rsidRDefault="00D22AD1" w:rsidP="00D22AD1">
      <w:pPr>
        <w:pStyle w:val="Heading3"/>
        <w:rPr>
          <w:lang w:val="es-CR"/>
        </w:rPr>
      </w:pPr>
      <w:bookmarkStart w:id="51" w:name="_Toc47027859"/>
      <w:r w:rsidRPr="003A1CA0">
        <w:rPr>
          <w:lang w:val="es-CR"/>
        </w:rPr>
        <w:t>Seguimiento postoperatorio</w:t>
      </w:r>
      <w:bookmarkEnd w:id="51"/>
    </w:p>
    <w:p w14:paraId="096F3B4B" w14:textId="4843999F" w:rsidR="003A1CA0" w:rsidRPr="003A1CA0" w:rsidRDefault="007D5A56" w:rsidP="007D5A56">
      <w:pPr>
        <w:rPr>
          <w:lang w:val="es-CR"/>
        </w:rPr>
      </w:pPr>
      <w:r w:rsidRPr="003A1CA0">
        <w:rPr>
          <w:lang w:val="es-CR"/>
        </w:rPr>
        <w:t xml:space="preserve">No existen guías formales para el manejo postoperatorio de pacientes sometidos a cirugía </w:t>
      </w:r>
      <w:r w:rsidR="003C51C0" w:rsidRPr="003A1CA0">
        <w:rPr>
          <w:lang w:val="es-CR"/>
        </w:rPr>
        <w:t>aórtica.</w:t>
      </w:r>
      <w:r w:rsidRPr="003A1CA0">
        <w:rPr>
          <w:lang w:val="es-CR"/>
        </w:rPr>
        <w:t xml:space="preserve"> “Enhaced recovery after surgery (ERAS)” propone una guía de cuidados clínicos postoperatorios</w:t>
      </w:r>
      <w:r w:rsidR="00F01770">
        <w:rPr>
          <w:lang w:val="es-CR"/>
        </w:rPr>
        <w:t xml:space="preserve"> </w:t>
      </w:r>
      <w:r w:rsidRPr="003A1CA0">
        <w:rPr>
          <w:lang w:val="es-CR"/>
        </w:rPr>
        <w:fldChar w:fldCharType="begin" w:fldLock="1"/>
      </w:r>
      <w:r w:rsidR="00F01770">
        <w:rPr>
          <w:lang w:val="es-CR"/>
        </w:rPr>
        <w:instrText>ADDIN CSL_CITATION {"citationItems":[{"id":"ITEM-1","itemData":{"DOI":"10.1007/978-981-10-6796-9","ISBN":"9789811067969","abstract":"This book provides up-to-date information and practical approaches to Enhanced Recovery After Surgery (ERAS) programs for digestive and / or cardiopulmonary surgery. ERAS programs following surgical interventions are now part of the standard of care for patients undergoing various operative procedures. These programs have been associated with reductions in complications, in length of hospital stay after surgery and in related costs, and have led to improved patient QOL. Enhanced Recovery After Surgery discusses a range of aspects of the program, from surgical procedure to perioperative management. Each chapter is written by experts in the field, including digestive, cardiopulmonary and pediatric surgeons. It is a valuable resource for surgeons, nurses and administrators interested in initiating an ERAS program.","author":[{"dropping-particle":"","family":"Fukushima","given":"Ryoji","non-dropping-particle":"","parse-names":false,"suffix":""},{"dropping-particle":"","family":"Kaibori","given":"Masaki","non-dropping-particle":"","parse-names":false,"suffix":""}],"container-title":"Enhanced Recovery After Surgery","editor":[{"dropping-particle":"","family":"Ljungqvist","given":"Olle","non-dropping-particle":"","parse-names":false,"suffix":""},{"dropping-particle":"","family":"Francis","given":"Nader","non-dropping-particle":"","parse-names":false,"suffix":""},{"dropping-particle":"","family":"Urman","given":"Richard","non-dropping-particle":"","parse-names":false,"suffix":""}],"id":"ITEM-1","issued":{"date-parts":[["2018"]]},"publisher":"Springer US","publisher-place":"Cham, Switzerland","title":"Enhanced recovery after surgery","type":"book"},"uris":["http://www.mendeley.com/documents/?uuid=8667a78f-915a-4848-9950-dd4d8f51b164"]}],"mendeley":{"formattedCitation":"(Fukushima &amp; Kaibori, 2018)","plainTextFormattedCitation":"(Fukushima &amp; Kaibori, 2018)","previouslyFormattedCitation":"(Fukushima &amp; Kaibori, 2018)"},"properties":{"noteIndex":0},"schema":"https://github.com/citation-style-language/schema/raw/master/csl-citation.json"}</w:instrText>
      </w:r>
      <w:r w:rsidRPr="003A1CA0">
        <w:rPr>
          <w:lang w:val="es-CR"/>
        </w:rPr>
        <w:fldChar w:fldCharType="separate"/>
      </w:r>
      <w:r w:rsidR="00FA7019" w:rsidRPr="00FA7019">
        <w:rPr>
          <w:noProof/>
          <w:lang w:val="es-CR"/>
        </w:rPr>
        <w:t>(Fukushima &amp; Kaibori, 2018)</w:t>
      </w:r>
      <w:r w:rsidRPr="003A1CA0">
        <w:rPr>
          <w:lang w:val="es-CR"/>
        </w:rPr>
        <w:fldChar w:fldCharType="end"/>
      </w:r>
      <w:r w:rsidR="003A1CA0" w:rsidRPr="003A1CA0">
        <w:rPr>
          <w:lang w:val="es-CR"/>
        </w:rPr>
        <w:t xml:space="preserve"> (Tabla 5).</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8"/>
        <w:gridCol w:w="1764"/>
        <w:gridCol w:w="1541"/>
        <w:gridCol w:w="1541"/>
        <w:gridCol w:w="2820"/>
      </w:tblGrid>
      <w:tr w:rsidR="00E84E01" w:rsidRPr="003A1CA0" w14:paraId="09A569D2" w14:textId="77777777" w:rsidTr="00F01770">
        <w:trPr>
          <w:trHeight w:val="300"/>
          <w:jc w:val="center"/>
        </w:trPr>
        <w:tc>
          <w:tcPr>
            <w:tcW w:w="1548" w:type="dxa"/>
            <w:shd w:val="clear" w:color="4472C4" w:fill="4472C4"/>
            <w:vAlign w:val="bottom"/>
            <w:hideMark/>
          </w:tcPr>
          <w:p w14:paraId="1008F7AE" w14:textId="77777777" w:rsidR="00E84E01" w:rsidRPr="003A1CA0" w:rsidRDefault="00E84E01" w:rsidP="00E84E01">
            <w:pPr>
              <w:spacing w:after="0" w:line="240" w:lineRule="auto"/>
              <w:ind w:firstLine="0"/>
              <w:jc w:val="left"/>
              <w:rPr>
                <w:rFonts w:eastAsia="Times New Roman" w:cs="Arial"/>
                <w:b/>
                <w:bCs/>
                <w:color w:val="FFFFFF"/>
                <w:sz w:val="22"/>
                <w:lang w:val="es-CR" w:eastAsia="es-CR" w:bidi="ar-SA"/>
              </w:rPr>
            </w:pPr>
          </w:p>
        </w:tc>
        <w:tc>
          <w:tcPr>
            <w:tcW w:w="1764" w:type="dxa"/>
            <w:shd w:val="clear" w:color="4472C4" w:fill="4472C4"/>
            <w:vAlign w:val="bottom"/>
            <w:hideMark/>
          </w:tcPr>
          <w:p w14:paraId="43129099" w14:textId="77777777" w:rsidR="00E84E01" w:rsidRPr="003A1CA0" w:rsidRDefault="00E84E01" w:rsidP="00E84E01">
            <w:pPr>
              <w:spacing w:after="0" w:line="240" w:lineRule="auto"/>
              <w:ind w:firstLine="0"/>
              <w:jc w:val="center"/>
              <w:rPr>
                <w:rFonts w:eastAsia="Times New Roman" w:cs="Arial"/>
                <w:b/>
                <w:bCs/>
                <w:color w:val="FFFFFF"/>
                <w:sz w:val="22"/>
                <w:lang w:val="es-CR" w:eastAsia="es-CR" w:bidi="ar-SA"/>
              </w:rPr>
            </w:pPr>
            <w:r w:rsidRPr="003A1CA0">
              <w:rPr>
                <w:rFonts w:eastAsia="Times New Roman" w:cs="Arial"/>
                <w:b/>
                <w:bCs/>
                <w:color w:val="FFFFFF"/>
                <w:sz w:val="22"/>
                <w:lang w:val="es-CR" w:eastAsia="es-CR" w:bidi="ar-SA"/>
              </w:rPr>
              <w:t>Dia de Cirugia</w:t>
            </w:r>
          </w:p>
        </w:tc>
        <w:tc>
          <w:tcPr>
            <w:tcW w:w="1541" w:type="dxa"/>
            <w:shd w:val="clear" w:color="4472C4" w:fill="4472C4"/>
            <w:vAlign w:val="bottom"/>
            <w:hideMark/>
          </w:tcPr>
          <w:p w14:paraId="3A4214E0" w14:textId="77777777" w:rsidR="00E84E01" w:rsidRPr="003A1CA0" w:rsidRDefault="00E84E01" w:rsidP="00E84E01">
            <w:pPr>
              <w:spacing w:after="0" w:line="240" w:lineRule="auto"/>
              <w:ind w:firstLine="0"/>
              <w:jc w:val="center"/>
              <w:rPr>
                <w:rFonts w:eastAsia="Times New Roman" w:cs="Arial"/>
                <w:b/>
                <w:bCs/>
                <w:color w:val="FFFFFF"/>
                <w:sz w:val="22"/>
                <w:lang w:val="es-CR" w:eastAsia="es-CR" w:bidi="ar-SA"/>
              </w:rPr>
            </w:pPr>
            <w:r w:rsidRPr="003A1CA0">
              <w:rPr>
                <w:rFonts w:eastAsia="Times New Roman" w:cs="Arial"/>
                <w:b/>
                <w:bCs/>
                <w:color w:val="FFFFFF"/>
                <w:sz w:val="22"/>
                <w:lang w:val="es-CR" w:eastAsia="es-CR" w:bidi="ar-SA"/>
              </w:rPr>
              <w:t>POP1</w:t>
            </w:r>
          </w:p>
        </w:tc>
        <w:tc>
          <w:tcPr>
            <w:tcW w:w="1541" w:type="dxa"/>
            <w:shd w:val="clear" w:color="4472C4" w:fill="4472C4"/>
            <w:vAlign w:val="bottom"/>
            <w:hideMark/>
          </w:tcPr>
          <w:p w14:paraId="1427A04E" w14:textId="77777777" w:rsidR="00E84E01" w:rsidRPr="003A1CA0" w:rsidRDefault="00E84E01" w:rsidP="00E84E01">
            <w:pPr>
              <w:spacing w:after="0" w:line="240" w:lineRule="auto"/>
              <w:ind w:firstLine="0"/>
              <w:jc w:val="center"/>
              <w:rPr>
                <w:rFonts w:eastAsia="Times New Roman" w:cs="Arial"/>
                <w:b/>
                <w:bCs/>
                <w:color w:val="FFFFFF"/>
                <w:sz w:val="22"/>
                <w:lang w:val="es-CR" w:eastAsia="es-CR" w:bidi="ar-SA"/>
              </w:rPr>
            </w:pPr>
            <w:r w:rsidRPr="003A1CA0">
              <w:rPr>
                <w:rFonts w:eastAsia="Times New Roman" w:cs="Arial"/>
                <w:b/>
                <w:bCs/>
                <w:color w:val="FFFFFF"/>
                <w:sz w:val="22"/>
                <w:lang w:val="es-CR" w:eastAsia="es-CR" w:bidi="ar-SA"/>
              </w:rPr>
              <w:t>POP2</w:t>
            </w:r>
          </w:p>
        </w:tc>
        <w:tc>
          <w:tcPr>
            <w:tcW w:w="2820" w:type="dxa"/>
            <w:shd w:val="clear" w:color="4472C4" w:fill="4472C4"/>
            <w:vAlign w:val="bottom"/>
            <w:hideMark/>
          </w:tcPr>
          <w:p w14:paraId="4F3D9C63" w14:textId="77777777" w:rsidR="00E84E01" w:rsidRPr="003A1CA0" w:rsidRDefault="00E84E01" w:rsidP="00E84E01">
            <w:pPr>
              <w:spacing w:after="0" w:line="240" w:lineRule="auto"/>
              <w:ind w:firstLine="0"/>
              <w:jc w:val="center"/>
              <w:rPr>
                <w:rFonts w:eastAsia="Times New Roman" w:cs="Arial"/>
                <w:b/>
                <w:bCs/>
                <w:color w:val="FFFFFF"/>
                <w:sz w:val="22"/>
                <w:lang w:val="es-CR" w:eastAsia="es-CR" w:bidi="ar-SA"/>
              </w:rPr>
            </w:pPr>
            <w:r w:rsidRPr="003A1CA0">
              <w:rPr>
                <w:rFonts w:eastAsia="Times New Roman" w:cs="Arial"/>
                <w:b/>
                <w:bCs/>
                <w:color w:val="FFFFFF"/>
                <w:sz w:val="22"/>
                <w:lang w:val="es-CR" w:eastAsia="es-CR" w:bidi="ar-SA"/>
              </w:rPr>
              <w:t>POP3 hasta el Egreso</w:t>
            </w:r>
          </w:p>
        </w:tc>
      </w:tr>
      <w:tr w:rsidR="00E84E01" w:rsidRPr="00CA1DB1" w14:paraId="39C47BFD" w14:textId="77777777" w:rsidTr="00F01770">
        <w:trPr>
          <w:trHeight w:val="1200"/>
          <w:jc w:val="center"/>
        </w:trPr>
        <w:tc>
          <w:tcPr>
            <w:tcW w:w="1548" w:type="dxa"/>
            <w:shd w:val="clear" w:color="B4C6E7" w:fill="B4C6E7"/>
            <w:vAlign w:val="center"/>
            <w:hideMark/>
          </w:tcPr>
          <w:p w14:paraId="29D94753"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Tabaco</w:t>
            </w:r>
          </w:p>
        </w:tc>
        <w:tc>
          <w:tcPr>
            <w:tcW w:w="1764" w:type="dxa"/>
            <w:shd w:val="clear" w:color="B4C6E7" w:fill="B4C6E7"/>
            <w:vAlign w:val="center"/>
            <w:hideMark/>
          </w:tcPr>
          <w:p w14:paraId="0F92112C"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Terapia suplementaria con nicotina</w:t>
            </w:r>
          </w:p>
        </w:tc>
        <w:tc>
          <w:tcPr>
            <w:tcW w:w="1541" w:type="dxa"/>
            <w:shd w:val="clear" w:color="B4C6E7" w:fill="B4C6E7"/>
            <w:vAlign w:val="center"/>
            <w:hideMark/>
          </w:tcPr>
          <w:p w14:paraId="71A98C8A"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Terapia suplementaria con nicotina</w:t>
            </w:r>
          </w:p>
        </w:tc>
        <w:tc>
          <w:tcPr>
            <w:tcW w:w="1541" w:type="dxa"/>
            <w:shd w:val="clear" w:color="B4C6E7" w:fill="B4C6E7"/>
            <w:vAlign w:val="center"/>
            <w:hideMark/>
          </w:tcPr>
          <w:p w14:paraId="108175E2"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Terapia suplementaria con nicotina</w:t>
            </w:r>
          </w:p>
        </w:tc>
        <w:tc>
          <w:tcPr>
            <w:tcW w:w="2820" w:type="dxa"/>
            <w:shd w:val="clear" w:color="B4C6E7" w:fill="B4C6E7"/>
            <w:vAlign w:val="center"/>
            <w:hideMark/>
          </w:tcPr>
          <w:p w14:paraId="51941A5E" w14:textId="164C5C08"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Terapia suplementaria con nicotina, desarrollar un plan de egreso para continuar con el manejo de la abstinencia</w:t>
            </w:r>
          </w:p>
        </w:tc>
      </w:tr>
      <w:tr w:rsidR="00E84E01" w:rsidRPr="003A1CA0" w14:paraId="39355F4B" w14:textId="77777777" w:rsidTr="00F01770">
        <w:trPr>
          <w:trHeight w:val="900"/>
          <w:jc w:val="center"/>
        </w:trPr>
        <w:tc>
          <w:tcPr>
            <w:tcW w:w="1548" w:type="dxa"/>
            <w:shd w:val="clear" w:color="D9E1F2" w:fill="D9E1F2"/>
            <w:vAlign w:val="center"/>
            <w:hideMark/>
          </w:tcPr>
          <w:p w14:paraId="41D56BB5" w14:textId="594BCEC9"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Deambulación</w:t>
            </w:r>
          </w:p>
        </w:tc>
        <w:tc>
          <w:tcPr>
            <w:tcW w:w="1764" w:type="dxa"/>
            <w:shd w:val="clear" w:color="D9E1F2" w:fill="D9E1F2"/>
            <w:vAlign w:val="center"/>
            <w:hideMark/>
          </w:tcPr>
          <w:p w14:paraId="3391CD94" w14:textId="2525DE94"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IC a Fisiatría y Terapia físic</w:t>
            </w:r>
            <w:r w:rsidR="008C7712">
              <w:rPr>
                <w:rFonts w:eastAsia="Times New Roman" w:cs="Arial"/>
                <w:color w:val="000000"/>
                <w:sz w:val="22"/>
                <w:lang w:val="es-CR" w:eastAsia="es-CR" w:bidi="ar-SA"/>
              </w:rPr>
              <w:t>a</w:t>
            </w:r>
            <w:r w:rsidR="003C51C0" w:rsidRPr="003A1CA0">
              <w:rPr>
                <w:rFonts w:eastAsia="Times New Roman" w:cs="Arial"/>
                <w:color w:val="000000"/>
                <w:sz w:val="22"/>
                <w:lang w:val="es-CR" w:eastAsia="es-CR" w:bidi="ar-SA"/>
              </w:rPr>
              <w:t>.</w:t>
            </w:r>
            <w:r w:rsidRPr="003A1CA0">
              <w:rPr>
                <w:rFonts w:eastAsia="Times New Roman" w:cs="Arial"/>
                <w:color w:val="000000"/>
                <w:sz w:val="22"/>
                <w:lang w:val="es-CR" w:eastAsia="es-CR" w:bidi="ar-SA"/>
              </w:rPr>
              <w:t xml:space="preserve"> Traslado a silla</w:t>
            </w:r>
          </w:p>
        </w:tc>
        <w:tc>
          <w:tcPr>
            <w:tcW w:w="1541" w:type="dxa"/>
            <w:shd w:val="clear" w:color="D9E1F2" w:fill="D9E1F2"/>
            <w:vAlign w:val="center"/>
            <w:hideMark/>
          </w:tcPr>
          <w:p w14:paraId="7B8883E6"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Deambular al menos 1 vez</w:t>
            </w:r>
          </w:p>
        </w:tc>
        <w:tc>
          <w:tcPr>
            <w:tcW w:w="1541" w:type="dxa"/>
            <w:shd w:val="clear" w:color="D9E1F2" w:fill="D9E1F2"/>
            <w:vAlign w:val="center"/>
            <w:hideMark/>
          </w:tcPr>
          <w:p w14:paraId="3F39064A" w14:textId="2FE108C0"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Deambular 3 veces al día</w:t>
            </w:r>
          </w:p>
        </w:tc>
        <w:tc>
          <w:tcPr>
            <w:tcW w:w="2820" w:type="dxa"/>
            <w:shd w:val="clear" w:color="D9E1F2" w:fill="D9E1F2"/>
            <w:vAlign w:val="center"/>
            <w:hideMark/>
          </w:tcPr>
          <w:p w14:paraId="09B328EA" w14:textId="586B096D"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Deambular 3 veces al día</w:t>
            </w:r>
          </w:p>
        </w:tc>
      </w:tr>
      <w:tr w:rsidR="00E84E01" w:rsidRPr="00CA1DB1" w14:paraId="49F0A720" w14:textId="77777777" w:rsidTr="00F01770">
        <w:trPr>
          <w:trHeight w:val="900"/>
          <w:jc w:val="center"/>
        </w:trPr>
        <w:tc>
          <w:tcPr>
            <w:tcW w:w="1548" w:type="dxa"/>
            <w:shd w:val="clear" w:color="B4C6E7" w:fill="B4C6E7"/>
            <w:vAlign w:val="center"/>
            <w:hideMark/>
          </w:tcPr>
          <w:p w14:paraId="4F958242"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Control del dolor</w:t>
            </w:r>
          </w:p>
        </w:tc>
        <w:tc>
          <w:tcPr>
            <w:tcW w:w="1764" w:type="dxa"/>
            <w:shd w:val="clear" w:color="B4C6E7" w:fill="B4C6E7"/>
            <w:vAlign w:val="center"/>
            <w:hideMark/>
          </w:tcPr>
          <w:p w14:paraId="35B2F8CA" w14:textId="7E2D6881"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Analgesia Epidural por Anestesia</w:t>
            </w:r>
          </w:p>
        </w:tc>
        <w:tc>
          <w:tcPr>
            <w:tcW w:w="1541" w:type="dxa"/>
            <w:shd w:val="clear" w:color="B4C6E7" w:fill="B4C6E7"/>
            <w:vAlign w:val="center"/>
            <w:hideMark/>
          </w:tcPr>
          <w:p w14:paraId="2DFF3CEB" w14:textId="435F9C5D"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Analgesia Epidural por Anestesia</w:t>
            </w:r>
          </w:p>
        </w:tc>
        <w:tc>
          <w:tcPr>
            <w:tcW w:w="1541" w:type="dxa"/>
            <w:shd w:val="clear" w:color="B4C6E7" w:fill="B4C6E7"/>
            <w:vAlign w:val="center"/>
            <w:hideMark/>
          </w:tcPr>
          <w:p w14:paraId="33D0CD8D" w14:textId="4DA2D06B"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Analgesia Epidural por Anestesia</w:t>
            </w:r>
          </w:p>
        </w:tc>
        <w:tc>
          <w:tcPr>
            <w:tcW w:w="2820" w:type="dxa"/>
            <w:shd w:val="clear" w:color="B4C6E7" w:fill="B4C6E7"/>
            <w:vAlign w:val="center"/>
            <w:hideMark/>
          </w:tcPr>
          <w:p w14:paraId="6C6A6D51" w14:textId="057CC7A8"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Retirar catéter epidural, implementar y traslapar a terapia analgésica combinada</w:t>
            </w:r>
          </w:p>
        </w:tc>
      </w:tr>
      <w:tr w:rsidR="00E84E01" w:rsidRPr="003A1CA0" w14:paraId="4CF9D7A3" w14:textId="77777777" w:rsidTr="00F01770">
        <w:trPr>
          <w:trHeight w:val="600"/>
          <w:jc w:val="center"/>
        </w:trPr>
        <w:tc>
          <w:tcPr>
            <w:tcW w:w="1548" w:type="dxa"/>
            <w:shd w:val="clear" w:color="D9E1F2" w:fill="D9E1F2"/>
            <w:vAlign w:val="center"/>
            <w:hideMark/>
          </w:tcPr>
          <w:p w14:paraId="30484347" w14:textId="1FCA4462"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Nutrición</w:t>
            </w:r>
          </w:p>
        </w:tc>
        <w:tc>
          <w:tcPr>
            <w:tcW w:w="1764" w:type="dxa"/>
            <w:shd w:val="clear" w:color="D9E1F2" w:fill="D9E1F2"/>
            <w:vAlign w:val="center"/>
            <w:hideMark/>
          </w:tcPr>
          <w:p w14:paraId="5F49CDA9"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Dieta liquida</w:t>
            </w:r>
          </w:p>
        </w:tc>
        <w:tc>
          <w:tcPr>
            <w:tcW w:w="1541" w:type="dxa"/>
            <w:shd w:val="clear" w:color="D9E1F2" w:fill="D9E1F2"/>
            <w:vAlign w:val="center"/>
            <w:hideMark/>
          </w:tcPr>
          <w:p w14:paraId="2D63C88D" w14:textId="1BF7C976"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Dieta corriente según tolerancia</w:t>
            </w:r>
          </w:p>
        </w:tc>
        <w:tc>
          <w:tcPr>
            <w:tcW w:w="1541" w:type="dxa"/>
            <w:shd w:val="clear" w:color="D9E1F2" w:fill="D9E1F2"/>
            <w:vAlign w:val="center"/>
            <w:hideMark/>
          </w:tcPr>
          <w:p w14:paraId="6811A23C" w14:textId="6BE2207D"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Dieta corriente según tolerancia</w:t>
            </w:r>
          </w:p>
        </w:tc>
        <w:tc>
          <w:tcPr>
            <w:tcW w:w="2820" w:type="dxa"/>
            <w:shd w:val="clear" w:color="D9E1F2" w:fill="D9E1F2"/>
            <w:vAlign w:val="center"/>
            <w:hideMark/>
          </w:tcPr>
          <w:p w14:paraId="0789CFE9" w14:textId="066A8331"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Dieta corriente según tolerancia</w:t>
            </w:r>
          </w:p>
        </w:tc>
      </w:tr>
      <w:tr w:rsidR="00E84E01" w:rsidRPr="00CA1DB1" w14:paraId="574FB173" w14:textId="77777777" w:rsidTr="00F01770">
        <w:trPr>
          <w:trHeight w:val="900"/>
          <w:jc w:val="center"/>
        </w:trPr>
        <w:tc>
          <w:tcPr>
            <w:tcW w:w="1548" w:type="dxa"/>
            <w:shd w:val="clear" w:color="B4C6E7" w:fill="B4C6E7"/>
            <w:vAlign w:val="center"/>
            <w:hideMark/>
          </w:tcPr>
          <w:p w14:paraId="27D278AF" w14:textId="0A818E66"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Retiro de drenajes y catéteres</w:t>
            </w:r>
          </w:p>
        </w:tc>
        <w:tc>
          <w:tcPr>
            <w:tcW w:w="1764" w:type="dxa"/>
            <w:shd w:val="clear" w:color="B4C6E7" w:fill="B4C6E7"/>
            <w:vAlign w:val="center"/>
            <w:hideMark/>
          </w:tcPr>
          <w:p w14:paraId="506C9DB3" w14:textId="715F4C68"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Retiro de Sonda nasogástrica</w:t>
            </w:r>
          </w:p>
        </w:tc>
        <w:tc>
          <w:tcPr>
            <w:tcW w:w="1541" w:type="dxa"/>
            <w:shd w:val="clear" w:color="B4C6E7" w:fill="B4C6E7"/>
            <w:vAlign w:val="center"/>
            <w:hideMark/>
          </w:tcPr>
          <w:p w14:paraId="71EACAD8" w14:textId="77777777"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Retiro Sonda Foley</w:t>
            </w:r>
          </w:p>
        </w:tc>
        <w:tc>
          <w:tcPr>
            <w:tcW w:w="1541" w:type="dxa"/>
            <w:shd w:val="clear" w:color="B4C6E7" w:fill="B4C6E7"/>
            <w:vAlign w:val="center"/>
            <w:hideMark/>
          </w:tcPr>
          <w:p w14:paraId="5774B31C" w14:textId="1314E978" w:rsidR="00E84E01" w:rsidRPr="003A1CA0" w:rsidRDefault="00E84E01" w:rsidP="00E84E01">
            <w:pPr>
              <w:spacing w:after="0" w:line="240" w:lineRule="auto"/>
              <w:ind w:firstLine="0"/>
              <w:jc w:val="left"/>
              <w:rPr>
                <w:rFonts w:eastAsia="Times New Roman" w:cs="Arial"/>
                <w:color w:val="000000"/>
                <w:sz w:val="22"/>
                <w:lang w:val="es-CR" w:eastAsia="es-CR" w:bidi="ar-SA"/>
              </w:rPr>
            </w:pPr>
            <w:r w:rsidRPr="003A1CA0">
              <w:rPr>
                <w:rFonts w:eastAsia="Times New Roman" w:cs="Arial"/>
                <w:color w:val="000000"/>
                <w:sz w:val="22"/>
                <w:lang w:val="es-CR" w:eastAsia="es-CR" w:bidi="ar-SA"/>
              </w:rPr>
              <w:t>valoración diaria de retiro de vías y catéteres</w:t>
            </w:r>
          </w:p>
        </w:tc>
        <w:tc>
          <w:tcPr>
            <w:tcW w:w="2820" w:type="dxa"/>
            <w:shd w:val="clear" w:color="B4C6E7" w:fill="B4C6E7"/>
            <w:vAlign w:val="center"/>
            <w:hideMark/>
          </w:tcPr>
          <w:p w14:paraId="33080FB7" w14:textId="7817C80F" w:rsidR="00E84E01" w:rsidRPr="003A1CA0" w:rsidRDefault="0091486C" w:rsidP="00E84E01">
            <w:pPr>
              <w:spacing w:after="0" w:line="240" w:lineRule="auto"/>
              <w:ind w:firstLine="0"/>
              <w:jc w:val="left"/>
              <w:rPr>
                <w:rFonts w:eastAsia="Times New Roman" w:cs="Arial"/>
                <w:color w:val="000000"/>
                <w:sz w:val="22"/>
                <w:lang w:val="es-CR" w:eastAsia="es-CR" w:bidi="ar-SA"/>
              </w:rPr>
            </w:pPr>
            <w:r>
              <w:rPr>
                <w:rFonts w:eastAsia="Times New Roman" w:cs="Arial"/>
                <w:color w:val="000000"/>
                <w:sz w:val="22"/>
                <w:lang w:val="es-CR" w:eastAsia="es-CR" w:bidi="ar-SA"/>
              </w:rPr>
              <w:t>V</w:t>
            </w:r>
            <w:r w:rsidR="00E84E01" w:rsidRPr="003A1CA0">
              <w:rPr>
                <w:rFonts w:eastAsia="Times New Roman" w:cs="Arial"/>
                <w:color w:val="000000"/>
                <w:sz w:val="22"/>
                <w:lang w:val="es-CR" w:eastAsia="es-CR" w:bidi="ar-SA"/>
              </w:rPr>
              <w:t>aloración diaria de retiro de vías y catéteres</w:t>
            </w:r>
          </w:p>
        </w:tc>
      </w:tr>
    </w:tbl>
    <w:p w14:paraId="3C3C3A8A" w14:textId="118446A7" w:rsidR="00E84E01" w:rsidRDefault="00E84E01" w:rsidP="0091486C">
      <w:pPr>
        <w:pStyle w:val="Prrafodelista1"/>
        <w:spacing w:after="0"/>
        <w:rPr>
          <w:lang w:val="es-CR"/>
        </w:rPr>
      </w:pPr>
      <w:r w:rsidRPr="003A1CA0">
        <w:rPr>
          <w:lang w:val="es-CR"/>
        </w:rPr>
        <w:t>Tabla</w:t>
      </w:r>
      <w:r w:rsidR="003A1CA0" w:rsidRPr="003A1CA0">
        <w:rPr>
          <w:lang w:val="es-CR"/>
        </w:rPr>
        <w:t xml:space="preserve"> 5</w:t>
      </w:r>
      <w:r w:rsidRPr="003A1CA0">
        <w:rPr>
          <w:lang w:val="es-CR"/>
        </w:rPr>
        <w:t xml:space="preserve"> Recomendaciones ERAS manejo Postoperatorio</w:t>
      </w:r>
    </w:p>
    <w:p w14:paraId="1A972E11" w14:textId="750B36F0" w:rsidR="0091486C" w:rsidRPr="0091486C" w:rsidRDefault="0091486C" w:rsidP="0091486C">
      <w:pPr>
        <w:pStyle w:val="Prrafodelista1"/>
        <w:rPr>
          <w:lang w:val="es-CR"/>
        </w:rPr>
      </w:pPr>
      <w:r>
        <w:rPr>
          <w:lang w:val="es-CR"/>
        </w:rPr>
        <w:t xml:space="preserve">Fuente: Adaptado de </w:t>
      </w:r>
      <w:r>
        <w:rPr>
          <w:lang w:val="es-CR"/>
        </w:rPr>
        <w:fldChar w:fldCharType="begin" w:fldLock="1"/>
      </w:r>
      <w:r w:rsidR="00F01770">
        <w:rPr>
          <w:lang w:val="es-CR"/>
        </w:rPr>
        <w:instrText>ADDIN CSL_CITATION {"citationItems":[{"id":"ITEM-1","itemData":{"DOI":"10.1007/978-981-10-6796-9","ISBN":"9789811067969","abstract":"This book provides up-to-date information and practical approaches to Enhanced Recovery After Surgery (ERAS) programs for digestive and / or cardiopulmonary surgery. ERAS programs following surgical interventions are now part of the standard of care for patients undergoing various operative procedures. These programs have been associated with reductions in complications, in length of hospital stay after surgery and in related costs, and have led to improved patient QOL. Enhanced Recovery After Surgery discusses a range of aspects of the program, from surgical procedure to perioperative management. Each chapter is written by experts in the field, including digestive, cardiopulmonary and pediatric surgeons. It is a valuable resource for surgeons, nurses and administrators interested in initiating an ERAS program.","author":[{"dropping-particle":"","family":"Fukushima","given":"Ryoji","non-dropping-particle":"","parse-names":false,"suffix":""},{"dropping-particle":"","family":"Kaibori","given":"Masaki","non-dropping-particle":"","parse-names":false,"suffix":""}],"container-title":"Enhanced Recovery After Surgery","editor":[{"dropping-particle":"","family":"Ljungqvist","given":"Olle","non-dropping-particle":"","parse-names":false,"suffix":""},{"dropping-particle":"","family":"Francis","given":"Nader","non-dropping-particle":"","parse-names":false,"suffix":""},{"dropping-particle":"","family":"Urman","given":"Richard","non-dropping-particle":"","parse-names":false,"suffix":""}],"id":"ITEM-1","issued":{"date-parts":[["2018"]]},"publisher":"Springer US","publisher-place":"Cham, Switzerland","title":"Enhanced recovery after surgery","type":"book"},"uris":["http://www.mendeley.com/documents/?uuid=8667a78f-915a-4848-9950-dd4d8f51b164"]}],"mendeley":{"formattedCitation":"(Fukushima &amp; Kaibori, 2018)","plainTextFormattedCitation":"(Fukushima &amp; Kaibori, 2018)","previouslyFormattedCitation":"(Fukushima &amp; Kaibori, 2018)"},"properties":{"noteIndex":0},"schema":"https://github.com/citation-style-language/schema/raw/master/csl-citation.json"}</w:instrText>
      </w:r>
      <w:r>
        <w:rPr>
          <w:lang w:val="es-CR"/>
        </w:rPr>
        <w:fldChar w:fldCharType="separate"/>
      </w:r>
      <w:r w:rsidRPr="0091486C">
        <w:rPr>
          <w:noProof/>
          <w:lang w:val="es-CR"/>
        </w:rPr>
        <w:t>(Fukushima &amp; Kaibori, 2018)</w:t>
      </w:r>
      <w:r>
        <w:rPr>
          <w:lang w:val="es-CR"/>
        </w:rPr>
        <w:fldChar w:fldCharType="end"/>
      </w:r>
    </w:p>
    <w:p w14:paraId="7980D0DB" w14:textId="3012E676" w:rsidR="00846FEA" w:rsidRPr="003A1CA0" w:rsidRDefault="00846FEA" w:rsidP="00D22AD1">
      <w:pPr>
        <w:pStyle w:val="ListParagraph"/>
        <w:ind w:left="1429" w:firstLine="0"/>
        <w:rPr>
          <w:rFonts w:cs="Arial"/>
          <w:bCs/>
          <w:szCs w:val="24"/>
          <w:lang w:val="es-CR"/>
        </w:rPr>
      </w:pPr>
      <w:r w:rsidRPr="003A1CA0">
        <w:rPr>
          <w:rFonts w:cs="Arial"/>
          <w:szCs w:val="24"/>
          <w:lang w:val="es-CR"/>
        </w:rPr>
        <w:br w:type="page"/>
      </w:r>
    </w:p>
    <w:p w14:paraId="5C195519" w14:textId="5ACC7592" w:rsidR="00846FEA" w:rsidRPr="003A1CA0" w:rsidRDefault="00846FEA" w:rsidP="00B05F46">
      <w:pPr>
        <w:pStyle w:val="Title"/>
      </w:pPr>
      <w:bookmarkStart w:id="52" w:name="_Toc47027860"/>
      <w:r w:rsidRPr="003A1CA0">
        <w:lastRenderedPageBreak/>
        <w:t>Conclusiones</w:t>
      </w:r>
      <w:bookmarkEnd w:id="52"/>
    </w:p>
    <w:p w14:paraId="3DACA672" w14:textId="58B6EB2F" w:rsidR="00C83CD9" w:rsidRPr="003A1CA0" w:rsidRDefault="00615D0F" w:rsidP="00C83CD9">
      <w:pPr>
        <w:rPr>
          <w:lang w:val="es-CR"/>
        </w:rPr>
      </w:pPr>
      <w:r w:rsidRPr="003A1CA0">
        <w:rPr>
          <w:lang w:val="es-CR"/>
        </w:rPr>
        <w:t xml:space="preserve">La implementación de un protocolo puede significativamente reducir el </w:t>
      </w:r>
      <w:r w:rsidR="00865513" w:rsidRPr="003A1CA0">
        <w:rPr>
          <w:lang w:val="es-CR"/>
        </w:rPr>
        <w:t>riesgo</w:t>
      </w:r>
      <w:r w:rsidRPr="003A1CA0">
        <w:rPr>
          <w:lang w:val="es-CR"/>
        </w:rPr>
        <w:t xml:space="preserve"> de SCI </w:t>
      </w:r>
      <w:r w:rsidR="00865513" w:rsidRPr="003A1CA0">
        <w:rPr>
          <w:lang w:val="es-CR"/>
        </w:rPr>
        <w:t>post</w:t>
      </w:r>
      <w:r w:rsidR="00865513">
        <w:rPr>
          <w:lang w:val="es-CR"/>
        </w:rPr>
        <w:t xml:space="preserve">erior a la reparación aortica quirúrgica. </w:t>
      </w:r>
      <w:r w:rsidR="00C83CD9">
        <w:rPr>
          <w:lang w:val="es-CR"/>
        </w:rPr>
        <w:t xml:space="preserve"> S</w:t>
      </w:r>
      <w:r w:rsidR="00C83CD9" w:rsidRPr="003A1CA0">
        <w:rPr>
          <w:lang w:val="es-CR"/>
        </w:rPr>
        <w:t xml:space="preserve">e ha demostrado una mejora </w:t>
      </w:r>
      <w:r w:rsidR="00C83CD9">
        <w:rPr>
          <w:lang w:val="es-CR"/>
        </w:rPr>
        <w:t xml:space="preserve">significativa </w:t>
      </w:r>
      <w:r w:rsidR="00C83CD9" w:rsidRPr="003A1CA0">
        <w:rPr>
          <w:lang w:val="es-CR"/>
        </w:rPr>
        <w:t>en la supervivencia a un año con la reducción de</w:t>
      </w:r>
      <w:r w:rsidR="00C83CD9">
        <w:rPr>
          <w:lang w:val="es-CR"/>
        </w:rPr>
        <w:t>l</w:t>
      </w:r>
      <w:r w:rsidR="00C83CD9" w:rsidRPr="003A1CA0">
        <w:rPr>
          <w:lang w:val="es-CR"/>
        </w:rPr>
        <w:t xml:space="preserve"> riesgo de SCI</w:t>
      </w:r>
      <w:r w:rsidR="0091486C">
        <w:rPr>
          <w:lang w:val="es-CR"/>
        </w:rPr>
        <w:t xml:space="preserve"> </w:t>
      </w:r>
      <w:r w:rsidR="00C83CD9" w:rsidRPr="003A1CA0">
        <w:rPr>
          <w:lang w:val="es-CR"/>
        </w:rPr>
        <w:fldChar w:fldCharType="begin" w:fldLock="1"/>
      </w:r>
      <w:r w:rsidR="001A1B73">
        <w:rPr>
          <w:lang w:val="es-CR"/>
        </w:rPr>
        <w:instrText>ADDIN CSL_CITATION {"citationItems":[{"id":"ITEM-1","itemData":{"DOI":"10.1016/j.jvs.2017.05.136","ISSN":"10976809","PMID":"29017806","abstract":"Objective Spinal cord ischemia (SCI) is a devastating complication after branched or fenestrated endovascular aortic repair (B/FEVAR) for thoracoabdominal aortic disease. The purpose of this analysis was to describe the impact of a bundled clinical care protocol designed to reduce the risk of SCI in this population of patients. Methods A bundled SCI prevention protocol including cerebrospinal fluid drainage, blood pressure parameters, transfusion goals, and pharmacologic adjuncts (steroids, naloxone) was initiated in May 2015. Before that date, portions of the protocol (cerebrospinal fluid drainage in particular) were used in an informal fashion in patients perceived to be at high risk. B/FEVAR cases completed from January 2012 to May 2016 were reviewed, and outcomes before (n = 223) and after (n = 70) SCI bundle application were compared. The primary end point was the incidence of SCI events. Secondary end points included length of stay, complications, and survival. High-risk patients for SCI were defined as those undergoing B/FEVAR resulting in aortic coverage equivalent to open Crawford extent I to III thoracoabdominal aortic aneurysm (TAAA) repair. Survival was estimated using Kaplan-Meier life-table analysis. Results Postprotocol patients were more likely to be older (75 ± 7 vs 72 ± 8 years; P =.03), to have an American Society of Anesthesiologists class 4 designation (94% vs 81%; P =.04), and to be treated for TAAA (67% vs 56%; P =.004). Postprotocol pre-emptive spinal drain use was greater in high-risk patients (100% vs 87%; P =.04) but significantly decreased in lower risk patients (suprarenal aneurysm or extent IV TAAA: 5% after protocol implementation vs 21% before protocol implementation; P =.04). Rates of any SCI before and after implementation of the bundled protocol were 13% (n = 29 of 223) and 3% (n = 2 of 70; P =.007), respectively. In comparing high-risk patients, protocol use resulted in an even more significant reduction in SCI rate (19% [28 of 144] vs 4% [2 of 50]; P =.004). Postoperative morbidity (41% vs 33%; P =.2) and 30-day mortality (5% vs 1%; P =.3) were not different between groups. However, patients treated on protocol had significantly improved 1-year survival (99% ± 1% after protocol implementation vs 90% ± 2% before protocol implementation; log-rank, P =.05). Conclusions Implementation of a bundled multimodal protocol may significantly reduce risk of SCI after B/FEVAR, with the greatest risk reduction occurring in the mos…","author":[{"dropping-particle":"","family":"Scali","given":"Salvatore T.","non-dropping-particle":"","parse-names":false,"suffix":""},{"dropping-particle":"","family":"Kim","given":"Moses","non-dropping-particle":"","parse-names":false,"suffix":""},{"dropping-particle":"","family":"Kubilis","given":"Paul","non-dropping-particle":"","parse-names":false,"suffix":""},{"dropping-particle":"","family":"Feezor","given":"Robert J.","non-dropping-particle":"","parse-names":false,"suffix":""},{"dropping-particle":"","family":"Giles","given":"Kristina A.","non-dropping-particle":"","parse-names":false,"suffix":""},{"dropping-particle":"","family":"Miller","given":"Brittney","non-dropping-particle":"","parse-names":false,"suffix":""},{"dropping-particle":"","family":"Fatima","given":"Javairiah","non-dropping-particle":"","parse-names":false,"suffix":""},{"dropping-particle":"","family":"Huber","given":"Thomas S.","non-dropping-particle":"","parse-names":false,"suffix":""},{"dropping-particle":"","family":"Berceli","given":"Scott A.","non-dropping-particle":"","parse-names":false,"suffix":""},{"dropping-particle":"","family":"Back","given":"Martin","non-dropping-particle":"","parse-names":false,"suffix":""},{"dropping-particle":"","family":"Beck","given":"Adam W.","non-dropping-particle":"","parse-names":false,"suffix":""}],"container-title":"Journal of Vascular Surgery","id":"ITEM-1","issue":"2","issued":{"date-parts":[["2018"]]},"page":"409-423.e4","publisher":"Society for Vascular Surgery","title":"Implementation of a bundled protocol significantly reduces risk of spinal cord ischemia after branched or fenestrated endovascular aortic repair","type":"article-journal","volume":"67"},"uris":["http://www.mendeley.com/documents/?uuid=08b4e640-a19f-4411-a091-d820d9e325ce"]}],"mendeley":{"formattedCitation":"(Scali et al., 2018)","plainTextFormattedCitation":"(Scali et al., 2018)","previouslyFormattedCitation":"(Scali et al., 2018)"},"properties":{"noteIndex":0},"schema":"https://github.com/citation-style-language/schema/raw/master/csl-citation.json"}</w:instrText>
      </w:r>
      <w:r w:rsidR="00C83CD9" w:rsidRPr="003A1CA0">
        <w:rPr>
          <w:lang w:val="es-CR"/>
        </w:rPr>
        <w:fldChar w:fldCharType="separate"/>
      </w:r>
      <w:r w:rsidR="00FA7019" w:rsidRPr="00FA7019">
        <w:rPr>
          <w:noProof/>
          <w:lang w:val="es-CR"/>
        </w:rPr>
        <w:t>(Scali et al., 2018)</w:t>
      </w:r>
      <w:r w:rsidR="00C83CD9" w:rsidRPr="003A1CA0">
        <w:rPr>
          <w:lang w:val="es-CR"/>
        </w:rPr>
        <w:fldChar w:fldCharType="end"/>
      </w:r>
      <w:r w:rsidR="00C83CD9">
        <w:rPr>
          <w:lang w:val="es-CR"/>
        </w:rPr>
        <w:t xml:space="preserve">. </w:t>
      </w:r>
    </w:p>
    <w:p w14:paraId="1A7FCB7C" w14:textId="237A46D9" w:rsidR="00865513" w:rsidRDefault="00865513" w:rsidP="00865513">
      <w:pPr>
        <w:rPr>
          <w:lang w:val="es-CR"/>
        </w:rPr>
      </w:pPr>
      <w:r>
        <w:rPr>
          <w:lang w:val="es-CR"/>
        </w:rPr>
        <w:t>El entendimiento de la anatomía, fisiopatología y mecanismos compensatorios fisiológicos del aporte sanguíneo de la medula espinal es necesario para poder crear estrategias para optimizar requerimientos metabólicos del paciente.</w:t>
      </w:r>
    </w:p>
    <w:p w14:paraId="70465787" w14:textId="017C3A60" w:rsidR="00865513" w:rsidRDefault="00865513" w:rsidP="00865513">
      <w:pPr>
        <w:rPr>
          <w:lang w:val="es-CR"/>
        </w:rPr>
      </w:pPr>
      <w:r>
        <w:rPr>
          <w:lang w:val="es-CR"/>
        </w:rPr>
        <w:t>El paciente con patología aortica requiere de un manejo integral multidisciplinario, un planeamiento estratégico en conjunto con anestesiología para determinar el abordaje más adecuado según la estratificación de riesgo individual para cada paciente.</w:t>
      </w:r>
    </w:p>
    <w:p w14:paraId="404924CC" w14:textId="77B365F9" w:rsidR="00615D0F" w:rsidRDefault="00C83CD9" w:rsidP="00615D0F">
      <w:pPr>
        <w:rPr>
          <w:lang w:val="es-CR"/>
        </w:rPr>
      </w:pPr>
      <w:r>
        <w:rPr>
          <w:lang w:val="es-CR"/>
        </w:rPr>
        <w:t>En el transoperatorio la utilización de neuromonitoreo con MEP/SSEP es de gran utilidad para identificar datos tempranos de SCI; la PAM y pLCR se beben titular según estado hemodinámico del paciente y datos obtenidos del neuromonitoreo perioperatorio.</w:t>
      </w:r>
    </w:p>
    <w:p w14:paraId="385C0C60" w14:textId="6CBB5E49" w:rsidR="00C83CD9" w:rsidRPr="003A1CA0" w:rsidRDefault="00C83CD9" w:rsidP="00615D0F">
      <w:pPr>
        <w:rPr>
          <w:lang w:val="es-CR"/>
        </w:rPr>
      </w:pPr>
      <w:r w:rsidRPr="00C83CD9">
        <w:rPr>
          <w:lang w:val="es-CR"/>
        </w:rPr>
        <w:t xml:space="preserve">Queda claro que a nivel institucional los hospitales clase A </w:t>
      </w:r>
      <w:r w:rsidR="004437E4">
        <w:rPr>
          <w:lang w:val="es-CR"/>
        </w:rPr>
        <w:t xml:space="preserve">de la CCSS </w:t>
      </w:r>
      <w:r w:rsidRPr="00C83CD9">
        <w:rPr>
          <w:lang w:val="es-CR"/>
        </w:rPr>
        <w:t>se verían beneficiados al implementar protocolos de manejo pre-trans y postoperatorio de la SCI</w:t>
      </w:r>
      <w:r w:rsidR="00D056B2">
        <w:rPr>
          <w:lang w:val="es-CR"/>
        </w:rPr>
        <w:t>, pudiéndose considerar e</w:t>
      </w:r>
      <w:r w:rsidRPr="00C83CD9">
        <w:rPr>
          <w:lang w:val="es-CR"/>
        </w:rPr>
        <w:t xml:space="preserve">l ERAS </w:t>
      </w:r>
      <w:r w:rsidR="00D056B2">
        <w:rPr>
          <w:lang w:val="es-CR"/>
        </w:rPr>
        <w:t>por ser</w:t>
      </w:r>
      <w:r w:rsidRPr="00C83CD9">
        <w:rPr>
          <w:lang w:val="es-CR"/>
        </w:rPr>
        <w:t xml:space="preserve"> una herramienta actualizada que puede servir de base para la estandarización de procesos.</w:t>
      </w:r>
    </w:p>
    <w:p w14:paraId="54642F2F" w14:textId="6C461794" w:rsidR="00846FEA" w:rsidRPr="00AD46AD" w:rsidRDefault="00846FEA" w:rsidP="00B05F46">
      <w:pPr>
        <w:pStyle w:val="Title"/>
        <w:rPr>
          <w:lang w:val="en-US"/>
        </w:rPr>
      </w:pPr>
      <w:bookmarkStart w:id="53" w:name="_Toc47027861"/>
      <w:proofErr w:type="spellStart"/>
      <w:r w:rsidRPr="00AD46AD">
        <w:rPr>
          <w:lang w:val="en-US"/>
        </w:rPr>
        <w:lastRenderedPageBreak/>
        <w:t>Bibliografía</w:t>
      </w:r>
      <w:bookmarkEnd w:id="53"/>
      <w:proofErr w:type="spellEnd"/>
    </w:p>
    <w:p w14:paraId="65FAA751" w14:textId="1ABB4274" w:rsidR="00CA1DB1" w:rsidRPr="00CA1DB1" w:rsidRDefault="001A105B" w:rsidP="00CA1DB1">
      <w:pPr>
        <w:widowControl w:val="0"/>
        <w:autoSpaceDE w:val="0"/>
        <w:autoSpaceDN w:val="0"/>
        <w:adjustRightInd w:val="0"/>
        <w:ind w:left="480" w:hanging="480"/>
        <w:rPr>
          <w:rFonts w:cs="Arial"/>
          <w:noProof/>
          <w:szCs w:val="24"/>
        </w:rPr>
      </w:pPr>
      <w:r w:rsidRPr="003A1CA0">
        <w:rPr>
          <w:lang w:val="es-CR"/>
        </w:rPr>
        <w:fldChar w:fldCharType="begin" w:fldLock="1"/>
      </w:r>
      <w:r w:rsidRPr="0010512C">
        <w:instrText xml:space="preserve">ADDIN Mendeley Bibliography CSL_BIBLIOGRAPHY </w:instrText>
      </w:r>
      <w:r w:rsidRPr="003A1CA0">
        <w:rPr>
          <w:lang w:val="es-CR"/>
        </w:rPr>
        <w:fldChar w:fldCharType="separate"/>
      </w:r>
      <w:r w:rsidR="00CA1DB1" w:rsidRPr="00CA1DB1">
        <w:rPr>
          <w:rFonts w:cs="Arial"/>
          <w:noProof/>
          <w:szCs w:val="24"/>
        </w:rPr>
        <w:t xml:space="preserve">Acher, C. W., Acher, C. W., Marks, E., &amp; Wynn, M. (2016). Intraoperative neuroprotective interventions prevent spinal cord ischemia and injury in thoracic endovascular aortic repair. </w:t>
      </w:r>
      <w:r w:rsidR="00CA1DB1" w:rsidRPr="00CA1DB1">
        <w:rPr>
          <w:rFonts w:cs="Arial"/>
          <w:i/>
          <w:iCs/>
          <w:noProof/>
          <w:szCs w:val="24"/>
        </w:rPr>
        <w:t>Journal of Vascular Surgery</w:t>
      </w:r>
      <w:r w:rsidR="00CA1DB1" w:rsidRPr="00CA1DB1">
        <w:rPr>
          <w:rFonts w:cs="Arial"/>
          <w:noProof/>
          <w:szCs w:val="24"/>
        </w:rPr>
        <w:t xml:space="preserve">, </w:t>
      </w:r>
      <w:r w:rsidR="00CA1DB1" w:rsidRPr="00CA1DB1">
        <w:rPr>
          <w:rFonts w:cs="Arial"/>
          <w:i/>
          <w:iCs/>
          <w:noProof/>
          <w:szCs w:val="24"/>
        </w:rPr>
        <w:t>63</w:t>
      </w:r>
      <w:r w:rsidR="00CA1DB1" w:rsidRPr="00CA1DB1">
        <w:rPr>
          <w:rFonts w:cs="Arial"/>
          <w:noProof/>
          <w:szCs w:val="24"/>
        </w:rPr>
        <w:t>(6), 1458–1465. https://doi.org/10.1016/j.jvs.2015.12.062</w:t>
      </w:r>
    </w:p>
    <w:p w14:paraId="5BF1C170"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Achouh, P. E., Estrera, A. L., Miller, C. C., Azizzadeh, A., Irani, A., Wegryn, T. L., &amp; Safi, H. J. (2007). Role of Somatosensory Evoked Potentials in Predicting Outcome During Thoracoabdominal Aortic Repair.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t>84</w:t>
      </w:r>
      <w:r w:rsidRPr="00CA1DB1">
        <w:rPr>
          <w:rFonts w:cs="Arial"/>
          <w:noProof/>
          <w:szCs w:val="24"/>
        </w:rPr>
        <w:t>(3), 782–788. https://doi.org/10.1016/j.athoracsur.2007.03.066</w:t>
      </w:r>
    </w:p>
    <w:p w14:paraId="6496DEEB"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Amabile, P., Grisoli, D., Giorgi, R., Bartoli, J. M., &amp; Piquet, P. (2008). Incidence and Determinants of Spinal Cord Ischaemia in Stent-graft Repair of the Thoracic Aorta. </w:t>
      </w:r>
      <w:r w:rsidRPr="00CA1DB1">
        <w:rPr>
          <w:rFonts w:cs="Arial"/>
          <w:i/>
          <w:iCs/>
          <w:noProof/>
          <w:szCs w:val="24"/>
        </w:rPr>
        <w:t>European Journal of Vascular and Endovascular Surgery</w:t>
      </w:r>
      <w:r w:rsidRPr="00CA1DB1">
        <w:rPr>
          <w:rFonts w:cs="Arial"/>
          <w:noProof/>
          <w:szCs w:val="24"/>
        </w:rPr>
        <w:t xml:space="preserve">, </w:t>
      </w:r>
      <w:r w:rsidRPr="00CA1DB1">
        <w:rPr>
          <w:rFonts w:cs="Arial"/>
          <w:i/>
          <w:iCs/>
          <w:noProof/>
          <w:szCs w:val="24"/>
        </w:rPr>
        <w:t>35</w:t>
      </w:r>
      <w:r w:rsidRPr="00CA1DB1">
        <w:rPr>
          <w:rFonts w:cs="Arial"/>
          <w:noProof/>
          <w:szCs w:val="24"/>
        </w:rPr>
        <w:t>(4), 455–461. https://doi.org/10.1016/j.ejvs.2007.11.005</w:t>
      </w:r>
    </w:p>
    <w:p w14:paraId="0AF2D988"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Amato, A. C. M., &amp; Stolf, N. A. G. (2015). Anatomy of spinal blood supply. </w:t>
      </w:r>
      <w:r w:rsidRPr="00CA1DB1">
        <w:rPr>
          <w:rFonts w:cs="Arial"/>
          <w:i/>
          <w:iCs/>
          <w:noProof/>
          <w:szCs w:val="24"/>
        </w:rPr>
        <w:t>Jornal Vascular Brasileiro</w:t>
      </w:r>
      <w:r w:rsidRPr="00CA1DB1">
        <w:rPr>
          <w:rFonts w:cs="Arial"/>
          <w:noProof/>
          <w:szCs w:val="24"/>
        </w:rPr>
        <w:t xml:space="preserve">, </w:t>
      </w:r>
      <w:r w:rsidRPr="00CA1DB1">
        <w:rPr>
          <w:rFonts w:cs="Arial"/>
          <w:i/>
          <w:iCs/>
          <w:noProof/>
          <w:szCs w:val="24"/>
        </w:rPr>
        <w:t>14</w:t>
      </w:r>
      <w:r w:rsidRPr="00CA1DB1">
        <w:rPr>
          <w:rFonts w:cs="Arial"/>
          <w:noProof/>
          <w:szCs w:val="24"/>
        </w:rPr>
        <w:t>(3), 248–252. https://doi.org/10.1590/1677-5449.0004</w:t>
      </w:r>
    </w:p>
    <w:p w14:paraId="218FE90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Arslan, M., Acar, H. I., Comert, A., &amp; Tubbs, R. S. (2018). The cervical arteries: An anatomical study with application to avoid the nerve root and spinal cord blood supply. </w:t>
      </w:r>
      <w:r w:rsidRPr="00CA1DB1">
        <w:rPr>
          <w:rFonts w:cs="Arial"/>
          <w:i/>
          <w:iCs/>
          <w:noProof/>
          <w:szCs w:val="24"/>
        </w:rPr>
        <w:t>Turkish Neurosurgery</w:t>
      </w:r>
      <w:r w:rsidRPr="00CA1DB1">
        <w:rPr>
          <w:rFonts w:cs="Arial"/>
          <w:noProof/>
          <w:szCs w:val="24"/>
        </w:rPr>
        <w:t xml:space="preserve">, </w:t>
      </w:r>
      <w:r w:rsidRPr="00CA1DB1">
        <w:rPr>
          <w:rFonts w:cs="Arial"/>
          <w:i/>
          <w:iCs/>
          <w:noProof/>
          <w:szCs w:val="24"/>
        </w:rPr>
        <w:t>28</w:t>
      </w:r>
      <w:r w:rsidRPr="00CA1DB1">
        <w:rPr>
          <w:rFonts w:cs="Arial"/>
          <w:noProof/>
          <w:szCs w:val="24"/>
        </w:rPr>
        <w:t>(2), 234–240. https://doi.org/10.5137/1019-5149.JTN.19469-16.1</w:t>
      </w:r>
    </w:p>
    <w:p w14:paraId="28ECB633"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Awad, H., Ramadan, M. E., El Sayed, H. F., Tolpin, D. A., Tili, E., &amp; Collard, C. D. (2017). Spinal cord injury after thoracic endovascular aortic aneurysm repair. </w:t>
      </w:r>
      <w:r w:rsidRPr="00CA1DB1">
        <w:rPr>
          <w:rFonts w:cs="Arial"/>
          <w:i/>
          <w:iCs/>
          <w:noProof/>
          <w:szCs w:val="24"/>
        </w:rPr>
        <w:lastRenderedPageBreak/>
        <w:t>Canadian Journal of Anesthesia</w:t>
      </w:r>
      <w:r w:rsidRPr="00CA1DB1">
        <w:rPr>
          <w:rFonts w:cs="Arial"/>
          <w:noProof/>
          <w:szCs w:val="24"/>
        </w:rPr>
        <w:t xml:space="preserve">, </w:t>
      </w:r>
      <w:r w:rsidRPr="00CA1DB1">
        <w:rPr>
          <w:rFonts w:cs="Arial"/>
          <w:i/>
          <w:iCs/>
          <w:noProof/>
          <w:szCs w:val="24"/>
        </w:rPr>
        <w:t>64</w:t>
      </w:r>
      <w:r w:rsidRPr="00CA1DB1">
        <w:rPr>
          <w:rFonts w:cs="Arial"/>
          <w:noProof/>
          <w:szCs w:val="24"/>
        </w:rPr>
        <w:t>(12), 1218–1235. https://doi.org/10.1007/s12630-017-0974-1</w:t>
      </w:r>
    </w:p>
    <w:p w14:paraId="1C167C86"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Aydin, A. (2015). Mechanisms and prevention of anterior spinal artery syndrome following abdominal aortic surgery. </w:t>
      </w:r>
      <w:r w:rsidRPr="00CA1DB1">
        <w:rPr>
          <w:rFonts w:cs="Arial"/>
          <w:i/>
          <w:iCs/>
          <w:noProof/>
          <w:szCs w:val="24"/>
        </w:rPr>
        <w:t>Angiologii͡a i Sosudistai͡a Khirurgii͡a = Angiology and Vascular Surgery</w:t>
      </w:r>
      <w:r w:rsidRPr="00CA1DB1">
        <w:rPr>
          <w:rFonts w:cs="Arial"/>
          <w:noProof/>
          <w:szCs w:val="24"/>
        </w:rPr>
        <w:t xml:space="preserve">, </w:t>
      </w:r>
      <w:r w:rsidRPr="00CA1DB1">
        <w:rPr>
          <w:rFonts w:cs="Arial"/>
          <w:i/>
          <w:iCs/>
          <w:noProof/>
          <w:szCs w:val="24"/>
        </w:rPr>
        <w:t>21</w:t>
      </w:r>
      <w:r w:rsidRPr="00CA1DB1">
        <w:rPr>
          <w:rFonts w:cs="Arial"/>
          <w:noProof/>
          <w:szCs w:val="24"/>
        </w:rPr>
        <w:t>(1), 155–164.</w:t>
      </w:r>
    </w:p>
    <w:p w14:paraId="25B3EAC9"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Banga, P. V., Oderich, G. S., De Souza, L. R., Hofer, J., Cazares Gonzalez, M. L., Pulido, J. N., Cha, S., &amp; Gloviczki, P. (2016). Neuromonitoring, cerebrospinal fluid drainage, and selective use of iliofemoral conduits to minimize risk of spinal cord injury during complex endovascular aortic repair. </w:t>
      </w:r>
      <w:r w:rsidRPr="00CA1DB1">
        <w:rPr>
          <w:rFonts w:cs="Arial"/>
          <w:i/>
          <w:iCs/>
          <w:noProof/>
          <w:szCs w:val="24"/>
        </w:rPr>
        <w:t>Journal of Endovascular Therapy</w:t>
      </w:r>
      <w:r w:rsidRPr="00CA1DB1">
        <w:rPr>
          <w:rFonts w:cs="Arial"/>
          <w:noProof/>
          <w:szCs w:val="24"/>
        </w:rPr>
        <w:t xml:space="preserve">, </w:t>
      </w:r>
      <w:r w:rsidRPr="00CA1DB1">
        <w:rPr>
          <w:rFonts w:cs="Arial"/>
          <w:i/>
          <w:iCs/>
          <w:noProof/>
          <w:szCs w:val="24"/>
        </w:rPr>
        <w:t>23</w:t>
      </w:r>
      <w:r w:rsidRPr="00CA1DB1">
        <w:rPr>
          <w:rFonts w:cs="Arial"/>
          <w:noProof/>
          <w:szCs w:val="24"/>
        </w:rPr>
        <w:t>(1), 139–149. https://doi.org/10.1177/1526602815620898</w:t>
      </w:r>
    </w:p>
    <w:p w14:paraId="0242ED27"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Becske, T., &amp; Nelson, P. K. (2009). The Vascular Anatomy of the Vertebro-Spinal Axis. </w:t>
      </w:r>
      <w:r w:rsidRPr="00CA1DB1">
        <w:rPr>
          <w:rFonts w:cs="Arial"/>
          <w:i/>
          <w:iCs/>
          <w:noProof/>
          <w:szCs w:val="24"/>
        </w:rPr>
        <w:t>Neurosurgery Clinics of North America</w:t>
      </w:r>
      <w:r w:rsidRPr="00CA1DB1">
        <w:rPr>
          <w:rFonts w:cs="Arial"/>
          <w:noProof/>
          <w:szCs w:val="24"/>
        </w:rPr>
        <w:t xml:space="preserve">, </w:t>
      </w:r>
      <w:r w:rsidRPr="00CA1DB1">
        <w:rPr>
          <w:rFonts w:cs="Arial"/>
          <w:i/>
          <w:iCs/>
          <w:noProof/>
          <w:szCs w:val="24"/>
        </w:rPr>
        <w:t>20</w:t>
      </w:r>
      <w:r w:rsidRPr="00CA1DB1">
        <w:rPr>
          <w:rFonts w:cs="Arial"/>
          <w:noProof/>
          <w:szCs w:val="24"/>
        </w:rPr>
        <w:t>(3), 259–264. https://doi.org/10.1016/j.nec.2009.03.002</w:t>
      </w:r>
    </w:p>
    <w:p w14:paraId="5C909342"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Biglioli, P., Roberto, M., Cannata, A., Parolari, A., Fumero, A., Grillo, F., Maggioni, M., Coggi, G., &amp; Spirito, R. (2004). Upper and lower spinal cord blood supply: The continuity of the anterior spinal artery and the relevance of the lumbar arteries. </w:t>
      </w:r>
      <w:r w:rsidRPr="00CA1DB1">
        <w:rPr>
          <w:rFonts w:cs="Arial"/>
          <w:i/>
          <w:iCs/>
          <w:noProof/>
          <w:szCs w:val="24"/>
        </w:rPr>
        <w:t>Journal of Thoracic and Cardiovascular Surgery</w:t>
      </w:r>
      <w:r w:rsidRPr="00CA1DB1">
        <w:rPr>
          <w:rFonts w:cs="Arial"/>
          <w:noProof/>
          <w:szCs w:val="24"/>
        </w:rPr>
        <w:t xml:space="preserve">, </w:t>
      </w:r>
      <w:r w:rsidRPr="00CA1DB1">
        <w:rPr>
          <w:rFonts w:cs="Arial"/>
          <w:i/>
          <w:iCs/>
          <w:noProof/>
          <w:szCs w:val="24"/>
        </w:rPr>
        <w:t>127</w:t>
      </w:r>
      <w:r w:rsidRPr="00CA1DB1">
        <w:rPr>
          <w:rFonts w:cs="Arial"/>
          <w:noProof/>
          <w:szCs w:val="24"/>
        </w:rPr>
        <w:t>(4), 1188–1192. https://doi.org/10.1016/j.jtcvs.2003.11.038</w:t>
      </w:r>
    </w:p>
    <w:p w14:paraId="316E3D9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Bobadilla, J. L., Wynn, M., Tefera, G., &amp; Acher, C. W. (2013). Low incidence of paraplegia after thoracic endovascular aneurysm repair with proactive spinal cord protective protocols.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57</w:t>
      </w:r>
      <w:r w:rsidRPr="00CA1DB1">
        <w:rPr>
          <w:rFonts w:cs="Arial"/>
          <w:noProof/>
          <w:szCs w:val="24"/>
        </w:rPr>
        <w:t>(6), 1537–1542. https://doi.org/10.1016/j.jvs.2012.12.032</w:t>
      </w:r>
    </w:p>
    <w:p w14:paraId="6D3EC3CB"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lastRenderedPageBreak/>
        <w:t xml:space="preserve">Bosmia, A. N., Hogan, E., Loukas, M., Tubbs, R. S., &amp; Cohen-Gadol, A. A. (2015). Blood supply to the human spinal cord: Part I. Anatomy and hemodynamics. </w:t>
      </w:r>
      <w:r w:rsidRPr="00CA1DB1">
        <w:rPr>
          <w:rFonts w:cs="Arial"/>
          <w:i/>
          <w:iCs/>
          <w:noProof/>
          <w:szCs w:val="24"/>
        </w:rPr>
        <w:t>Clinical Anatomy</w:t>
      </w:r>
      <w:r w:rsidRPr="00CA1DB1">
        <w:rPr>
          <w:rFonts w:cs="Arial"/>
          <w:noProof/>
          <w:szCs w:val="24"/>
        </w:rPr>
        <w:t xml:space="preserve">, </w:t>
      </w:r>
      <w:r w:rsidRPr="00CA1DB1">
        <w:rPr>
          <w:rFonts w:cs="Arial"/>
          <w:i/>
          <w:iCs/>
          <w:noProof/>
          <w:szCs w:val="24"/>
        </w:rPr>
        <w:t>28</w:t>
      </w:r>
      <w:r w:rsidRPr="00CA1DB1">
        <w:rPr>
          <w:rFonts w:cs="Arial"/>
          <w:noProof/>
          <w:szCs w:val="24"/>
        </w:rPr>
        <w:t>(1), 52–64. https://doi.org/10.1002/ca.22281</w:t>
      </w:r>
    </w:p>
    <w:p w14:paraId="1BEA2415"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Chaikof, E. L., Dalman, R. L., Eskandari, M. K., Jackson, B. M., Lee, W. A., Mansour, M. A., Mastracci, T. M., Mell, M., Murad, M. H., Nguyen, L. L., Oderich, G. S., Patel, M. S., Schermerhorn, M. L., &amp; Starnes, B. W. (2018). The Society for Vascular Surgery practice guidelines on the care of patients with an abdominal aortic aneurysm.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67</w:t>
      </w:r>
      <w:r w:rsidRPr="00CA1DB1">
        <w:rPr>
          <w:rFonts w:cs="Arial"/>
          <w:noProof/>
          <w:szCs w:val="24"/>
        </w:rPr>
        <w:t>(1), 2-77.e2. https://doi.org/10.1016/j.jvs.2017.10.044</w:t>
      </w:r>
    </w:p>
    <w:p w14:paraId="0076EB50"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Cheung, A. T., Pochettino, A., McGarvey, M. L., Appoo, J. J., Fairman, R. M., Carpenter, J. P., Moser, W. G., Woo, E. Y., &amp; Bavaria, J. E. (2005). Strategies to manage paraplegia risk after endovascular stent repair of descending thoracic aortic aneurysms.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t>80</w:t>
      </w:r>
      <w:r w:rsidRPr="00CA1DB1">
        <w:rPr>
          <w:rFonts w:cs="Arial"/>
          <w:noProof/>
          <w:szCs w:val="24"/>
        </w:rPr>
        <w:t>(4), 1280–1289. https://doi.org/10.1016/j.athoracsur.2005.04.027</w:t>
      </w:r>
    </w:p>
    <w:p w14:paraId="6D2DF995"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Chiesa, R., Melissano, G., Marrocco-Trischitta, M. M., Civilini, E., &amp; Setacci, F. (2005). Spinal cord ischemia after elective stent-graft repair of the thoracic aorta.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42</w:t>
      </w:r>
      <w:r w:rsidRPr="00CA1DB1">
        <w:rPr>
          <w:rFonts w:cs="Arial"/>
          <w:noProof/>
          <w:szCs w:val="24"/>
        </w:rPr>
        <w:t>(1), 11–17. https://doi.org/10.1016/j.jvs.2005.04.016</w:t>
      </w:r>
    </w:p>
    <w:p w14:paraId="17CCB8B3"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Chung, J. C., Lodewyks, C. L., Forbes, T. L., Chu, M. W. A., Peterson, M. D., Arora, R. C., &amp; Ouzounian, M. (2020). Prevention and management of spinal cord ischemia following aortic surgery: A survey of contemporary practice. </w:t>
      </w:r>
      <w:r w:rsidRPr="00CA1DB1">
        <w:rPr>
          <w:rFonts w:cs="Arial"/>
          <w:i/>
          <w:iCs/>
          <w:noProof/>
          <w:szCs w:val="24"/>
        </w:rPr>
        <w:t>The Journal of Thoracic and Cardiovascular Surgery</w:t>
      </w:r>
      <w:r w:rsidRPr="00CA1DB1">
        <w:rPr>
          <w:rFonts w:cs="Arial"/>
          <w:noProof/>
          <w:szCs w:val="24"/>
        </w:rPr>
        <w:t xml:space="preserve">. </w:t>
      </w:r>
      <w:r w:rsidRPr="00CA1DB1">
        <w:rPr>
          <w:rFonts w:cs="Arial"/>
          <w:noProof/>
          <w:szCs w:val="24"/>
        </w:rPr>
        <w:lastRenderedPageBreak/>
        <w:t>https://doi.org/10.1016/j.jtcvs.2020.03.034</w:t>
      </w:r>
    </w:p>
    <w:p w14:paraId="23D67BE1"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Cunningham, J. N., Laschinger, J. C., Merkin, H. A., Nathan, I. M., Colvin, S., Ransohoff, J., &amp; Spencer, F. C. (1982). Measurement of spinal cord ischemia during operations upon the thoracic aorta. Initial clinical experience. </w:t>
      </w:r>
      <w:r w:rsidRPr="00CA1DB1">
        <w:rPr>
          <w:rFonts w:cs="Arial"/>
          <w:i/>
          <w:iCs/>
          <w:noProof/>
          <w:szCs w:val="24"/>
        </w:rPr>
        <w:t>Annals of Surgery</w:t>
      </w:r>
      <w:r w:rsidRPr="00CA1DB1">
        <w:rPr>
          <w:rFonts w:cs="Arial"/>
          <w:noProof/>
          <w:szCs w:val="24"/>
        </w:rPr>
        <w:t xml:space="preserve">, </w:t>
      </w:r>
      <w:r w:rsidRPr="00CA1DB1">
        <w:rPr>
          <w:rFonts w:cs="Arial"/>
          <w:i/>
          <w:iCs/>
          <w:noProof/>
          <w:szCs w:val="24"/>
        </w:rPr>
        <w:t>196</w:t>
      </w:r>
      <w:r w:rsidRPr="00CA1DB1">
        <w:rPr>
          <w:rFonts w:cs="Arial"/>
          <w:noProof/>
          <w:szCs w:val="24"/>
        </w:rPr>
        <w:t>(3), 285–296. https://doi.org/10.1097/00000658-198209000-00007</w:t>
      </w:r>
    </w:p>
    <w:p w14:paraId="765B19D6"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Dias-Neto, M., Reis, P. V., Rolim, D., Ramos, J. F., Teixeira, J. F., &amp; Sampaio, S. (2017). Strategies to prevent TEVAR-related spinal cord ischemia. </w:t>
      </w:r>
      <w:r w:rsidRPr="00CA1DB1">
        <w:rPr>
          <w:rFonts w:cs="Arial"/>
          <w:i/>
          <w:iCs/>
          <w:noProof/>
          <w:szCs w:val="24"/>
        </w:rPr>
        <w:t>Vascular</w:t>
      </w:r>
      <w:r w:rsidRPr="00CA1DB1">
        <w:rPr>
          <w:rFonts w:cs="Arial"/>
          <w:noProof/>
          <w:szCs w:val="24"/>
        </w:rPr>
        <w:t xml:space="preserve">, </w:t>
      </w:r>
      <w:r w:rsidRPr="00CA1DB1">
        <w:rPr>
          <w:rFonts w:cs="Arial"/>
          <w:i/>
          <w:iCs/>
          <w:noProof/>
          <w:szCs w:val="24"/>
        </w:rPr>
        <w:t>25</w:t>
      </w:r>
      <w:r w:rsidRPr="00CA1DB1">
        <w:rPr>
          <w:rFonts w:cs="Arial"/>
          <w:noProof/>
          <w:szCs w:val="24"/>
        </w:rPr>
        <w:t>(3), 307–315. https://doi.org/10.1177/1708538116671235</w:t>
      </w:r>
    </w:p>
    <w:p w14:paraId="1FFB224D"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Dijkstra, M. L., Vainas, T., Zeebregts, C. J., Hooft, L., &amp; van der Laan, M. J. (2018). Editor’s Choice – Spinal Cord Ischaemia in Endovascular Thoracic and Thoraco-abdominal Aortic Repair: Review of Preventive Strategies. </w:t>
      </w:r>
      <w:r w:rsidRPr="00CA1DB1">
        <w:rPr>
          <w:rFonts w:cs="Arial"/>
          <w:i/>
          <w:iCs/>
          <w:noProof/>
          <w:szCs w:val="24"/>
        </w:rPr>
        <w:t>European Journal of Vascular and Endovascular Surgery</w:t>
      </w:r>
      <w:r w:rsidRPr="00CA1DB1">
        <w:rPr>
          <w:rFonts w:cs="Arial"/>
          <w:noProof/>
          <w:szCs w:val="24"/>
        </w:rPr>
        <w:t xml:space="preserve">, </w:t>
      </w:r>
      <w:r w:rsidRPr="00CA1DB1">
        <w:rPr>
          <w:rFonts w:cs="Arial"/>
          <w:i/>
          <w:iCs/>
          <w:noProof/>
          <w:szCs w:val="24"/>
        </w:rPr>
        <w:t>55</w:t>
      </w:r>
      <w:r w:rsidRPr="00CA1DB1">
        <w:rPr>
          <w:rFonts w:cs="Arial"/>
          <w:noProof/>
          <w:szCs w:val="24"/>
        </w:rPr>
        <w:t>(6), 829–841. https://doi.org/10.1016/j.ejvs.2018.02.002</w:t>
      </w:r>
    </w:p>
    <w:p w14:paraId="005FABA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Estrera, A. L., Sheinbaum, R., Miller, C. C., Harrison, R., &amp; Safi, H. J. (2010). Neuromonitor-guided repair of thoracoabdominal aortic aneurysms. </w:t>
      </w:r>
      <w:r w:rsidRPr="00CA1DB1">
        <w:rPr>
          <w:rFonts w:cs="Arial"/>
          <w:i/>
          <w:iCs/>
          <w:noProof/>
          <w:szCs w:val="24"/>
        </w:rPr>
        <w:t>Journal of Thoracic and Cardiovascular Surgery</w:t>
      </w:r>
      <w:r w:rsidRPr="00CA1DB1">
        <w:rPr>
          <w:rFonts w:cs="Arial"/>
          <w:noProof/>
          <w:szCs w:val="24"/>
        </w:rPr>
        <w:t xml:space="preserve">, </w:t>
      </w:r>
      <w:r w:rsidRPr="00CA1DB1">
        <w:rPr>
          <w:rFonts w:cs="Arial"/>
          <w:i/>
          <w:iCs/>
          <w:noProof/>
          <w:szCs w:val="24"/>
        </w:rPr>
        <w:t>140</w:t>
      </w:r>
      <w:r w:rsidRPr="00CA1DB1">
        <w:rPr>
          <w:rFonts w:cs="Arial"/>
          <w:noProof/>
          <w:szCs w:val="24"/>
        </w:rPr>
        <w:t>(6 SUPPL.), S131–S135. https://doi.org/10.1016/j.jtcvs.2010.07.058</w:t>
      </w:r>
    </w:p>
    <w:p w14:paraId="714A0587"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Etz, C. D., Kari, F. A., Mueller, C. S., Silovitz, D., Brenner, R. M., Lin, H. M., &amp; Griepp, R. B. (2011). The collateral network concept: A reassessment of the anatomy of spinal cord perfusion. </w:t>
      </w:r>
      <w:r w:rsidRPr="00CA1DB1">
        <w:rPr>
          <w:rFonts w:cs="Arial"/>
          <w:i/>
          <w:iCs/>
          <w:noProof/>
          <w:szCs w:val="24"/>
        </w:rPr>
        <w:t>Journal of Thoracic and Cardiovascular Surgery</w:t>
      </w:r>
      <w:r w:rsidRPr="00CA1DB1">
        <w:rPr>
          <w:rFonts w:cs="Arial"/>
          <w:noProof/>
          <w:szCs w:val="24"/>
        </w:rPr>
        <w:t xml:space="preserve">, </w:t>
      </w:r>
      <w:r w:rsidRPr="00CA1DB1">
        <w:rPr>
          <w:rFonts w:cs="Arial"/>
          <w:i/>
          <w:iCs/>
          <w:noProof/>
          <w:szCs w:val="24"/>
        </w:rPr>
        <w:t>141</w:t>
      </w:r>
      <w:r w:rsidRPr="00CA1DB1">
        <w:rPr>
          <w:rFonts w:cs="Arial"/>
          <w:noProof/>
          <w:szCs w:val="24"/>
        </w:rPr>
        <w:t>(4), 1020–1028. https://doi.org/10.1016/j.jtcvs.2010.06.023</w:t>
      </w:r>
    </w:p>
    <w:p w14:paraId="3FC30BA6"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lastRenderedPageBreak/>
        <w:t xml:space="preserve">Etz, C. D., Weigang, E., Hartert, M., Lonn, L., Mestres, C. A., Di Bartolomeo, R., Bachet, J. E., Carrel, T. P., Grabenwöger, M., Schepens, M. A. A. M., &amp; Czerny, M. (2015). Contemporary spinal cord protection during thoracic and thoracoabdominal aortic surgery and endovascular aortic repair: A position paper of the vascular domain of the European association for cardio-thoracic surgery. </w:t>
      </w:r>
      <w:r w:rsidRPr="00CA1DB1">
        <w:rPr>
          <w:rFonts w:cs="Arial"/>
          <w:i/>
          <w:iCs/>
          <w:noProof/>
          <w:szCs w:val="24"/>
        </w:rPr>
        <w:t>European Journal of Cardio-Thoracic Surgery</w:t>
      </w:r>
      <w:r w:rsidRPr="00CA1DB1">
        <w:rPr>
          <w:rFonts w:cs="Arial"/>
          <w:noProof/>
          <w:szCs w:val="24"/>
        </w:rPr>
        <w:t xml:space="preserve">, </w:t>
      </w:r>
      <w:r w:rsidRPr="00CA1DB1">
        <w:rPr>
          <w:rFonts w:cs="Arial"/>
          <w:i/>
          <w:iCs/>
          <w:noProof/>
          <w:szCs w:val="24"/>
        </w:rPr>
        <w:t>47</w:t>
      </w:r>
      <w:r w:rsidRPr="00CA1DB1">
        <w:rPr>
          <w:rFonts w:cs="Arial"/>
          <w:noProof/>
          <w:szCs w:val="24"/>
        </w:rPr>
        <w:t>(6), 943–957. https://doi.org/10.1093/ejcts/ezv142</w:t>
      </w:r>
    </w:p>
    <w:p w14:paraId="38A2AE0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Feezor, R. J., Martin, T. D., Hess, P. J., Daniels, M. J., Beaver, T. M., Klodell, C. T., &amp; Lee, W. A. (2008). Extent of Aortic Coverage and Incidence of Spinal Cord Ischemia After Thoracic Endovascular Aneurysm Repair.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t>86</w:t>
      </w:r>
      <w:r w:rsidRPr="00CA1DB1">
        <w:rPr>
          <w:rFonts w:cs="Arial"/>
          <w:noProof/>
          <w:szCs w:val="24"/>
        </w:rPr>
        <w:t>(6), 1809–1814. https://doi.org/10.1016/j.athoracsur.2008.09.022</w:t>
      </w:r>
    </w:p>
    <w:p w14:paraId="53FC2541"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Fukushima, R., &amp; Kaibori, M. (2018). Enhanced recovery after surgery. In O. Ljungqvist, N. Francis, &amp; R. Urman (Eds.), </w:t>
      </w:r>
      <w:r w:rsidRPr="00CA1DB1">
        <w:rPr>
          <w:rFonts w:cs="Arial"/>
          <w:i/>
          <w:iCs/>
          <w:noProof/>
          <w:szCs w:val="24"/>
        </w:rPr>
        <w:t>Enhanced Recovery After Surgery</w:t>
      </w:r>
      <w:r w:rsidRPr="00CA1DB1">
        <w:rPr>
          <w:rFonts w:cs="Arial"/>
          <w:noProof/>
          <w:szCs w:val="24"/>
        </w:rPr>
        <w:t>. Springer US. https://doi.org/10.1007/978-981-10-6796-9</w:t>
      </w:r>
    </w:p>
    <w:p w14:paraId="0B2E041C"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Griepp, R. B., &amp; Griepp, E. B. (2007). Spinal Cord Perfusion and Protection During Descending Thoracic and Thoracoabdominal Aortic Surgery: The Collateral Network Concept.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t>83</w:t>
      </w:r>
      <w:r w:rsidRPr="00CA1DB1">
        <w:rPr>
          <w:rFonts w:cs="Arial"/>
          <w:noProof/>
          <w:szCs w:val="24"/>
        </w:rPr>
        <w:t>(2). https://doi.org/10.1016/j.athoracsur.2006.10.092</w:t>
      </w:r>
    </w:p>
    <w:p w14:paraId="7F60634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Hanna, J. M., Andersen, N. D., Aziz, H., Shah, A. A., McCann, R. L., &amp; Hughes, G. C. (2013). Results with selective preoperative lumbar drain placement for thoracic endovascular aortic repair.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t>95</w:t>
      </w:r>
      <w:r w:rsidRPr="00CA1DB1">
        <w:rPr>
          <w:rFonts w:cs="Arial"/>
          <w:noProof/>
          <w:szCs w:val="24"/>
        </w:rPr>
        <w:t>(6), 1968–1975. https://doi.org/10.1016/j.athoracsur.2013.03.016</w:t>
      </w:r>
    </w:p>
    <w:p w14:paraId="2FCED64B"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lastRenderedPageBreak/>
        <w:t xml:space="preserve">Heidemann, F., Tsilimparis, N., Rohlffs, F., Debus, E. S., Larena-Avellaneda, A., Wipper, S., &amp; Kölbel, T. (2018). Staged procedures for prevention of spinal cord ischemia in endovascular aortic surgery. </w:t>
      </w:r>
      <w:r w:rsidRPr="00CA1DB1">
        <w:rPr>
          <w:rFonts w:cs="Arial"/>
          <w:i/>
          <w:iCs/>
          <w:noProof/>
          <w:szCs w:val="24"/>
        </w:rPr>
        <w:t>Gefasschirurgie</w:t>
      </w:r>
      <w:r w:rsidRPr="00CA1DB1">
        <w:rPr>
          <w:rFonts w:cs="Arial"/>
          <w:noProof/>
          <w:szCs w:val="24"/>
        </w:rPr>
        <w:t xml:space="preserve">, </w:t>
      </w:r>
      <w:r w:rsidRPr="00CA1DB1">
        <w:rPr>
          <w:rFonts w:cs="Arial"/>
          <w:i/>
          <w:iCs/>
          <w:noProof/>
          <w:szCs w:val="24"/>
        </w:rPr>
        <w:t>23</w:t>
      </w:r>
      <w:r w:rsidRPr="00CA1DB1">
        <w:rPr>
          <w:rFonts w:cs="Arial"/>
          <w:noProof/>
          <w:szCs w:val="24"/>
        </w:rPr>
        <w:t>(July), 39–45. https://doi.org/10.1007/s00772-018-0410-z</w:t>
      </w:r>
    </w:p>
    <w:p w14:paraId="2CFFDA2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Hiraoka, T., Komiya, T., Tsuneyoshi, H., &amp; Shimamoto, T. (2018). Risk factors for spinal cord ischaemia after thoracic endovascular aortic repair. </w:t>
      </w:r>
      <w:r w:rsidRPr="00CA1DB1">
        <w:rPr>
          <w:rFonts w:cs="Arial"/>
          <w:i/>
          <w:iCs/>
          <w:noProof/>
          <w:szCs w:val="24"/>
        </w:rPr>
        <w:t>Interactive Cardiovascular and Thoracic Surgery</w:t>
      </w:r>
      <w:r w:rsidRPr="00CA1DB1">
        <w:rPr>
          <w:rFonts w:cs="Arial"/>
          <w:noProof/>
          <w:szCs w:val="24"/>
        </w:rPr>
        <w:t xml:space="preserve">, </w:t>
      </w:r>
      <w:r w:rsidRPr="00CA1DB1">
        <w:rPr>
          <w:rFonts w:cs="Arial"/>
          <w:i/>
          <w:iCs/>
          <w:noProof/>
          <w:szCs w:val="24"/>
        </w:rPr>
        <w:t>27</w:t>
      </w:r>
      <w:r w:rsidRPr="00CA1DB1">
        <w:rPr>
          <w:rFonts w:cs="Arial"/>
          <w:noProof/>
          <w:szCs w:val="24"/>
        </w:rPr>
        <w:t>(1), 54–59. https://doi.org/10.1093/icvts/ivy037</w:t>
      </w:r>
    </w:p>
    <w:p w14:paraId="6E61F5D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Hiratzka, L. F., Bakris, G. L., Beckman, J. A., Bersin, R. M., Carr, V. F., Casey, D. E., Eagle, K. A., Hermann, L. K., Isselbacher, E. M., Kazerooni, E. A., Kouchoukos, N. T., Lytle, B. W., Milewicz, D. M., Reich, D. L., Sen, S., Shinn, J. A., Svensson, L. G., Williams, D. M., Jacobs, A. K., … Yancy, C. W. (2010). 2010 ACCF/AHA/AATS/ACR/ASA/SCA/SCAI/SIR/STS/SVM guidelines for the diagnosis and management of patients with thoracic aortic disease: Executive summary: A report of the american college of cardiology foundation/american heart association task force on pra. </w:t>
      </w:r>
      <w:r w:rsidRPr="00CA1DB1">
        <w:rPr>
          <w:rFonts w:cs="Arial"/>
          <w:i/>
          <w:iCs/>
          <w:noProof/>
          <w:szCs w:val="24"/>
        </w:rPr>
        <w:t>Circulation</w:t>
      </w:r>
      <w:r w:rsidRPr="00CA1DB1">
        <w:rPr>
          <w:rFonts w:cs="Arial"/>
          <w:noProof/>
          <w:szCs w:val="24"/>
        </w:rPr>
        <w:t xml:space="preserve">, </w:t>
      </w:r>
      <w:r w:rsidRPr="00CA1DB1">
        <w:rPr>
          <w:rFonts w:cs="Arial"/>
          <w:i/>
          <w:iCs/>
          <w:noProof/>
          <w:szCs w:val="24"/>
        </w:rPr>
        <w:t>121</w:t>
      </w:r>
      <w:r w:rsidRPr="00CA1DB1">
        <w:rPr>
          <w:rFonts w:cs="Arial"/>
          <w:noProof/>
          <w:szCs w:val="24"/>
        </w:rPr>
        <w:t>(13), 266–369. https://doi.org/10.1161/CIR.0b013e3181d4739e</w:t>
      </w:r>
    </w:p>
    <w:p w14:paraId="3F2239B6"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Hirsch, L. J., Schmidt, J. M., &amp; Care, N. (2017). </w:t>
      </w:r>
      <w:r w:rsidRPr="00CA1DB1">
        <w:rPr>
          <w:rFonts w:cs="Arial"/>
          <w:i/>
          <w:iCs/>
          <w:noProof/>
          <w:szCs w:val="24"/>
        </w:rPr>
        <w:t>The Treatment of Spinal Cord Ischemia Following Thoracic Endovascular Aortic Repair</w:t>
      </w:r>
      <w:r w:rsidRPr="00CA1DB1">
        <w:rPr>
          <w:rFonts w:cs="Arial"/>
          <w:noProof/>
          <w:szCs w:val="24"/>
        </w:rPr>
        <w:t xml:space="preserve">. </w:t>
      </w:r>
      <w:r w:rsidRPr="00CA1DB1">
        <w:rPr>
          <w:rFonts w:cs="Arial"/>
          <w:i/>
          <w:iCs/>
          <w:noProof/>
          <w:szCs w:val="24"/>
        </w:rPr>
        <w:t>April</w:t>
      </w:r>
      <w:r w:rsidRPr="00CA1DB1">
        <w:rPr>
          <w:rFonts w:cs="Arial"/>
          <w:noProof/>
          <w:szCs w:val="24"/>
        </w:rPr>
        <w:t>. https://doi.org/10.1385/NCC</w:t>
      </w:r>
    </w:p>
    <w:p w14:paraId="1F0CE2E5"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Hobbs, R. D., Ullery, B. W., Mentzer, A. R., &amp; Cheung, A. T. (2016). Protocol for prevention of spinal cord ischemia after thoracoabdominal aortic surgery. </w:t>
      </w:r>
      <w:r w:rsidRPr="00CA1DB1">
        <w:rPr>
          <w:rFonts w:cs="Arial"/>
          <w:i/>
          <w:iCs/>
          <w:noProof/>
          <w:szCs w:val="24"/>
        </w:rPr>
        <w:lastRenderedPageBreak/>
        <w:t>Vascular</w:t>
      </w:r>
      <w:r w:rsidRPr="00CA1DB1">
        <w:rPr>
          <w:rFonts w:cs="Arial"/>
          <w:noProof/>
          <w:szCs w:val="24"/>
        </w:rPr>
        <w:t xml:space="preserve">, </w:t>
      </w:r>
      <w:r w:rsidRPr="00CA1DB1">
        <w:rPr>
          <w:rFonts w:cs="Arial"/>
          <w:i/>
          <w:iCs/>
          <w:noProof/>
          <w:szCs w:val="24"/>
        </w:rPr>
        <w:t>24</w:t>
      </w:r>
      <w:r w:rsidRPr="00CA1DB1">
        <w:rPr>
          <w:rFonts w:cs="Arial"/>
          <w:noProof/>
          <w:szCs w:val="24"/>
        </w:rPr>
        <w:t>(4), 430–434. https://doi.org/10.1177/1708538115593193</w:t>
      </w:r>
    </w:p>
    <w:p w14:paraId="4C69349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Horiuchi, T., Kawaguchi, M., Inoue, S., Hayashi, H., Abe, R., Tabayashi, N., Taniguchi, S., &amp; Furuya, H. (2011). Assessment of intraoperative motor evoked potentials for predicting postoperative paraplegia in thoracic and thoracoabdominal aortic aneurysm repair. </w:t>
      </w:r>
      <w:r w:rsidRPr="00CA1DB1">
        <w:rPr>
          <w:rFonts w:cs="Arial"/>
          <w:i/>
          <w:iCs/>
          <w:noProof/>
          <w:szCs w:val="24"/>
        </w:rPr>
        <w:t>Journal of Anesthesia</w:t>
      </w:r>
      <w:r w:rsidRPr="00CA1DB1">
        <w:rPr>
          <w:rFonts w:cs="Arial"/>
          <w:noProof/>
          <w:szCs w:val="24"/>
        </w:rPr>
        <w:t xml:space="preserve">, </w:t>
      </w:r>
      <w:r w:rsidRPr="00CA1DB1">
        <w:rPr>
          <w:rFonts w:cs="Arial"/>
          <w:i/>
          <w:iCs/>
          <w:noProof/>
          <w:szCs w:val="24"/>
        </w:rPr>
        <w:t>25</w:t>
      </w:r>
      <w:r w:rsidRPr="00CA1DB1">
        <w:rPr>
          <w:rFonts w:cs="Arial"/>
          <w:noProof/>
          <w:szCs w:val="24"/>
        </w:rPr>
        <w:t>(1), 18–28. https://doi.org/10.1007/s00540-010-1044-9</w:t>
      </w:r>
    </w:p>
    <w:p w14:paraId="7B1491E6"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Jafarzadeh, F., Bashir, M., Yan, T., Harrington, D., Field, M. L., Kuduvalli, M., Oo, A., &amp; Desmond, M. (2014). Setting up and utilizing a service for measuring perioperative transcranial motor evoked potentials during thoracoabdominal aortic surgery and thoracic endovascular repair. </w:t>
      </w:r>
      <w:r w:rsidRPr="00CA1DB1">
        <w:rPr>
          <w:rFonts w:cs="Arial"/>
          <w:i/>
          <w:iCs/>
          <w:noProof/>
          <w:szCs w:val="24"/>
        </w:rPr>
        <w:t>Interactive Cardiovascular and Thoracic Surgery</w:t>
      </w:r>
      <w:r w:rsidRPr="00CA1DB1">
        <w:rPr>
          <w:rFonts w:cs="Arial"/>
          <w:noProof/>
          <w:szCs w:val="24"/>
        </w:rPr>
        <w:t xml:space="preserve">, </w:t>
      </w:r>
      <w:r w:rsidRPr="00CA1DB1">
        <w:rPr>
          <w:rFonts w:cs="Arial"/>
          <w:i/>
          <w:iCs/>
          <w:noProof/>
          <w:szCs w:val="24"/>
        </w:rPr>
        <w:t>18</w:t>
      </w:r>
      <w:r w:rsidRPr="00CA1DB1">
        <w:rPr>
          <w:rFonts w:cs="Arial"/>
          <w:noProof/>
          <w:szCs w:val="24"/>
        </w:rPr>
        <w:t>(6), 748–756. https://doi.org/10.1093/icvts/ivu036</w:t>
      </w:r>
    </w:p>
    <w:p w14:paraId="5F2E1219"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Jahan, R., &amp; Vinuela, F. (2002). Vascular anatomy, pathophysiology, and classification of vascular malformations of the spinal cord. </w:t>
      </w:r>
      <w:r w:rsidRPr="00CA1DB1">
        <w:rPr>
          <w:rFonts w:cs="Arial"/>
          <w:i/>
          <w:iCs/>
          <w:noProof/>
          <w:szCs w:val="24"/>
        </w:rPr>
        <w:t>Seminars in Cerebrovascular Diseases and Stroke</w:t>
      </w:r>
      <w:r w:rsidRPr="00CA1DB1">
        <w:rPr>
          <w:rFonts w:cs="Arial"/>
          <w:noProof/>
          <w:szCs w:val="24"/>
        </w:rPr>
        <w:t xml:space="preserve">, </w:t>
      </w:r>
      <w:r w:rsidRPr="00CA1DB1">
        <w:rPr>
          <w:rFonts w:cs="Arial"/>
          <w:i/>
          <w:iCs/>
          <w:noProof/>
          <w:szCs w:val="24"/>
        </w:rPr>
        <w:t>2</w:t>
      </w:r>
      <w:r w:rsidRPr="00CA1DB1">
        <w:rPr>
          <w:rFonts w:cs="Arial"/>
          <w:noProof/>
          <w:szCs w:val="24"/>
        </w:rPr>
        <w:t>(3), 186–200. https://doi.org/10.1053/scds.2002.127656</w:t>
      </w:r>
    </w:p>
    <w:p w14:paraId="05793881"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Jameson, L. C., &amp; Sloan, T. B. (2006). Monitoring of the Brain and Spinal Cord. </w:t>
      </w:r>
      <w:r w:rsidRPr="00CA1DB1">
        <w:rPr>
          <w:rFonts w:cs="Arial"/>
          <w:i/>
          <w:iCs/>
          <w:noProof/>
          <w:szCs w:val="24"/>
        </w:rPr>
        <w:t>Anesthesiology Clinics of North America</w:t>
      </w:r>
      <w:r w:rsidRPr="00CA1DB1">
        <w:rPr>
          <w:rFonts w:cs="Arial"/>
          <w:noProof/>
          <w:szCs w:val="24"/>
        </w:rPr>
        <w:t xml:space="preserve">, </w:t>
      </w:r>
      <w:r w:rsidRPr="00CA1DB1">
        <w:rPr>
          <w:rFonts w:cs="Arial"/>
          <w:i/>
          <w:iCs/>
          <w:noProof/>
          <w:szCs w:val="24"/>
        </w:rPr>
        <w:t>24</w:t>
      </w:r>
      <w:r w:rsidRPr="00CA1DB1">
        <w:rPr>
          <w:rFonts w:cs="Arial"/>
          <w:noProof/>
          <w:szCs w:val="24"/>
        </w:rPr>
        <w:t>(4), 777–791. https://doi.org/10.1016/j.atc.2006.08.002</w:t>
      </w:r>
    </w:p>
    <w:p w14:paraId="1679642A"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Jayia, P., Constantinou, J., Hamilton, H., &amp; Ivancev, K. (2015). Temporary Perfusion Branches to Decrease Spinal Cord Ischemia in the Endovascular Treatment of Thoraco-Abdominal Aortic Aneurysms. </w:t>
      </w:r>
      <w:r w:rsidRPr="00CA1DB1">
        <w:rPr>
          <w:rFonts w:cs="Arial"/>
          <w:i/>
          <w:iCs/>
          <w:noProof/>
          <w:szCs w:val="24"/>
        </w:rPr>
        <w:t>Aorta</w:t>
      </w:r>
      <w:r w:rsidRPr="00CA1DB1">
        <w:rPr>
          <w:rFonts w:cs="Arial"/>
          <w:noProof/>
          <w:szCs w:val="24"/>
        </w:rPr>
        <w:t xml:space="preserve">, </w:t>
      </w:r>
      <w:r w:rsidRPr="00CA1DB1">
        <w:rPr>
          <w:rFonts w:cs="Arial"/>
          <w:i/>
          <w:iCs/>
          <w:noProof/>
          <w:szCs w:val="24"/>
        </w:rPr>
        <w:t>03</w:t>
      </w:r>
      <w:r w:rsidRPr="00CA1DB1">
        <w:rPr>
          <w:rFonts w:cs="Arial"/>
          <w:noProof/>
          <w:szCs w:val="24"/>
        </w:rPr>
        <w:t>(02), 56–60. https://doi.org/10.12945/j.aorta.2015.14-045</w:t>
      </w:r>
    </w:p>
    <w:p w14:paraId="4A0454A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lastRenderedPageBreak/>
        <w:t xml:space="preserve">Kasprzak, P. M., Gallis, K., Cucuruz, B., Pfister, K., Janotta, M., &amp; Kopp, R. (2014). Editor’s choice - Temporary aneurysm sac perfusion as an adjunct for prevention of spinal cord ischemia after branched endovascular repair of thoracoabdominal aneurysms. </w:t>
      </w:r>
      <w:r w:rsidRPr="00CA1DB1">
        <w:rPr>
          <w:rFonts w:cs="Arial"/>
          <w:i/>
          <w:iCs/>
          <w:noProof/>
          <w:szCs w:val="24"/>
        </w:rPr>
        <w:t>European Journal of Vascular and Endovascular Surgery</w:t>
      </w:r>
      <w:r w:rsidRPr="00CA1DB1">
        <w:rPr>
          <w:rFonts w:cs="Arial"/>
          <w:noProof/>
          <w:szCs w:val="24"/>
        </w:rPr>
        <w:t xml:space="preserve">, </w:t>
      </w:r>
      <w:r w:rsidRPr="00CA1DB1">
        <w:rPr>
          <w:rFonts w:cs="Arial"/>
          <w:i/>
          <w:iCs/>
          <w:noProof/>
          <w:szCs w:val="24"/>
        </w:rPr>
        <w:t>48</w:t>
      </w:r>
      <w:r w:rsidRPr="00CA1DB1">
        <w:rPr>
          <w:rFonts w:cs="Arial"/>
          <w:noProof/>
          <w:szCs w:val="24"/>
        </w:rPr>
        <w:t>(3), 258–265. https://doi.org/10.1016/j.ejvs.2014.05.020</w:t>
      </w:r>
    </w:p>
    <w:p w14:paraId="2331849C"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Kawabata, A., Tomori, M., &amp; Arai, Y. (2018). Spinal Cord Infarction with Aortic Dissection. </w:t>
      </w:r>
      <w:r w:rsidRPr="00CA1DB1">
        <w:rPr>
          <w:rFonts w:cs="Arial"/>
          <w:i/>
          <w:iCs/>
          <w:noProof/>
          <w:szCs w:val="24"/>
        </w:rPr>
        <w:t>Case Reports in Orthopedics</w:t>
      </w:r>
      <w:r w:rsidRPr="00CA1DB1">
        <w:rPr>
          <w:rFonts w:cs="Arial"/>
          <w:noProof/>
          <w:szCs w:val="24"/>
        </w:rPr>
        <w:t xml:space="preserve">, </w:t>
      </w:r>
      <w:r w:rsidRPr="00CA1DB1">
        <w:rPr>
          <w:rFonts w:cs="Arial"/>
          <w:i/>
          <w:iCs/>
          <w:noProof/>
          <w:szCs w:val="24"/>
        </w:rPr>
        <w:t>2018</w:t>
      </w:r>
      <w:r w:rsidRPr="00CA1DB1">
        <w:rPr>
          <w:rFonts w:cs="Arial"/>
          <w:noProof/>
          <w:szCs w:val="24"/>
        </w:rPr>
        <w:t>, 1–4. https://doi.org/10.1155/2018/7042829</w:t>
      </w:r>
    </w:p>
    <w:p w14:paraId="3DB90FA4"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Keyhani, K., Miller, C. C., Estrera, A. L., Wegryn, T., Sheinbaum, R., &amp; Safi, H. J. (2009). Analysis of motor and somatosensory evoked potentials during thoracic and thoracoabdominal aortic aneurysm repair.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49</w:t>
      </w:r>
      <w:r w:rsidRPr="00CA1DB1">
        <w:rPr>
          <w:rFonts w:cs="Arial"/>
          <w:noProof/>
          <w:szCs w:val="24"/>
        </w:rPr>
        <w:t>(1), 36–41. https://doi.org/10.1016/j.jvs.2008.08.005</w:t>
      </w:r>
    </w:p>
    <w:p w14:paraId="7F99DE8A"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Kpodonu, J., &amp; Bonan, R. (2013). Endovascular and hybrid therapies for structural heart and aortic disease. In J. Kpodonu &amp; R. Bonan (Eds.), </w:t>
      </w:r>
      <w:r w:rsidRPr="00CA1DB1">
        <w:rPr>
          <w:rFonts w:cs="Arial"/>
          <w:i/>
          <w:iCs/>
          <w:noProof/>
          <w:szCs w:val="24"/>
        </w:rPr>
        <w:t>Endovascular and Hybrid Therapies for Structural Heart and Aortic Disease</w:t>
      </w:r>
      <w:r w:rsidRPr="00CA1DB1">
        <w:rPr>
          <w:rFonts w:cs="Arial"/>
          <w:noProof/>
          <w:szCs w:val="24"/>
        </w:rPr>
        <w:t xml:space="preserve"> (1st ed.). John Wiley &amp; Sons, Ltd. https://doi.org/10.1002/9781118504536</w:t>
      </w:r>
    </w:p>
    <w:p w14:paraId="4CFB5DC7"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L. Sheng, M. Christopher, A. M. (2016). Spinal Cord Injury after Thoracic Endovascular Aortic Aneurysm. </w:t>
      </w:r>
      <w:r w:rsidRPr="00CA1DB1">
        <w:rPr>
          <w:rFonts w:cs="Arial"/>
          <w:i/>
          <w:iCs/>
          <w:noProof/>
          <w:szCs w:val="24"/>
        </w:rPr>
        <w:t>Physiology &amp; Behavior</w:t>
      </w:r>
      <w:r w:rsidRPr="00CA1DB1">
        <w:rPr>
          <w:rFonts w:cs="Arial"/>
          <w:noProof/>
          <w:szCs w:val="24"/>
        </w:rPr>
        <w:t xml:space="preserve">, </w:t>
      </w:r>
      <w:r w:rsidRPr="00CA1DB1">
        <w:rPr>
          <w:rFonts w:cs="Arial"/>
          <w:i/>
          <w:iCs/>
          <w:noProof/>
          <w:szCs w:val="24"/>
        </w:rPr>
        <w:t>176</w:t>
      </w:r>
      <w:r w:rsidRPr="00CA1DB1">
        <w:rPr>
          <w:rFonts w:cs="Arial"/>
          <w:noProof/>
          <w:szCs w:val="24"/>
        </w:rPr>
        <w:t>(1), 100–106. https://doi.org/10.1016/j.gde.2016.03.011</w:t>
      </w:r>
    </w:p>
    <w:p w14:paraId="624968B1"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Laschinger, J. C., Cunningham, J. N., Cooper, M. M., Krieger, K., Nathan, I. M., &amp; Spencer, F. C. (1984). Prevention of Ischemic Spinal Cord Injury Following Aortic Cross-Clamping: Use of Corticosteroids.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lastRenderedPageBreak/>
        <w:t>38</w:t>
      </w:r>
      <w:r w:rsidRPr="00CA1DB1">
        <w:rPr>
          <w:rFonts w:cs="Arial"/>
          <w:noProof/>
          <w:szCs w:val="24"/>
        </w:rPr>
        <w:t>(5), 500–507. https://doi.org/10.1016/S0003-4975(10)64192-6</w:t>
      </w:r>
    </w:p>
    <w:p w14:paraId="3542407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Martin, D. J., Martin, T. D., Hess, P. J., Daniels, M. J., Feezor, R. J., &amp; Lee, W. A. (2009). Spinal cord ischemia after TEVAR in patients with abdominal aortic aneurysms.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49</w:t>
      </w:r>
      <w:r w:rsidRPr="00CA1DB1">
        <w:rPr>
          <w:rFonts w:cs="Arial"/>
          <w:noProof/>
          <w:szCs w:val="24"/>
        </w:rPr>
        <w:t>(2), 302–306. https://doi.org/10.1016/j.jvs.2008.08.119</w:t>
      </w:r>
    </w:p>
    <w:p w14:paraId="49B0F4B8"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Melissano, Germano;, Oderich, G. S., &amp; Chiesa, R. (2018). </w:t>
      </w:r>
      <w:r w:rsidRPr="00CA1DB1">
        <w:rPr>
          <w:rFonts w:cs="Arial"/>
          <w:i/>
          <w:iCs/>
          <w:noProof/>
          <w:szCs w:val="24"/>
        </w:rPr>
        <w:t>Aortic Complexities</w:t>
      </w:r>
      <w:r w:rsidRPr="00CA1DB1">
        <w:rPr>
          <w:rFonts w:cs="Arial"/>
          <w:noProof/>
          <w:szCs w:val="24"/>
        </w:rPr>
        <w:t xml:space="preserve"> (Germano; Melissano &amp; R. Chiesa (eds.); 1st ed.). edi-ermes.</w:t>
      </w:r>
    </w:p>
    <w:p w14:paraId="24A9139B"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Melissano, Germano, Bertoglio, L., Mascia, D., Rinaldi, E., Del Carrop, U., Nardelli, A., &amp; Chiesa, R. (2016). Spinal cord ischemia is multifactorial: What is the best protocol? </w:t>
      </w:r>
      <w:r w:rsidRPr="00CA1DB1">
        <w:rPr>
          <w:rFonts w:cs="Arial"/>
          <w:i/>
          <w:iCs/>
          <w:noProof/>
          <w:szCs w:val="24"/>
        </w:rPr>
        <w:t>Journal of Cardiovascular Surgery</w:t>
      </w:r>
      <w:r w:rsidRPr="00CA1DB1">
        <w:rPr>
          <w:rFonts w:cs="Arial"/>
          <w:noProof/>
          <w:szCs w:val="24"/>
        </w:rPr>
        <w:t xml:space="preserve">, </w:t>
      </w:r>
      <w:r w:rsidRPr="00CA1DB1">
        <w:rPr>
          <w:rFonts w:cs="Arial"/>
          <w:i/>
          <w:iCs/>
          <w:noProof/>
          <w:szCs w:val="24"/>
        </w:rPr>
        <w:t>57</w:t>
      </w:r>
      <w:r w:rsidRPr="00CA1DB1">
        <w:rPr>
          <w:rFonts w:cs="Arial"/>
          <w:noProof/>
          <w:szCs w:val="24"/>
        </w:rPr>
        <w:t>(2), 191–201.</w:t>
      </w:r>
    </w:p>
    <w:p w14:paraId="0561F635"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Miyasaka, K., Asano, T., Ushikoshi, S., Hida, K., &amp; Koyanagi, I. (2000). Vascular anatomy of the spinal cord and classification of spinal arteriovenous malformations. </w:t>
      </w:r>
      <w:r w:rsidRPr="00CA1DB1">
        <w:rPr>
          <w:rFonts w:cs="Arial"/>
          <w:i/>
          <w:iCs/>
          <w:noProof/>
          <w:szCs w:val="24"/>
        </w:rPr>
        <w:t>Interventional Neuroradiology</w:t>
      </w:r>
      <w:r w:rsidRPr="00CA1DB1">
        <w:rPr>
          <w:rFonts w:cs="Arial"/>
          <w:noProof/>
          <w:szCs w:val="24"/>
        </w:rPr>
        <w:t xml:space="preserve">, </w:t>
      </w:r>
      <w:r w:rsidRPr="00CA1DB1">
        <w:rPr>
          <w:rFonts w:cs="Arial"/>
          <w:i/>
          <w:iCs/>
          <w:noProof/>
          <w:szCs w:val="24"/>
        </w:rPr>
        <w:t>6</w:t>
      </w:r>
      <w:r w:rsidRPr="00CA1DB1">
        <w:rPr>
          <w:rFonts w:cs="Arial"/>
          <w:noProof/>
          <w:szCs w:val="24"/>
        </w:rPr>
        <w:t>(SUPPL. 1), 195–198. https://doi.org/10.1177/15910199000060s131</w:t>
      </w:r>
    </w:p>
    <w:p w14:paraId="1A2EFB04"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Mohr, J. P., Benavente, O., &amp; Barnett, H. J. M. (2020). Spinal Cord Ischemia. </w:t>
      </w:r>
      <w:r w:rsidRPr="00CA1DB1">
        <w:rPr>
          <w:rFonts w:cs="Arial"/>
          <w:i/>
          <w:iCs/>
          <w:noProof/>
          <w:szCs w:val="24"/>
        </w:rPr>
        <w:t>Stroke: Pathophysiology, Diagnosis, and Management</w:t>
      </w:r>
      <w:r w:rsidRPr="00CA1DB1">
        <w:rPr>
          <w:rFonts w:cs="Arial"/>
          <w:noProof/>
          <w:szCs w:val="24"/>
        </w:rPr>
        <w:t>, 423–436. https://doi.org/10.1016/B0-44-306600-0/50020-1</w:t>
      </w:r>
    </w:p>
    <w:p w14:paraId="17607EE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Oderich, G. S. (2017). </w:t>
      </w:r>
      <w:r w:rsidRPr="00CA1DB1">
        <w:rPr>
          <w:rFonts w:cs="Arial"/>
          <w:i/>
          <w:iCs/>
          <w:noProof/>
          <w:szCs w:val="24"/>
        </w:rPr>
        <w:t>Endovascular Aortic Repair Current Techniques with Fenestrated, Branched and Parallel Stent-Grafts</w:t>
      </w:r>
      <w:r w:rsidRPr="00CA1DB1">
        <w:rPr>
          <w:rFonts w:cs="Arial"/>
          <w:noProof/>
          <w:szCs w:val="24"/>
        </w:rPr>
        <w:t xml:space="preserve"> (G. S. Oderich (ed.); 1st ed.). Springer US. https://doi.org/10.1017/CBO9781107415324.004</w:t>
      </w:r>
    </w:p>
    <w:p w14:paraId="6BF225F5"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Ohsawa, S., &amp; Hirabayashi, S. (2011). Rehabilitation for Spinal Cord Injury Caused </w:t>
      </w:r>
      <w:r w:rsidRPr="00CA1DB1">
        <w:rPr>
          <w:rFonts w:cs="Arial"/>
          <w:noProof/>
          <w:szCs w:val="24"/>
        </w:rPr>
        <w:lastRenderedPageBreak/>
        <w:t xml:space="preserve">by Thoracic Aortic Aneurysm. In R. Grundmann (Ed.), </w:t>
      </w:r>
      <w:r w:rsidRPr="00CA1DB1">
        <w:rPr>
          <w:rFonts w:cs="Arial"/>
          <w:i/>
          <w:iCs/>
          <w:noProof/>
          <w:szCs w:val="24"/>
        </w:rPr>
        <w:t>Diagnosis, Screening and Treatment of Abdominal, Thoracoabdominal and Thoracic Aortic Aneurysms</w:t>
      </w:r>
      <w:r w:rsidRPr="00CA1DB1">
        <w:rPr>
          <w:rFonts w:cs="Arial"/>
          <w:noProof/>
          <w:szCs w:val="24"/>
        </w:rPr>
        <w:t xml:space="preserve"> (1st ed.). InTech. https://doi.org/10.5772/19640</w:t>
      </w:r>
    </w:p>
    <w:p w14:paraId="43A71C5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Riambau, V., Capoccia, L., Mestres, G., &amp; Matute, P. (2014). Spinal cord protection and related complications in endovascular management of B dissection: LSA revascularization and CSF drainage. </w:t>
      </w:r>
      <w:r w:rsidRPr="00CA1DB1">
        <w:rPr>
          <w:rFonts w:cs="Arial"/>
          <w:i/>
          <w:iCs/>
          <w:noProof/>
          <w:szCs w:val="24"/>
        </w:rPr>
        <w:t>Annals of Cardiothoracic Surgery</w:t>
      </w:r>
      <w:r w:rsidRPr="00CA1DB1">
        <w:rPr>
          <w:rFonts w:cs="Arial"/>
          <w:noProof/>
          <w:szCs w:val="24"/>
        </w:rPr>
        <w:t xml:space="preserve">, </w:t>
      </w:r>
      <w:r w:rsidRPr="00CA1DB1">
        <w:rPr>
          <w:rFonts w:cs="Arial"/>
          <w:i/>
          <w:iCs/>
          <w:noProof/>
          <w:szCs w:val="24"/>
        </w:rPr>
        <w:t>3</w:t>
      </w:r>
      <w:r w:rsidRPr="00CA1DB1">
        <w:rPr>
          <w:rFonts w:cs="Arial"/>
          <w:noProof/>
          <w:szCs w:val="24"/>
        </w:rPr>
        <w:t>(3), 336–338. https://doi.org/10.3978/j.issn.2225-319X.2014.04.03</w:t>
      </w:r>
    </w:p>
    <w:p w14:paraId="7CF81F6E"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Santillan, A., Nacarino, V., Greenberg, E., Riina, H. A., Gobin, Y. P., &amp; Patsalides, A. (2012). Vascular anatomy of the spinal cord. </w:t>
      </w:r>
      <w:r w:rsidRPr="00CA1DB1">
        <w:rPr>
          <w:rFonts w:cs="Arial"/>
          <w:i/>
          <w:iCs/>
          <w:noProof/>
          <w:szCs w:val="24"/>
        </w:rPr>
        <w:t>Journal of NeuroInterventional Surgery</w:t>
      </w:r>
      <w:r w:rsidRPr="00CA1DB1">
        <w:rPr>
          <w:rFonts w:cs="Arial"/>
          <w:noProof/>
          <w:szCs w:val="24"/>
        </w:rPr>
        <w:t xml:space="preserve">, </w:t>
      </w:r>
      <w:r w:rsidRPr="00CA1DB1">
        <w:rPr>
          <w:rFonts w:cs="Arial"/>
          <w:i/>
          <w:iCs/>
          <w:noProof/>
          <w:szCs w:val="24"/>
        </w:rPr>
        <w:t>4</w:t>
      </w:r>
      <w:r w:rsidRPr="00CA1DB1">
        <w:rPr>
          <w:rFonts w:cs="Arial"/>
          <w:noProof/>
          <w:szCs w:val="24"/>
        </w:rPr>
        <w:t>(1), 67–74. https://doi.org/10.1136/neurintsurg-2011-010018</w:t>
      </w:r>
    </w:p>
    <w:p w14:paraId="55DAC4A2"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Scali, S. T., Kim, M., Kubilis, P., Feezor, R. J., Giles, K. A., Miller, B., Fatima, J., Huber, T. S., Berceli, S. A., Back, M., &amp; Beck, A. W. (2018). Implementation of a bundled protocol significantly reduces risk of spinal cord ischemia after branched or fenestrated endovascular aortic repair.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67</w:t>
      </w:r>
      <w:r w:rsidRPr="00CA1DB1">
        <w:rPr>
          <w:rFonts w:cs="Arial"/>
          <w:noProof/>
          <w:szCs w:val="24"/>
        </w:rPr>
        <w:t>(2), 409-423.e4. https://doi.org/10.1016/j.jvs.2017.05.136</w:t>
      </w:r>
    </w:p>
    <w:p w14:paraId="44B6567D"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Scott, D. A., &amp; Denton, M. J. (2016). Spinal cord protection in aortic endovascular surgery. </w:t>
      </w:r>
      <w:r w:rsidRPr="00CA1DB1">
        <w:rPr>
          <w:rFonts w:cs="Arial"/>
          <w:i/>
          <w:iCs/>
          <w:noProof/>
          <w:szCs w:val="24"/>
        </w:rPr>
        <w:t>British Journal of Anaesthesia</w:t>
      </w:r>
      <w:r w:rsidRPr="00CA1DB1">
        <w:rPr>
          <w:rFonts w:cs="Arial"/>
          <w:noProof/>
          <w:szCs w:val="24"/>
        </w:rPr>
        <w:t xml:space="preserve">, </w:t>
      </w:r>
      <w:r w:rsidRPr="00CA1DB1">
        <w:rPr>
          <w:rFonts w:cs="Arial"/>
          <w:i/>
          <w:iCs/>
          <w:noProof/>
          <w:szCs w:val="24"/>
        </w:rPr>
        <w:t>117</w:t>
      </w:r>
      <w:r w:rsidRPr="00CA1DB1">
        <w:rPr>
          <w:rFonts w:cs="Arial"/>
          <w:noProof/>
          <w:szCs w:val="24"/>
        </w:rPr>
        <w:t>(March), ii26–ii31. https://doi.org/10.1093/bja/aew217</w:t>
      </w:r>
    </w:p>
    <w:p w14:paraId="2220D8D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See, R. B., Awosika, O. O., Cambria, R. P., Conrad, M. F., Lancaster, R. T., Patel, V. I., Chitilian, H. V., Kumar, S., &amp; Simon, M. V. (2016). Extended Motor Evoked Potentials Monitoring Helps Prevent Delayed Paraplegia after Aortic Surgery. </w:t>
      </w:r>
      <w:r w:rsidRPr="00CA1DB1">
        <w:rPr>
          <w:rFonts w:cs="Arial"/>
          <w:i/>
          <w:iCs/>
          <w:noProof/>
          <w:szCs w:val="24"/>
        </w:rPr>
        <w:t>Annals of Neurology</w:t>
      </w:r>
      <w:r w:rsidRPr="00CA1DB1">
        <w:rPr>
          <w:rFonts w:cs="Arial"/>
          <w:noProof/>
          <w:szCs w:val="24"/>
        </w:rPr>
        <w:t xml:space="preserve">, </w:t>
      </w:r>
      <w:r w:rsidRPr="00CA1DB1">
        <w:rPr>
          <w:rFonts w:cs="Arial"/>
          <w:i/>
          <w:iCs/>
          <w:noProof/>
          <w:szCs w:val="24"/>
        </w:rPr>
        <w:t>79</w:t>
      </w:r>
      <w:r w:rsidRPr="00CA1DB1">
        <w:rPr>
          <w:rFonts w:cs="Arial"/>
          <w:noProof/>
          <w:szCs w:val="24"/>
        </w:rPr>
        <w:t>(4), 636–645. https://doi.org/10.1002/ana.24610</w:t>
      </w:r>
    </w:p>
    <w:p w14:paraId="612CA638"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lastRenderedPageBreak/>
        <w:t xml:space="preserve">Simon, F., Wagenhäuser, M. U., Busch, A., Schelzig, H., &amp; Gombert, A. (2020). Arteriogenesis of the Spinal Cord—The Network Challenge. </w:t>
      </w:r>
      <w:r w:rsidRPr="00CA1DB1">
        <w:rPr>
          <w:rFonts w:cs="Arial"/>
          <w:i/>
          <w:iCs/>
          <w:noProof/>
          <w:szCs w:val="24"/>
        </w:rPr>
        <w:t>Cells</w:t>
      </w:r>
      <w:r w:rsidRPr="00CA1DB1">
        <w:rPr>
          <w:rFonts w:cs="Arial"/>
          <w:noProof/>
          <w:szCs w:val="24"/>
        </w:rPr>
        <w:t xml:space="preserve">, </w:t>
      </w:r>
      <w:r w:rsidRPr="00CA1DB1">
        <w:rPr>
          <w:rFonts w:cs="Arial"/>
          <w:i/>
          <w:iCs/>
          <w:noProof/>
          <w:szCs w:val="24"/>
        </w:rPr>
        <w:t>9</w:t>
      </w:r>
      <w:r w:rsidRPr="00CA1DB1">
        <w:rPr>
          <w:rFonts w:cs="Arial"/>
          <w:noProof/>
          <w:szCs w:val="24"/>
        </w:rPr>
        <w:t>(2), 501. https://doi.org/10.3390/cells9020501</w:t>
      </w:r>
    </w:p>
    <w:p w14:paraId="08F1AFED"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So, V. C., &amp; Poon, C. C. M. (2016). Intraoperative neuromonitoring in major vascular surgery. </w:t>
      </w:r>
      <w:r w:rsidRPr="00CA1DB1">
        <w:rPr>
          <w:rFonts w:cs="Arial"/>
          <w:i/>
          <w:iCs/>
          <w:noProof/>
          <w:szCs w:val="24"/>
        </w:rPr>
        <w:t>British Journal of Anaesthesia</w:t>
      </w:r>
      <w:r w:rsidRPr="00CA1DB1">
        <w:rPr>
          <w:rFonts w:cs="Arial"/>
          <w:noProof/>
          <w:szCs w:val="24"/>
        </w:rPr>
        <w:t xml:space="preserve">, </w:t>
      </w:r>
      <w:r w:rsidRPr="00CA1DB1">
        <w:rPr>
          <w:rFonts w:cs="Arial"/>
          <w:i/>
          <w:iCs/>
          <w:noProof/>
          <w:szCs w:val="24"/>
        </w:rPr>
        <w:t>117</w:t>
      </w:r>
      <w:r w:rsidRPr="00CA1DB1">
        <w:rPr>
          <w:rFonts w:cs="Arial"/>
          <w:noProof/>
          <w:szCs w:val="24"/>
        </w:rPr>
        <w:t>, ii13–ii25. https://doi.org/10.1093/bja/aew218</w:t>
      </w:r>
    </w:p>
    <w:p w14:paraId="3AF6DB0F"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Uchida, N. (2014). How to prevent spinal cord injury during endovascular repair of thoracic aortic disease. </w:t>
      </w:r>
      <w:r w:rsidRPr="00CA1DB1">
        <w:rPr>
          <w:rFonts w:cs="Arial"/>
          <w:i/>
          <w:iCs/>
          <w:noProof/>
          <w:szCs w:val="24"/>
        </w:rPr>
        <w:t>General Thoracic and Cardiovascular Surgery</w:t>
      </w:r>
      <w:r w:rsidRPr="00CA1DB1">
        <w:rPr>
          <w:rFonts w:cs="Arial"/>
          <w:noProof/>
          <w:szCs w:val="24"/>
        </w:rPr>
        <w:t xml:space="preserve">, </w:t>
      </w:r>
      <w:r w:rsidRPr="00CA1DB1">
        <w:rPr>
          <w:rFonts w:cs="Arial"/>
          <w:i/>
          <w:iCs/>
          <w:noProof/>
          <w:szCs w:val="24"/>
        </w:rPr>
        <w:t>62</w:t>
      </w:r>
      <w:r w:rsidRPr="00CA1DB1">
        <w:rPr>
          <w:rFonts w:cs="Arial"/>
          <w:noProof/>
          <w:szCs w:val="24"/>
        </w:rPr>
        <w:t>(7), 391–397. https://doi.org/10.1007/s11748-014-0395-9</w:t>
      </w:r>
    </w:p>
    <w:p w14:paraId="2B3E9EA0"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Vaquero, C. (2006). </w:t>
      </w:r>
      <w:r w:rsidRPr="00CA1DB1">
        <w:rPr>
          <w:rFonts w:cs="Arial"/>
          <w:i/>
          <w:iCs/>
          <w:noProof/>
          <w:szCs w:val="24"/>
        </w:rPr>
        <w:t>Procedimientos Endovasculares</w:t>
      </w:r>
      <w:r w:rsidRPr="00CA1DB1">
        <w:rPr>
          <w:rFonts w:cs="Arial"/>
          <w:noProof/>
          <w:szCs w:val="24"/>
        </w:rPr>
        <w:t xml:space="preserve"> (C. Vaquero (ed.); 1st ed.). Guidant.</w:t>
      </w:r>
    </w:p>
    <w:p w14:paraId="1C58213D"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Weigang, E., Hartert, M., Siegenthaler, M. P., Beckmann, N. A., Sircar, R., Szabò, G., Etz, C. D., Luehr, M., von Samson, P., &amp; Beyersdorf, F. (2006). Perioperative Management to Improve Neurologic Outcome in Thoracic or Thoracoabdominal Aortic Stent-Grafting. </w:t>
      </w:r>
      <w:r w:rsidRPr="00CA1DB1">
        <w:rPr>
          <w:rFonts w:cs="Arial"/>
          <w:i/>
          <w:iCs/>
          <w:noProof/>
          <w:szCs w:val="24"/>
        </w:rPr>
        <w:t>Annals of Thoracic Surgery</w:t>
      </w:r>
      <w:r w:rsidRPr="00CA1DB1">
        <w:rPr>
          <w:rFonts w:cs="Arial"/>
          <w:noProof/>
          <w:szCs w:val="24"/>
        </w:rPr>
        <w:t xml:space="preserve">, </w:t>
      </w:r>
      <w:r w:rsidRPr="00CA1DB1">
        <w:rPr>
          <w:rFonts w:cs="Arial"/>
          <w:i/>
          <w:iCs/>
          <w:noProof/>
          <w:szCs w:val="24"/>
        </w:rPr>
        <w:t>82</w:t>
      </w:r>
      <w:r w:rsidRPr="00CA1DB1">
        <w:rPr>
          <w:rFonts w:cs="Arial"/>
          <w:noProof/>
          <w:szCs w:val="24"/>
        </w:rPr>
        <w:t>(5), 1679–1687. https://doi.org/10.1016/j.athoracsur.2006.05.037</w:t>
      </w:r>
    </w:p>
    <w:p w14:paraId="7BFFF514" w14:textId="77777777" w:rsidR="00CA1DB1" w:rsidRPr="00CA1DB1" w:rsidRDefault="00CA1DB1" w:rsidP="00CA1DB1">
      <w:pPr>
        <w:widowControl w:val="0"/>
        <w:autoSpaceDE w:val="0"/>
        <w:autoSpaceDN w:val="0"/>
        <w:adjustRightInd w:val="0"/>
        <w:ind w:left="480" w:hanging="480"/>
        <w:rPr>
          <w:rFonts w:cs="Arial"/>
          <w:noProof/>
          <w:szCs w:val="24"/>
        </w:rPr>
      </w:pPr>
      <w:r w:rsidRPr="00CA1DB1">
        <w:rPr>
          <w:rFonts w:cs="Arial"/>
          <w:noProof/>
          <w:szCs w:val="24"/>
        </w:rPr>
        <w:t xml:space="preserve">Weigang, E., Hartert, M., Sircar, R., Samson, P. V., Pitzer, K., Genstorfer, J., Zentner, J., &amp; Beyersdorf, F. (2005). Setup of neurophysiological monitoring with tcMEP/SSEP during thoracoabdominal aneurysm repair. </w:t>
      </w:r>
      <w:r w:rsidRPr="00CA1DB1">
        <w:rPr>
          <w:rFonts w:cs="Arial"/>
          <w:i/>
          <w:iCs/>
          <w:noProof/>
          <w:szCs w:val="24"/>
        </w:rPr>
        <w:t>Thoracic and Cardiovascular Surgeon</w:t>
      </w:r>
      <w:r w:rsidRPr="00CA1DB1">
        <w:rPr>
          <w:rFonts w:cs="Arial"/>
          <w:noProof/>
          <w:szCs w:val="24"/>
        </w:rPr>
        <w:t xml:space="preserve">, </w:t>
      </w:r>
      <w:r w:rsidRPr="00CA1DB1">
        <w:rPr>
          <w:rFonts w:cs="Arial"/>
          <w:i/>
          <w:iCs/>
          <w:noProof/>
          <w:szCs w:val="24"/>
        </w:rPr>
        <w:t>53</w:t>
      </w:r>
      <w:r w:rsidRPr="00CA1DB1">
        <w:rPr>
          <w:rFonts w:cs="Arial"/>
          <w:noProof/>
          <w:szCs w:val="24"/>
        </w:rPr>
        <w:t>(1), 28–32. https://doi.org/10.1055/s-2004-830431</w:t>
      </w:r>
    </w:p>
    <w:p w14:paraId="2569EAE4" w14:textId="77777777" w:rsidR="00CA1DB1" w:rsidRPr="00CA1DB1" w:rsidRDefault="00CA1DB1" w:rsidP="00CA1DB1">
      <w:pPr>
        <w:widowControl w:val="0"/>
        <w:autoSpaceDE w:val="0"/>
        <w:autoSpaceDN w:val="0"/>
        <w:adjustRightInd w:val="0"/>
        <w:ind w:left="480" w:hanging="480"/>
        <w:rPr>
          <w:rFonts w:cs="Arial"/>
          <w:noProof/>
        </w:rPr>
      </w:pPr>
      <w:r w:rsidRPr="00CA1DB1">
        <w:rPr>
          <w:rFonts w:cs="Arial"/>
          <w:noProof/>
          <w:szCs w:val="24"/>
        </w:rPr>
        <w:t xml:space="preserve">Zierler, R. E., Jordan, W. D., Lal, B. K., Mussa, F., Leers, S., Fulton, J., Pevec, W., </w:t>
      </w:r>
      <w:r w:rsidRPr="00CA1DB1">
        <w:rPr>
          <w:rFonts w:cs="Arial"/>
          <w:noProof/>
          <w:szCs w:val="24"/>
        </w:rPr>
        <w:lastRenderedPageBreak/>
        <w:t xml:space="preserve">Hill, A., &amp; Murad, M. H. (2018). The Society for Vascular Surgery practice guidelines on follow-up after vascular surgery arterial procedures. </w:t>
      </w:r>
      <w:r w:rsidRPr="00CA1DB1">
        <w:rPr>
          <w:rFonts w:cs="Arial"/>
          <w:i/>
          <w:iCs/>
          <w:noProof/>
          <w:szCs w:val="24"/>
        </w:rPr>
        <w:t>Journal of Vascular Surgery</w:t>
      </w:r>
      <w:r w:rsidRPr="00CA1DB1">
        <w:rPr>
          <w:rFonts w:cs="Arial"/>
          <w:noProof/>
          <w:szCs w:val="24"/>
        </w:rPr>
        <w:t xml:space="preserve">, </w:t>
      </w:r>
      <w:r w:rsidRPr="00CA1DB1">
        <w:rPr>
          <w:rFonts w:cs="Arial"/>
          <w:i/>
          <w:iCs/>
          <w:noProof/>
          <w:szCs w:val="24"/>
        </w:rPr>
        <w:t>68</w:t>
      </w:r>
      <w:r w:rsidRPr="00CA1DB1">
        <w:rPr>
          <w:rFonts w:cs="Arial"/>
          <w:noProof/>
          <w:szCs w:val="24"/>
        </w:rPr>
        <w:t>(1), 256–284. https://doi.org/10.1016/j.jvs.2018.04.018</w:t>
      </w:r>
    </w:p>
    <w:p w14:paraId="58037197" w14:textId="367F618E" w:rsidR="001A105B" w:rsidRPr="003A1CA0" w:rsidRDefault="001A105B" w:rsidP="001A105B">
      <w:pPr>
        <w:rPr>
          <w:lang w:val="es-CR"/>
        </w:rPr>
      </w:pPr>
      <w:r w:rsidRPr="003A1CA0">
        <w:rPr>
          <w:lang w:val="es-CR"/>
        </w:rPr>
        <w:fldChar w:fldCharType="end"/>
      </w:r>
    </w:p>
    <w:sectPr w:rsidR="001A105B" w:rsidRPr="003A1CA0" w:rsidSect="009F2D09">
      <w:type w:val="continuous"/>
      <w:pgSz w:w="12240" w:h="15840"/>
      <w:pgMar w:top="1417" w:right="1701" w:bottom="1417" w:left="1701" w:header="708" w:footer="708" w:gutter="0"/>
      <w:pgNumType w:start="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D60428" w14:textId="77777777" w:rsidR="00C1293C" w:rsidRDefault="00C1293C" w:rsidP="00A15040">
      <w:pPr>
        <w:spacing w:after="0" w:line="240" w:lineRule="auto"/>
      </w:pPr>
      <w:r>
        <w:separator/>
      </w:r>
    </w:p>
  </w:endnote>
  <w:endnote w:type="continuationSeparator" w:id="0">
    <w:p w14:paraId="0C5943B9" w14:textId="77777777" w:rsidR="00C1293C" w:rsidRDefault="00C1293C" w:rsidP="00A150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7131501"/>
      <w:docPartObj>
        <w:docPartGallery w:val="Page Numbers (Bottom of Page)"/>
        <w:docPartUnique/>
      </w:docPartObj>
    </w:sdtPr>
    <w:sdtEndPr>
      <w:rPr>
        <w:noProof/>
      </w:rPr>
    </w:sdtEndPr>
    <w:sdtContent>
      <w:p w14:paraId="223BCA42" w14:textId="0968D674" w:rsidR="00685D76" w:rsidRDefault="00685D7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ACF2B8" w14:textId="77777777" w:rsidR="00685D76" w:rsidRDefault="00685D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FD27A" w14:textId="0048CC3E" w:rsidR="00685D76" w:rsidRDefault="00685D76">
    <w:pPr>
      <w:pStyle w:val="Footer"/>
      <w:jc w:val="right"/>
    </w:pPr>
  </w:p>
  <w:p w14:paraId="737C961D" w14:textId="77777777" w:rsidR="00685D76" w:rsidRDefault="00685D7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80D3B2" w14:textId="77777777" w:rsidR="00685D76" w:rsidRDefault="00685D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11617D" w14:textId="77777777" w:rsidR="00C1293C" w:rsidRDefault="00C1293C" w:rsidP="00A15040">
      <w:pPr>
        <w:spacing w:after="0" w:line="240" w:lineRule="auto"/>
      </w:pPr>
      <w:r>
        <w:separator/>
      </w:r>
    </w:p>
  </w:footnote>
  <w:footnote w:type="continuationSeparator" w:id="0">
    <w:p w14:paraId="62211340" w14:textId="77777777" w:rsidR="00C1293C" w:rsidRDefault="00C1293C" w:rsidP="00A150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F37DA7"/>
    <w:multiLevelType w:val="hybridMultilevel"/>
    <w:tmpl w:val="7D50DCBA"/>
    <w:lvl w:ilvl="0" w:tplc="0409000F">
      <w:start w:val="1"/>
      <w:numFmt w:val="decimal"/>
      <w:lvlText w:val="%1."/>
      <w:lvlJc w:val="left"/>
      <w:pPr>
        <w:ind w:left="1429" w:hanging="360"/>
      </w:pPr>
    </w:lvl>
    <w:lvl w:ilvl="1" w:tplc="140A0019">
      <w:start w:val="1"/>
      <w:numFmt w:val="lowerLetter"/>
      <w:lvlText w:val="%2."/>
      <w:lvlJc w:val="left"/>
      <w:pPr>
        <w:ind w:left="2149" w:hanging="360"/>
      </w:pPr>
    </w:lvl>
    <w:lvl w:ilvl="2" w:tplc="140A001B" w:tentative="1">
      <w:start w:val="1"/>
      <w:numFmt w:val="lowerRoman"/>
      <w:lvlText w:val="%3."/>
      <w:lvlJc w:val="right"/>
      <w:pPr>
        <w:ind w:left="2869" w:hanging="180"/>
      </w:pPr>
    </w:lvl>
    <w:lvl w:ilvl="3" w:tplc="140A000F" w:tentative="1">
      <w:start w:val="1"/>
      <w:numFmt w:val="decimal"/>
      <w:lvlText w:val="%4."/>
      <w:lvlJc w:val="left"/>
      <w:pPr>
        <w:ind w:left="3589" w:hanging="360"/>
      </w:pPr>
    </w:lvl>
    <w:lvl w:ilvl="4" w:tplc="140A0019" w:tentative="1">
      <w:start w:val="1"/>
      <w:numFmt w:val="lowerLetter"/>
      <w:lvlText w:val="%5."/>
      <w:lvlJc w:val="left"/>
      <w:pPr>
        <w:ind w:left="4309" w:hanging="360"/>
      </w:pPr>
    </w:lvl>
    <w:lvl w:ilvl="5" w:tplc="140A001B" w:tentative="1">
      <w:start w:val="1"/>
      <w:numFmt w:val="lowerRoman"/>
      <w:lvlText w:val="%6."/>
      <w:lvlJc w:val="right"/>
      <w:pPr>
        <w:ind w:left="5029" w:hanging="180"/>
      </w:pPr>
    </w:lvl>
    <w:lvl w:ilvl="6" w:tplc="140A000F" w:tentative="1">
      <w:start w:val="1"/>
      <w:numFmt w:val="decimal"/>
      <w:lvlText w:val="%7."/>
      <w:lvlJc w:val="left"/>
      <w:pPr>
        <w:ind w:left="5749" w:hanging="360"/>
      </w:pPr>
    </w:lvl>
    <w:lvl w:ilvl="7" w:tplc="140A0019" w:tentative="1">
      <w:start w:val="1"/>
      <w:numFmt w:val="lowerLetter"/>
      <w:lvlText w:val="%8."/>
      <w:lvlJc w:val="left"/>
      <w:pPr>
        <w:ind w:left="6469" w:hanging="360"/>
      </w:pPr>
    </w:lvl>
    <w:lvl w:ilvl="8" w:tplc="140A001B" w:tentative="1">
      <w:start w:val="1"/>
      <w:numFmt w:val="lowerRoman"/>
      <w:lvlText w:val="%9."/>
      <w:lvlJc w:val="right"/>
      <w:pPr>
        <w:ind w:left="7189" w:hanging="180"/>
      </w:pPr>
    </w:lvl>
  </w:abstractNum>
  <w:abstractNum w:abstractNumId="1" w15:restartNumberingAfterBreak="0">
    <w:nsid w:val="0A115F50"/>
    <w:multiLevelType w:val="hybridMultilevel"/>
    <w:tmpl w:val="984C0B92"/>
    <w:lvl w:ilvl="0" w:tplc="140A0001">
      <w:start w:val="1"/>
      <w:numFmt w:val="bullet"/>
      <w:lvlText w:val=""/>
      <w:lvlJc w:val="left"/>
      <w:pPr>
        <w:ind w:left="720" w:hanging="720"/>
      </w:pPr>
      <w:rPr>
        <w:rFonts w:ascii="Symbol" w:hAnsi="Symbol" w:hint="default"/>
      </w:rPr>
    </w:lvl>
    <w:lvl w:ilvl="1" w:tplc="140A0003" w:tentative="1">
      <w:start w:val="1"/>
      <w:numFmt w:val="bullet"/>
      <w:lvlText w:val="o"/>
      <w:lvlJc w:val="left"/>
      <w:pPr>
        <w:ind w:left="731" w:hanging="360"/>
      </w:pPr>
      <w:rPr>
        <w:rFonts w:ascii="Courier New" w:hAnsi="Courier New" w:cs="Courier New" w:hint="default"/>
      </w:rPr>
    </w:lvl>
    <w:lvl w:ilvl="2" w:tplc="140A0005" w:tentative="1">
      <w:start w:val="1"/>
      <w:numFmt w:val="bullet"/>
      <w:lvlText w:val=""/>
      <w:lvlJc w:val="left"/>
      <w:pPr>
        <w:ind w:left="1451" w:hanging="360"/>
      </w:pPr>
      <w:rPr>
        <w:rFonts w:ascii="Wingdings" w:hAnsi="Wingdings" w:hint="default"/>
      </w:rPr>
    </w:lvl>
    <w:lvl w:ilvl="3" w:tplc="140A0001" w:tentative="1">
      <w:start w:val="1"/>
      <w:numFmt w:val="bullet"/>
      <w:lvlText w:val=""/>
      <w:lvlJc w:val="left"/>
      <w:pPr>
        <w:ind w:left="2171" w:hanging="360"/>
      </w:pPr>
      <w:rPr>
        <w:rFonts w:ascii="Symbol" w:hAnsi="Symbol" w:hint="default"/>
      </w:rPr>
    </w:lvl>
    <w:lvl w:ilvl="4" w:tplc="140A0003" w:tentative="1">
      <w:start w:val="1"/>
      <w:numFmt w:val="bullet"/>
      <w:lvlText w:val="o"/>
      <w:lvlJc w:val="left"/>
      <w:pPr>
        <w:ind w:left="2891" w:hanging="360"/>
      </w:pPr>
      <w:rPr>
        <w:rFonts w:ascii="Courier New" w:hAnsi="Courier New" w:cs="Courier New" w:hint="default"/>
      </w:rPr>
    </w:lvl>
    <w:lvl w:ilvl="5" w:tplc="140A0005" w:tentative="1">
      <w:start w:val="1"/>
      <w:numFmt w:val="bullet"/>
      <w:lvlText w:val=""/>
      <w:lvlJc w:val="left"/>
      <w:pPr>
        <w:ind w:left="3611" w:hanging="360"/>
      </w:pPr>
      <w:rPr>
        <w:rFonts w:ascii="Wingdings" w:hAnsi="Wingdings" w:hint="default"/>
      </w:rPr>
    </w:lvl>
    <w:lvl w:ilvl="6" w:tplc="140A0001" w:tentative="1">
      <w:start w:val="1"/>
      <w:numFmt w:val="bullet"/>
      <w:lvlText w:val=""/>
      <w:lvlJc w:val="left"/>
      <w:pPr>
        <w:ind w:left="4331" w:hanging="360"/>
      </w:pPr>
      <w:rPr>
        <w:rFonts w:ascii="Symbol" w:hAnsi="Symbol" w:hint="default"/>
      </w:rPr>
    </w:lvl>
    <w:lvl w:ilvl="7" w:tplc="140A0003" w:tentative="1">
      <w:start w:val="1"/>
      <w:numFmt w:val="bullet"/>
      <w:lvlText w:val="o"/>
      <w:lvlJc w:val="left"/>
      <w:pPr>
        <w:ind w:left="5051" w:hanging="360"/>
      </w:pPr>
      <w:rPr>
        <w:rFonts w:ascii="Courier New" w:hAnsi="Courier New" w:cs="Courier New" w:hint="default"/>
      </w:rPr>
    </w:lvl>
    <w:lvl w:ilvl="8" w:tplc="140A0005" w:tentative="1">
      <w:start w:val="1"/>
      <w:numFmt w:val="bullet"/>
      <w:lvlText w:val=""/>
      <w:lvlJc w:val="left"/>
      <w:pPr>
        <w:ind w:left="5771" w:hanging="360"/>
      </w:pPr>
      <w:rPr>
        <w:rFonts w:ascii="Wingdings" w:hAnsi="Wingdings" w:hint="default"/>
      </w:rPr>
    </w:lvl>
  </w:abstractNum>
  <w:abstractNum w:abstractNumId="2" w15:restartNumberingAfterBreak="0">
    <w:nsid w:val="1FB21720"/>
    <w:multiLevelType w:val="hybridMultilevel"/>
    <w:tmpl w:val="26A60C06"/>
    <w:lvl w:ilvl="0" w:tplc="BE58C41C">
      <w:start w:val="1"/>
      <w:numFmt w:val="decimal"/>
      <w:lvlText w:val="%1."/>
      <w:lvlJc w:val="left"/>
      <w:pPr>
        <w:ind w:left="1069" w:hanging="360"/>
      </w:pPr>
      <w:rPr>
        <w:rFonts w:hint="default"/>
      </w:rPr>
    </w:lvl>
    <w:lvl w:ilvl="1" w:tplc="140A0019">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3" w15:restartNumberingAfterBreak="0">
    <w:nsid w:val="203D7F3C"/>
    <w:multiLevelType w:val="hybridMultilevel"/>
    <w:tmpl w:val="0AFA77D8"/>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4" w15:restartNumberingAfterBreak="0">
    <w:nsid w:val="263F6E92"/>
    <w:multiLevelType w:val="hybridMultilevel"/>
    <w:tmpl w:val="4E7A0F10"/>
    <w:lvl w:ilvl="0" w:tplc="0409000F">
      <w:start w:val="1"/>
      <w:numFmt w:val="decimal"/>
      <w:lvlText w:val="%1."/>
      <w:lvlJc w:val="left"/>
      <w:pPr>
        <w:ind w:left="1429" w:hanging="360"/>
      </w:pPr>
    </w:lvl>
    <w:lvl w:ilvl="1" w:tplc="140A0019" w:tentative="1">
      <w:start w:val="1"/>
      <w:numFmt w:val="lowerLetter"/>
      <w:lvlText w:val="%2."/>
      <w:lvlJc w:val="left"/>
      <w:pPr>
        <w:ind w:left="2149" w:hanging="360"/>
      </w:pPr>
    </w:lvl>
    <w:lvl w:ilvl="2" w:tplc="140A001B" w:tentative="1">
      <w:start w:val="1"/>
      <w:numFmt w:val="lowerRoman"/>
      <w:lvlText w:val="%3."/>
      <w:lvlJc w:val="right"/>
      <w:pPr>
        <w:ind w:left="2869" w:hanging="180"/>
      </w:pPr>
    </w:lvl>
    <w:lvl w:ilvl="3" w:tplc="140A000F" w:tentative="1">
      <w:start w:val="1"/>
      <w:numFmt w:val="decimal"/>
      <w:lvlText w:val="%4."/>
      <w:lvlJc w:val="left"/>
      <w:pPr>
        <w:ind w:left="3589" w:hanging="360"/>
      </w:pPr>
    </w:lvl>
    <w:lvl w:ilvl="4" w:tplc="140A0019" w:tentative="1">
      <w:start w:val="1"/>
      <w:numFmt w:val="lowerLetter"/>
      <w:lvlText w:val="%5."/>
      <w:lvlJc w:val="left"/>
      <w:pPr>
        <w:ind w:left="4309" w:hanging="360"/>
      </w:pPr>
    </w:lvl>
    <w:lvl w:ilvl="5" w:tplc="140A001B" w:tentative="1">
      <w:start w:val="1"/>
      <w:numFmt w:val="lowerRoman"/>
      <w:lvlText w:val="%6."/>
      <w:lvlJc w:val="right"/>
      <w:pPr>
        <w:ind w:left="5029" w:hanging="180"/>
      </w:pPr>
    </w:lvl>
    <w:lvl w:ilvl="6" w:tplc="140A000F" w:tentative="1">
      <w:start w:val="1"/>
      <w:numFmt w:val="decimal"/>
      <w:lvlText w:val="%7."/>
      <w:lvlJc w:val="left"/>
      <w:pPr>
        <w:ind w:left="5749" w:hanging="360"/>
      </w:pPr>
    </w:lvl>
    <w:lvl w:ilvl="7" w:tplc="140A0019" w:tentative="1">
      <w:start w:val="1"/>
      <w:numFmt w:val="lowerLetter"/>
      <w:lvlText w:val="%8."/>
      <w:lvlJc w:val="left"/>
      <w:pPr>
        <w:ind w:left="6469" w:hanging="360"/>
      </w:pPr>
    </w:lvl>
    <w:lvl w:ilvl="8" w:tplc="140A001B" w:tentative="1">
      <w:start w:val="1"/>
      <w:numFmt w:val="lowerRoman"/>
      <w:lvlText w:val="%9."/>
      <w:lvlJc w:val="right"/>
      <w:pPr>
        <w:ind w:left="7189" w:hanging="180"/>
      </w:pPr>
    </w:lvl>
  </w:abstractNum>
  <w:abstractNum w:abstractNumId="5" w15:restartNumberingAfterBreak="0">
    <w:nsid w:val="5582111E"/>
    <w:multiLevelType w:val="hybridMultilevel"/>
    <w:tmpl w:val="BEDA54D0"/>
    <w:lvl w:ilvl="0" w:tplc="56E63FB0">
      <w:start w:val="1"/>
      <w:numFmt w:val="bullet"/>
      <w:lvlText w:val="•"/>
      <w:lvlJc w:val="left"/>
      <w:pPr>
        <w:ind w:left="2138" w:hanging="720"/>
      </w:pPr>
      <w:rPr>
        <w:rFonts w:ascii="Arial" w:eastAsiaTheme="minorHAnsi" w:hAnsi="Arial" w:cs="Aria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6" w15:restartNumberingAfterBreak="0">
    <w:nsid w:val="5D671017"/>
    <w:multiLevelType w:val="hybridMultilevel"/>
    <w:tmpl w:val="43A6973C"/>
    <w:lvl w:ilvl="0" w:tplc="0409000F">
      <w:start w:val="1"/>
      <w:numFmt w:val="decimal"/>
      <w:lvlText w:val="%1."/>
      <w:lvlJc w:val="left"/>
      <w:pPr>
        <w:ind w:left="1069" w:hanging="360"/>
      </w:pPr>
      <w:rPr>
        <w:rFonts w:hint="default"/>
      </w:rPr>
    </w:lvl>
    <w:lvl w:ilvl="1" w:tplc="140A0019">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7" w15:restartNumberingAfterBreak="0">
    <w:nsid w:val="671E48F9"/>
    <w:multiLevelType w:val="hybridMultilevel"/>
    <w:tmpl w:val="804E9622"/>
    <w:lvl w:ilvl="0" w:tplc="DF6011E2">
      <w:start w:val="1"/>
      <w:numFmt w:val="decimal"/>
      <w:lvlText w:val="%1."/>
      <w:lvlJc w:val="left"/>
      <w:pPr>
        <w:ind w:left="1778" w:hanging="360"/>
      </w:pPr>
      <w:rPr>
        <w:rFonts w:hint="default"/>
      </w:rPr>
    </w:lvl>
    <w:lvl w:ilvl="1" w:tplc="140A0019" w:tentative="1">
      <w:start w:val="1"/>
      <w:numFmt w:val="lowerLetter"/>
      <w:lvlText w:val="%2."/>
      <w:lvlJc w:val="left"/>
      <w:pPr>
        <w:ind w:left="2149" w:hanging="360"/>
      </w:pPr>
    </w:lvl>
    <w:lvl w:ilvl="2" w:tplc="140A001B" w:tentative="1">
      <w:start w:val="1"/>
      <w:numFmt w:val="lowerRoman"/>
      <w:lvlText w:val="%3."/>
      <w:lvlJc w:val="right"/>
      <w:pPr>
        <w:ind w:left="2869" w:hanging="180"/>
      </w:pPr>
    </w:lvl>
    <w:lvl w:ilvl="3" w:tplc="140A000F" w:tentative="1">
      <w:start w:val="1"/>
      <w:numFmt w:val="decimal"/>
      <w:lvlText w:val="%4."/>
      <w:lvlJc w:val="left"/>
      <w:pPr>
        <w:ind w:left="3589" w:hanging="360"/>
      </w:pPr>
    </w:lvl>
    <w:lvl w:ilvl="4" w:tplc="140A0019" w:tentative="1">
      <w:start w:val="1"/>
      <w:numFmt w:val="lowerLetter"/>
      <w:lvlText w:val="%5."/>
      <w:lvlJc w:val="left"/>
      <w:pPr>
        <w:ind w:left="4309" w:hanging="360"/>
      </w:pPr>
    </w:lvl>
    <w:lvl w:ilvl="5" w:tplc="140A001B" w:tentative="1">
      <w:start w:val="1"/>
      <w:numFmt w:val="lowerRoman"/>
      <w:lvlText w:val="%6."/>
      <w:lvlJc w:val="right"/>
      <w:pPr>
        <w:ind w:left="5029" w:hanging="180"/>
      </w:pPr>
    </w:lvl>
    <w:lvl w:ilvl="6" w:tplc="140A000F" w:tentative="1">
      <w:start w:val="1"/>
      <w:numFmt w:val="decimal"/>
      <w:lvlText w:val="%7."/>
      <w:lvlJc w:val="left"/>
      <w:pPr>
        <w:ind w:left="5749" w:hanging="360"/>
      </w:pPr>
    </w:lvl>
    <w:lvl w:ilvl="7" w:tplc="140A0019" w:tentative="1">
      <w:start w:val="1"/>
      <w:numFmt w:val="lowerLetter"/>
      <w:lvlText w:val="%8."/>
      <w:lvlJc w:val="left"/>
      <w:pPr>
        <w:ind w:left="6469" w:hanging="360"/>
      </w:pPr>
    </w:lvl>
    <w:lvl w:ilvl="8" w:tplc="140A001B" w:tentative="1">
      <w:start w:val="1"/>
      <w:numFmt w:val="lowerRoman"/>
      <w:lvlText w:val="%9."/>
      <w:lvlJc w:val="right"/>
      <w:pPr>
        <w:ind w:left="7189" w:hanging="180"/>
      </w:pPr>
    </w:lvl>
  </w:abstractNum>
  <w:abstractNum w:abstractNumId="8" w15:restartNumberingAfterBreak="0">
    <w:nsid w:val="7EB947D9"/>
    <w:multiLevelType w:val="hybridMultilevel"/>
    <w:tmpl w:val="28B87012"/>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num w:numId="1">
    <w:abstractNumId w:val="3"/>
  </w:num>
  <w:num w:numId="2">
    <w:abstractNumId w:val="2"/>
  </w:num>
  <w:num w:numId="3">
    <w:abstractNumId w:val="7"/>
  </w:num>
  <w:num w:numId="4">
    <w:abstractNumId w:val="6"/>
  </w:num>
  <w:num w:numId="5">
    <w:abstractNumId w:val="4"/>
  </w:num>
  <w:num w:numId="6">
    <w:abstractNumId w:val="8"/>
  </w:num>
  <w:num w:numId="7">
    <w:abstractNumId w:val="0"/>
  </w:num>
  <w:num w:numId="8">
    <w:abstractNumId w:val="5"/>
  </w:num>
  <w:num w:numId="9">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09"/>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05E"/>
    <w:rsid w:val="00001D06"/>
    <w:rsid w:val="00003687"/>
    <w:rsid w:val="000049A1"/>
    <w:rsid w:val="000063EB"/>
    <w:rsid w:val="0000640B"/>
    <w:rsid w:val="00012CB3"/>
    <w:rsid w:val="00013567"/>
    <w:rsid w:val="0001464F"/>
    <w:rsid w:val="000166A9"/>
    <w:rsid w:val="00022AD0"/>
    <w:rsid w:val="00022E14"/>
    <w:rsid w:val="000243CB"/>
    <w:rsid w:val="000269A1"/>
    <w:rsid w:val="00032E98"/>
    <w:rsid w:val="00035F2E"/>
    <w:rsid w:val="000427D3"/>
    <w:rsid w:val="00044420"/>
    <w:rsid w:val="00044890"/>
    <w:rsid w:val="0004643D"/>
    <w:rsid w:val="0004646B"/>
    <w:rsid w:val="00055F15"/>
    <w:rsid w:val="00060ED1"/>
    <w:rsid w:val="00063BCD"/>
    <w:rsid w:val="000653C7"/>
    <w:rsid w:val="00066159"/>
    <w:rsid w:val="00066CF9"/>
    <w:rsid w:val="000676D0"/>
    <w:rsid w:val="00070935"/>
    <w:rsid w:val="00071BD5"/>
    <w:rsid w:val="00077E76"/>
    <w:rsid w:val="000826B3"/>
    <w:rsid w:val="00083574"/>
    <w:rsid w:val="000844FB"/>
    <w:rsid w:val="000A0976"/>
    <w:rsid w:val="000A1AD1"/>
    <w:rsid w:val="000A746A"/>
    <w:rsid w:val="000A7BAF"/>
    <w:rsid w:val="000B34BF"/>
    <w:rsid w:val="000B56C3"/>
    <w:rsid w:val="000C160A"/>
    <w:rsid w:val="000C26A6"/>
    <w:rsid w:val="000C3C83"/>
    <w:rsid w:val="000C7CB8"/>
    <w:rsid w:val="000D1056"/>
    <w:rsid w:val="000D395A"/>
    <w:rsid w:val="000E4CF1"/>
    <w:rsid w:val="000E5A96"/>
    <w:rsid w:val="000E687F"/>
    <w:rsid w:val="000F05C3"/>
    <w:rsid w:val="000F0FC6"/>
    <w:rsid w:val="0010188C"/>
    <w:rsid w:val="0010512C"/>
    <w:rsid w:val="00107946"/>
    <w:rsid w:val="00113A77"/>
    <w:rsid w:val="00114AFD"/>
    <w:rsid w:val="00115949"/>
    <w:rsid w:val="00117CDA"/>
    <w:rsid w:val="00120FF5"/>
    <w:rsid w:val="001224EA"/>
    <w:rsid w:val="0013212C"/>
    <w:rsid w:val="001323EA"/>
    <w:rsid w:val="00134DDA"/>
    <w:rsid w:val="00143C92"/>
    <w:rsid w:val="0015124E"/>
    <w:rsid w:val="00153C1C"/>
    <w:rsid w:val="00154258"/>
    <w:rsid w:val="00155348"/>
    <w:rsid w:val="00155BA9"/>
    <w:rsid w:val="00157308"/>
    <w:rsid w:val="00157AE6"/>
    <w:rsid w:val="00160017"/>
    <w:rsid w:val="00163683"/>
    <w:rsid w:val="00170ED1"/>
    <w:rsid w:val="001732A4"/>
    <w:rsid w:val="001750FB"/>
    <w:rsid w:val="00175B33"/>
    <w:rsid w:val="00182957"/>
    <w:rsid w:val="00182EC6"/>
    <w:rsid w:val="00190104"/>
    <w:rsid w:val="001908C9"/>
    <w:rsid w:val="0019376B"/>
    <w:rsid w:val="00196902"/>
    <w:rsid w:val="001A006B"/>
    <w:rsid w:val="001A0496"/>
    <w:rsid w:val="001A105B"/>
    <w:rsid w:val="001A1B73"/>
    <w:rsid w:val="001A2073"/>
    <w:rsid w:val="001A274B"/>
    <w:rsid w:val="001A4E90"/>
    <w:rsid w:val="001A7BB1"/>
    <w:rsid w:val="001B44F8"/>
    <w:rsid w:val="001C55E6"/>
    <w:rsid w:val="001C5967"/>
    <w:rsid w:val="001D18BC"/>
    <w:rsid w:val="001D1DA2"/>
    <w:rsid w:val="001D2521"/>
    <w:rsid w:val="001D3360"/>
    <w:rsid w:val="001D6DE1"/>
    <w:rsid w:val="001E0912"/>
    <w:rsid w:val="001E54AD"/>
    <w:rsid w:val="001E72E5"/>
    <w:rsid w:val="00200AE8"/>
    <w:rsid w:val="00200FFE"/>
    <w:rsid w:val="00202054"/>
    <w:rsid w:val="00207EC1"/>
    <w:rsid w:val="0021046C"/>
    <w:rsid w:val="00220002"/>
    <w:rsid w:val="00226329"/>
    <w:rsid w:val="002279B1"/>
    <w:rsid w:val="002311CA"/>
    <w:rsid w:val="002323AD"/>
    <w:rsid w:val="002348B1"/>
    <w:rsid w:val="00235910"/>
    <w:rsid w:val="00241453"/>
    <w:rsid w:val="0024262E"/>
    <w:rsid w:val="00244E49"/>
    <w:rsid w:val="0024655D"/>
    <w:rsid w:val="00254B71"/>
    <w:rsid w:val="00257F47"/>
    <w:rsid w:val="00260032"/>
    <w:rsid w:val="0026218A"/>
    <w:rsid w:val="002627D8"/>
    <w:rsid w:val="00270AE7"/>
    <w:rsid w:val="0027206E"/>
    <w:rsid w:val="002734CF"/>
    <w:rsid w:val="002760BC"/>
    <w:rsid w:val="002806CC"/>
    <w:rsid w:val="002865E9"/>
    <w:rsid w:val="0028703B"/>
    <w:rsid w:val="00293C0F"/>
    <w:rsid w:val="00293EA6"/>
    <w:rsid w:val="00295723"/>
    <w:rsid w:val="00295746"/>
    <w:rsid w:val="00295DD6"/>
    <w:rsid w:val="00295FDF"/>
    <w:rsid w:val="00296A26"/>
    <w:rsid w:val="002A3A80"/>
    <w:rsid w:val="002A77C1"/>
    <w:rsid w:val="002B000A"/>
    <w:rsid w:val="002B2656"/>
    <w:rsid w:val="002B41C5"/>
    <w:rsid w:val="002B46BC"/>
    <w:rsid w:val="002C1059"/>
    <w:rsid w:val="002C21C6"/>
    <w:rsid w:val="002C3B49"/>
    <w:rsid w:val="002C50C0"/>
    <w:rsid w:val="002C6A2B"/>
    <w:rsid w:val="002C7025"/>
    <w:rsid w:val="002D055F"/>
    <w:rsid w:val="002D218E"/>
    <w:rsid w:val="002D39E2"/>
    <w:rsid w:val="002D712B"/>
    <w:rsid w:val="002E013D"/>
    <w:rsid w:val="002E0817"/>
    <w:rsid w:val="002E233A"/>
    <w:rsid w:val="002F570F"/>
    <w:rsid w:val="002F5AC2"/>
    <w:rsid w:val="002F6114"/>
    <w:rsid w:val="002F6CD1"/>
    <w:rsid w:val="002F6D83"/>
    <w:rsid w:val="00300DFA"/>
    <w:rsid w:val="00302687"/>
    <w:rsid w:val="003101F1"/>
    <w:rsid w:val="003105E3"/>
    <w:rsid w:val="003112A2"/>
    <w:rsid w:val="003204F2"/>
    <w:rsid w:val="00320D97"/>
    <w:rsid w:val="003235F3"/>
    <w:rsid w:val="00323A1F"/>
    <w:rsid w:val="00323C23"/>
    <w:rsid w:val="003255A1"/>
    <w:rsid w:val="00331F78"/>
    <w:rsid w:val="003356D7"/>
    <w:rsid w:val="00336FA0"/>
    <w:rsid w:val="00341851"/>
    <w:rsid w:val="0034556C"/>
    <w:rsid w:val="00345952"/>
    <w:rsid w:val="00346AC2"/>
    <w:rsid w:val="00350690"/>
    <w:rsid w:val="00351E1B"/>
    <w:rsid w:val="00353891"/>
    <w:rsid w:val="0035705E"/>
    <w:rsid w:val="0035766C"/>
    <w:rsid w:val="00363F6C"/>
    <w:rsid w:val="00364A3C"/>
    <w:rsid w:val="00364C6E"/>
    <w:rsid w:val="00365123"/>
    <w:rsid w:val="00366AA6"/>
    <w:rsid w:val="00366B1C"/>
    <w:rsid w:val="0036739E"/>
    <w:rsid w:val="00367401"/>
    <w:rsid w:val="003678FF"/>
    <w:rsid w:val="00367A52"/>
    <w:rsid w:val="00371DCB"/>
    <w:rsid w:val="003724C5"/>
    <w:rsid w:val="00374739"/>
    <w:rsid w:val="0037533C"/>
    <w:rsid w:val="00377C09"/>
    <w:rsid w:val="00381651"/>
    <w:rsid w:val="00381D01"/>
    <w:rsid w:val="00384999"/>
    <w:rsid w:val="00386750"/>
    <w:rsid w:val="00387446"/>
    <w:rsid w:val="003947E1"/>
    <w:rsid w:val="003948B8"/>
    <w:rsid w:val="00396674"/>
    <w:rsid w:val="003A0F06"/>
    <w:rsid w:val="003A1CA0"/>
    <w:rsid w:val="003A3464"/>
    <w:rsid w:val="003B0721"/>
    <w:rsid w:val="003B12D7"/>
    <w:rsid w:val="003B2ADE"/>
    <w:rsid w:val="003B758F"/>
    <w:rsid w:val="003C2AC4"/>
    <w:rsid w:val="003C51C0"/>
    <w:rsid w:val="003C72C5"/>
    <w:rsid w:val="003C7A1E"/>
    <w:rsid w:val="003D0723"/>
    <w:rsid w:val="003D1A39"/>
    <w:rsid w:val="003D48F7"/>
    <w:rsid w:val="003D4B3C"/>
    <w:rsid w:val="003D7873"/>
    <w:rsid w:val="003E6137"/>
    <w:rsid w:val="003E70C6"/>
    <w:rsid w:val="003F7BC1"/>
    <w:rsid w:val="004020C5"/>
    <w:rsid w:val="00405B00"/>
    <w:rsid w:val="004071C2"/>
    <w:rsid w:val="00407FBA"/>
    <w:rsid w:val="00412669"/>
    <w:rsid w:val="0041277E"/>
    <w:rsid w:val="00420C02"/>
    <w:rsid w:val="004236CF"/>
    <w:rsid w:val="00423AD3"/>
    <w:rsid w:val="00425153"/>
    <w:rsid w:val="0042699C"/>
    <w:rsid w:val="00427B4D"/>
    <w:rsid w:val="00430752"/>
    <w:rsid w:val="00433670"/>
    <w:rsid w:val="00434975"/>
    <w:rsid w:val="00440E4F"/>
    <w:rsid w:val="004414FE"/>
    <w:rsid w:val="004437E4"/>
    <w:rsid w:val="00445048"/>
    <w:rsid w:val="0045179D"/>
    <w:rsid w:val="004568B2"/>
    <w:rsid w:val="00456982"/>
    <w:rsid w:val="00463E9D"/>
    <w:rsid w:val="00464F54"/>
    <w:rsid w:val="00467EEF"/>
    <w:rsid w:val="00471EEA"/>
    <w:rsid w:val="00471F02"/>
    <w:rsid w:val="00473C8B"/>
    <w:rsid w:val="00474E0A"/>
    <w:rsid w:val="004756C9"/>
    <w:rsid w:val="00477D02"/>
    <w:rsid w:val="00480A86"/>
    <w:rsid w:val="00483700"/>
    <w:rsid w:val="00485B85"/>
    <w:rsid w:val="00485BFE"/>
    <w:rsid w:val="004864FE"/>
    <w:rsid w:val="004944C9"/>
    <w:rsid w:val="00497A9F"/>
    <w:rsid w:val="004A27AC"/>
    <w:rsid w:val="004A2F79"/>
    <w:rsid w:val="004A7EEC"/>
    <w:rsid w:val="004B2B98"/>
    <w:rsid w:val="004B5779"/>
    <w:rsid w:val="004B658E"/>
    <w:rsid w:val="004C2D1C"/>
    <w:rsid w:val="004C52D7"/>
    <w:rsid w:val="004C7486"/>
    <w:rsid w:val="004D1275"/>
    <w:rsid w:val="004D3805"/>
    <w:rsid w:val="004D6753"/>
    <w:rsid w:val="004D7EE7"/>
    <w:rsid w:val="004E4967"/>
    <w:rsid w:val="004E62A6"/>
    <w:rsid w:val="004E6F77"/>
    <w:rsid w:val="004E7E10"/>
    <w:rsid w:val="004F0299"/>
    <w:rsid w:val="004F21F3"/>
    <w:rsid w:val="004F475A"/>
    <w:rsid w:val="004F68F8"/>
    <w:rsid w:val="005008D5"/>
    <w:rsid w:val="00511897"/>
    <w:rsid w:val="005128E4"/>
    <w:rsid w:val="00514074"/>
    <w:rsid w:val="005154F2"/>
    <w:rsid w:val="0052005D"/>
    <w:rsid w:val="005254B7"/>
    <w:rsid w:val="005255F7"/>
    <w:rsid w:val="00527683"/>
    <w:rsid w:val="00530862"/>
    <w:rsid w:val="005336CD"/>
    <w:rsid w:val="00535E1F"/>
    <w:rsid w:val="00537E6F"/>
    <w:rsid w:val="005502A7"/>
    <w:rsid w:val="00551519"/>
    <w:rsid w:val="00553B37"/>
    <w:rsid w:val="00557132"/>
    <w:rsid w:val="00557900"/>
    <w:rsid w:val="00560CC3"/>
    <w:rsid w:val="00572F1B"/>
    <w:rsid w:val="00575992"/>
    <w:rsid w:val="00581130"/>
    <w:rsid w:val="005817A4"/>
    <w:rsid w:val="0058574F"/>
    <w:rsid w:val="00586662"/>
    <w:rsid w:val="00593A35"/>
    <w:rsid w:val="00597866"/>
    <w:rsid w:val="005A1463"/>
    <w:rsid w:val="005A501E"/>
    <w:rsid w:val="005A66B6"/>
    <w:rsid w:val="005B395A"/>
    <w:rsid w:val="005D2446"/>
    <w:rsid w:val="005E2D74"/>
    <w:rsid w:val="005F1F12"/>
    <w:rsid w:val="00601851"/>
    <w:rsid w:val="00602FA4"/>
    <w:rsid w:val="00604014"/>
    <w:rsid w:val="006045CF"/>
    <w:rsid w:val="00607418"/>
    <w:rsid w:val="00607A4D"/>
    <w:rsid w:val="00612561"/>
    <w:rsid w:val="0061291C"/>
    <w:rsid w:val="006140E7"/>
    <w:rsid w:val="00615D0F"/>
    <w:rsid w:val="006169E1"/>
    <w:rsid w:val="0061757C"/>
    <w:rsid w:val="00617B23"/>
    <w:rsid w:val="006251DE"/>
    <w:rsid w:val="0062613D"/>
    <w:rsid w:val="00626CDA"/>
    <w:rsid w:val="00632C3E"/>
    <w:rsid w:val="00634FFC"/>
    <w:rsid w:val="00640989"/>
    <w:rsid w:val="00642CAC"/>
    <w:rsid w:val="0064655F"/>
    <w:rsid w:val="0064714E"/>
    <w:rsid w:val="00664A1B"/>
    <w:rsid w:val="00665970"/>
    <w:rsid w:val="00670D08"/>
    <w:rsid w:val="0067391E"/>
    <w:rsid w:val="00676F2B"/>
    <w:rsid w:val="0067792A"/>
    <w:rsid w:val="00680086"/>
    <w:rsid w:val="006813B4"/>
    <w:rsid w:val="0068398E"/>
    <w:rsid w:val="00684ACF"/>
    <w:rsid w:val="006853D2"/>
    <w:rsid w:val="00685D76"/>
    <w:rsid w:val="00690EDF"/>
    <w:rsid w:val="00695E54"/>
    <w:rsid w:val="00696030"/>
    <w:rsid w:val="006A0DD3"/>
    <w:rsid w:val="006A136A"/>
    <w:rsid w:val="006A2DE9"/>
    <w:rsid w:val="006A3C4C"/>
    <w:rsid w:val="006A45B7"/>
    <w:rsid w:val="006A50A1"/>
    <w:rsid w:val="006A54E6"/>
    <w:rsid w:val="006A6402"/>
    <w:rsid w:val="006A6E9E"/>
    <w:rsid w:val="006B06BE"/>
    <w:rsid w:val="006B4818"/>
    <w:rsid w:val="006B5993"/>
    <w:rsid w:val="006B63A1"/>
    <w:rsid w:val="006C6C94"/>
    <w:rsid w:val="006D5FDF"/>
    <w:rsid w:val="006E026A"/>
    <w:rsid w:val="006E2CF2"/>
    <w:rsid w:val="006E46A3"/>
    <w:rsid w:val="006E55D7"/>
    <w:rsid w:val="006F1881"/>
    <w:rsid w:val="006F4C9A"/>
    <w:rsid w:val="006F6CB4"/>
    <w:rsid w:val="006F7581"/>
    <w:rsid w:val="00700B3E"/>
    <w:rsid w:val="00705303"/>
    <w:rsid w:val="0071285A"/>
    <w:rsid w:val="0071310A"/>
    <w:rsid w:val="0071348C"/>
    <w:rsid w:val="007151AE"/>
    <w:rsid w:val="00716089"/>
    <w:rsid w:val="00720326"/>
    <w:rsid w:val="007211B1"/>
    <w:rsid w:val="007243D0"/>
    <w:rsid w:val="007274D0"/>
    <w:rsid w:val="0072790B"/>
    <w:rsid w:val="00731122"/>
    <w:rsid w:val="0073356A"/>
    <w:rsid w:val="0073647F"/>
    <w:rsid w:val="00736E54"/>
    <w:rsid w:val="007375BF"/>
    <w:rsid w:val="007412B4"/>
    <w:rsid w:val="007439D4"/>
    <w:rsid w:val="00750171"/>
    <w:rsid w:val="00751B14"/>
    <w:rsid w:val="00752D86"/>
    <w:rsid w:val="007542E9"/>
    <w:rsid w:val="00754768"/>
    <w:rsid w:val="007556F2"/>
    <w:rsid w:val="0075683E"/>
    <w:rsid w:val="00757374"/>
    <w:rsid w:val="007603AD"/>
    <w:rsid w:val="007654EC"/>
    <w:rsid w:val="00776102"/>
    <w:rsid w:val="00776249"/>
    <w:rsid w:val="007771FE"/>
    <w:rsid w:val="00777D42"/>
    <w:rsid w:val="00780D54"/>
    <w:rsid w:val="0078245C"/>
    <w:rsid w:val="00783E65"/>
    <w:rsid w:val="007853EC"/>
    <w:rsid w:val="007862A7"/>
    <w:rsid w:val="00786697"/>
    <w:rsid w:val="007877DD"/>
    <w:rsid w:val="007917EF"/>
    <w:rsid w:val="00792524"/>
    <w:rsid w:val="00796E0A"/>
    <w:rsid w:val="007A5BE3"/>
    <w:rsid w:val="007B0B9B"/>
    <w:rsid w:val="007B13A3"/>
    <w:rsid w:val="007B4735"/>
    <w:rsid w:val="007B58A9"/>
    <w:rsid w:val="007B6EAB"/>
    <w:rsid w:val="007C1276"/>
    <w:rsid w:val="007C17D7"/>
    <w:rsid w:val="007C1CCA"/>
    <w:rsid w:val="007C5CD1"/>
    <w:rsid w:val="007C646D"/>
    <w:rsid w:val="007D209F"/>
    <w:rsid w:val="007D4AAE"/>
    <w:rsid w:val="007D5A56"/>
    <w:rsid w:val="007D670A"/>
    <w:rsid w:val="007E0F43"/>
    <w:rsid w:val="007E3195"/>
    <w:rsid w:val="007F1826"/>
    <w:rsid w:val="007F1CAD"/>
    <w:rsid w:val="007F2A18"/>
    <w:rsid w:val="007F327A"/>
    <w:rsid w:val="007F6274"/>
    <w:rsid w:val="007F7CDC"/>
    <w:rsid w:val="0080112B"/>
    <w:rsid w:val="008029B7"/>
    <w:rsid w:val="0081606C"/>
    <w:rsid w:val="00816E39"/>
    <w:rsid w:val="0082012E"/>
    <w:rsid w:val="00821F5F"/>
    <w:rsid w:val="008248E4"/>
    <w:rsid w:val="008254F8"/>
    <w:rsid w:val="00826D27"/>
    <w:rsid w:val="0082769C"/>
    <w:rsid w:val="00832118"/>
    <w:rsid w:val="0083277B"/>
    <w:rsid w:val="00836AD0"/>
    <w:rsid w:val="00840575"/>
    <w:rsid w:val="00846943"/>
    <w:rsid w:val="00846FEA"/>
    <w:rsid w:val="008471A4"/>
    <w:rsid w:val="00850234"/>
    <w:rsid w:val="00850676"/>
    <w:rsid w:val="00851FEC"/>
    <w:rsid w:val="00854CC1"/>
    <w:rsid w:val="00855D7F"/>
    <w:rsid w:val="00860B9C"/>
    <w:rsid w:val="0086110D"/>
    <w:rsid w:val="0086145A"/>
    <w:rsid w:val="00865513"/>
    <w:rsid w:val="00871A62"/>
    <w:rsid w:val="0087370A"/>
    <w:rsid w:val="008766DF"/>
    <w:rsid w:val="00880141"/>
    <w:rsid w:val="00881421"/>
    <w:rsid w:val="00890BDC"/>
    <w:rsid w:val="008928F4"/>
    <w:rsid w:val="008935B3"/>
    <w:rsid w:val="00896393"/>
    <w:rsid w:val="00897162"/>
    <w:rsid w:val="008B0D4B"/>
    <w:rsid w:val="008B1FA0"/>
    <w:rsid w:val="008B2389"/>
    <w:rsid w:val="008B651D"/>
    <w:rsid w:val="008C7712"/>
    <w:rsid w:val="008C7C31"/>
    <w:rsid w:val="008D05A5"/>
    <w:rsid w:val="008D0F16"/>
    <w:rsid w:val="008D352B"/>
    <w:rsid w:val="008D50F1"/>
    <w:rsid w:val="008D5902"/>
    <w:rsid w:val="008E01D8"/>
    <w:rsid w:val="008E14DC"/>
    <w:rsid w:val="008E1FA2"/>
    <w:rsid w:val="008E617B"/>
    <w:rsid w:val="008E6628"/>
    <w:rsid w:val="008F0399"/>
    <w:rsid w:val="008F128E"/>
    <w:rsid w:val="008F47C3"/>
    <w:rsid w:val="008F77E4"/>
    <w:rsid w:val="008F7946"/>
    <w:rsid w:val="00900BE5"/>
    <w:rsid w:val="00902A17"/>
    <w:rsid w:val="0091486C"/>
    <w:rsid w:val="00916BE5"/>
    <w:rsid w:val="00917621"/>
    <w:rsid w:val="00920C2F"/>
    <w:rsid w:val="00921A9D"/>
    <w:rsid w:val="0092222D"/>
    <w:rsid w:val="009231A7"/>
    <w:rsid w:val="0093131C"/>
    <w:rsid w:val="00931A91"/>
    <w:rsid w:val="00935503"/>
    <w:rsid w:val="009366F9"/>
    <w:rsid w:val="0093675B"/>
    <w:rsid w:val="009368C1"/>
    <w:rsid w:val="00940325"/>
    <w:rsid w:val="00942776"/>
    <w:rsid w:val="00945FC3"/>
    <w:rsid w:val="009468F3"/>
    <w:rsid w:val="00947F7B"/>
    <w:rsid w:val="0095030F"/>
    <w:rsid w:val="00952986"/>
    <w:rsid w:val="00952F2B"/>
    <w:rsid w:val="0095551D"/>
    <w:rsid w:val="009566A1"/>
    <w:rsid w:val="009573A0"/>
    <w:rsid w:val="0096273B"/>
    <w:rsid w:val="009637A0"/>
    <w:rsid w:val="0096797C"/>
    <w:rsid w:val="00967B6E"/>
    <w:rsid w:val="0097096D"/>
    <w:rsid w:val="00970AC9"/>
    <w:rsid w:val="00982B39"/>
    <w:rsid w:val="00984AE4"/>
    <w:rsid w:val="00992314"/>
    <w:rsid w:val="009945DF"/>
    <w:rsid w:val="009975C2"/>
    <w:rsid w:val="009A3904"/>
    <w:rsid w:val="009A4348"/>
    <w:rsid w:val="009A5483"/>
    <w:rsid w:val="009B1FB2"/>
    <w:rsid w:val="009B3E15"/>
    <w:rsid w:val="009B3FA6"/>
    <w:rsid w:val="009B5E81"/>
    <w:rsid w:val="009B6F03"/>
    <w:rsid w:val="009B7C80"/>
    <w:rsid w:val="009C08D2"/>
    <w:rsid w:val="009C09A3"/>
    <w:rsid w:val="009C24FD"/>
    <w:rsid w:val="009C39F2"/>
    <w:rsid w:val="009C46A7"/>
    <w:rsid w:val="009C5C61"/>
    <w:rsid w:val="009D0E1C"/>
    <w:rsid w:val="009D5F75"/>
    <w:rsid w:val="009D733A"/>
    <w:rsid w:val="009D7896"/>
    <w:rsid w:val="009D7DE2"/>
    <w:rsid w:val="009E01D3"/>
    <w:rsid w:val="009E1F69"/>
    <w:rsid w:val="009E23A0"/>
    <w:rsid w:val="009E410F"/>
    <w:rsid w:val="009F2D09"/>
    <w:rsid w:val="009F2F92"/>
    <w:rsid w:val="009F2FEB"/>
    <w:rsid w:val="009F6A5F"/>
    <w:rsid w:val="009F7CA0"/>
    <w:rsid w:val="00A05C69"/>
    <w:rsid w:val="00A063FC"/>
    <w:rsid w:val="00A1289A"/>
    <w:rsid w:val="00A132C4"/>
    <w:rsid w:val="00A15040"/>
    <w:rsid w:val="00A16168"/>
    <w:rsid w:val="00A1777C"/>
    <w:rsid w:val="00A20E25"/>
    <w:rsid w:val="00A24A23"/>
    <w:rsid w:val="00A32AE7"/>
    <w:rsid w:val="00A33115"/>
    <w:rsid w:val="00A34A60"/>
    <w:rsid w:val="00A44730"/>
    <w:rsid w:val="00A4640E"/>
    <w:rsid w:val="00A4661D"/>
    <w:rsid w:val="00A5091F"/>
    <w:rsid w:val="00A62CF6"/>
    <w:rsid w:val="00A74153"/>
    <w:rsid w:val="00A77053"/>
    <w:rsid w:val="00A82EE0"/>
    <w:rsid w:val="00A8335D"/>
    <w:rsid w:val="00A86F57"/>
    <w:rsid w:val="00A8733F"/>
    <w:rsid w:val="00A92E62"/>
    <w:rsid w:val="00AA47DB"/>
    <w:rsid w:val="00AA7DDF"/>
    <w:rsid w:val="00AB0235"/>
    <w:rsid w:val="00AB1ABA"/>
    <w:rsid w:val="00AB5B91"/>
    <w:rsid w:val="00AC2878"/>
    <w:rsid w:val="00AC2FD6"/>
    <w:rsid w:val="00AC576A"/>
    <w:rsid w:val="00AD0348"/>
    <w:rsid w:val="00AD46AD"/>
    <w:rsid w:val="00AD4AE3"/>
    <w:rsid w:val="00AE067B"/>
    <w:rsid w:val="00AE10A1"/>
    <w:rsid w:val="00AE3029"/>
    <w:rsid w:val="00AE5E18"/>
    <w:rsid w:val="00B006F4"/>
    <w:rsid w:val="00B0120A"/>
    <w:rsid w:val="00B04BF8"/>
    <w:rsid w:val="00B05F46"/>
    <w:rsid w:val="00B07D90"/>
    <w:rsid w:val="00B10278"/>
    <w:rsid w:val="00B114CE"/>
    <w:rsid w:val="00B12870"/>
    <w:rsid w:val="00B1790F"/>
    <w:rsid w:val="00B23A9A"/>
    <w:rsid w:val="00B24AB3"/>
    <w:rsid w:val="00B24F5D"/>
    <w:rsid w:val="00B26B37"/>
    <w:rsid w:val="00B26E04"/>
    <w:rsid w:val="00B32157"/>
    <w:rsid w:val="00B3306D"/>
    <w:rsid w:val="00B371AA"/>
    <w:rsid w:val="00B37B36"/>
    <w:rsid w:val="00B37F23"/>
    <w:rsid w:val="00B5029D"/>
    <w:rsid w:val="00B50997"/>
    <w:rsid w:val="00B53C59"/>
    <w:rsid w:val="00B54296"/>
    <w:rsid w:val="00B55228"/>
    <w:rsid w:val="00B63075"/>
    <w:rsid w:val="00B64F09"/>
    <w:rsid w:val="00B66441"/>
    <w:rsid w:val="00B670D6"/>
    <w:rsid w:val="00B716EB"/>
    <w:rsid w:val="00B868CB"/>
    <w:rsid w:val="00B86AFE"/>
    <w:rsid w:val="00B90E0C"/>
    <w:rsid w:val="00B90EC6"/>
    <w:rsid w:val="00BA0807"/>
    <w:rsid w:val="00BA13BC"/>
    <w:rsid w:val="00BA19C2"/>
    <w:rsid w:val="00BA3520"/>
    <w:rsid w:val="00BA40F8"/>
    <w:rsid w:val="00BA5DD5"/>
    <w:rsid w:val="00BA61FF"/>
    <w:rsid w:val="00BB0C2A"/>
    <w:rsid w:val="00BB0CBF"/>
    <w:rsid w:val="00BB4A9A"/>
    <w:rsid w:val="00BB741C"/>
    <w:rsid w:val="00BC2355"/>
    <w:rsid w:val="00BC5121"/>
    <w:rsid w:val="00BD21B1"/>
    <w:rsid w:val="00BD30C5"/>
    <w:rsid w:val="00BD3E36"/>
    <w:rsid w:val="00BD6B05"/>
    <w:rsid w:val="00BD773A"/>
    <w:rsid w:val="00BE0492"/>
    <w:rsid w:val="00BE0AD4"/>
    <w:rsid w:val="00BE1031"/>
    <w:rsid w:val="00BE1948"/>
    <w:rsid w:val="00BE20F1"/>
    <w:rsid w:val="00BE4743"/>
    <w:rsid w:val="00BE5D6E"/>
    <w:rsid w:val="00BE69E7"/>
    <w:rsid w:val="00BE6C0F"/>
    <w:rsid w:val="00BF0174"/>
    <w:rsid w:val="00BF0A3E"/>
    <w:rsid w:val="00BF5FD8"/>
    <w:rsid w:val="00C00590"/>
    <w:rsid w:val="00C01B6A"/>
    <w:rsid w:val="00C021FC"/>
    <w:rsid w:val="00C023EE"/>
    <w:rsid w:val="00C02B51"/>
    <w:rsid w:val="00C03BE4"/>
    <w:rsid w:val="00C0542B"/>
    <w:rsid w:val="00C05564"/>
    <w:rsid w:val="00C07D67"/>
    <w:rsid w:val="00C1293C"/>
    <w:rsid w:val="00C210DC"/>
    <w:rsid w:val="00C23413"/>
    <w:rsid w:val="00C259D5"/>
    <w:rsid w:val="00C26D39"/>
    <w:rsid w:val="00C30675"/>
    <w:rsid w:val="00C30AE2"/>
    <w:rsid w:val="00C3164A"/>
    <w:rsid w:val="00C31FCB"/>
    <w:rsid w:val="00C3439D"/>
    <w:rsid w:val="00C35209"/>
    <w:rsid w:val="00C4259C"/>
    <w:rsid w:val="00C45035"/>
    <w:rsid w:val="00C472C5"/>
    <w:rsid w:val="00C53247"/>
    <w:rsid w:val="00C55F6A"/>
    <w:rsid w:val="00C57EA4"/>
    <w:rsid w:val="00C60E12"/>
    <w:rsid w:val="00C61711"/>
    <w:rsid w:val="00C626CF"/>
    <w:rsid w:val="00C631FF"/>
    <w:rsid w:val="00C66A69"/>
    <w:rsid w:val="00C70403"/>
    <w:rsid w:val="00C740D2"/>
    <w:rsid w:val="00C76EB6"/>
    <w:rsid w:val="00C7797E"/>
    <w:rsid w:val="00C800F1"/>
    <w:rsid w:val="00C83CD9"/>
    <w:rsid w:val="00C83E29"/>
    <w:rsid w:val="00C86067"/>
    <w:rsid w:val="00C86C55"/>
    <w:rsid w:val="00C87167"/>
    <w:rsid w:val="00C877DF"/>
    <w:rsid w:val="00C9759A"/>
    <w:rsid w:val="00CA1DB1"/>
    <w:rsid w:val="00CA2A1D"/>
    <w:rsid w:val="00CA3A5D"/>
    <w:rsid w:val="00CB55CA"/>
    <w:rsid w:val="00CB7458"/>
    <w:rsid w:val="00CB7FA0"/>
    <w:rsid w:val="00CC0605"/>
    <w:rsid w:val="00CC25FB"/>
    <w:rsid w:val="00CC3734"/>
    <w:rsid w:val="00CC544F"/>
    <w:rsid w:val="00CD09B4"/>
    <w:rsid w:val="00CD4806"/>
    <w:rsid w:val="00CD5A00"/>
    <w:rsid w:val="00CE2C09"/>
    <w:rsid w:val="00CE2D93"/>
    <w:rsid w:val="00CF1134"/>
    <w:rsid w:val="00CF229C"/>
    <w:rsid w:val="00CF2B7F"/>
    <w:rsid w:val="00CF4E08"/>
    <w:rsid w:val="00CF4EA0"/>
    <w:rsid w:val="00CF5C23"/>
    <w:rsid w:val="00CF5F67"/>
    <w:rsid w:val="00D01217"/>
    <w:rsid w:val="00D020C8"/>
    <w:rsid w:val="00D056B2"/>
    <w:rsid w:val="00D062CB"/>
    <w:rsid w:val="00D07AEB"/>
    <w:rsid w:val="00D11A94"/>
    <w:rsid w:val="00D17464"/>
    <w:rsid w:val="00D22AD1"/>
    <w:rsid w:val="00D24C2A"/>
    <w:rsid w:val="00D25AED"/>
    <w:rsid w:val="00D32958"/>
    <w:rsid w:val="00D32CB2"/>
    <w:rsid w:val="00D32E3E"/>
    <w:rsid w:val="00D33B10"/>
    <w:rsid w:val="00D3418A"/>
    <w:rsid w:val="00D352A2"/>
    <w:rsid w:val="00D36648"/>
    <w:rsid w:val="00D37A7D"/>
    <w:rsid w:val="00D37DB6"/>
    <w:rsid w:val="00D402AB"/>
    <w:rsid w:val="00D46C5F"/>
    <w:rsid w:val="00D47E40"/>
    <w:rsid w:val="00D50CC8"/>
    <w:rsid w:val="00D51601"/>
    <w:rsid w:val="00D536AF"/>
    <w:rsid w:val="00D66593"/>
    <w:rsid w:val="00D67C6A"/>
    <w:rsid w:val="00D70728"/>
    <w:rsid w:val="00D70750"/>
    <w:rsid w:val="00D723E5"/>
    <w:rsid w:val="00D7295E"/>
    <w:rsid w:val="00D73B55"/>
    <w:rsid w:val="00D766E8"/>
    <w:rsid w:val="00D82453"/>
    <w:rsid w:val="00D864C7"/>
    <w:rsid w:val="00D91577"/>
    <w:rsid w:val="00D915D0"/>
    <w:rsid w:val="00D92FFB"/>
    <w:rsid w:val="00DA22A6"/>
    <w:rsid w:val="00DA255D"/>
    <w:rsid w:val="00DA54C6"/>
    <w:rsid w:val="00DA7C1C"/>
    <w:rsid w:val="00DA7C42"/>
    <w:rsid w:val="00DB0024"/>
    <w:rsid w:val="00DB0118"/>
    <w:rsid w:val="00DB3DD3"/>
    <w:rsid w:val="00DB7183"/>
    <w:rsid w:val="00DC0A30"/>
    <w:rsid w:val="00DC161B"/>
    <w:rsid w:val="00DC384C"/>
    <w:rsid w:val="00DC7142"/>
    <w:rsid w:val="00DD0353"/>
    <w:rsid w:val="00DD2691"/>
    <w:rsid w:val="00DD286C"/>
    <w:rsid w:val="00DD74E2"/>
    <w:rsid w:val="00DE29B7"/>
    <w:rsid w:val="00DE2BB4"/>
    <w:rsid w:val="00DE4152"/>
    <w:rsid w:val="00DE4E63"/>
    <w:rsid w:val="00DE522F"/>
    <w:rsid w:val="00DE52B3"/>
    <w:rsid w:val="00DE6CF1"/>
    <w:rsid w:val="00E042C6"/>
    <w:rsid w:val="00E06FA9"/>
    <w:rsid w:val="00E125C2"/>
    <w:rsid w:val="00E13B66"/>
    <w:rsid w:val="00E15987"/>
    <w:rsid w:val="00E15DAA"/>
    <w:rsid w:val="00E164F8"/>
    <w:rsid w:val="00E22D70"/>
    <w:rsid w:val="00E2739D"/>
    <w:rsid w:val="00E360EB"/>
    <w:rsid w:val="00E369D2"/>
    <w:rsid w:val="00E37A90"/>
    <w:rsid w:val="00E41BE9"/>
    <w:rsid w:val="00E46A2D"/>
    <w:rsid w:val="00E50DA6"/>
    <w:rsid w:val="00E53BA3"/>
    <w:rsid w:val="00E5537E"/>
    <w:rsid w:val="00E61522"/>
    <w:rsid w:val="00E6221C"/>
    <w:rsid w:val="00E663EB"/>
    <w:rsid w:val="00E70BEA"/>
    <w:rsid w:val="00E736CF"/>
    <w:rsid w:val="00E77640"/>
    <w:rsid w:val="00E77C0C"/>
    <w:rsid w:val="00E84E01"/>
    <w:rsid w:val="00E90ECF"/>
    <w:rsid w:val="00E94052"/>
    <w:rsid w:val="00E94614"/>
    <w:rsid w:val="00E96300"/>
    <w:rsid w:val="00E9746D"/>
    <w:rsid w:val="00EA03F5"/>
    <w:rsid w:val="00EA0C04"/>
    <w:rsid w:val="00EA2516"/>
    <w:rsid w:val="00EA3886"/>
    <w:rsid w:val="00EB253D"/>
    <w:rsid w:val="00EB2A7B"/>
    <w:rsid w:val="00EB3E51"/>
    <w:rsid w:val="00EB7AE7"/>
    <w:rsid w:val="00EB7E98"/>
    <w:rsid w:val="00EC6EEF"/>
    <w:rsid w:val="00ED32ED"/>
    <w:rsid w:val="00EE0674"/>
    <w:rsid w:val="00EE0A5F"/>
    <w:rsid w:val="00EE0ED0"/>
    <w:rsid w:val="00EE24B5"/>
    <w:rsid w:val="00EE4181"/>
    <w:rsid w:val="00EE4E51"/>
    <w:rsid w:val="00EE5260"/>
    <w:rsid w:val="00EF096F"/>
    <w:rsid w:val="00EF3F4A"/>
    <w:rsid w:val="00EF4312"/>
    <w:rsid w:val="00F0025E"/>
    <w:rsid w:val="00F00B00"/>
    <w:rsid w:val="00F01158"/>
    <w:rsid w:val="00F01770"/>
    <w:rsid w:val="00F02EAC"/>
    <w:rsid w:val="00F05157"/>
    <w:rsid w:val="00F11BE3"/>
    <w:rsid w:val="00F12ADE"/>
    <w:rsid w:val="00F12B30"/>
    <w:rsid w:val="00F1502C"/>
    <w:rsid w:val="00F15880"/>
    <w:rsid w:val="00F1721C"/>
    <w:rsid w:val="00F21FCB"/>
    <w:rsid w:val="00F22AD4"/>
    <w:rsid w:val="00F23D93"/>
    <w:rsid w:val="00F2621A"/>
    <w:rsid w:val="00F3101F"/>
    <w:rsid w:val="00F31B5C"/>
    <w:rsid w:val="00F33A14"/>
    <w:rsid w:val="00F345BE"/>
    <w:rsid w:val="00F43C26"/>
    <w:rsid w:val="00F45CBA"/>
    <w:rsid w:val="00F477BC"/>
    <w:rsid w:val="00F54BFE"/>
    <w:rsid w:val="00F572DE"/>
    <w:rsid w:val="00F62267"/>
    <w:rsid w:val="00F63C07"/>
    <w:rsid w:val="00F64EB5"/>
    <w:rsid w:val="00F6739B"/>
    <w:rsid w:val="00F71243"/>
    <w:rsid w:val="00F75467"/>
    <w:rsid w:val="00F76A93"/>
    <w:rsid w:val="00F80863"/>
    <w:rsid w:val="00F82672"/>
    <w:rsid w:val="00F83138"/>
    <w:rsid w:val="00F9301E"/>
    <w:rsid w:val="00FA049D"/>
    <w:rsid w:val="00FA6757"/>
    <w:rsid w:val="00FA7019"/>
    <w:rsid w:val="00FB34A8"/>
    <w:rsid w:val="00FC357D"/>
    <w:rsid w:val="00FC49C0"/>
    <w:rsid w:val="00FC646B"/>
    <w:rsid w:val="00FD16C0"/>
    <w:rsid w:val="00FD6F1A"/>
    <w:rsid w:val="00FE0694"/>
    <w:rsid w:val="00FE09BB"/>
    <w:rsid w:val="00FE1665"/>
    <w:rsid w:val="00FE28EC"/>
    <w:rsid w:val="00FE3001"/>
    <w:rsid w:val="00FF1075"/>
    <w:rsid w:val="00FF38D2"/>
    <w:rsid w:val="00FF3B4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2DDF91"/>
  <w15:docId w15:val="{78365904-DA8A-419E-A753-91F837172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83CD9"/>
    <w:pPr>
      <w:spacing w:line="480" w:lineRule="auto"/>
      <w:ind w:firstLine="709"/>
      <w:jc w:val="both"/>
    </w:pPr>
    <w:rPr>
      <w:rFonts w:ascii="Arial" w:hAnsi="Arial"/>
      <w:sz w:val="24"/>
      <w:lang w:val="en-US" w:bidi="en-US"/>
    </w:rPr>
  </w:style>
  <w:style w:type="paragraph" w:styleId="Heading1">
    <w:name w:val="heading 1"/>
    <w:basedOn w:val="Heading3"/>
    <w:next w:val="Normal"/>
    <w:link w:val="Heading1Char"/>
    <w:uiPriority w:val="9"/>
    <w:qFormat/>
    <w:rsid w:val="00FC646B"/>
    <w:pPr>
      <w:ind w:firstLine="0"/>
      <w:outlineLvl w:val="0"/>
    </w:pPr>
    <w:rPr>
      <w:b w:val="0"/>
      <w:i w:val="0"/>
      <w:szCs w:val="28"/>
      <w:lang w:val="es-CR"/>
    </w:rPr>
  </w:style>
  <w:style w:type="paragraph" w:styleId="Heading2">
    <w:name w:val="heading 2"/>
    <w:basedOn w:val="Heading3"/>
    <w:next w:val="Normal"/>
    <w:link w:val="Heading2Char"/>
    <w:uiPriority w:val="9"/>
    <w:unhideWhenUsed/>
    <w:qFormat/>
    <w:rsid w:val="00F33A14"/>
    <w:pPr>
      <w:spacing w:before="480"/>
      <w:outlineLvl w:val="1"/>
    </w:pPr>
    <w:rPr>
      <w:bCs w:val="0"/>
      <w:sz w:val="28"/>
      <w:szCs w:val="26"/>
    </w:rPr>
  </w:style>
  <w:style w:type="paragraph" w:styleId="Heading3">
    <w:name w:val="heading 3"/>
    <w:basedOn w:val="Heading4"/>
    <w:next w:val="Normal"/>
    <w:link w:val="Heading3Char"/>
    <w:uiPriority w:val="9"/>
    <w:unhideWhenUsed/>
    <w:qFormat/>
    <w:rsid w:val="007D670A"/>
    <w:pPr>
      <w:spacing w:before="360"/>
      <w:outlineLvl w:val="2"/>
    </w:pPr>
    <w:rPr>
      <w:i/>
      <w:u w:val="none"/>
    </w:rPr>
  </w:style>
  <w:style w:type="paragraph" w:styleId="Heading4">
    <w:name w:val="heading 4"/>
    <w:basedOn w:val="Normal"/>
    <w:next w:val="Normal"/>
    <w:link w:val="Heading4Char"/>
    <w:uiPriority w:val="9"/>
    <w:unhideWhenUsed/>
    <w:qFormat/>
    <w:rsid w:val="00C60E12"/>
    <w:pPr>
      <w:keepNext/>
      <w:keepLines/>
      <w:spacing w:after="0"/>
      <w:outlineLvl w:val="3"/>
    </w:pPr>
    <w:rPr>
      <w:rFonts w:eastAsiaTheme="majorEastAsia" w:cstheme="majorBidi"/>
      <w:b/>
      <w:bCs/>
      <w:iCs/>
      <w:u w:val="single"/>
    </w:rPr>
  </w:style>
  <w:style w:type="paragraph" w:styleId="Heading5">
    <w:name w:val="heading 5"/>
    <w:basedOn w:val="Normal"/>
    <w:next w:val="Normal"/>
    <w:link w:val="Heading5Char"/>
    <w:uiPriority w:val="9"/>
    <w:unhideWhenUsed/>
    <w:qFormat/>
    <w:rsid w:val="00C60E12"/>
    <w:pPr>
      <w:keepNext/>
      <w:keepLines/>
      <w:spacing w:before="200" w:after="0"/>
      <w:outlineLvl w:val="4"/>
    </w:pPr>
    <w:rPr>
      <w:rFonts w:eastAsiaTheme="majorEastAsia" w:cstheme="majorBidi"/>
      <w:i/>
    </w:rPr>
  </w:style>
  <w:style w:type="paragraph" w:styleId="Heading6">
    <w:name w:val="heading 6"/>
    <w:basedOn w:val="Normal"/>
    <w:next w:val="Normal"/>
    <w:link w:val="Heading6Char"/>
    <w:uiPriority w:val="9"/>
    <w:semiHidden/>
    <w:unhideWhenUsed/>
    <w:qFormat/>
    <w:rsid w:val="007603A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7603A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7603A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7603A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3A14"/>
    <w:rPr>
      <w:rFonts w:ascii="Arial" w:eastAsiaTheme="majorEastAsia" w:hAnsi="Arial" w:cstheme="majorBidi"/>
      <w:b/>
      <w:bCs/>
      <w:iCs/>
      <w:sz w:val="24"/>
      <w:szCs w:val="28"/>
      <w:lang w:bidi="en-US"/>
    </w:rPr>
  </w:style>
  <w:style w:type="character" w:customStyle="1" w:styleId="Heading2Char">
    <w:name w:val="Heading 2 Char"/>
    <w:basedOn w:val="DefaultParagraphFont"/>
    <w:link w:val="Heading2"/>
    <w:uiPriority w:val="9"/>
    <w:rsid w:val="00F33A14"/>
    <w:rPr>
      <w:rFonts w:ascii="Arial" w:eastAsiaTheme="majorEastAsia" w:hAnsi="Arial" w:cstheme="majorBidi"/>
      <w:b/>
      <w:i/>
      <w:iCs/>
      <w:sz w:val="28"/>
      <w:szCs w:val="26"/>
      <w:lang w:val="en-US" w:bidi="en-US"/>
    </w:rPr>
  </w:style>
  <w:style w:type="character" w:customStyle="1" w:styleId="Heading3Char">
    <w:name w:val="Heading 3 Char"/>
    <w:basedOn w:val="DefaultParagraphFont"/>
    <w:link w:val="Heading3"/>
    <w:uiPriority w:val="9"/>
    <w:rsid w:val="007D670A"/>
    <w:rPr>
      <w:rFonts w:ascii="Arial" w:eastAsiaTheme="majorEastAsia" w:hAnsi="Arial" w:cstheme="majorBidi"/>
      <w:b/>
      <w:bCs/>
      <w:i/>
      <w:iCs/>
      <w:sz w:val="24"/>
      <w:lang w:val="en-US" w:bidi="en-US"/>
    </w:rPr>
  </w:style>
  <w:style w:type="character" w:customStyle="1" w:styleId="Heading4Char">
    <w:name w:val="Heading 4 Char"/>
    <w:basedOn w:val="DefaultParagraphFont"/>
    <w:link w:val="Heading4"/>
    <w:uiPriority w:val="9"/>
    <w:rsid w:val="00C60E12"/>
    <w:rPr>
      <w:rFonts w:ascii="Arial" w:eastAsiaTheme="majorEastAsia" w:hAnsi="Arial" w:cstheme="majorBidi"/>
      <w:b/>
      <w:bCs/>
      <w:iCs/>
      <w:sz w:val="24"/>
      <w:u w:val="single"/>
      <w:lang w:val="en-US" w:bidi="en-US"/>
    </w:rPr>
  </w:style>
  <w:style w:type="character" w:customStyle="1" w:styleId="Heading7Char">
    <w:name w:val="Heading 7 Char"/>
    <w:basedOn w:val="DefaultParagraphFont"/>
    <w:link w:val="Heading7"/>
    <w:uiPriority w:val="9"/>
    <w:rsid w:val="007603AD"/>
    <w:rPr>
      <w:rFonts w:asciiTheme="majorHAnsi" w:eastAsiaTheme="majorEastAsia" w:hAnsiTheme="majorHAnsi" w:cstheme="majorBidi"/>
      <w:i/>
      <w:iCs/>
      <w:color w:val="404040" w:themeColor="text1" w:themeTint="BF"/>
      <w:sz w:val="24"/>
      <w:lang w:val="en-US" w:bidi="en-US"/>
    </w:rPr>
  </w:style>
  <w:style w:type="character" w:customStyle="1" w:styleId="Heading8Char">
    <w:name w:val="Heading 8 Char"/>
    <w:basedOn w:val="DefaultParagraphFont"/>
    <w:link w:val="Heading8"/>
    <w:uiPriority w:val="9"/>
    <w:rsid w:val="007603AD"/>
    <w:rPr>
      <w:rFonts w:asciiTheme="majorHAnsi" w:eastAsiaTheme="majorEastAsia" w:hAnsiTheme="majorHAnsi" w:cstheme="majorBidi"/>
      <w:color w:val="404040" w:themeColor="text1" w:themeTint="BF"/>
      <w:sz w:val="20"/>
      <w:szCs w:val="20"/>
      <w:lang w:val="en-US" w:bidi="en-US"/>
    </w:rPr>
  </w:style>
  <w:style w:type="character" w:customStyle="1" w:styleId="Heading9Char">
    <w:name w:val="Heading 9 Char"/>
    <w:basedOn w:val="DefaultParagraphFont"/>
    <w:link w:val="Heading9"/>
    <w:uiPriority w:val="9"/>
    <w:rsid w:val="007603AD"/>
    <w:rPr>
      <w:rFonts w:asciiTheme="majorHAnsi" w:eastAsiaTheme="majorEastAsia" w:hAnsiTheme="majorHAnsi" w:cstheme="majorBidi"/>
      <w:i/>
      <w:iCs/>
      <w:color w:val="404040" w:themeColor="text1" w:themeTint="BF"/>
      <w:sz w:val="20"/>
      <w:szCs w:val="20"/>
      <w:lang w:val="en-US" w:bidi="en-US"/>
    </w:rPr>
  </w:style>
  <w:style w:type="paragraph" w:styleId="TOC1">
    <w:name w:val="toc 1"/>
    <w:basedOn w:val="Normal"/>
    <w:next w:val="Normal"/>
    <w:autoRedefine/>
    <w:uiPriority w:val="39"/>
    <w:unhideWhenUsed/>
    <w:qFormat/>
    <w:rsid w:val="00143C92"/>
    <w:pPr>
      <w:tabs>
        <w:tab w:val="right" w:leader="dot" w:pos="8828"/>
      </w:tabs>
      <w:spacing w:after="100"/>
    </w:pPr>
    <w:rPr>
      <w:rFonts w:eastAsia="Times New Roman" w:cs="Times New Roman"/>
      <w:b/>
      <w:noProof/>
      <w:sz w:val="28"/>
    </w:rPr>
  </w:style>
  <w:style w:type="paragraph" w:styleId="TOC2">
    <w:name w:val="toc 2"/>
    <w:basedOn w:val="Normal"/>
    <w:next w:val="Normal"/>
    <w:autoRedefine/>
    <w:uiPriority w:val="39"/>
    <w:unhideWhenUsed/>
    <w:qFormat/>
    <w:rsid w:val="00143C92"/>
    <w:pPr>
      <w:tabs>
        <w:tab w:val="right" w:leader="dot" w:pos="8828"/>
      </w:tabs>
      <w:spacing w:after="100" w:line="276" w:lineRule="auto"/>
      <w:jc w:val="left"/>
    </w:pPr>
    <w:rPr>
      <w:rFonts w:eastAsiaTheme="minorEastAsia"/>
      <w:b/>
      <w:noProof/>
      <w:sz w:val="22"/>
    </w:rPr>
  </w:style>
  <w:style w:type="paragraph" w:styleId="TOC3">
    <w:name w:val="toc 3"/>
    <w:basedOn w:val="Normal"/>
    <w:next w:val="Normal"/>
    <w:autoRedefine/>
    <w:uiPriority w:val="39"/>
    <w:unhideWhenUsed/>
    <w:qFormat/>
    <w:rsid w:val="007603AD"/>
    <w:pPr>
      <w:spacing w:after="100" w:line="276" w:lineRule="auto"/>
      <w:ind w:left="440"/>
      <w:jc w:val="left"/>
    </w:pPr>
    <w:rPr>
      <w:rFonts w:eastAsiaTheme="minorEastAsia"/>
      <w:sz w:val="22"/>
      <w:lang w:bidi="ar-SA"/>
    </w:rPr>
  </w:style>
  <w:style w:type="paragraph" w:styleId="Title">
    <w:name w:val="Title"/>
    <w:basedOn w:val="Heading1"/>
    <w:next w:val="Normal"/>
    <w:link w:val="TitleChar"/>
    <w:autoRedefine/>
    <w:uiPriority w:val="10"/>
    <w:qFormat/>
    <w:rsid w:val="00B05F46"/>
    <w:pPr>
      <w:spacing w:after="300" w:line="240" w:lineRule="auto"/>
      <w:contextualSpacing/>
    </w:pPr>
    <w:rPr>
      <w:b/>
      <w:bCs w:val="0"/>
      <w:spacing w:val="5"/>
      <w:kern w:val="28"/>
      <w:sz w:val="48"/>
      <w:szCs w:val="52"/>
    </w:rPr>
  </w:style>
  <w:style w:type="character" w:customStyle="1" w:styleId="TitleChar">
    <w:name w:val="Title Char"/>
    <w:basedOn w:val="DefaultParagraphFont"/>
    <w:link w:val="Title"/>
    <w:uiPriority w:val="10"/>
    <w:rsid w:val="00B05F46"/>
    <w:rPr>
      <w:rFonts w:ascii="Arial" w:eastAsiaTheme="majorEastAsia" w:hAnsi="Arial" w:cstheme="majorBidi"/>
      <w:b/>
      <w:iCs/>
      <w:spacing w:val="5"/>
      <w:kern w:val="28"/>
      <w:sz w:val="48"/>
      <w:szCs w:val="52"/>
      <w:lang w:bidi="en-US"/>
    </w:rPr>
  </w:style>
  <w:style w:type="character" w:styleId="Strong">
    <w:name w:val="Strong"/>
    <w:basedOn w:val="DefaultParagraphFont"/>
    <w:uiPriority w:val="22"/>
    <w:qFormat/>
    <w:rsid w:val="007603AD"/>
    <w:rPr>
      <w:b/>
      <w:bCs/>
    </w:rPr>
  </w:style>
  <w:style w:type="character" w:styleId="Emphasis">
    <w:name w:val="Emphasis"/>
    <w:basedOn w:val="DefaultParagraphFont"/>
    <w:uiPriority w:val="20"/>
    <w:qFormat/>
    <w:rsid w:val="007603AD"/>
    <w:rPr>
      <w:i/>
      <w:iCs/>
    </w:rPr>
  </w:style>
  <w:style w:type="paragraph" w:styleId="NoSpacing">
    <w:name w:val="No Spacing"/>
    <w:uiPriority w:val="1"/>
    <w:qFormat/>
    <w:rsid w:val="00D020C8"/>
    <w:pPr>
      <w:spacing w:after="0" w:line="360" w:lineRule="auto"/>
      <w:jc w:val="center"/>
    </w:pPr>
    <w:rPr>
      <w:rFonts w:ascii="Arial" w:eastAsia="Times New Roman" w:hAnsi="Arial" w:cs="Times New Roman"/>
      <w:b/>
      <w:sz w:val="24"/>
      <w:lang w:val="en-US" w:bidi="en-US"/>
    </w:rPr>
  </w:style>
  <w:style w:type="paragraph" w:styleId="ListParagraph">
    <w:name w:val="List Paragraph"/>
    <w:basedOn w:val="Normal"/>
    <w:uiPriority w:val="34"/>
    <w:qFormat/>
    <w:rsid w:val="007603AD"/>
    <w:pPr>
      <w:ind w:left="720"/>
      <w:contextualSpacing/>
    </w:pPr>
    <w:rPr>
      <w:rFonts w:eastAsia="Times New Roman" w:cs="Times New Roman"/>
    </w:rPr>
  </w:style>
  <w:style w:type="paragraph" w:styleId="TOCHeading">
    <w:name w:val="TOC Heading"/>
    <w:basedOn w:val="Heading1"/>
    <w:next w:val="Normal"/>
    <w:uiPriority w:val="39"/>
    <w:unhideWhenUsed/>
    <w:qFormat/>
    <w:rsid w:val="007603AD"/>
    <w:pPr>
      <w:spacing w:line="276" w:lineRule="auto"/>
      <w:jc w:val="left"/>
      <w:outlineLvl w:val="9"/>
    </w:pPr>
    <w:rPr>
      <w:lang w:bidi="ar-SA"/>
    </w:rPr>
  </w:style>
  <w:style w:type="character" w:customStyle="1" w:styleId="Heading5Char">
    <w:name w:val="Heading 5 Char"/>
    <w:basedOn w:val="DefaultParagraphFont"/>
    <w:link w:val="Heading5"/>
    <w:uiPriority w:val="9"/>
    <w:rsid w:val="00C60E12"/>
    <w:rPr>
      <w:rFonts w:ascii="Arial" w:eastAsiaTheme="majorEastAsia" w:hAnsi="Arial" w:cstheme="majorBidi"/>
      <w:i/>
      <w:sz w:val="24"/>
      <w:lang w:val="en-US" w:bidi="en-US"/>
    </w:rPr>
  </w:style>
  <w:style w:type="character" w:customStyle="1" w:styleId="Heading6Char">
    <w:name w:val="Heading 6 Char"/>
    <w:basedOn w:val="DefaultParagraphFont"/>
    <w:link w:val="Heading6"/>
    <w:uiPriority w:val="9"/>
    <w:semiHidden/>
    <w:rsid w:val="007603AD"/>
    <w:rPr>
      <w:rFonts w:asciiTheme="majorHAnsi" w:eastAsiaTheme="majorEastAsia" w:hAnsiTheme="majorHAnsi" w:cstheme="majorBidi"/>
      <w:i/>
      <w:iCs/>
      <w:color w:val="243F60" w:themeColor="accent1" w:themeShade="7F"/>
      <w:sz w:val="24"/>
      <w:lang w:val="en-US" w:bidi="en-US"/>
    </w:rPr>
  </w:style>
  <w:style w:type="paragraph" w:styleId="Caption">
    <w:name w:val="caption"/>
    <w:basedOn w:val="Normal"/>
    <w:next w:val="Normal"/>
    <w:uiPriority w:val="35"/>
    <w:qFormat/>
    <w:rsid w:val="007603AD"/>
    <w:pPr>
      <w:spacing w:after="0"/>
    </w:pPr>
    <w:rPr>
      <w:rFonts w:ascii="Century Gothic" w:eastAsia="SimSun" w:hAnsi="Century Gothic" w:cs="Times New Roman"/>
      <w:b/>
      <w:sz w:val="28"/>
      <w:szCs w:val="28"/>
      <w:lang w:val="es-CR" w:eastAsia="zh-CN" w:bidi="ar-SA"/>
    </w:rPr>
  </w:style>
  <w:style w:type="paragraph" w:styleId="Subtitle">
    <w:name w:val="Subtitle"/>
    <w:basedOn w:val="Normal"/>
    <w:next w:val="Normal"/>
    <w:link w:val="SubtitleChar"/>
    <w:uiPriority w:val="11"/>
    <w:qFormat/>
    <w:rsid w:val="007603AD"/>
    <w:pPr>
      <w:numPr>
        <w:ilvl w:val="1"/>
      </w:numPr>
      <w:ind w:firstLine="706"/>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7603AD"/>
    <w:rPr>
      <w:rFonts w:asciiTheme="majorHAnsi" w:eastAsiaTheme="majorEastAsia" w:hAnsiTheme="majorHAnsi" w:cstheme="majorBidi"/>
      <w:i/>
      <w:iCs/>
      <w:color w:val="4F81BD" w:themeColor="accent1"/>
      <w:spacing w:val="15"/>
      <w:sz w:val="24"/>
      <w:szCs w:val="24"/>
      <w:lang w:val="en-US" w:bidi="en-US"/>
    </w:rPr>
  </w:style>
  <w:style w:type="paragraph" w:styleId="Quote">
    <w:name w:val="Quote"/>
    <w:basedOn w:val="Normal"/>
    <w:next w:val="Normal"/>
    <w:link w:val="QuoteChar"/>
    <w:uiPriority w:val="29"/>
    <w:qFormat/>
    <w:rsid w:val="007603AD"/>
    <w:rPr>
      <w:i/>
      <w:iCs/>
      <w:color w:val="000000" w:themeColor="text1"/>
    </w:rPr>
  </w:style>
  <w:style w:type="character" w:customStyle="1" w:styleId="QuoteChar">
    <w:name w:val="Quote Char"/>
    <w:basedOn w:val="DefaultParagraphFont"/>
    <w:link w:val="Quote"/>
    <w:uiPriority w:val="29"/>
    <w:rsid w:val="007603AD"/>
    <w:rPr>
      <w:rFonts w:ascii="Calibri" w:hAnsi="Calibri"/>
      <w:i/>
      <w:iCs/>
      <w:color w:val="000000" w:themeColor="text1"/>
      <w:sz w:val="24"/>
      <w:lang w:val="en-US" w:bidi="en-US"/>
    </w:rPr>
  </w:style>
  <w:style w:type="paragraph" w:styleId="IntenseQuote">
    <w:name w:val="Intense Quote"/>
    <w:basedOn w:val="Normal"/>
    <w:next w:val="Normal"/>
    <w:link w:val="IntenseQuoteChar"/>
    <w:uiPriority w:val="30"/>
    <w:qFormat/>
    <w:rsid w:val="007603A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603AD"/>
    <w:rPr>
      <w:rFonts w:ascii="Calibri" w:hAnsi="Calibri"/>
      <w:b/>
      <w:bCs/>
      <w:i/>
      <w:iCs/>
      <w:color w:val="4F81BD" w:themeColor="accent1"/>
      <w:sz w:val="24"/>
      <w:lang w:val="en-US" w:bidi="en-US"/>
    </w:rPr>
  </w:style>
  <w:style w:type="character" w:styleId="SubtleEmphasis">
    <w:name w:val="Subtle Emphasis"/>
    <w:uiPriority w:val="19"/>
    <w:qFormat/>
    <w:rsid w:val="007603AD"/>
    <w:rPr>
      <w:i/>
      <w:iCs/>
      <w:color w:val="808080" w:themeColor="text1" w:themeTint="7F"/>
    </w:rPr>
  </w:style>
  <w:style w:type="character" w:styleId="IntenseEmphasis">
    <w:name w:val="Intense Emphasis"/>
    <w:uiPriority w:val="21"/>
    <w:qFormat/>
    <w:rsid w:val="007603AD"/>
    <w:rPr>
      <w:b/>
      <w:bCs/>
      <w:i/>
      <w:iCs/>
      <w:color w:val="4F81BD" w:themeColor="accent1"/>
    </w:rPr>
  </w:style>
  <w:style w:type="character" w:styleId="SubtleReference">
    <w:name w:val="Subtle Reference"/>
    <w:uiPriority w:val="31"/>
    <w:qFormat/>
    <w:rsid w:val="007603AD"/>
    <w:rPr>
      <w:smallCaps/>
      <w:color w:val="C0504D" w:themeColor="accent2"/>
      <w:u w:val="single"/>
    </w:rPr>
  </w:style>
  <w:style w:type="character" w:styleId="IntenseReference">
    <w:name w:val="Intense Reference"/>
    <w:uiPriority w:val="32"/>
    <w:qFormat/>
    <w:rsid w:val="007603AD"/>
    <w:rPr>
      <w:b/>
      <w:bCs/>
      <w:smallCaps/>
      <w:color w:val="C0504D" w:themeColor="accent2"/>
      <w:spacing w:val="5"/>
      <w:u w:val="single"/>
    </w:rPr>
  </w:style>
  <w:style w:type="character" w:styleId="BookTitle">
    <w:name w:val="Book Title"/>
    <w:uiPriority w:val="33"/>
    <w:qFormat/>
    <w:rsid w:val="007603AD"/>
    <w:rPr>
      <w:b/>
      <w:bCs/>
      <w:smallCaps/>
      <w:spacing w:val="5"/>
    </w:rPr>
  </w:style>
  <w:style w:type="paragraph" w:customStyle="1" w:styleId="Prrafodelista1">
    <w:name w:val="Párrafo de lista1"/>
    <w:basedOn w:val="Normal"/>
    <w:next w:val="Normal"/>
    <w:qFormat/>
    <w:rsid w:val="005336CD"/>
    <w:pPr>
      <w:spacing w:after="480" w:line="240" w:lineRule="auto"/>
      <w:ind w:firstLine="0"/>
      <w:jc w:val="center"/>
    </w:pPr>
    <w:rPr>
      <w:sz w:val="20"/>
    </w:rPr>
  </w:style>
  <w:style w:type="paragraph" w:styleId="BalloonText">
    <w:name w:val="Balloon Text"/>
    <w:basedOn w:val="Normal"/>
    <w:link w:val="BalloonTextChar"/>
    <w:uiPriority w:val="99"/>
    <w:semiHidden/>
    <w:unhideWhenUsed/>
    <w:rsid w:val="003570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05E"/>
    <w:rPr>
      <w:rFonts w:ascii="Tahoma" w:hAnsi="Tahoma" w:cs="Tahoma"/>
      <w:sz w:val="16"/>
      <w:szCs w:val="16"/>
      <w:lang w:val="en-US" w:bidi="en-US"/>
    </w:rPr>
  </w:style>
  <w:style w:type="character" w:styleId="Hyperlink">
    <w:name w:val="Hyperlink"/>
    <w:basedOn w:val="DefaultParagraphFont"/>
    <w:uiPriority w:val="99"/>
    <w:unhideWhenUsed/>
    <w:rsid w:val="00CE2C09"/>
    <w:rPr>
      <w:color w:val="0000FF" w:themeColor="hyperlink"/>
      <w:u w:val="single"/>
    </w:rPr>
  </w:style>
  <w:style w:type="paragraph" w:styleId="EndnoteText">
    <w:name w:val="endnote text"/>
    <w:basedOn w:val="Normal"/>
    <w:link w:val="EndnoteTextChar"/>
    <w:uiPriority w:val="99"/>
    <w:semiHidden/>
    <w:unhideWhenUsed/>
    <w:rsid w:val="00A1504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15040"/>
    <w:rPr>
      <w:rFonts w:ascii="Calibri" w:hAnsi="Calibri"/>
      <w:sz w:val="20"/>
      <w:szCs w:val="20"/>
      <w:lang w:val="en-US" w:bidi="en-US"/>
    </w:rPr>
  </w:style>
  <w:style w:type="character" w:styleId="EndnoteReference">
    <w:name w:val="endnote reference"/>
    <w:basedOn w:val="DefaultParagraphFont"/>
    <w:uiPriority w:val="99"/>
    <w:semiHidden/>
    <w:unhideWhenUsed/>
    <w:rsid w:val="00A15040"/>
    <w:rPr>
      <w:vertAlign w:val="superscript"/>
    </w:rPr>
  </w:style>
  <w:style w:type="paragraph" w:styleId="Header">
    <w:name w:val="header"/>
    <w:basedOn w:val="Normal"/>
    <w:link w:val="HeaderChar"/>
    <w:uiPriority w:val="99"/>
    <w:unhideWhenUsed/>
    <w:rsid w:val="009B5E81"/>
    <w:pPr>
      <w:tabs>
        <w:tab w:val="center" w:pos="4419"/>
        <w:tab w:val="right" w:pos="8838"/>
      </w:tabs>
      <w:spacing w:after="0" w:line="240" w:lineRule="auto"/>
    </w:pPr>
  </w:style>
  <w:style w:type="character" w:customStyle="1" w:styleId="HeaderChar">
    <w:name w:val="Header Char"/>
    <w:basedOn w:val="DefaultParagraphFont"/>
    <w:link w:val="Header"/>
    <w:uiPriority w:val="99"/>
    <w:rsid w:val="009B5E81"/>
    <w:rPr>
      <w:rFonts w:ascii="Calibri" w:hAnsi="Calibri"/>
      <w:sz w:val="24"/>
      <w:lang w:val="en-US" w:bidi="en-US"/>
    </w:rPr>
  </w:style>
  <w:style w:type="paragraph" w:styleId="Footer">
    <w:name w:val="footer"/>
    <w:basedOn w:val="Normal"/>
    <w:link w:val="FooterChar"/>
    <w:uiPriority w:val="99"/>
    <w:unhideWhenUsed/>
    <w:rsid w:val="009B5E81"/>
    <w:pPr>
      <w:tabs>
        <w:tab w:val="center" w:pos="4419"/>
        <w:tab w:val="right" w:pos="8838"/>
      </w:tabs>
      <w:spacing w:after="0" w:line="240" w:lineRule="auto"/>
    </w:pPr>
  </w:style>
  <w:style w:type="character" w:customStyle="1" w:styleId="FooterChar">
    <w:name w:val="Footer Char"/>
    <w:basedOn w:val="DefaultParagraphFont"/>
    <w:link w:val="Footer"/>
    <w:uiPriority w:val="99"/>
    <w:rsid w:val="009B5E81"/>
    <w:rPr>
      <w:rFonts w:ascii="Calibri" w:hAnsi="Calibri"/>
      <w:sz w:val="24"/>
      <w:lang w:val="en-US" w:bidi="en-US"/>
    </w:rPr>
  </w:style>
  <w:style w:type="paragraph" w:styleId="FootnoteText">
    <w:name w:val="footnote text"/>
    <w:basedOn w:val="Normal"/>
    <w:link w:val="FootnoteTextChar"/>
    <w:uiPriority w:val="99"/>
    <w:semiHidden/>
    <w:unhideWhenUsed/>
    <w:rsid w:val="009B5E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5E81"/>
    <w:rPr>
      <w:rFonts w:ascii="Calibri" w:hAnsi="Calibri"/>
      <w:sz w:val="20"/>
      <w:szCs w:val="20"/>
      <w:lang w:val="en-US" w:bidi="en-US"/>
    </w:rPr>
  </w:style>
  <w:style w:type="character" w:styleId="FootnoteReference">
    <w:name w:val="footnote reference"/>
    <w:basedOn w:val="DefaultParagraphFont"/>
    <w:uiPriority w:val="99"/>
    <w:semiHidden/>
    <w:unhideWhenUsed/>
    <w:rsid w:val="009B5E81"/>
    <w:rPr>
      <w:vertAlign w:val="superscript"/>
    </w:rPr>
  </w:style>
  <w:style w:type="character" w:styleId="LineNumber">
    <w:name w:val="line number"/>
    <w:basedOn w:val="DefaultParagraphFont"/>
    <w:uiPriority w:val="99"/>
    <w:semiHidden/>
    <w:unhideWhenUsed/>
    <w:rsid w:val="004E62A6"/>
  </w:style>
  <w:style w:type="paragraph" w:styleId="NormalWeb">
    <w:name w:val="Normal (Web)"/>
    <w:basedOn w:val="Normal"/>
    <w:uiPriority w:val="99"/>
    <w:unhideWhenUsed/>
    <w:rsid w:val="00295723"/>
    <w:pPr>
      <w:spacing w:before="100" w:beforeAutospacing="1" w:after="100" w:afterAutospacing="1" w:line="240" w:lineRule="auto"/>
      <w:jc w:val="left"/>
    </w:pPr>
    <w:rPr>
      <w:rFonts w:eastAsia="Times New Roman" w:cs="Times New Roman"/>
      <w:szCs w:val="24"/>
      <w:lang w:bidi="ar-SA"/>
    </w:rPr>
  </w:style>
  <w:style w:type="character" w:customStyle="1" w:styleId="x338175018-30032010">
    <w:name w:val="x_338175018-30032010"/>
    <w:basedOn w:val="DefaultParagraphFont"/>
    <w:rsid w:val="00BB0C2A"/>
  </w:style>
  <w:style w:type="character" w:customStyle="1" w:styleId="nw1">
    <w:name w:val="nw1"/>
    <w:basedOn w:val="DefaultParagraphFont"/>
    <w:rsid w:val="008E617B"/>
  </w:style>
  <w:style w:type="character" w:customStyle="1" w:styleId="ib1">
    <w:name w:val="ib1"/>
    <w:basedOn w:val="DefaultParagraphFont"/>
    <w:rsid w:val="008E617B"/>
    <w:rPr>
      <w:spacing w:val="0"/>
    </w:rPr>
  </w:style>
  <w:style w:type="character" w:customStyle="1" w:styleId="apple-style-span">
    <w:name w:val="apple-style-span"/>
    <w:basedOn w:val="DefaultParagraphFont"/>
    <w:rsid w:val="00754768"/>
  </w:style>
  <w:style w:type="character" w:customStyle="1" w:styleId="apple-converted-space">
    <w:name w:val="apple-converted-space"/>
    <w:basedOn w:val="DefaultParagraphFont"/>
    <w:rsid w:val="00754768"/>
  </w:style>
  <w:style w:type="character" w:customStyle="1" w:styleId="hps">
    <w:name w:val="hps"/>
    <w:basedOn w:val="DefaultParagraphFont"/>
    <w:rsid w:val="008D0F16"/>
  </w:style>
  <w:style w:type="character" w:customStyle="1" w:styleId="mw-headline">
    <w:name w:val="mw-headline"/>
    <w:basedOn w:val="DefaultParagraphFont"/>
    <w:rsid w:val="00826D27"/>
  </w:style>
  <w:style w:type="character" w:styleId="FollowedHyperlink">
    <w:name w:val="FollowedHyperlink"/>
    <w:basedOn w:val="DefaultParagraphFont"/>
    <w:uiPriority w:val="99"/>
    <w:semiHidden/>
    <w:unhideWhenUsed/>
    <w:rsid w:val="007B6EAB"/>
    <w:rPr>
      <w:color w:val="800080" w:themeColor="followedHyperlink"/>
      <w:u w:val="single"/>
    </w:rPr>
  </w:style>
  <w:style w:type="paragraph" w:styleId="TOC4">
    <w:name w:val="toc 4"/>
    <w:basedOn w:val="Normal"/>
    <w:next w:val="Normal"/>
    <w:autoRedefine/>
    <w:uiPriority w:val="39"/>
    <w:unhideWhenUsed/>
    <w:rsid w:val="00C26D39"/>
    <w:pPr>
      <w:spacing w:after="100" w:line="276" w:lineRule="auto"/>
      <w:ind w:left="660"/>
      <w:jc w:val="left"/>
    </w:pPr>
    <w:rPr>
      <w:rFonts w:asciiTheme="minorHAnsi" w:eastAsiaTheme="minorEastAsia" w:hAnsiTheme="minorHAnsi"/>
      <w:sz w:val="22"/>
      <w:lang w:bidi="ar-SA"/>
    </w:rPr>
  </w:style>
  <w:style w:type="paragraph" w:styleId="TOC5">
    <w:name w:val="toc 5"/>
    <w:basedOn w:val="Normal"/>
    <w:next w:val="Normal"/>
    <w:autoRedefine/>
    <w:uiPriority w:val="39"/>
    <w:unhideWhenUsed/>
    <w:rsid w:val="00C26D39"/>
    <w:pPr>
      <w:spacing w:after="100" w:line="276" w:lineRule="auto"/>
      <w:ind w:left="880"/>
      <w:jc w:val="left"/>
    </w:pPr>
    <w:rPr>
      <w:rFonts w:asciiTheme="minorHAnsi" w:eastAsiaTheme="minorEastAsia" w:hAnsiTheme="minorHAnsi"/>
      <w:sz w:val="22"/>
      <w:lang w:bidi="ar-SA"/>
    </w:rPr>
  </w:style>
  <w:style w:type="paragraph" w:styleId="TOC6">
    <w:name w:val="toc 6"/>
    <w:basedOn w:val="Normal"/>
    <w:next w:val="Normal"/>
    <w:autoRedefine/>
    <w:uiPriority w:val="39"/>
    <w:unhideWhenUsed/>
    <w:rsid w:val="00C26D39"/>
    <w:pPr>
      <w:spacing w:after="100" w:line="276" w:lineRule="auto"/>
      <w:ind w:left="1100"/>
      <w:jc w:val="left"/>
    </w:pPr>
    <w:rPr>
      <w:rFonts w:asciiTheme="minorHAnsi" w:eastAsiaTheme="minorEastAsia" w:hAnsiTheme="minorHAnsi"/>
      <w:sz w:val="22"/>
      <w:lang w:bidi="ar-SA"/>
    </w:rPr>
  </w:style>
  <w:style w:type="paragraph" w:styleId="TOC7">
    <w:name w:val="toc 7"/>
    <w:basedOn w:val="Normal"/>
    <w:next w:val="Normal"/>
    <w:autoRedefine/>
    <w:uiPriority w:val="39"/>
    <w:unhideWhenUsed/>
    <w:rsid w:val="00C26D39"/>
    <w:pPr>
      <w:spacing w:after="100" w:line="276" w:lineRule="auto"/>
      <w:ind w:left="1320"/>
      <w:jc w:val="left"/>
    </w:pPr>
    <w:rPr>
      <w:rFonts w:asciiTheme="minorHAnsi" w:eastAsiaTheme="minorEastAsia" w:hAnsiTheme="minorHAnsi"/>
      <w:sz w:val="22"/>
      <w:lang w:bidi="ar-SA"/>
    </w:rPr>
  </w:style>
  <w:style w:type="paragraph" w:styleId="TOC8">
    <w:name w:val="toc 8"/>
    <w:basedOn w:val="Normal"/>
    <w:next w:val="Normal"/>
    <w:autoRedefine/>
    <w:uiPriority w:val="39"/>
    <w:unhideWhenUsed/>
    <w:rsid w:val="00C26D39"/>
    <w:pPr>
      <w:spacing w:after="100" w:line="276" w:lineRule="auto"/>
      <w:ind w:left="1540"/>
      <w:jc w:val="left"/>
    </w:pPr>
    <w:rPr>
      <w:rFonts w:asciiTheme="minorHAnsi" w:eastAsiaTheme="minorEastAsia" w:hAnsiTheme="minorHAnsi"/>
      <w:sz w:val="22"/>
      <w:lang w:bidi="ar-SA"/>
    </w:rPr>
  </w:style>
  <w:style w:type="paragraph" w:styleId="TOC9">
    <w:name w:val="toc 9"/>
    <w:basedOn w:val="Normal"/>
    <w:next w:val="Normal"/>
    <w:autoRedefine/>
    <w:uiPriority w:val="39"/>
    <w:unhideWhenUsed/>
    <w:rsid w:val="00C26D39"/>
    <w:pPr>
      <w:spacing w:after="100" w:line="276" w:lineRule="auto"/>
      <w:ind w:left="1760"/>
      <w:jc w:val="left"/>
    </w:pPr>
    <w:rPr>
      <w:rFonts w:asciiTheme="minorHAnsi" w:eastAsiaTheme="minorEastAsia" w:hAnsiTheme="minorHAnsi"/>
      <w:sz w:val="22"/>
      <w:lang w:bidi="ar-SA"/>
    </w:rPr>
  </w:style>
  <w:style w:type="paragraph" w:styleId="Bibliography">
    <w:name w:val="Bibliography"/>
    <w:basedOn w:val="Normal"/>
    <w:next w:val="Normal"/>
    <w:uiPriority w:val="37"/>
    <w:unhideWhenUsed/>
    <w:rsid w:val="0082012E"/>
    <w:pPr>
      <w:spacing w:line="276" w:lineRule="auto"/>
      <w:jc w:val="left"/>
    </w:pPr>
    <w:rPr>
      <w:rFonts w:asciiTheme="minorHAnsi" w:hAnsiTheme="minorHAnsi"/>
      <w:sz w:val="22"/>
      <w:lang w:val="es-CR" w:bidi="ar-SA"/>
    </w:rPr>
  </w:style>
  <w:style w:type="paragraph" w:styleId="Revision">
    <w:name w:val="Revision"/>
    <w:hidden/>
    <w:uiPriority w:val="99"/>
    <w:semiHidden/>
    <w:rsid w:val="004B658E"/>
    <w:pPr>
      <w:spacing w:after="0" w:line="240" w:lineRule="auto"/>
    </w:pPr>
    <w:rPr>
      <w:rFonts w:ascii="Arial" w:hAnsi="Arial"/>
      <w:sz w:val="24"/>
      <w:lang w:val="en-US" w:bidi="en-US"/>
    </w:rPr>
  </w:style>
  <w:style w:type="table" w:styleId="TableGrid">
    <w:name w:val="Table Grid"/>
    <w:basedOn w:val="TableNormal"/>
    <w:uiPriority w:val="59"/>
    <w:rsid w:val="001E72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1">
    <w:name w:val="Grid Table 5 Dark Accent 1"/>
    <w:basedOn w:val="TableNormal"/>
    <w:uiPriority w:val="50"/>
    <w:rsid w:val="001E72E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UnresolvedMention">
    <w:name w:val="Unresolved Mention"/>
    <w:basedOn w:val="DefaultParagraphFont"/>
    <w:uiPriority w:val="99"/>
    <w:semiHidden/>
    <w:unhideWhenUsed/>
    <w:rsid w:val="001E72E5"/>
    <w:rPr>
      <w:color w:val="605E5C"/>
      <w:shd w:val="clear" w:color="auto" w:fill="E1DFDD"/>
    </w:rPr>
  </w:style>
  <w:style w:type="table" w:styleId="GridTable4-Accent1">
    <w:name w:val="Grid Table 4 Accent 1"/>
    <w:basedOn w:val="TableNormal"/>
    <w:uiPriority w:val="49"/>
    <w:rsid w:val="0043367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CommentReference">
    <w:name w:val="annotation reference"/>
    <w:basedOn w:val="DefaultParagraphFont"/>
    <w:uiPriority w:val="99"/>
    <w:semiHidden/>
    <w:unhideWhenUsed/>
    <w:rsid w:val="005A1463"/>
    <w:rPr>
      <w:sz w:val="16"/>
      <w:szCs w:val="16"/>
    </w:rPr>
  </w:style>
  <w:style w:type="paragraph" w:styleId="CommentText">
    <w:name w:val="annotation text"/>
    <w:basedOn w:val="Normal"/>
    <w:link w:val="CommentTextChar"/>
    <w:uiPriority w:val="99"/>
    <w:semiHidden/>
    <w:unhideWhenUsed/>
    <w:rsid w:val="005A1463"/>
    <w:pPr>
      <w:spacing w:line="240" w:lineRule="auto"/>
    </w:pPr>
    <w:rPr>
      <w:sz w:val="20"/>
      <w:szCs w:val="20"/>
    </w:rPr>
  </w:style>
  <w:style w:type="character" w:customStyle="1" w:styleId="CommentTextChar">
    <w:name w:val="Comment Text Char"/>
    <w:basedOn w:val="DefaultParagraphFont"/>
    <w:link w:val="CommentText"/>
    <w:uiPriority w:val="99"/>
    <w:semiHidden/>
    <w:rsid w:val="005A1463"/>
    <w:rPr>
      <w:rFonts w:ascii="Arial" w:hAnsi="Arial"/>
      <w:sz w:val="20"/>
      <w:szCs w:val="20"/>
      <w:lang w:val="en-US" w:bidi="en-US"/>
    </w:rPr>
  </w:style>
  <w:style w:type="paragraph" w:styleId="CommentSubject">
    <w:name w:val="annotation subject"/>
    <w:basedOn w:val="CommentText"/>
    <w:next w:val="CommentText"/>
    <w:link w:val="CommentSubjectChar"/>
    <w:uiPriority w:val="99"/>
    <w:semiHidden/>
    <w:unhideWhenUsed/>
    <w:rsid w:val="005A1463"/>
    <w:rPr>
      <w:b/>
      <w:bCs/>
    </w:rPr>
  </w:style>
  <w:style w:type="character" w:customStyle="1" w:styleId="CommentSubjectChar">
    <w:name w:val="Comment Subject Char"/>
    <w:basedOn w:val="CommentTextChar"/>
    <w:link w:val="CommentSubject"/>
    <w:uiPriority w:val="99"/>
    <w:semiHidden/>
    <w:rsid w:val="005A1463"/>
    <w:rPr>
      <w:rFonts w:ascii="Arial" w:hAnsi="Arial"/>
      <w:b/>
      <w:bCs/>
      <w:sz w:val="20"/>
      <w:szCs w:val="20"/>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71934">
      <w:bodyDiv w:val="1"/>
      <w:marLeft w:val="0"/>
      <w:marRight w:val="0"/>
      <w:marTop w:val="0"/>
      <w:marBottom w:val="0"/>
      <w:divBdr>
        <w:top w:val="none" w:sz="0" w:space="0" w:color="auto"/>
        <w:left w:val="none" w:sz="0" w:space="0" w:color="auto"/>
        <w:bottom w:val="none" w:sz="0" w:space="0" w:color="auto"/>
        <w:right w:val="none" w:sz="0" w:space="0" w:color="auto"/>
      </w:divBdr>
    </w:div>
    <w:div w:id="22175501">
      <w:bodyDiv w:val="1"/>
      <w:marLeft w:val="0"/>
      <w:marRight w:val="0"/>
      <w:marTop w:val="0"/>
      <w:marBottom w:val="0"/>
      <w:divBdr>
        <w:top w:val="none" w:sz="0" w:space="0" w:color="auto"/>
        <w:left w:val="none" w:sz="0" w:space="0" w:color="auto"/>
        <w:bottom w:val="none" w:sz="0" w:space="0" w:color="auto"/>
        <w:right w:val="none" w:sz="0" w:space="0" w:color="auto"/>
      </w:divBdr>
    </w:div>
    <w:div w:id="36317660">
      <w:bodyDiv w:val="1"/>
      <w:marLeft w:val="0"/>
      <w:marRight w:val="0"/>
      <w:marTop w:val="0"/>
      <w:marBottom w:val="0"/>
      <w:divBdr>
        <w:top w:val="none" w:sz="0" w:space="0" w:color="auto"/>
        <w:left w:val="none" w:sz="0" w:space="0" w:color="auto"/>
        <w:bottom w:val="none" w:sz="0" w:space="0" w:color="auto"/>
        <w:right w:val="none" w:sz="0" w:space="0" w:color="auto"/>
      </w:divBdr>
    </w:div>
    <w:div w:id="45496808">
      <w:bodyDiv w:val="1"/>
      <w:marLeft w:val="0"/>
      <w:marRight w:val="0"/>
      <w:marTop w:val="0"/>
      <w:marBottom w:val="0"/>
      <w:divBdr>
        <w:top w:val="none" w:sz="0" w:space="0" w:color="auto"/>
        <w:left w:val="none" w:sz="0" w:space="0" w:color="auto"/>
        <w:bottom w:val="none" w:sz="0" w:space="0" w:color="auto"/>
        <w:right w:val="none" w:sz="0" w:space="0" w:color="auto"/>
      </w:divBdr>
    </w:div>
    <w:div w:id="89084488">
      <w:bodyDiv w:val="1"/>
      <w:marLeft w:val="0"/>
      <w:marRight w:val="0"/>
      <w:marTop w:val="0"/>
      <w:marBottom w:val="0"/>
      <w:divBdr>
        <w:top w:val="none" w:sz="0" w:space="0" w:color="auto"/>
        <w:left w:val="none" w:sz="0" w:space="0" w:color="auto"/>
        <w:bottom w:val="none" w:sz="0" w:space="0" w:color="auto"/>
        <w:right w:val="none" w:sz="0" w:space="0" w:color="auto"/>
      </w:divBdr>
    </w:div>
    <w:div w:id="96869662">
      <w:bodyDiv w:val="1"/>
      <w:marLeft w:val="0"/>
      <w:marRight w:val="0"/>
      <w:marTop w:val="0"/>
      <w:marBottom w:val="0"/>
      <w:divBdr>
        <w:top w:val="none" w:sz="0" w:space="0" w:color="auto"/>
        <w:left w:val="none" w:sz="0" w:space="0" w:color="auto"/>
        <w:bottom w:val="none" w:sz="0" w:space="0" w:color="auto"/>
        <w:right w:val="none" w:sz="0" w:space="0" w:color="auto"/>
      </w:divBdr>
    </w:div>
    <w:div w:id="184632411">
      <w:bodyDiv w:val="1"/>
      <w:marLeft w:val="0"/>
      <w:marRight w:val="0"/>
      <w:marTop w:val="0"/>
      <w:marBottom w:val="0"/>
      <w:divBdr>
        <w:top w:val="none" w:sz="0" w:space="0" w:color="auto"/>
        <w:left w:val="none" w:sz="0" w:space="0" w:color="auto"/>
        <w:bottom w:val="none" w:sz="0" w:space="0" w:color="auto"/>
        <w:right w:val="none" w:sz="0" w:space="0" w:color="auto"/>
      </w:divBdr>
    </w:div>
    <w:div w:id="191190826">
      <w:bodyDiv w:val="1"/>
      <w:marLeft w:val="0"/>
      <w:marRight w:val="0"/>
      <w:marTop w:val="0"/>
      <w:marBottom w:val="0"/>
      <w:divBdr>
        <w:top w:val="none" w:sz="0" w:space="0" w:color="auto"/>
        <w:left w:val="none" w:sz="0" w:space="0" w:color="auto"/>
        <w:bottom w:val="none" w:sz="0" w:space="0" w:color="auto"/>
        <w:right w:val="none" w:sz="0" w:space="0" w:color="auto"/>
      </w:divBdr>
    </w:div>
    <w:div w:id="215047854">
      <w:bodyDiv w:val="1"/>
      <w:marLeft w:val="0"/>
      <w:marRight w:val="0"/>
      <w:marTop w:val="0"/>
      <w:marBottom w:val="0"/>
      <w:divBdr>
        <w:top w:val="none" w:sz="0" w:space="0" w:color="auto"/>
        <w:left w:val="none" w:sz="0" w:space="0" w:color="auto"/>
        <w:bottom w:val="none" w:sz="0" w:space="0" w:color="auto"/>
        <w:right w:val="none" w:sz="0" w:space="0" w:color="auto"/>
      </w:divBdr>
    </w:div>
    <w:div w:id="264390554">
      <w:bodyDiv w:val="1"/>
      <w:marLeft w:val="0"/>
      <w:marRight w:val="0"/>
      <w:marTop w:val="0"/>
      <w:marBottom w:val="0"/>
      <w:divBdr>
        <w:top w:val="none" w:sz="0" w:space="0" w:color="auto"/>
        <w:left w:val="none" w:sz="0" w:space="0" w:color="auto"/>
        <w:bottom w:val="none" w:sz="0" w:space="0" w:color="auto"/>
        <w:right w:val="none" w:sz="0" w:space="0" w:color="auto"/>
      </w:divBdr>
    </w:div>
    <w:div w:id="276106237">
      <w:bodyDiv w:val="1"/>
      <w:marLeft w:val="0"/>
      <w:marRight w:val="0"/>
      <w:marTop w:val="0"/>
      <w:marBottom w:val="0"/>
      <w:divBdr>
        <w:top w:val="none" w:sz="0" w:space="0" w:color="auto"/>
        <w:left w:val="none" w:sz="0" w:space="0" w:color="auto"/>
        <w:bottom w:val="none" w:sz="0" w:space="0" w:color="auto"/>
        <w:right w:val="none" w:sz="0" w:space="0" w:color="auto"/>
      </w:divBdr>
    </w:div>
    <w:div w:id="290063401">
      <w:bodyDiv w:val="1"/>
      <w:marLeft w:val="0"/>
      <w:marRight w:val="0"/>
      <w:marTop w:val="0"/>
      <w:marBottom w:val="0"/>
      <w:divBdr>
        <w:top w:val="none" w:sz="0" w:space="0" w:color="auto"/>
        <w:left w:val="none" w:sz="0" w:space="0" w:color="auto"/>
        <w:bottom w:val="none" w:sz="0" w:space="0" w:color="auto"/>
        <w:right w:val="none" w:sz="0" w:space="0" w:color="auto"/>
      </w:divBdr>
    </w:div>
    <w:div w:id="311107084">
      <w:bodyDiv w:val="1"/>
      <w:marLeft w:val="0"/>
      <w:marRight w:val="0"/>
      <w:marTop w:val="0"/>
      <w:marBottom w:val="0"/>
      <w:divBdr>
        <w:top w:val="none" w:sz="0" w:space="0" w:color="auto"/>
        <w:left w:val="none" w:sz="0" w:space="0" w:color="auto"/>
        <w:bottom w:val="none" w:sz="0" w:space="0" w:color="auto"/>
        <w:right w:val="none" w:sz="0" w:space="0" w:color="auto"/>
      </w:divBdr>
    </w:div>
    <w:div w:id="311563779">
      <w:bodyDiv w:val="1"/>
      <w:marLeft w:val="0"/>
      <w:marRight w:val="0"/>
      <w:marTop w:val="0"/>
      <w:marBottom w:val="0"/>
      <w:divBdr>
        <w:top w:val="none" w:sz="0" w:space="0" w:color="auto"/>
        <w:left w:val="none" w:sz="0" w:space="0" w:color="auto"/>
        <w:bottom w:val="none" w:sz="0" w:space="0" w:color="auto"/>
        <w:right w:val="none" w:sz="0" w:space="0" w:color="auto"/>
      </w:divBdr>
    </w:div>
    <w:div w:id="320424186">
      <w:bodyDiv w:val="1"/>
      <w:marLeft w:val="0"/>
      <w:marRight w:val="0"/>
      <w:marTop w:val="0"/>
      <w:marBottom w:val="0"/>
      <w:divBdr>
        <w:top w:val="none" w:sz="0" w:space="0" w:color="auto"/>
        <w:left w:val="none" w:sz="0" w:space="0" w:color="auto"/>
        <w:bottom w:val="none" w:sz="0" w:space="0" w:color="auto"/>
        <w:right w:val="none" w:sz="0" w:space="0" w:color="auto"/>
      </w:divBdr>
    </w:div>
    <w:div w:id="341320425">
      <w:bodyDiv w:val="1"/>
      <w:marLeft w:val="0"/>
      <w:marRight w:val="0"/>
      <w:marTop w:val="0"/>
      <w:marBottom w:val="0"/>
      <w:divBdr>
        <w:top w:val="none" w:sz="0" w:space="0" w:color="auto"/>
        <w:left w:val="none" w:sz="0" w:space="0" w:color="auto"/>
        <w:bottom w:val="none" w:sz="0" w:space="0" w:color="auto"/>
        <w:right w:val="none" w:sz="0" w:space="0" w:color="auto"/>
      </w:divBdr>
    </w:div>
    <w:div w:id="421604415">
      <w:bodyDiv w:val="1"/>
      <w:marLeft w:val="0"/>
      <w:marRight w:val="0"/>
      <w:marTop w:val="0"/>
      <w:marBottom w:val="0"/>
      <w:divBdr>
        <w:top w:val="none" w:sz="0" w:space="0" w:color="auto"/>
        <w:left w:val="none" w:sz="0" w:space="0" w:color="auto"/>
        <w:bottom w:val="none" w:sz="0" w:space="0" w:color="auto"/>
        <w:right w:val="none" w:sz="0" w:space="0" w:color="auto"/>
      </w:divBdr>
    </w:div>
    <w:div w:id="443815258">
      <w:bodyDiv w:val="1"/>
      <w:marLeft w:val="0"/>
      <w:marRight w:val="0"/>
      <w:marTop w:val="0"/>
      <w:marBottom w:val="0"/>
      <w:divBdr>
        <w:top w:val="none" w:sz="0" w:space="0" w:color="auto"/>
        <w:left w:val="none" w:sz="0" w:space="0" w:color="auto"/>
        <w:bottom w:val="none" w:sz="0" w:space="0" w:color="auto"/>
        <w:right w:val="none" w:sz="0" w:space="0" w:color="auto"/>
      </w:divBdr>
    </w:div>
    <w:div w:id="498810270">
      <w:bodyDiv w:val="1"/>
      <w:marLeft w:val="0"/>
      <w:marRight w:val="0"/>
      <w:marTop w:val="0"/>
      <w:marBottom w:val="0"/>
      <w:divBdr>
        <w:top w:val="none" w:sz="0" w:space="0" w:color="auto"/>
        <w:left w:val="none" w:sz="0" w:space="0" w:color="auto"/>
        <w:bottom w:val="none" w:sz="0" w:space="0" w:color="auto"/>
        <w:right w:val="none" w:sz="0" w:space="0" w:color="auto"/>
      </w:divBdr>
    </w:div>
    <w:div w:id="504979285">
      <w:bodyDiv w:val="1"/>
      <w:marLeft w:val="0"/>
      <w:marRight w:val="0"/>
      <w:marTop w:val="0"/>
      <w:marBottom w:val="0"/>
      <w:divBdr>
        <w:top w:val="none" w:sz="0" w:space="0" w:color="auto"/>
        <w:left w:val="none" w:sz="0" w:space="0" w:color="auto"/>
        <w:bottom w:val="none" w:sz="0" w:space="0" w:color="auto"/>
        <w:right w:val="none" w:sz="0" w:space="0" w:color="auto"/>
      </w:divBdr>
    </w:div>
    <w:div w:id="519587858">
      <w:bodyDiv w:val="1"/>
      <w:marLeft w:val="0"/>
      <w:marRight w:val="0"/>
      <w:marTop w:val="0"/>
      <w:marBottom w:val="0"/>
      <w:divBdr>
        <w:top w:val="none" w:sz="0" w:space="0" w:color="auto"/>
        <w:left w:val="none" w:sz="0" w:space="0" w:color="auto"/>
        <w:bottom w:val="none" w:sz="0" w:space="0" w:color="auto"/>
        <w:right w:val="none" w:sz="0" w:space="0" w:color="auto"/>
      </w:divBdr>
    </w:div>
    <w:div w:id="549801623">
      <w:bodyDiv w:val="1"/>
      <w:marLeft w:val="0"/>
      <w:marRight w:val="0"/>
      <w:marTop w:val="0"/>
      <w:marBottom w:val="0"/>
      <w:divBdr>
        <w:top w:val="none" w:sz="0" w:space="0" w:color="auto"/>
        <w:left w:val="none" w:sz="0" w:space="0" w:color="auto"/>
        <w:bottom w:val="none" w:sz="0" w:space="0" w:color="auto"/>
        <w:right w:val="none" w:sz="0" w:space="0" w:color="auto"/>
      </w:divBdr>
    </w:div>
    <w:div w:id="559563929">
      <w:bodyDiv w:val="1"/>
      <w:marLeft w:val="0"/>
      <w:marRight w:val="0"/>
      <w:marTop w:val="0"/>
      <w:marBottom w:val="0"/>
      <w:divBdr>
        <w:top w:val="none" w:sz="0" w:space="0" w:color="auto"/>
        <w:left w:val="none" w:sz="0" w:space="0" w:color="auto"/>
        <w:bottom w:val="none" w:sz="0" w:space="0" w:color="auto"/>
        <w:right w:val="none" w:sz="0" w:space="0" w:color="auto"/>
      </w:divBdr>
    </w:div>
    <w:div w:id="617840398">
      <w:bodyDiv w:val="1"/>
      <w:marLeft w:val="0"/>
      <w:marRight w:val="0"/>
      <w:marTop w:val="0"/>
      <w:marBottom w:val="0"/>
      <w:divBdr>
        <w:top w:val="none" w:sz="0" w:space="0" w:color="auto"/>
        <w:left w:val="none" w:sz="0" w:space="0" w:color="auto"/>
        <w:bottom w:val="none" w:sz="0" w:space="0" w:color="auto"/>
        <w:right w:val="none" w:sz="0" w:space="0" w:color="auto"/>
      </w:divBdr>
    </w:div>
    <w:div w:id="626200778">
      <w:bodyDiv w:val="1"/>
      <w:marLeft w:val="0"/>
      <w:marRight w:val="0"/>
      <w:marTop w:val="0"/>
      <w:marBottom w:val="0"/>
      <w:divBdr>
        <w:top w:val="none" w:sz="0" w:space="0" w:color="auto"/>
        <w:left w:val="none" w:sz="0" w:space="0" w:color="auto"/>
        <w:bottom w:val="none" w:sz="0" w:space="0" w:color="auto"/>
        <w:right w:val="none" w:sz="0" w:space="0" w:color="auto"/>
      </w:divBdr>
      <w:divsChild>
        <w:div w:id="808281362">
          <w:marLeft w:val="0"/>
          <w:marRight w:val="0"/>
          <w:marTop w:val="0"/>
          <w:marBottom w:val="0"/>
          <w:divBdr>
            <w:top w:val="none" w:sz="0" w:space="0" w:color="auto"/>
            <w:left w:val="none" w:sz="0" w:space="0" w:color="auto"/>
            <w:bottom w:val="none" w:sz="0" w:space="0" w:color="auto"/>
            <w:right w:val="none" w:sz="0" w:space="0" w:color="auto"/>
          </w:divBdr>
        </w:div>
        <w:div w:id="188764573">
          <w:marLeft w:val="0"/>
          <w:marRight w:val="0"/>
          <w:marTop w:val="0"/>
          <w:marBottom w:val="0"/>
          <w:divBdr>
            <w:top w:val="none" w:sz="0" w:space="0" w:color="auto"/>
            <w:left w:val="none" w:sz="0" w:space="0" w:color="auto"/>
            <w:bottom w:val="none" w:sz="0" w:space="0" w:color="auto"/>
            <w:right w:val="none" w:sz="0" w:space="0" w:color="auto"/>
          </w:divBdr>
        </w:div>
        <w:div w:id="628436576">
          <w:marLeft w:val="0"/>
          <w:marRight w:val="0"/>
          <w:marTop w:val="0"/>
          <w:marBottom w:val="0"/>
          <w:divBdr>
            <w:top w:val="none" w:sz="0" w:space="0" w:color="auto"/>
            <w:left w:val="none" w:sz="0" w:space="0" w:color="auto"/>
            <w:bottom w:val="none" w:sz="0" w:space="0" w:color="auto"/>
            <w:right w:val="none" w:sz="0" w:space="0" w:color="auto"/>
          </w:divBdr>
        </w:div>
        <w:div w:id="743137988">
          <w:marLeft w:val="0"/>
          <w:marRight w:val="0"/>
          <w:marTop w:val="0"/>
          <w:marBottom w:val="0"/>
          <w:divBdr>
            <w:top w:val="none" w:sz="0" w:space="0" w:color="auto"/>
            <w:left w:val="none" w:sz="0" w:space="0" w:color="auto"/>
            <w:bottom w:val="none" w:sz="0" w:space="0" w:color="auto"/>
            <w:right w:val="none" w:sz="0" w:space="0" w:color="auto"/>
          </w:divBdr>
        </w:div>
        <w:div w:id="617642132">
          <w:marLeft w:val="0"/>
          <w:marRight w:val="0"/>
          <w:marTop w:val="0"/>
          <w:marBottom w:val="0"/>
          <w:divBdr>
            <w:top w:val="none" w:sz="0" w:space="0" w:color="auto"/>
            <w:left w:val="none" w:sz="0" w:space="0" w:color="auto"/>
            <w:bottom w:val="none" w:sz="0" w:space="0" w:color="auto"/>
            <w:right w:val="none" w:sz="0" w:space="0" w:color="auto"/>
          </w:divBdr>
        </w:div>
        <w:div w:id="1878814165">
          <w:marLeft w:val="0"/>
          <w:marRight w:val="0"/>
          <w:marTop w:val="0"/>
          <w:marBottom w:val="0"/>
          <w:divBdr>
            <w:top w:val="none" w:sz="0" w:space="0" w:color="auto"/>
            <w:left w:val="none" w:sz="0" w:space="0" w:color="auto"/>
            <w:bottom w:val="none" w:sz="0" w:space="0" w:color="auto"/>
            <w:right w:val="none" w:sz="0" w:space="0" w:color="auto"/>
          </w:divBdr>
        </w:div>
        <w:div w:id="680473033">
          <w:marLeft w:val="0"/>
          <w:marRight w:val="0"/>
          <w:marTop w:val="0"/>
          <w:marBottom w:val="0"/>
          <w:divBdr>
            <w:top w:val="none" w:sz="0" w:space="0" w:color="auto"/>
            <w:left w:val="none" w:sz="0" w:space="0" w:color="auto"/>
            <w:bottom w:val="none" w:sz="0" w:space="0" w:color="auto"/>
            <w:right w:val="none" w:sz="0" w:space="0" w:color="auto"/>
          </w:divBdr>
        </w:div>
        <w:div w:id="1935941719">
          <w:marLeft w:val="0"/>
          <w:marRight w:val="0"/>
          <w:marTop w:val="0"/>
          <w:marBottom w:val="0"/>
          <w:divBdr>
            <w:top w:val="none" w:sz="0" w:space="0" w:color="auto"/>
            <w:left w:val="none" w:sz="0" w:space="0" w:color="auto"/>
            <w:bottom w:val="none" w:sz="0" w:space="0" w:color="auto"/>
            <w:right w:val="none" w:sz="0" w:space="0" w:color="auto"/>
          </w:divBdr>
        </w:div>
        <w:div w:id="723677998">
          <w:marLeft w:val="0"/>
          <w:marRight w:val="0"/>
          <w:marTop w:val="0"/>
          <w:marBottom w:val="0"/>
          <w:divBdr>
            <w:top w:val="none" w:sz="0" w:space="0" w:color="auto"/>
            <w:left w:val="none" w:sz="0" w:space="0" w:color="auto"/>
            <w:bottom w:val="none" w:sz="0" w:space="0" w:color="auto"/>
            <w:right w:val="none" w:sz="0" w:space="0" w:color="auto"/>
          </w:divBdr>
        </w:div>
        <w:div w:id="1535654531">
          <w:marLeft w:val="0"/>
          <w:marRight w:val="0"/>
          <w:marTop w:val="0"/>
          <w:marBottom w:val="0"/>
          <w:divBdr>
            <w:top w:val="none" w:sz="0" w:space="0" w:color="auto"/>
            <w:left w:val="none" w:sz="0" w:space="0" w:color="auto"/>
            <w:bottom w:val="none" w:sz="0" w:space="0" w:color="auto"/>
            <w:right w:val="none" w:sz="0" w:space="0" w:color="auto"/>
          </w:divBdr>
        </w:div>
        <w:div w:id="1241452427">
          <w:marLeft w:val="0"/>
          <w:marRight w:val="0"/>
          <w:marTop w:val="0"/>
          <w:marBottom w:val="0"/>
          <w:divBdr>
            <w:top w:val="none" w:sz="0" w:space="0" w:color="auto"/>
            <w:left w:val="none" w:sz="0" w:space="0" w:color="auto"/>
            <w:bottom w:val="none" w:sz="0" w:space="0" w:color="auto"/>
            <w:right w:val="none" w:sz="0" w:space="0" w:color="auto"/>
          </w:divBdr>
        </w:div>
        <w:div w:id="1581409793">
          <w:marLeft w:val="0"/>
          <w:marRight w:val="0"/>
          <w:marTop w:val="0"/>
          <w:marBottom w:val="0"/>
          <w:divBdr>
            <w:top w:val="none" w:sz="0" w:space="0" w:color="auto"/>
            <w:left w:val="none" w:sz="0" w:space="0" w:color="auto"/>
            <w:bottom w:val="none" w:sz="0" w:space="0" w:color="auto"/>
            <w:right w:val="none" w:sz="0" w:space="0" w:color="auto"/>
          </w:divBdr>
        </w:div>
        <w:div w:id="1465737537">
          <w:marLeft w:val="0"/>
          <w:marRight w:val="0"/>
          <w:marTop w:val="0"/>
          <w:marBottom w:val="0"/>
          <w:divBdr>
            <w:top w:val="none" w:sz="0" w:space="0" w:color="auto"/>
            <w:left w:val="none" w:sz="0" w:space="0" w:color="auto"/>
            <w:bottom w:val="none" w:sz="0" w:space="0" w:color="auto"/>
            <w:right w:val="none" w:sz="0" w:space="0" w:color="auto"/>
          </w:divBdr>
        </w:div>
        <w:div w:id="790823901">
          <w:marLeft w:val="0"/>
          <w:marRight w:val="0"/>
          <w:marTop w:val="0"/>
          <w:marBottom w:val="0"/>
          <w:divBdr>
            <w:top w:val="none" w:sz="0" w:space="0" w:color="auto"/>
            <w:left w:val="none" w:sz="0" w:space="0" w:color="auto"/>
            <w:bottom w:val="none" w:sz="0" w:space="0" w:color="auto"/>
            <w:right w:val="none" w:sz="0" w:space="0" w:color="auto"/>
          </w:divBdr>
        </w:div>
        <w:div w:id="854347257">
          <w:marLeft w:val="0"/>
          <w:marRight w:val="0"/>
          <w:marTop w:val="0"/>
          <w:marBottom w:val="0"/>
          <w:divBdr>
            <w:top w:val="none" w:sz="0" w:space="0" w:color="auto"/>
            <w:left w:val="none" w:sz="0" w:space="0" w:color="auto"/>
            <w:bottom w:val="none" w:sz="0" w:space="0" w:color="auto"/>
            <w:right w:val="none" w:sz="0" w:space="0" w:color="auto"/>
          </w:divBdr>
        </w:div>
        <w:div w:id="1711614391">
          <w:marLeft w:val="0"/>
          <w:marRight w:val="0"/>
          <w:marTop w:val="0"/>
          <w:marBottom w:val="0"/>
          <w:divBdr>
            <w:top w:val="none" w:sz="0" w:space="0" w:color="auto"/>
            <w:left w:val="none" w:sz="0" w:space="0" w:color="auto"/>
            <w:bottom w:val="none" w:sz="0" w:space="0" w:color="auto"/>
            <w:right w:val="none" w:sz="0" w:space="0" w:color="auto"/>
          </w:divBdr>
        </w:div>
        <w:div w:id="1891651851">
          <w:marLeft w:val="0"/>
          <w:marRight w:val="0"/>
          <w:marTop w:val="0"/>
          <w:marBottom w:val="0"/>
          <w:divBdr>
            <w:top w:val="none" w:sz="0" w:space="0" w:color="auto"/>
            <w:left w:val="none" w:sz="0" w:space="0" w:color="auto"/>
            <w:bottom w:val="none" w:sz="0" w:space="0" w:color="auto"/>
            <w:right w:val="none" w:sz="0" w:space="0" w:color="auto"/>
          </w:divBdr>
        </w:div>
      </w:divsChild>
    </w:div>
    <w:div w:id="656694071">
      <w:bodyDiv w:val="1"/>
      <w:marLeft w:val="0"/>
      <w:marRight w:val="0"/>
      <w:marTop w:val="0"/>
      <w:marBottom w:val="0"/>
      <w:divBdr>
        <w:top w:val="none" w:sz="0" w:space="0" w:color="auto"/>
        <w:left w:val="none" w:sz="0" w:space="0" w:color="auto"/>
        <w:bottom w:val="none" w:sz="0" w:space="0" w:color="auto"/>
        <w:right w:val="none" w:sz="0" w:space="0" w:color="auto"/>
      </w:divBdr>
    </w:div>
    <w:div w:id="700671630">
      <w:bodyDiv w:val="1"/>
      <w:marLeft w:val="0"/>
      <w:marRight w:val="0"/>
      <w:marTop w:val="0"/>
      <w:marBottom w:val="0"/>
      <w:divBdr>
        <w:top w:val="none" w:sz="0" w:space="0" w:color="auto"/>
        <w:left w:val="none" w:sz="0" w:space="0" w:color="auto"/>
        <w:bottom w:val="none" w:sz="0" w:space="0" w:color="auto"/>
        <w:right w:val="none" w:sz="0" w:space="0" w:color="auto"/>
      </w:divBdr>
    </w:div>
    <w:div w:id="707069566">
      <w:bodyDiv w:val="1"/>
      <w:marLeft w:val="0"/>
      <w:marRight w:val="0"/>
      <w:marTop w:val="0"/>
      <w:marBottom w:val="0"/>
      <w:divBdr>
        <w:top w:val="none" w:sz="0" w:space="0" w:color="auto"/>
        <w:left w:val="none" w:sz="0" w:space="0" w:color="auto"/>
        <w:bottom w:val="none" w:sz="0" w:space="0" w:color="auto"/>
        <w:right w:val="none" w:sz="0" w:space="0" w:color="auto"/>
      </w:divBdr>
    </w:div>
    <w:div w:id="713431919">
      <w:bodyDiv w:val="1"/>
      <w:marLeft w:val="0"/>
      <w:marRight w:val="0"/>
      <w:marTop w:val="0"/>
      <w:marBottom w:val="0"/>
      <w:divBdr>
        <w:top w:val="none" w:sz="0" w:space="0" w:color="auto"/>
        <w:left w:val="none" w:sz="0" w:space="0" w:color="auto"/>
        <w:bottom w:val="none" w:sz="0" w:space="0" w:color="auto"/>
        <w:right w:val="none" w:sz="0" w:space="0" w:color="auto"/>
      </w:divBdr>
    </w:div>
    <w:div w:id="731386053">
      <w:bodyDiv w:val="1"/>
      <w:marLeft w:val="0"/>
      <w:marRight w:val="0"/>
      <w:marTop w:val="0"/>
      <w:marBottom w:val="0"/>
      <w:divBdr>
        <w:top w:val="none" w:sz="0" w:space="0" w:color="auto"/>
        <w:left w:val="none" w:sz="0" w:space="0" w:color="auto"/>
        <w:bottom w:val="none" w:sz="0" w:space="0" w:color="auto"/>
        <w:right w:val="none" w:sz="0" w:space="0" w:color="auto"/>
      </w:divBdr>
    </w:div>
    <w:div w:id="738213920">
      <w:bodyDiv w:val="1"/>
      <w:marLeft w:val="0"/>
      <w:marRight w:val="0"/>
      <w:marTop w:val="0"/>
      <w:marBottom w:val="0"/>
      <w:divBdr>
        <w:top w:val="none" w:sz="0" w:space="0" w:color="auto"/>
        <w:left w:val="none" w:sz="0" w:space="0" w:color="auto"/>
        <w:bottom w:val="none" w:sz="0" w:space="0" w:color="auto"/>
        <w:right w:val="none" w:sz="0" w:space="0" w:color="auto"/>
      </w:divBdr>
    </w:div>
    <w:div w:id="761491422">
      <w:bodyDiv w:val="1"/>
      <w:marLeft w:val="0"/>
      <w:marRight w:val="0"/>
      <w:marTop w:val="0"/>
      <w:marBottom w:val="0"/>
      <w:divBdr>
        <w:top w:val="none" w:sz="0" w:space="0" w:color="auto"/>
        <w:left w:val="none" w:sz="0" w:space="0" w:color="auto"/>
        <w:bottom w:val="none" w:sz="0" w:space="0" w:color="auto"/>
        <w:right w:val="none" w:sz="0" w:space="0" w:color="auto"/>
      </w:divBdr>
    </w:div>
    <w:div w:id="782458295">
      <w:bodyDiv w:val="1"/>
      <w:marLeft w:val="0"/>
      <w:marRight w:val="0"/>
      <w:marTop w:val="0"/>
      <w:marBottom w:val="0"/>
      <w:divBdr>
        <w:top w:val="none" w:sz="0" w:space="0" w:color="auto"/>
        <w:left w:val="none" w:sz="0" w:space="0" w:color="auto"/>
        <w:bottom w:val="none" w:sz="0" w:space="0" w:color="auto"/>
        <w:right w:val="none" w:sz="0" w:space="0" w:color="auto"/>
      </w:divBdr>
    </w:div>
    <w:div w:id="833032266">
      <w:bodyDiv w:val="1"/>
      <w:marLeft w:val="0"/>
      <w:marRight w:val="0"/>
      <w:marTop w:val="0"/>
      <w:marBottom w:val="0"/>
      <w:divBdr>
        <w:top w:val="none" w:sz="0" w:space="0" w:color="auto"/>
        <w:left w:val="none" w:sz="0" w:space="0" w:color="auto"/>
        <w:bottom w:val="none" w:sz="0" w:space="0" w:color="auto"/>
        <w:right w:val="none" w:sz="0" w:space="0" w:color="auto"/>
      </w:divBdr>
    </w:div>
    <w:div w:id="886144999">
      <w:bodyDiv w:val="1"/>
      <w:marLeft w:val="0"/>
      <w:marRight w:val="0"/>
      <w:marTop w:val="0"/>
      <w:marBottom w:val="0"/>
      <w:divBdr>
        <w:top w:val="none" w:sz="0" w:space="0" w:color="auto"/>
        <w:left w:val="none" w:sz="0" w:space="0" w:color="auto"/>
        <w:bottom w:val="none" w:sz="0" w:space="0" w:color="auto"/>
        <w:right w:val="none" w:sz="0" w:space="0" w:color="auto"/>
      </w:divBdr>
    </w:div>
    <w:div w:id="888027533">
      <w:bodyDiv w:val="1"/>
      <w:marLeft w:val="0"/>
      <w:marRight w:val="0"/>
      <w:marTop w:val="0"/>
      <w:marBottom w:val="0"/>
      <w:divBdr>
        <w:top w:val="none" w:sz="0" w:space="0" w:color="auto"/>
        <w:left w:val="none" w:sz="0" w:space="0" w:color="auto"/>
        <w:bottom w:val="none" w:sz="0" w:space="0" w:color="auto"/>
        <w:right w:val="none" w:sz="0" w:space="0" w:color="auto"/>
      </w:divBdr>
    </w:div>
    <w:div w:id="919558856">
      <w:bodyDiv w:val="1"/>
      <w:marLeft w:val="0"/>
      <w:marRight w:val="0"/>
      <w:marTop w:val="0"/>
      <w:marBottom w:val="0"/>
      <w:divBdr>
        <w:top w:val="none" w:sz="0" w:space="0" w:color="auto"/>
        <w:left w:val="none" w:sz="0" w:space="0" w:color="auto"/>
        <w:bottom w:val="none" w:sz="0" w:space="0" w:color="auto"/>
        <w:right w:val="none" w:sz="0" w:space="0" w:color="auto"/>
      </w:divBdr>
    </w:div>
    <w:div w:id="930233507">
      <w:bodyDiv w:val="1"/>
      <w:marLeft w:val="0"/>
      <w:marRight w:val="0"/>
      <w:marTop w:val="0"/>
      <w:marBottom w:val="0"/>
      <w:divBdr>
        <w:top w:val="none" w:sz="0" w:space="0" w:color="auto"/>
        <w:left w:val="none" w:sz="0" w:space="0" w:color="auto"/>
        <w:bottom w:val="none" w:sz="0" w:space="0" w:color="auto"/>
        <w:right w:val="none" w:sz="0" w:space="0" w:color="auto"/>
      </w:divBdr>
    </w:div>
    <w:div w:id="943152366">
      <w:bodyDiv w:val="1"/>
      <w:marLeft w:val="0"/>
      <w:marRight w:val="0"/>
      <w:marTop w:val="0"/>
      <w:marBottom w:val="0"/>
      <w:divBdr>
        <w:top w:val="none" w:sz="0" w:space="0" w:color="auto"/>
        <w:left w:val="none" w:sz="0" w:space="0" w:color="auto"/>
        <w:bottom w:val="none" w:sz="0" w:space="0" w:color="auto"/>
        <w:right w:val="none" w:sz="0" w:space="0" w:color="auto"/>
      </w:divBdr>
    </w:div>
    <w:div w:id="968513469">
      <w:bodyDiv w:val="1"/>
      <w:marLeft w:val="0"/>
      <w:marRight w:val="0"/>
      <w:marTop w:val="0"/>
      <w:marBottom w:val="0"/>
      <w:divBdr>
        <w:top w:val="none" w:sz="0" w:space="0" w:color="auto"/>
        <w:left w:val="none" w:sz="0" w:space="0" w:color="auto"/>
        <w:bottom w:val="none" w:sz="0" w:space="0" w:color="auto"/>
        <w:right w:val="none" w:sz="0" w:space="0" w:color="auto"/>
      </w:divBdr>
    </w:div>
    <w:div w:id="982807068">
      <w:bodyDiv w:val="1"/>
      <w:marLeft w:val="0"/>
      <w:marRight w:val="0"/>
      <w:marTop w:val="0"/>
      <w:marBottom w:val="0"/>
      <w:divBdr>
        <w:top w:val="none" w:sz="0" w:space="0" w:color="auto"/>
        <w:left w:val="none" w:sz="0" w:space="0" w:color="auto"/>
        <w:bottom w:val="none" w:sz="0" w:space="0" w:color="auto"/>
        <w:right w:val="none" w:sz="0" w:space="0" w:color="auto"/>
      </w:divBdr>
    </w:div>
    <w:div w:id="984772787">
      <w:bodyDiv w:val="1"/>
      <w:marLeft w:val="0"/>
      <w:marRight w:val="0"/>
      <w:marTop w:val="0"/>
      <w:marBottom w:val="0"/>
      <w:divBdr>
        <w:top w:val="none" w:sz="0" w:space="0" w:color="auto"/>
        <w:left w:val="none" w:sz="0" w:space="0" w:color="auto"/>
        <w:bottom w:val="none" w:sz="0" w:space="0" w:color="auto"/>
        <w:right w:val="none" w:sz="0" w:space="0" w:color="auto"/>
      </w:divBdr>
    </w:div>
    <w:div w:id="1004745823">
      <w:bodyDiv w:val="1"/>
      <w:marLeft w:val="0"/>
      <w:marRight w:val="0"/>
      <w:marTop w:val="0"/>
      <w:marBottom w:val="0"/>
      <w:divBdr>
        <w:top w:val="none" w:sz="0" w:space="0" w:color="auto"/>
        <w:left w:val="none" w:sz="0" w:space="0" w:color="auto"/>
        <w:bottom w:val="none" w:sz="0" w:space="0" w:color="auto"/>
        <w:right w:val="none" w:sz="0" w:space="0" w:color="auto"/>
      </w:divBdr>
    </w:div>
    <w:div w:id="1007709538">
      <w:bodyDiv w:val="1"/>
      <w:marLeft w:val="0"/>
      <w:marRight w:val="0"/>
      <w:marTop w:val="0"/>
      <w:marBottom w:val="0"/>
      <w:divBdr>
        <w:top w:val="none" w:sz="0" w:space="0" w:color="auto"/>
        <w:left w:val="none" w:sz="0" w:space="0" w:color="auto"/>
        <w:bottom w:val="none" w:sz="0" w:space="0" w:color="auto"/>
        <w:right w:val="none" w:sz="0" w:space="0" w:color="auto"/>
      </w:divBdr>
    </w:div>
    <w:div w:id="1071149120">
      <w:bodyDiv w:val="1"/>
      <w:marLeft w:val="0"/>
      <w:marRight w:val="0"/>
      <w:marTop w:val="0"/>
      <w:marBottom w:val="0"/>
      <w:divBdr>
        <w:top w:val="none" w:sz="0" w:space="0" w:color="auto"/>
        <w:left w:val="none" w:sz="0" w:space="0" w:color="auto"/>
        <w:bottom w:val="none" w:sz="0" w:space="0" w:color="auto"/>
        <w:right w:val="none" w:sz="0" w:space="0" w:color="auto"/>
      </w:divBdr>
    </w:div>
    <w:div w:id="1133134122">
      <w:bodyDiv w:val="1"/>
      <w:marLeft w:val="0"/>
      <w:marRight w:val="0"/>
      <w:marTop w:val="0"/>
      <w:marBottom w:val="0"/>
      <w:divBdr>
        <w:top w:val="none" w:sz="0" w:space="0" w:color="auto"/>
        <w:left w:val="none" w:sz="0" w:space="0" w:color="auto"/>
        <w:bottom w:val="none" w:sz="0" w:space="0" w:color="auto"/>
        <w:right w:val="none" w:sz="0" w:space="0" w:color="auto"/>
      </w:divBdr>
      <w:divsChild>
        <w:div w:id="647631717">
          <w:marLeft w:val="0"/>
          <w:marRight w:val="0"/>
          <w:marTop w:val="0"/>
          <w:marBottom w:val="0"/>
          <w:divBdr>
            <w:top w:val="none" w:sz="0" w:space="0" w:color="auto"/>
            <w:left w:val="none" w:sz="0" w:space="0" w:color="auto"/>
            <w:bottom w:val="none" w:sz="0" w:space="0" w:color="auto"/>
            <w:right w:val="none" w:sz="0" w:space="0" w:color="auto"/>
          </w:divBdr>
        </w:div>
        <w:div w:id="130438834">
          <w:marLeft w:val="-251"/>
          <w:marRight w:val="0"/>
          <w:marTop w:val="0"/>
          <w:marBottom w:val="0"/>
          <w:divBdr>
            <w:top w:val="none" w:sz="0" w:space="0" w:color="auto"/>
            <w:left w:val="none" w:sz="0" w:space="0" w:color="auto"/>
            <w:bottom w:val="none" w:sz="0" w:space="0" w:color="auto"/>
            <w:right w:val="none" w:sz="0" w:space="0" w:color="auto"/>
          </w:divBdr>
          <w:divsChild>
            <w:div w:id="687802191">
              <w:marLeft w:val="0"/>
              <w:marRight w:val="0"/>
              <w:marTop w:val="0"/>
              <w:marBottom w:val="0"/>
              <w:divBdr>
                <w:top w:val="none" w:sz="0" w:space="0" w:color="auto"/>
                <w:left w:val="none" w:sz="0" w:space="0" w:color="auto"/>
                <w:bottom w:val="none" w:sz="0" w:space="0" w:color="auto"/>
                <w:right w:val="none" w:sz="0" w:space="0" w:color="auto"/>
              </w:divBdr>
            </w:div>
            <w:div w:id="1900749523">
              <w:marLeft w:val="0"/>
              <w:marRight w:val="0"/>
              <w:marTop w:val="0"/>
              <w:marBottom w:val="0"/>
              <w:divBdr>
                <w:top w:val="none" w:sz="0" w:space="0" w:color="auto"/>
                <w:left w:val="none" w:sz="0" w:space="0" w:color="auto"/>
                <w:bottom w:val="none" w:sz="0" w:space="0" w:color="auto"/>
                <w:right w:val="none" w:sz="0" w:space="0" w:color="auto"/>
              </w:divBdr>
            </w:div>
          </w:divsChild>
        </w:div>
        <w:div w:id="475804834">
          <w:marLeft w:val="0"/>
          <w:marRight w:val="0"/>
          <w:marTop w:val="0"/>
          <w:marBottom w:val="0"/>
          <w:divBdr>
            <w:top w:val="none" w:sz="0" w:space="0" w:color="auto"/>
            <w:left w:val="none" w:sz="0" w:space="0" w:color="auto"/>
            <w:bottom w:val="none" w:sz="0" w:space="0" w:color="auto"/>
            <w:right w:val="none" w:sz="0" w:space="0" w:color="auto"/>
          </w:divBdr>
        </w:div>
        <w:div w:id="992024035">
          <w:marLeft w:val="-251"/>
          <w:marRight w:val="0"/>
          <w:marTop w:val="0"/>
          <w:marBottom w:val="0"/>
          <w:divBdr>
            <w:top w:val="none" w:sz="0" w:space="0" w:color="auto"/>
            <w:left w:val="none" w:sz="0" w:space="0" w:color="auto"/>
            <w:bottom w:val="none" w:sz="0" w:space="0" w:color="auto"/>
            <w:right w:val="none" w:sz="0" w:space="0" w:color="auto"/>
          </w:divBdr>
          <w:divsChild>
            <w:div w:id="1263535454">
              <w:marLeft w:val="0"/>
              <w:marRight w:val="0"/>
              <w:marTop w:val="0"/>
              <w:marBottom w:val="0"/>
              <w:divBdr>
                <w:top w:val="none" w:sz="0" w:space="0" w:color="auto"/>
                <w:left w:val="none" w:sz="0" w:space="0" w:color="auto"/>
                <w:bottom w:val="none" w:sz="0" w:space="0" w:color="auto"/>
                <w:right w:val="none" w:sz="0" w:space="0" w:color="auto"/>
              </w:divBdr>
            </w:div>
            <w:div w:id="1880850125">
              <w:marLeft w:val="0"/>
              <w:marRight w:val="0"/>
              <w:marTop w:val="0"/>
              <w:marBottom w:val="0"/>
              <w:divBdr>
                <w:top w:val="none" w:sz="0" w:space="0" w:color="auto"/>
                <w:left w:val="none" w:sz="0" w:space="0" w:color="auto"/>
                <w:bottom w:val="none" w:sz="0" w:space="0" w:color="auto"/>
                <w:right w:val="none" w:sz="0" w:space="0" w:color="auto"/>
              </w:divBdr>
            </w:div>
          </w:divsChild>
        </w:div>
        <w:div w:id="897397308">
          <w:marLeft w:val="0"/>
          <w:marRight w:val="0"/>
          <w:marTop w:val="0"/>
          <w:marBottom w:val="0"/>
          <w:divBdr>
            <w:top w:val="none" w:sz="0" w:space="0" w:color="auto"/>
            <w:left w:val="none" w:sz="0" w:space="0" w:color="auto"/>
            <w:bottom w:val="none" w:sz="0" w:space="0" w:color="auto"/>
            <w:right w:val="none" w:sz="0" w:space="0" w:color="auto"/>
          </w:divBdr>
        </w:div>
      </w:divsChild>
    </w:div>
    <w:div w:id="1142498514">
      <w:bodyDiv w:val="1"/>
      <w:marLeft w:val="0"/>
      <w:marRight w:val="0"/>
      <w:marTop w:val="0"/>
      <w:marBottom w:val="0"/>
      <w:divBdr>
        <w:top w:val="none" w:sz="0" w:space="0" w:color="auto"/>
        <w:left w:val="none" w:sz="0" w:space="0" w:color="auto"/>
        <w:bottom w:val="none" w:sz="0" w:space="0" w:color="auto"/>
        <w:right w:val="none" w:sz="0" w:space="0" w:color="auto"/>
      </w:divBdr>
    </w:div>
    <w:div w:id="1169901634">
      <w:bodyDiv w:val="1"/>
      <w:marLeft w:val="0"/>
      <w:marRight w:val="0"/>
      <w:marTop w:val="0"/>
      <w:marBottom w:val="0"/>
      <w:divBdr>
        <w:top w:val="none" w:sz="0" w:space="0" w:color="auto"/>
        <w:left w:val="none" w:sz="0" w:space="0" w:color="auto"/>
        <w:bottom w:val="none" w:sz="0" w:space="0" w:color="auto"/>
        <w:right w:val="none" w:sz="0" w:space="0" w:color="auto"/>
      </w:divBdr>
    </w:div>
    <w:div w:id="1214930262">
      <w:bodyDiv w:val="1"/>
      <w:marLeft w:val="0"/>
      <w:marRight w:val="0"/>
      <w:marTop w:val="0"/>
      <w:marBottom w:val="0"/>
      <w:divBdr>
        <w:top w:val="none" w:sz="0" w:space="0" w:color="auto"/>
        <w:left w:val="none" w:sz="0" w:space="0" w:color="auto"/>
        <w:bottom w:val="none" w:sz="0" w:space="0" w:color="auto"/>
        <w:right w:val="none" w:sz="0" w:space="0" w:color="auto"/>
      </w:divBdr>
    </w:div>
    <w:div w:id="1216428376">
      <w:bodyDiv w:val="1"/>
      <w:marLeft w:val="0"/>
      <w:marRight w:val="0"/>
      <w:marTop w:val="0"/>
      <w:marBottom w:val="0"/>
      <w:divBdr>
        <w:top w:val="none" w:sz="0" w:space="0" w:color="auto"/>
        <w:left w:val="none" w:sz="0" w:space="0" w:color="auto"/>
        <w:bottom w:val="none" w:sz="0" w:space="0" w:color="auto"/>
        <w:right w:val="none" w:sz="0" w:space="0" w:color="auto"/>
      </w:divBdr>
    </w:div>
    <w:div w:id="1260413444">
      <w:bodyDiv w:val="1"/>
      <w:marLeft w:val="0"/>
      <w:marRight w:val="0"/>
      <w:marTop w:val="0"/>
      <w:marBottom w:val="0"/>
      <w:divBdr>
        <w:top w:val="none" w:sz="0" w:space="0" w:color="auto"/>
        <w:left w:val="none" w:sz="0" w:space="0" w:color="auto"/>
        <w:bottom w:val="none" w:sz="0" w:space="0" w:color="auto"/>
        <w:right w:val="none" w:sz="0" w:space="0" w:color="auto"/>
      </w:divBdr>
    </w:div>
    <w:div w:id="1295066950">
      <w:bodyDiv w:val="1"/>
      <w:marLeft w:val="0"/>
      <w:marRight w:val="0"/>
      <w:marTop w:val="0"/>
      <w:marBottom w:val="0"/>
      <w:divBdr>
        <w:top w:val="none" w:sz="0" w:space="0" w:color="auto"/>
        <w:left w:val="none" w:sz="0" w:space="0" w:color="auto"/>
        <w:bottom w:val="none" w:sz="0" w:space="0" w:color="auto"/>
        <w:right w:val="none" w:sz="0" w:space="0" w:color="auto"/>
      </w:divBdr>
    </w:div>
    <w:div w:id="1301227005">
      <w:bodyDiv w:val="1"/>
      <w:marLeft w:val="0"/>
      <w:marRight w:val="0"/>
      <w:marTop w:val="0"/>
      <w:marBottom w:val="0"/>
      <w:divBdr>
        <w:top w:val="none" w:sz="0" w:space="0" w:color="auto"/>
        <w:left w:val="none" w:sz="0" w:space="0" w:color="auto"/>
        <w:bottom w:val="none" w:sz="0" w:space="0" w:color="auto"/>
        <w:right w:val="none" w:sz="0" w:space="0" w:color="auto"/>
      </w:divBdr>
    </w:div>
    <w:div w:id="1339893605">
      <w:bodyDiv w:val="1"/>
      <w:marLeft w:val="0"/>
      <w:marRight w:val="0"/>
      <w:marTop w:val="0"/>
      <w:marBottom w:val="0"/>
      <w:divBdr>
        <w:top w:val="none" w:sz="0" w:space="0" w:color="auto"/>
        <w:left w:val="none" w:sz="0" w:space="0" w:color="auto"/>
        <w:bottom w:val="none" w:sz="0" w:space="0" w:color="auto"/>
        <w:right w:val="none" w:sz="0" w:space="0" w:color="auto"/>
      </w:divBdr>
    </w:div>
    <w:div w:id="1369530167">
      <w:bodyDiv w:val="1"/>
      <w:marLeft w:val="0"/>
      <w:marRight w:val="0"/>
      <w:marTop w:val="0"/>
      <w:marBottom w:val="0"/>
      <w:divBdr>
        <w:top w:val="none" w:sz="0" w:space="0" w:color="auto"/>
        <w:left w:val="none" w:sz="0" w:space="0" w:color="auto"/>
        <w:bottom w:val="none" w:sz="0" w:space="0" w:color="auto"/>
        <w:right w:val="none" w:sz="0" w:space="0" w:color="auto"/>
      </w:divBdr>
    </w:div>
    <w:div w:id="1385327630">
      <w:bodyDiv w:val="1"/>
      <w:marLeft w:val="0"/>
      <w:marRight w:val="0"/>
      <w:marTop w:val="0"/>
      <w:marBottom w:val="0"/>
      <w:divBdr>
        <w:top w:val="none" w:sz="0" w:space="0" w:color="auto"/>
        <w:left w:val="none" w:sz="0" w:space="0" w:color="auto"/>
        <w:bottom w:val="none" w:sz="0" w:space="0" w:color="auto"/>
        <w:right w:val="none" w:sz="0" w:space="0" w:color="auto"/>
      </w:divBdr>
    </w:div>
    <w:div w:id="1416633402">
      <w:bodyDiv w:val="1"/>
      <w:marLeft w:val="0"/>
      <w:marRight w:val="0"/>
      <w:marTop w:val="0"/>
      <w:marBottom w:val="0"/>
      <w:divBdr>
        <w:top w:val="none" w:sz="0" w:space="0" w:color="auto"/>
        <w:left w:val="none" w:sz="0" w:space="0" w:color="auto"/>
        <w:bottom w:val="none" w:sz="0" w:space="0" w:color="auto"/>
        <w:right w:val="none" w:sz="0" w:space="0" w:color="auto"/>
      </w:divBdr>
    </w:div>
    <w:div w:id="1445616413">
      <w:bodyDiv w:val="1"/>
      <w:marLeft w:val="0"/>
      <w:marRight w:val="0"/>
      <w:marTop w:val="0"/>
      <w:marBottom w:val="0"/>
      <w:divBdr>
        <w:top w:val="none" w:sz="0" w:space="0" w:color="auto"/>
        <w:left w:val="none" w:sz="0" w:space="0" w:color="auto"/>
        <w:bottom w:val="none" w:sz="0" w:space="0" w:color="auto"/>
        <w:right w:val="none" w:sz="0" w:space="0" w:color="auto"/>
      </w:divBdr>
    </w:div>
    <w:div w:id="1460565194">
      <w:bodyDiv w:val="1"/>
      <w:marLeft w:val="0"/>
      <w:marRight w:val="0"/>
      <w:marTop w:val="0"/>
      <w:marBottom w:val="0"/>
      <w:divBdr>
        <w:top w:val="none" w:sz="0" w:space="0" w:color="auto"/>
        <w:left w:val="none" w:sz="0" w:space="0" w:color="auto"/>
        <w:bottom w:val="none" w:sz="0" w:space="0" w:color="auto"/>
        <w:right w:val="none" w:sz="0" w:space="0" w:color="auto"/>
      </w:divBdr>
    </w:div>
    <w:div w:id="1474181195">
      <w:bodyDiv w:val="1"/>
      <w:marLeft w:val="0"/>
      <w:marRight w:val="0"/>
      <w:marTop w:val="0"/>
      <w:marBottom w:val="0"/>
      <w:divBdr>
        <w:top w:val="none" w:sz="0" w:space="0" w:color="auto"/>
        <w:left w:val="none" w:sz="0" w:space="0" w:color="auto"/>
        <w:bottom w:val="none" w:sz="0" w:space="0" w:color="auto"/>
        <w:right w:val="none" w:sz="0" w:space="0" w:color="auto"/>
      </w:divBdr>
    </w:div>
    <w:div w:id="1486821830">
      <w:bodyDiv w:val="1"/>
      <w:marLeft w:val="0"/>
      <w:marRight w:val="0"/>
      <w:marTop w:val="0"/>
      <w:marBottom w:val="0"/>
      <w:divBdr>
        <w:top w:val="none" w:sz="0" w:space="0" w:color="auto"/>
        <w:left w:val="none" w:sz="0" w:space="0" w:color="auto"/>
        <w:bottom w:val="none" w:sz="0" w:space="0" w:color="auto"/>
        <w:right w:val="none" w:sz="0" w:space="0" w:color="auto"/>
      </w:divBdr>
    </w:div>
    <w:div w:id="1498687369">
      <w:bodyDiv w:val="1"/>
      <w:marLeft w:val="0"/>
      <w:marRight w:val="0"/>
      <w:marTop w:val="0"/>
      <w:marBottom w:val="0"/>
      <w:divBdr>
        <w:top w:val="none" w:sz="0" w:space="0" w:color="auto"/>
        <w:left w:val="none" w:sz="0" w:space="0" w:color="auto"/>
        <w:bottom w:val="none" w:sz="0" w:space="0" w:color="auto"/>
        <w:right w:val="none" w:sz="0" w:space="0" w:color="auto"/>
      </w:divBdr>
    </w:div>
    <w:div w:id="1568222663">
      <w:bodyDiv w:val="1"/>
      <w:marLeft w:val="0"/>
      <w:marRight w:val="0"/>
      <w:marTop w:val="0"/>
      <w:marBottom w:val="0"/>
      <w:divBdr>
        <w:top w:val="none" w:sz="0" w:space="0" w:color="auto"/>
        <w:left w:val="none" w:sz="0" w:space="0" w:color="auto"/>
        <w:bottom w:val="none" w:sz="0" w:space="0" w:color="auto"/>
        <w:right w:val="none" w:sz="0" w:space="0" w:color="auto"/>
      </w:divBdr>
    </w:div>
    <w:div w:id="1568299781">
      <w:bodyDiv w:val="1"/>
      <w:marLeft w:val="0"/>
      <w:marRight w:val="0"/>
      <w:marTop w:val="0"/>
      <w:marBottom w:val="0"/>
      <w:divBdr>
        <w:top w:val="none" w:sz="0" w:space="0" w:color="auto"/>
        <w:left w:val="none" w:sz="0" w:space="0" w:color="auto"/>
        <w:bottom w:val="none" w:sz="0" w:space="0" w:color="auto"/>
        <w:right w:val="none" w:sz="0" w:space="0" w:color="auto"/>
      </w:divBdr>
    </w:div>
    <w:div w:id="1570573204">
      <w:bodyDiv w:val="1"/>
      <w:marLeft w:val="0"/>
      <w:marRight w:val="0"/>
      <w:marTop w:val="0"/>
      <w:marBottom w:val="0"/>
      <w:divBdr>
        <w:top w:val="none" w:sz="0" w:space="0" w:color="auto"/>
        <w:left w:val="none" w:sz="0" w:space="0" w:color="auto"/>
        <w:bottom w:val="none" w:sz="0" w:space="0" w:color="auto"/>
        <w:right w:val="none" w:sz="0" w:space="0" w:color="auto"/>
      </w:divBdr>
    </w:div>
    <w:div w:id="1587883132">
      <w:bodyDiv w:val="1"/>
      <w:marLeft w:val="0"/>
      <w:marRight w:val="0"/>
      <w:marTop w:val="0"/>
      <w:marBottom w:val="0"/>
      <w:divBdr>
        <w:top w:val="none" w:sz="0" w:space="0" w:color="auto"/>
        <w:left w:val="none" w:sz="0" w:space="0" w:color="auto"/>
        <w:bottom w:val="none" w:sz="0" w:space="0" w:color="auto"/>
        <w:right w:val="none" w:sz="0" w:space="0" w:color="auto"/>
      </w:divBdr>
    </w:div>
    <w:div w:id="1608728696">
      <w:bodyDiv w:val="1"/>
      <w:marLeft w:val="0"/>
      <w:marRight w:val="0"/>
      <w:marTop w:val="0"/>
      <w:marBottom w:val="0"/>
      <w:divBdr>
        <w:top w:val="none" w:sz="0" w:space="0" w:color="auto"/>
        <w:left w:val="none" w:sz="0" w:space="0" w:color="auto"/>
        <w:bottom w:val="none" w:sz="0" w:space="0" w:color="auto"/>
        <w:right w:val="none" w:sz="0" w:space="0" w:color="auto"/>
      </w:divBdr>
    </w:div>
    <w:div w:id="1610967604">
      <w:bodyDiv w:val="1"/>
      <w:marLeft w:val="0"/>
      <w:marRight w:val="0"/>
      <w:marTop w:val="0"/>
      <w:marBottom w:val="0"/>
      <w:divBdr>
        <w:top w:val="none" w:sz="0" w:space="0" w:color="auto"/>
        <w:left w:val="none" w:sz="0" w:space="0" w:color="auto"/>
        <w:bottom w:val="none" w:sz="0" w:space="0" w:color="auto"/>
        <w:right w:val="none" w:sz="0" w:space="0" w:color="auto"/>
      </w:divBdr>
    </w:div>
    <w:div w:id="1647585002">
      <w:bodyDiv w:val="1"/>
      <w:marLeft w:val="0"/>
      <w:marRight w:val="0"/>
      <w:marTop w:val="0"/>
      <w:marBottom w:val="0"/>
      <w:divBdr>
        <w:top w:val="none" w:sz="0" w:space="0" w:color="auto"/>
        <w:left w:val="none" w:sz="0" w:space="0" w:color="auto"/>
        <w:bottom w:val="none" w:sz="0" w:space="0" w:color="auto"/>
        <w:right w:val="none" w:sz="0" w:space="0" w:color="auto"/>
      </w:divBdr>
    </w:div>
    <w:div w:id="1660570499">
      <w:bodyDiv w:val="1"/>
      <w:marLeft w:val="0"/>
      <w:marRight w:val="0"/>
      <w:marTop w:val="0"/>
      <w:marBottom w:val="0"/>
      <w:divBdr>
        <w:top w:val="none" w:sz="0" w:space="0" w:color="auto"/>
        <w:left w:val="none" w:sz="0" w:space="0" w:color="auto"/>
        <w:bottom w:val="none" w:sz="0" w:space="0" w:color="auto"/>
        <w:right w:val="none" w:sz="0" w:space="0" w:color="auto"/>
      </w:divBdr>
    </w:div>
    <w:div w:id="1661303977">
      <w:bodyDiv w:val="1"/>
      <w:marLeft w:val="0"/>
      <w:marRight w:val="0"/>
      <w:marTop w:val="0"/>
      <w:marBottom w:val="0"/>
      <w:divBdr>
        <w:top w:val="none" w:sz="0" w:space="0" w:color="auto"/>
        <w:left w:val="none" w:sz="0" w:space="0" w:color="auto"/>
        <w:bottom w:val="none" w:sz="0" w:space="0" w:color="auto"/>
        <w:right w:val="none" w:sz="0" w:space="0" w:color="auto"/>
      </w:divBdr>
    </w:div>
    <w:div w:id="1670867119">
      <w:bodyDiv w:val="1"/>
      <w:marLeft w:val="0"/>
      <w:marRight w:val="0"/>
      <w:marTop w:val="0"/>
      <w:marBottom w:val="0"/>
      <w:divBdr>
        <w:top w:val="none" w:sz="0" w:space="0" w:color="auto"/>
        <w:left w:val="none" w:sz="0" w:space="0" w:color="auto"/>
        <w:bottom w:val="none" w:sz="0" w:space="0" w:color="auto"/>
        <w:right w:val="none" w:sz="0" w:space="0" w:color="auto"/>
      </w:divBdr>
    </w:div>
    <w:div w:id="1689982432">
      <w:bodyDiv w:val="1"/>
      <w:marLeft w:val="0"/>
      <w:marRight w:val="0"/>
      <w:marTop w:val="0"/>
      <w:marBottom w:val="0"/>
      <w:divBdr>
        <w:top w:val="none" w:sz="0" w:space="0" w:color="auto"/>
        <w:left w:val="none" w:sz="0" w:space="0" w:color="auto"/>
        <w:bottom w:val="none" w:sz="0" w:space="0" w:color="auto"/>
        <w:right w:val="none" w:sz="0" w:space="0" w:color="auto"/>
      </w:divBdr>
    </w:div>
    <w:div w:id="1704940328">
      <w:bodyDiv w:val="1"/>
      <w:marLeft w:val="0"/>
      <w:marRight w:val="0"/>
      <w:marTop w:val="0"/>
      <w:marBottom w:val="0"/>
      <w:divBdr>
        <w:top w:val="none" w:sz="0" w:space="0" w:color="auto"/>
        <w:left w:val="none" w:sz="0" w:space="0" w:color="auto"/>
        <w:bottom w:val="none" w:sz="0" w:space="0" w:color="auto"/>
        <w:right w:val="none" w:sz="0" w:space="0" w:color="auto"/>
      </w:divBdr>
    </w:div>
    <w:div w:id="1735349307">
      <w:bodyDiv w:val="1"/>
      <w:marLeft w:val="0"/>
      <w:marRight w:val="0"/>
      <w:marTop w:val="0"/>
      <w:marBottom w:val="0"/>
      <w:divBdr>
        <w:top w:val="none" w:sz="0" w:space="0" w:color="auto"/>
        <w:left w:val="none" w:sz="0" w:space="0" w:color="auto"/>
        <w:bottom w:val="none" w:sz="0" w:space="0" w:color="auto"/>
        <w:right w:val="none" w:sz="0" w:space="0" w:color="auto"/>
      </w:divBdr>
    </w:div>
    <w:div w:id="1746493583">
      <w:bodyDiv w:val="1"/>
      <w:marLeft w:val="0"/>
      <w:marRight w:val="0"/>
      <w:marTop w:val="0"/>
      <w:marBottom w:val="0"/>
      <w:divBdr>
        <w:top w:val="none" w:sz="0" w:space="0" w:color="auto"/>
        <w:left w:val="none" w:sz="0" w:space="0" w:color="auto"/>
        <w:bottom w:val="none" w:sz="0" w:space="0" w:color="auto"/>
        <w:right w:val="none" w:sz="0" w:space="0" w:color="auto"/>
      </w:divBdr>
    </w:div>
    <w:div w:id="1790079774">
      <w:bodyDiv w:val="1"/>
      <w:marLeft w:val="0"/>
      <w:marRight w:val="0"/>
      <w:marTop w:val="0"/>
      <w:marBottom w:val="0"/>
      <w:divBdr>
        <w:top w:val="none" w:sz="0" w:space="0" w:color="auto"/>
        <w:left w:val="none" w:sz="0" w:space="0" w:color="auto"/>
        <w:bottom w:val="none" w:sz="0" w:space="0" w:color="auto"/>
        <w:right w:val="none" w:sz="0" w:space="0" w:color="auto"/>
      </w:divBdr>
    </w:div>
    <w:div w:id="1806584256">
      <w:bodyDiv w:val="1"/>
      <w:marLeft w:val="0"/>
      <w:marRight w:val="0"/>
      <w:marTop w:val="0"/>
      <w:marBottom w:val="0"/>
      <w:divBdr>
        <w:top w:val="none" w:sz="0" w:space="0" w:color="auto"/>
        <w:left w:val="none" w:sz="0" w:space="0" w:color="auto"/>
        <w:bottom w:val="none" w:sz="0" w:space="0" w:color="auto"/>
        <w:right w:val="none" w:sz="0" w:space="0" w:color="auto"/>
      </w:divBdr>
    </w:div>
    <w:div w:id="1898011322">
      <w:bodyDiv w:val="1"/>
      <w:marLeft w:val="0"/>
      <w:marRight w:val="0"/>
      <w:marTop w:val="0"/>
      <w:marBottom w:val="0"/>
      <w:divBdr>
        <w:top w:val="none" w:sz="0" w:space="0" w:color="auto"/>
        <w:left w:val="none" w:sz="0" w:space="0" w:color="auto"/>
        <w:bottom w:val="none" w:sz="0" w:space="0" w:color="auto"/>
        <w:right w:val="none" w:sz="0" w:space="0" w:color="auto"/>
      </w:divBdr>
    </w:div>
    <w:div w:id="1940408584">
      <w:bodyDiv w:val="1"/>
      <w:marLeft w:val="0"/>
      <w:marRight w:val="0"/>
      <w:marTop w:val="0"/>
      <w:marBottom w:val="0"/>
      <w:divBdr>
        <w:top w:val="none" w:sz="0" w:space="0" w:color="auto"/>
        <w:left w:val="none" w:sz="0" w:space="0" w:color="auto"/>
        <w:bottom w:val="none" w:sz="0" w:space="0" w:color="auto"/>
        <w:right w:val="none" w:sz="0" w:space="0" w:color="auto"/>
      </w:divBdr>
    </w:div>
    <w:div w:id="1941137722">
      <w:bodyDiv w:val="1"/>
      <w:marLeft w:val="0"/>
      <w:marRight w:val="0"/>
      <w:marTop w:val="0"/>
      <w:marBottom w:val="0"/>
      <w:divBdr>
        <w:top w:val="none" w:sz="0" w:space="0" w:color="auto"/>
        <w:left w:val="none" w:sz="0" w:space="0" w:color="auto"/>
        <w:bottom w:val="none" w:sz="0" w:space="0" w:color="auto"/>
        <w:right w:val="none" w:sz="0" w:space="0" w:color="auto"/>
      </w:divBdr>
    </w:div>
    <w:div w:id="1945725714">
      <w:bodyDiv w:val="1"/>
      <w:marLeft w:val="0"/>
      <w:marRight w:val="0"/>
      <w:marTop w:val="0"/>
      <w:marBottom w:val="0"/>
      <w:divBdr>
        <w:top w:val="none" w:sz="0" w:space="0" w:color="auto"/>
        <w:left w:val="none" w:sz="0" w:space="0" w:color="auto"/>
        <w:bottom w:val="none" w:sz="0" w:space="0" w:color="auto"/>
        <w:right w:val="none" w:sz="0" w:space="0" w:color="auto"/>
      </w:divBdr>
    </w:div>
    <w:div w:id="1977029288">
      <w:bodyDiv w:val="1"/>
      <w:marLeft w:val="0"/>
      <w:marRight w:val="0"/>
      <w:marTop w:val="0"/>
      <w:marBottom w:val="0"/>
      <w:divBdr>
        <w:top w:val="none" w:sz="0" w:space="0" w:color="auto"/>
        <w:left w:val="none" w:sz="0" w:space="0" w:color="auto"/>
        <w:bottom w:val="none" w:sz="0" w:space="0" w:color="auto"/>
        <w:right w:val="none" w:sz="0" w:space="0" w:color="auto"/>
      </w:divBdr>
    </w:div>
    <w:div w:id="1993751005">
      <w:bodyDiv w:val="1"/>
      <w:marLeft w:val="0"/>
      <w:marRight w:val="0"/>
      <w:marTop w:val="0"/>
      <w:marBottom w:val="0"/>
      <w:divBdr>
        <w:top w:val="none" w:sz="0" w:space="0" w:color="auto"/>
        <w:left w:val="none" w:sz="0" w:space="0" w:color="auto"/>
        <w:bottom w:val="none" w:sz="0" w:space="0" w:color="auto"/>
        <w:right w:val="none" w:sz="0" w:space="0" w:color="auto"/>
      </w:divBdr>
    </w:div>
    <w:div w:id="1993874107">
      <w:bodyDiv w:val="1"/>
      <w:marLeft w:val="0"/>
      <w:marRight w:val="0"/>
      <w:marTop w:val="0"/>
      <w:marBottom w:val="0"/>
      <w:divBdr>
        <w:top w:val="none" w:sz="0" w:space="0" w:color="auto"/>
        <w:left w:val="none" w:sz="0" w:space="0" w:color="auto"/>
        <w:bottom w:val="none" w:sz="0" w:space="0" w:color="auto"/>
        <w:right w:val="none" w:sz="0" w:space="0" w:color="auto"/>
      </w:divBdr>
    </w:div>
    <w:div w:id="1994942171">
      <w:bodyDiv w:val="1"/>
      <w:marLeft w:val="0"/>
      <w:marRight w:val="0"/>
      <w:marTop w:val="0"/>
      <w:marBottom w:val="0"/>
      <w:divBdr>
        <w:top w:val="none" w:sz="0" w:space="0" w:color="auto"/>
        <w:left w:val="none" w:sz="0" w:space="0" w:color="auto"/>
        <w:bottom w:val="none" w:sz="0" w:space="0" w:color="auto"/>
        <w:right w:val="none" w:sz="0" w:space="0" w:color="auto"/>
      </w:divBdr>
    </w:div>
    <w:div w:id="2026131802">
      <w:bodyDiv w:val="1"/>
      <w:marLeft w:val="0"/>
      <w:marRight w:val="0"/>
      <w:marTop w:val="0"/>
      <w:marBottom w:val="0"/>
      <w:divBdr>
        <w:top w:val="none" w:sz="0" w:space="0" w:color="auto"/>
        <w:left w:val="none" w:sz="0" w:space="0" w:color="auto"/>
        <w:bottom w:val="none" w:sz="0" w:space="0" w:color="auto"/>
        <w:right w:val="none" w:sz="0" w:space="0" w:color="auto"/>
      </w:divBdr>
    </w:div>
    <w:div w:id="2026981967">
      <w:bodyDiv w:val="1"/>
      <w:marLeft w:val="0"/>
      <w:marRight w:val="0"/>
      <w:marTop w:val="0"/>
      <w:marBottom w:val="0"/>
      <w:divBdr>
        <w:top w:val="none" w:sz="0" w:space="0" w:color="auto"/>
        <w:left w:val="none" w:sz="0" w:space="0" w:color="auto"/>
        <w:bottom w:val="none" w:sz="0" w:space="0" w:color="auto"/>
        <w:right w:val="none" w:sz="0" w:space="0" w:color="auto"/>
      </w:divBdr>
    </w:div>
    <w:div w:id="2057703052">
      <w:bodyDiv w:val="1"/>
      <w:marLeft w:val="0"/>
      <w:marRight w:val="0"/>
      <w:marTop w:val="0"/>
      <w:marBottom w:val="0"/>
      <w:divBdr>
        <w:top w:val="none" w:sz="0" w:space="0" w:color="auto"/>
        <w:left w:val="none" w:sz="0" w:space="0" w:color="auto"/>
        <w:bottom w:val="none" w:sz="0" w:space="0" w:color="auto"/>
        <w:right w:val="none" w:sz="0" w:space="0" w:color="auto"/>
      </w:divBdr>
    </w:div>
    <w:div w:id="2071926599">
      <w:bodyDiv w:val="1"/>
      <w:marLeft w:val="0"/>
      <w:marRight w:val="0"/>
      <w:marTop w:val="0"/>
      <w:marBottom w:val="0"/>
      <w:divBdr>
        <w:top w:val="none" w:sz="0" w:space="0" w:color="auto"/>
        <w:left w:val="none" w:sz="0" w:space="0" w:color="auto"/>
        <w:bottom w:val="none" w:sz="0" w:space="0" w:color="auto"/>
        <w:right w:val="none" w:sz="0" w:space="0" w:color="auto"/>
      </w:divBdr>
    </w:div>
    <w:div w:id="2092696940">
      <w:bodyDiv w:val="1"/>
      <w:marLeft w:val="0"/>
      <w:marRight w:val="0"/>
      <w:marTop w:val="0"/>
      <w:marBottom w:val="0"/>
      <w:divBdr>
        <w:top w:val="none" w:sz="0" w:space="0" w:color="auto"/>
        <w:left w:val="none" w:sz="0" w:space="0" w:color="auto"/>
        <w:bottom w:val="none" w:sz="0" w:space="0" w:color="auto"/>
        <w:right w:val="none" w:sz="0" w:space="0" w:color="auto"/>
      </w:divBdr>
    </w:div>
    <w:div w:id="2139179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image" Target="media/image7.emf"/><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hyperlink" Target="https://pubmed.ncbi.nlm.nih.gov/" TargetMode="Externa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image" Target="media/image1.tiff"/><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25CE06-BE0E-EF49-BCAA-F9CF8099D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61</Pages>
  <Words>71088</Words>
  <Characters>405206</Characters>
  <Application>Microsoft Office Word</Application>
  <DocSecurity>0</DocSecurity>
  <Lines>3376</Lines>
  <Paragraphs>950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475344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Ureña</dc:creator>
  <cp:lastModifiedBy>Microsoft Office User</cp:lastModifiedBy>
  <cp:revision>2</cp:revision>
  <cp:lastPrinted>2020-07-22T12:43:00Z</cp:lastPrinted>
  <dcterms:created xsi:type="dcterms:W3CDTF">2020-08-06T19:12:00Z</dcterms:created>
  <dcterms:modified xsi:type="dcterms:W3CDTF">2020-08-06T19:12:00Z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http://www.zotero.org/styles/the-new-england-journal-of-medicine</vt:lpwstr>
  </property>
  <property fmtid="{D5CDD505-2E9C-101B-9397-08002B2CF9AE}" pid="21" name="Mendeley Recent Style Name 9_1">
    <vt:lpwstr>The New England Journal of Medicine</vt:lpwstr>
  </property>
  <property fmtid="{D5CDD505-2E9C-101B-9397-08002B2CF9AE}" pid="22" name="Mendeley Document_1">
    <vt:lpwstr>True</vt:lpwstr>
  </property>
  <property fmtid="{D5CDD505-2E9C-101B-9397-08002B2CF9AE}" pid="23" name="Mendeley Unique User Id_1">
    <vt:lpwstr>a0ddcd60-89bc-306d-86fa-6ac54199a6af</vt:lpwstr>
  </property>
  <property fmtid="{D5CDD505-2E9C-101B-9397-08002B2CF9AE}" pid="24" name="Mendeley Citation Style_1">
    <vt:lpwstr>http://www.zotero.org/styles/apa</vt:lpwstr>
  </property>
</Properties>
</file>