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A2B069" w14:textId="77777777" w:rsidR="00AB73C3" w:rsidRDefault="00AB73C3" w:rsidP="001B35D8">
      <w:pPr>
        <w:spacing w:line="360" w:lineRule="auto"/>
        <w:rPr>
          <w:rFonts w:ascii="Arial Narrow" w:hAnsi="Arial Narrow" w:cs="Calibri"/>
          <w:color w:val="000000" w:themeColor="text1"/>
          <w:sz w:val="28"/>
          <w:szCs w:val="28"/>
          <w:lang w:val="es-ES"/>
        </w:rPr>
      </w:pPr>
    </w:p>
    <w:p w14:paraId="33566B9C" w14:textId="77777777" w:rsidR="00AB73C3" w:rsidRDefault="00AB73C3" w:rsidP="00AB73C3">
      <w:pPr>
        <w:spacing w:line="360" w:lineRule="auto"/>
        <w:jc w:val="center"/>
        <w:rPr>
          <w:rFonts w:ascii="Arial Narrow" w:hAnsi="Arial Narrow" w:cs="Calibri"/>
          <w:color w:val="000000" w:themeColor="text1"/>
          <w:sz w:val="28"/>
          <w:szCs w:val="28"/>
          <w:lang w:val="es-ES"/>
        </w:rPr>
      </w:pPr>
      <w:r>
        <w:rPr>
          <w:noProof/>
        </w:rPr>
        <w:drawing>
          <wp:inline distT="0" distB="0" distL="0" distR="0" wp14:anchorId="5E287AD4" wp14:editId="51FD11F9">
            <wp:extent cx="1040130" cy="1153463"/>
            <wp:effectExtent l="0" t="0" r="7620" b="8890"/>
            <wp:docPr id="2" name="Imagen 2" descr="Logos de la ECCI | Escuela de Ciencias de la Computación e Informá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s de la ECCI | Escuela de Ciencias de la Computación e Informátic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1058354" cy="1173672"/>
                    </a:xfrm>
                    <a:prstGeom prst="rect">
                      <a:avLst/>
                    </a:prstGeom>
                    <a:noFill/>
                    <a:ln>
                      <a:noFill/>
                    </a:ln>
                  </pic:spPr>
                </pic:pic>
              </a:graphicData>
            </a:graphic>
          </wp:inline>
        </w:drawing>
      </w:r>
    </w:p>
    <w:p w14:paraId="156B13BF" w14:textId="77777777" w:rsidR="003C2B91" w:rsidRPr="00AB73C3" w:rsidRDefault="003C2B91" w:rsidP="003C2B91">
      <w:pPr>
        <w:spacing w:line="360" w:lineRule="auto"/>
        <w:jc w:val="center"/>
        <w:rPr>
          <w:rFonts w:ascii="Arial Narrow" w:hAnsi="Arial Narrow" w:cs="Calibri"/>
          <w:color w:val="000000" w:themeColor="text1"/>
          <w:szCs w:val="28"/>
          <w:lang w:val="es-ES"/>
        </w:rPr>
      </w:pPr>
      <w:r w:rsidRPr="00AB73C3">
        <w:rPr>
          <w:rFonts w:ascii="Arial Narrow" w:hAnsi="Arial Narrow" w:cs="Calibri"/>
          <w:color w:val="000000" w:themeColor="text1"/>
          <w:szCs w:val="28"/>
          <w:lang w:val="es-ES"/>
        </w:rPr>
        <w:t>Universidad de Costa Rica</w:t>
      </w:r>
    </w:p>
    <w:p w14:paraId="47E13238" w14:textId="77777777" w:rsidR="003C2B91" w:rsidRPr="00AB73C3" w:rsidRDefault="003C2B91" w:rsidP="003C2B91">
      <w:pPr>
        <w:spacing w:line="360" w:lineRule="auto"/>
        <w:jc w:val="center"/>
        <w:rPr>
          <w:rFonts w:ascii="Arial Narrow" w:hAnsi="Arial Narrow" w:cs="Calibri"/>
          <w:color w:val="000000" w:themeColor="text1"/>
          <w:szCs w:val="28"/>
          <w:lang w:val="es-ES"/>
        </w:rPr>
      </w:pPr>
      <w:r w:rsidRPr="00AB73C3">
        <w:rPr>
          <w:rFonts w:ascii="Arial Narrow" w:hAnsi="Arial Narrow" w:cs="Calibri"/>
          <w:color w:val="000000" w:themeColor="text1"/>
          <w:szCs w:val="28"/>
          <w:lang w:val="es-ES"/>
        </w:rPr>
        <w:t xml:space="preserve">Sistema de Estudios de Postgrado </w:t>
      </w:r>
    </w:p>
    <w:p w14:paraId="25507226" w14:textId="77777777" w:rsidR="003C2B91" w:rsidRPr="00AB73C3" w:rsidRDefault="003C2B91" w:rsidP="003C2B91">
      <w:pPr>
        <w:spacing w:line="360" w:lineRule="auto"/>
        <w:jc w:val="center"/>
        <w:rPr>
          <w:rFonts w:ascii="Arial Narrow" w:hAnsi="Arial Narrow" w:cs="Calibri"/>
          <w:color w:val="000000" w:themeColor="text1"/>
          <w:szCs w:val="28"/>
          <w:lang w:val="es-ES"/>
        </w:rPr>
      </w:pPr>
      <w:r w:rsidRPr="00AB73C3">
        <w:rPr>
          <w:rFonts w:ascii="Arial Narrow" w:hAnsi="Arial Narrow" w:cs="Calibri"/>
          <w:color w:val="000000" w:themeColor="text1"/>
          <w:szCs w:val="28"/>
          <w:lang w:val="es-ES"/>
        </w:rPr>
        <w:t>Programa de posgrado en Especialidades Médicas</w:t>
      </w:r>
    </w:p>
    <w:p w14:paraId="1A37F38C" w14:textId="77777777" w:rsidR="003C2B91" w:rsidRPr="00AB73C3" w:rsidRDefault="003C2B91" w:rsidP="003C2B91">
      <w:pPr>
        <w:spacing w:line="360" w:lineRule="auto"/>
        <w:rPr>
          <w:rFonts w:ascii="Arial Narrow" w:hAnsi="Arial Narrow" w:cs="Calibri"/>
          <w:b/>
          <w:bCs/>
          <w:color w:val="000000" w:themeColor="text1"/>
          <w:szCs w:val="28"/>
          <w:lang w:val="es-ES"/>
        </w:rPr>
      </w:pPr>
    </w:p>
    <w:p w14:paraId="6F87103B" w14:textId="77777777" w:rsidR="003C2B91" w:rsidRPr="00AB73C3" w:rsidRDefault="003C2B91" w:rsidP="003C2B91">
      <w:pPr>
        <w:spacing w:line="360" w:lineRule="auto"/>
        <w:jc w:val="center"/>
        <w:rPr>
          <w:rFonts w:ascii="Arial Narrow" w:hAnsi="Arial Narrow" w:cs="Calibri"/>
          <w:b/>
          <w:bCs/>
          <w:color w:val="000000" w:themeColor="text1"/>
          <w:szCs w:val="28"/>
          <w:lang w:val="es-ES"/>
        </w:rPr>
      </w:pPr>
      <w:r w:rsidRPr="00AB73C3">
        <w:rPr>
          <w:rFonts w:ascii="Arial Narrow" w:hAnsi="Arial Narrow" w:cs="Calibri"/>
          <w:b/>
          <w:bCs/>
          <w:color w:val="000000" w:themeColor="text1"/>
          <w:szCs w:val="28"/>
          <w:lang w:val="es-ES"/>
        </w:rPr>
        <w:t>Resultado del uso de la claritromicina en la ruptura prematura de membranas alejada de término en el Servicio de Obstetricia del Hospital De Las Mujeres Adolfo Carit Eva en el período de enero del 2013 a enero del 2018: estudio de cohorte observacional retrospectivo</w:t>
      </w:r>
    </w:p>
    <w:p w14:paraId="2B86A77D" w14:textId="77777777" w:rsidR="003C2B91" w:rsidRPr="00AB73C3" w:rsidRDefault="003C2B91" w:rsidP="003C2B91">
      <w:pPr>
        <w:spacing w:line="360" w:lineRule="auto"/>
        <w:rPr>
          <w:rFonts w:ascii="Arial Narrow" w:hAnsi="Arial Narrow" w:cs="Calibri"/>
          <w:b/>
          <w:bCs/>
          <w:color w:val="000000" w:themeColor="text1"/>
          <w:szCs w:val="28"/>
          <w:lang w:val="es-ES"/>
        </w:rPr>
      </w:pPr>
    </w:p>
    <w:p w14:paraId="67D42A38" w14:textId="77777777" w:rsidR="003C2B91" w:rsidRPr="00AB73C3" w:rsidRDefault="003C2B91" w:rsidP="003C2B91">
      <w:pPr>
        <w:spacing w:line="360" w:lineRule="auto"/>
        <w:jc w:val="center"/>
        <w:rPr>
          <w:rFonts w:ascii="Arial Narrow" w:hAnsi="Arial Narrow" w:cs="Calibri"/>
          <w:b/>
          <w:bCs/>
          <w:color w:val="000000" w:themeColor="text1"/>
          <w:szCs w:val="28"/>
          <w:lang w:val="es-ES"/>
        </w:rPr>
      </w:pPr>
      <w:r w:rsidRPr="00AB73C3">
        <w:rPr>
          <w:rFonts w:ascii="Arial Narrow" w:hAnsi="Arial Narrow" w:cs="Calibri"/>
          <w:b/>
          <w:bCs/>
          <w:color w:val="000000" w:themeColor="text1"/>
          <w:szCs w:val="28"/>
          <w:lang w:val="es-ES"/>
        </w:rPr>
        <w:t xml:space="preserve">Trabajo Final de Graduación sometido a </w:t>
      </w:r>
    </w:p>
    <w:p w14:paraId="51648EF1" w14:textId="77777777" w:rsidR="003C2B91" w:rsidRPr="00AB73C3" w:rsidRDefault="003C2B91" w:rsidP="003C2B91">
      <w:pPr>
        <w:spacing w:line="360" w:lineRule="auto"/>
        <w:jc w:val="center"/>
        <w:rPr>
          <w:rFonts w:ascii="Arial Narrow" w:hAnsi="Arial Narrow" w:cs="Calibri"/>
          <w:b/>
          <w:bCs/>
          <w:color w:val="000000" w:themeColor="text1"/>
          <w:szCs w:val="28"/>
          <w:lang w:val="es-ES"/>
        </w:rPr>
      </w:pPr>
      <w:r w:rsidRPr="00AB73C3">
        <w:rPr>
          <w:rFonts w:ascii="Arial Narrow" w:hAnsi="Arial Narrow" w:cs="Calibri"/>
          <w:b/>
          <w:bCs/>
          <w:color w:val="000000" w:themeColor="text1"/>
          <w:szCs w:val="28"/>
          <w:lang w:val="es-ES"/>
        </w:rPr>
        <w:t xml:space="preserve">la consideración del comité de la Especialidad en </w:t>
      </w:r>
    </w:p>
    <w:p w14:paraId="19CCA346" w14:textId="77777777" w:rsidR="003C2B91" w:rsidRPr="00AB73C3" w:rsidRDefault="003C2B91" w:rsidP="003C2B91">
      <w:pPr>
        <w:spacing w:line="360" w:lineRule="auto"/>
        <w:jc w:val="center"/>
        <w:rPr>
          <w:rFonts w:ascii="Arial Narrow" w:hAnsi="Arial Narrow" w:cs="Calibri"/>
          <w:b/>
          <w:bCs/>
          <w:color w:val="000000" w:themeColor="text1"/>
          <w:szCs w:val="28"/>
          <w:lang w:val="es-ES"/>
        </w:rPr>
      </w:pPr>
      <w:r w:rsidRPr="00AB73C3">
        <w:rPr>
          <w:rFonts w:ascii="Arial Narrow" w:hAnsi="Arial Narrow" w:cs="Calibri"/>
          <w:b/>
          <w:bCs/>
          <w:color w:val="000000" w:themeColor="text1"/>
          <w:szCs w:val="28"/>
          <w:lang w:val="es-ES"/>
        </w:rPr>
        <w:t xml:space="preserve">Ginecología y Obstetricia para optar por el grado </w:t>
      </w:r>
    </w:p>
    <w:p w14:paraId="5AA0613C" w14:textId="77777777" w:rsidR="003C2B91" w:rsidRPr="00AB73C3" w:rsidRDefault="003C2B91" w:rsidP="003C2B91">
      <w:pPr>
        <w:spacing w:line="360" w:lineRule="auto"/>
        <w:jc w:val="center"/>
        <w:rPr>
          <w:rFonts w:ascii="Arial Narrow" w:hAnsi="Arial Narrow" w:cs="Calibri"/>
          <w:b/>
          <w:bCs/>
          <w:color w:val="000000" w:themeColor="text1"/>
          <w:szCs w:val="28"/>
          <w:lang w:val="es-ES"/>
        </w:rPr>
      </w:pPr>
      <w:r w:rsidRPr="00AB73C3">
        <w:rPr>
          <w:rFonts w:ascii="Arial Narrow" w:hAnsi="Arial Narrow" w:cs="Calibri"/>
          <w:b/>
          <w:bCs/>
          <w:color w:val="000000" w:themeColor="text1"/>
          <w:szCs w:val="28"/>
          <w:lang w:val="es-ES"/>
        </w:rPr>
        <w:t>y título de Especialista en Ginecología y Obstetricia</w:t>
      </w:r>
    </w:p>
    <w:p w14:paraId="55BF2C76" w14:textId="77777777" w:rsidR="003C2B91" w:rsidRPr="00AB73C3" w:rsidRDefault="003C2B91" w:rsidP="003C2B91">
      <w:pPr>
        <w:spacing w:line="360" w:lineRule="auto"/>
        <w:rPr>
          <w:rFonts w:ascii="Arial Narrow" w:hAnsi="Arial Narrow" w:cs="Calibri"/>
          <w:color w:val="000000" w:themeColor="text1"/>
          <w:szCs w:val="28"/>
          <w:lang w:val="es-ES"/>
        </w:rPr>
      </w:pPr>
    </w:p>
    <w:p w14:paraId="221999C3" w14:textId="77777777" w:rsidR="003C2B91" w:rsidRPr="00AB73C3" w:rsidRDefault="003C2B91" w:rsidP="003C2B91">
      <w:pPr>
        <w:spacing w:line="360" w:lineRule="auto"/>
        <w:jc w:val="center"/>
        <w:rPr>
          <w:rFonts w:ascii="Arial Narrow" w:hAnsi="Arial Narrow" w:cs="Calibri"/>
          <w:color w:val="000000" w:themeColor="text1"/>
          <w:szCs w:val="28"/>
          <w:lang w:val="es-ES"/>
        </w:rPr>
      </w:pPr>
      <w:r w:rsidRPr="00AB73C3">
        <w:rPr>
          <w:rFonts w:ascii="Arial Narrow" w:hAnsi="Arial Narrow" w:cs="Calibri"/>
          <w:color w:val="000000" w:themeColor="text1"/>
          <w:szCs w:val="28"/>
          <w:lang w:val="es-ES"/>
        </w:rPr>
        <w:t>Dra. Adriana Paniagua Briceño</w:t>
      </w:r>
    </w:p>
    <w:p w14:paraId="4B2CA116" w14:textId="77777777" w:rsidR="003C2B91" w:rsidRPr="00AB73C3" w:rsidRDefault="003C2B91" w:rsidP="003C2B91">
      <w:pPr>
        <w:spacing w:line="360" w:lineRule="auto"/>
        <w:jc w:val="center"/>
        <w:rPr>
          <w:rFonts w:ascii="Arial Narrow" w:hAnsi="Arial Narrow" w:cs="Calibri"/>
          <w:color w:val="000000" w:themeColor="text1"/>
          <w:szCs w:val="28"/>
          <w:lang w:val="es-ES"/>
        </w:rPr>
      </w:pPr>
      <w:r w:rsidRPr="00AB73C3">
        <w:rPr>
          <w:rFonts w:ascii="Arial Narrow" w:hAnsi="Arial Narrow" w:cs="Calibri"/>
          <w:color w:val="000000" w:themeColor="text1"/>
          <w:szCs w:val="28"/>
          <w:lang w:val="es-ES"/>
        </w:rPr>
        <w:t>Dra. Daniela Montero Camacho</w:t>
      </w:r>
    </w:p>
    <w:p w14:paraId="0A2C9B44" w14:textId="77777777" w:rsidR="003C2B91" w:rsidRPr="00AB73C3" w:rsidRDefault="003C2B91" w:rsidP="003C2B91">
      <w:pPr>
        <w:spacing w:line="360" w:lineRule="auto"/>
        <w:rPr>
          <w:rFonts w:ascii="Arial Narrow" w:hAnsi="Arial Narrow" w:cs="Calibri"/>
          <w:color w:val="000000" w:themeColor="text1"/>
          <w:szCs w:val="28"/>
          <w:lang w:val="es-ES"/>
        </w:rPr>
      </w:pPr>
    </w:p>
    <w:p w14:paraId="6C4D441C" w14:textId="77777777" w:rsidR="003C2B91" w:rsidRPr="00AB73C3" w:rsidRDefault="003C2B91" w:rsidP="003C2B91">
      <w:pPr>
        <w:spacing w:line="360" w:lineRule="auto"/>
        <w:jc w:val="center"/>
        <w:rPr>
          <w:rFonts w:ascii="Arial Narrow" w:hAnsi="Arial Narrow" w:cs="Calibri"/>
          <w:color w:val="000000" w:themeColor="text1"/>
          <w:szCs w:val="28"/>
          <w:lang w:val="es-ES"/>
        </w:rPr>
      </w:pPr>
      <w:r w:rsidRPr="00AB73C3">
        <w:rPr>
          <w:rFonts w:ascii="Arial Narrow" w:hAnsi="Arial Narrow" w:cs="Calibri"/>
          <w:color w:val="000000" w:themeColor="text1"/>
          <w:szCs w:val="28"/>
          <w:lang w:val="es-ES"/>
        </w:rPr>
        <w:t xml:space="preserve">Tutor: </w:t>
      </w:r>
    </w:p>
    <w:p w14:paraId="6B3AE027" w14:textId="77777777" w:rsidR="003C2B91" w:rsidRPr="00AB73C3" w:rsidRDefault="003C2B91" w:rsidP="003C2B91">
      <w:pPr>
        <w:spacing w:line="360" w:lineRule="auto"/>
        <w:jc w:val="center"/>
        <w:rPr>
          <w:rFonts w:ascii="Arial Narrow" w:hAnsi="Arial Narrow" w:cs="Calibri"/>
          <w:color w:val="000000" w:themeColor="text1"/>
          <w:szCs w:val="28"/>
          <w:lang w:val="es-ES"/>
        </w:rPr>
      </w:pPr>
      <w:r w:rsidRPr="00AB73C3">
        <w:rPr>
          <w:rFonts w:ascii="Arial Narrow" w:hAnsi="Arial Narrow" w:cs="Calibri"/>
          <w:color w:val="000000" w:themeColor="text1"/>
          <w:szCs w:val="28"/>
          <w:lang w:val="es-ES"/>
        </w:rPr>
        <w:t>Dra. Natalia Peñaranda Zúñiga</w:t>
      </w:r>
    </w:p>
    <w:p w14:paraId="4CB62D48" w14:textId="77777777" w:rsidR="003C2B91" w:rsidRPr="00AB73C3" w:rsidRDefault="003C2B91" w:rsidP="003C2B91">
      <w:pPr>
        <w:spacing w:line="360" w:lineRule="auto"/>
        <w:jc w:val="center"/>
        <w:rPr>
          <w:rFonts w:ascii="Arial Narrow" w:hAnsi="Arial Narrow" w:cs="Calibri"/>
          <w:color w:val="000000" w:themeColor="text1"/>
          <w:szCs w:val="28"/>
          <w:lang w:val="es-ES"/>
        </w:rPr>
      </w:pPr>
      <w:r w:rsidRPr="00AB73C3">
        <w:rPr>
          <w:rFonts w:ascii="Arial Narrow" w:hAnsi="Arial Narrow" w:cs="Calibri"/>
          <w:color w:val="000000" w:themeColor="text1"/>
          <w:szCs w:val="28"/>
          <w:lang w:val="es-ES"/>
        </w:rPr>
        <w:t>Médico Asistente Especialista</w:t>
      </w:r>
    </w:p>
    <w:p w14:paraId="03F3F967" w14:textId="77777777" w:rsidR="003C2B91" w:rsidRPr="00AB73C3" w:rsidRDefault="003C2B91" w:rsidP="003C2B91">
      <w:pPr>
        <w:spacing w:line="360" w:lineRule="auto"/>
        <w:jc w:val="center"/>
        <w:rPr>
          <w:rFonts w:ascii="Arial Narrow" w:hAnsi="Arial Narrow" w:cs="Calibri"/>
          <w:color w:val="000000" w:themeColor="text1"/>
          <w:szCs w:val="28"/>
          <w:lang w:val="es-ES"/>
        </w:rPr>
      </w:pPr>
      <w:r w:rsidRPr="00AB73C3">
        <w:rPr>
          <w:rFonts w:ascii="Arial Narrow" w:hAnsi="Arial Narrow" w:cs="Calibri"/>
          <w:color w:val="000000" w:themeColor="text1"/>
          <w:szCs w:val="28"/>
          <w:lang w:val="es-ES"/>
        </w:rPr>
        <w:t>Ginecología - Obstetricia</w:t>
      </w:r>
    </w:p>
    <w:p w14:paraId="41B39A84" w14:textId="77777777" w:rsidR="003C2B91" w:rsidRPr="00AB73C3" w:rsidRDefault="003C2B91" w:rsidP="003C2B91">
      <w:pPr>
        <w:spacing w:line="360" w:lineRule="auto"/>
        <w:jc w:val="center"/>
        <w:rPr>
          <w:rFonts w:ascii="Arial Narrow" w:hAnsi="Arial Narrow" w:cs="Calibri"/>
          <w:color w:val="000000" w:themeColor="text1"/>
          <w:szCs w:val="28"/>
          <w:lang w:val="es-ES"/>
        </w:rPr>
      </w:pPr>
    </w:p>
    <w:p w14:paraId="223B9957" w14:textId="77777777" w:rsidR="003C2B91" w:rsidRPr="00AB73C3" w:rsidRDefault="003C2B91" w:rsidP="003C2B91">
      <w:pPr>
        <w:spacing w:line="360" w:lineRule="auto"/>
        <w:rPr>
          <w:rFonts w:ascii="Arial Narrow" w:hAnsi="Arial Narrow" w:cs="Calibri"/>
          <w:color w:val="000000" w:themeColor="text1"/>
          <w:szCs w:val="28"/>
          <w:lang w:val="es-ES"/>
        </w:rPr>
      </w:pPr>
    </w:p>
    <w:p w14:paraId="63765AD9" w14:textId="77777777" w:rsidR="003C2B91" w:rsidRPr="00AB73C3" w:rsidRDefault="003C2B91" w:rsidP="003C2B91">
      <w:pPr>
        <w:spacing w:line="360" w:lineRule="auto"/>
        <w:jc w:val="center"/>
        <w:rPr>
          <w:rFonts w:ascii="Arial Narrow" w:hAnsi="Arial Narrow" w:cs="Calibri"/>
          <w:b/>
          <w:bCs/>
          <w:color w:val="000000" w:themeColor="text1"/>
          <w:szCs w:val="28"/>
          <w:lang w:val="es-ES"/>
        </w:rPr>
      </w:pPr>
      <w:r w:rsidRPr="00AB73C3">
        <w:rPr>
          <w:rFonts w:ascii="Arial Narrow" w:hAnsi="Arial Narrow" w:cs="Calibri"/>
          <w:b/>
          <w:bCs/>
          <w:color w:val="000000" w:themeColor="text1"/>
          <w:szCs w:val="28"/>
          <w:lang w:val="es-ES"/>
        </w:rPr>
        <w:t>Hospital De Las Mujeres Adolfo Carit Eva</w:t>
      </w:r>
    </w:p>
    <w:p w14:paraId="4E88122B" w14:textId="77777777" w:rsidR="00126889" w:rsidRDefault="00126889" w:rsidP="003C2B91">
      <w:pPr>
        <w:spacing w:line="360" w:lineRule="auto"/>
        <w:jc w:val="center"/>
        <w:rPr>
          <w:rFonts w:ascii="Arial Narrow" w:hAnsi="Arial Narrow" w:cs="Calibri"/>
          <w:b/>
          <w:bCs/>
          <w:color w:val="000000" w:themeColor="text1"/>
          <w:sz w:val="28"/>
          <w:szCs w:val="28"/>
          <w:lang w:val="es-ES"/>
        </w:rPr>
        <w:sectPr w:rsidR="00126889" w:rsidSect="009525F3">
          <w:headerReference w:type="default" r:id="rId9"/>
          <w:pgSz w:w="12240" w:h="15840"/>
          <w:pgMar w:top="1417" w:right="1701" w:bottom="1417" w:left="1701" w:header="708" w:footer="0" w:gutter="0"/>
          <w:pgNumType w:start="1" w:chapStyle="1"/>
          <w:cols w:space="720"/>
          <w:formProt w:val="0"/>
          <w:docGrid w:linePitch="360"/>
        </w:sectPr>
      </w:pPr>
      <w:r w:rsidRPr="00AB73C3">
        <w:rPr>
          <w:rFonts w:ascii="Arial Narrow" w:hAnsi="Arial Narrow" w:cs="Calibri"/>
          <w:b/>
          <w:bCs/>
          <w:color w:val="000000" w:themeColor="text1"/>
          <w:szCs w:val="28"/>
          <w:lang w:val="es-ES"/>
        </w:rPr>
        <w:t>Abril 2021</w:t>
      </w:r>
    </w:p>
    <w:p w14:paraId="552DE592" w14:textId="77777777" w:rsidR="003C2B91" w:rsidRPr="00126889" w:rsidRDefault="003C2B91" w:rsidP="003C2B91">
      <w:pPr>
        <w:rPr>
          <w:rFonts w:ascii="Calibri" w:hAnsi="Calibri" w:cs="Calibri"/>
          <w:b/>
          <w:color w:val="000000" w:themeColor="text1"/>
          <w:sz w:val="20"/>
          <w:szCs w:val="20"/>
          <w:lang w:val="es-ES"/>
        </w:rPr>
      </w:pPr>
      <w:r w:rsidRPr="00FC1DA4">
        <w:rPr>
          <w:rFonts w:ascii="Arial Narrow" w:hAnsi="Arial Narrow" w:cs="Calibri"/>
          <w:b/>
          <w:color w:val="000000" w:themeColor="text1"/>
          <w:szCs w:val="20"/>
          <w:lang w:val="es-ES"/>
        </w:rPr>
        <w:lastRenderedPageBreak/>
        <w:t>Agradecimientos</w:t>
      </w:r>
    </w:p>
    <w:p w14:paraId="5CCCE5BC" w14:textId="77777777" w:rsidR="003C2B91" w:rsidRPr="00FC1DA4" w:rsidRDefault="003C2B91" w:rsidP="003C2B91">
      <w:pPr>
        <w:rPr>
          <w:rFonts w:ascii="Arial Narrow" w:hAnsi="Arial Narrow" w:cs="Calibri"/>
          <w:b/>
          <w:color w:val="000000" w:themeColor="text1"/>
          <w:szCs w:val="20"/>
          <w:lang w:val="es-ES"/>
        </w:rPr>
      </w:pPr>
    </w:p>
    <w:p w14:paraId="3B963304" w14:textId="77777777" w:rsidR="003C2B91" w:rsidRPr="00FC1DA4" w:rsidRDefault="003C2B91" w:rsidP="003C2B91">
      <w:pPr>
        <w:spacing w:line="360" w:lineRule="auto"/>
        <w:jc w:val="both"/>
        <w:rPr>
          <w:rFonts w:ascii="Arial Narrow" w:hAnsi="Arial Narrow" w:cs="Calibri"/>
          <w:color w:val="000000" w:themeColor="text1"/>
          <w:szCs w:val="20"/>
          <w:lang w:val="es-ES"/>
        </w:rPr>
      </w:pPr>
      <w:r w:rsidRPr="00FC1DA4">
        <w:rPr>
          <w:rFonts w:ascii="Arial Narrow" w:hAnsi="Arial Narrow" w:cs="Calibri"/>
          <w:color w:val="000000" w:themeColor="text1"/>
          <w:szCs w:val="20"/>
          <w:lang w:val="es-ES"/>
        </w:rPr>
        <w:t xml:space="preserve">Al comité de investigación, en especial a la Dra. León H y la Dra. Vargas, por la orientación y paciencia. </w:t>
      </w:r>
    </w:p>
    <w:p w14:paraId="0C2FF281" w14:textId="77777777" w:rsidR="003C2B91" w:rsidRPr="00FC1DA4" w:rsidRDefault="003C2B91" w:rsidP="003C2B91">
      <w:pPr>
        <w:spacing w:line="360" w:lineRule="auto"/>
        <w:jc w:val="both"/>
        <w:rPr>
          <w:rFonts w:ascii="Arial Narrow" w:hAnsi="Arial Narrow" w:cs="Calibri"/>
          <w:color w:val="000000" w:themeColor="text1"/>
          <w:szCs w:val="20"/>
          <w:lang w:val="es-ES"/>
        </w:rPr>
      </w:pPr>
    </w:p>
    <w:p w14:paraId="2676EE5F" w14:textId="77777777" w:rsidR="003C2B91" w:rsidRPr="00FC1DA4" w:rsidRDefault="003C2B91" w:rsidP="003C2B91">
      <w:pPr>
        <w:spacing w:line="360" w:lineRule="auto"/>
        <w:jc w:val="both"/>
        <w:rPr>
          <w:rFonts w:ascii="Arial Narrow" w:hAnsi="Arial Narrow" w:cs="Calibri"/>
          <w:color w:val="000000" w:themeColor="text1"/>
          <w:szCs w:val="20"/>
          <w:lang w:val="es-ES"/>
        </w:rPr>
      </w:pPr>
      <w:r w:rsidRPr="00FC1DA4">
        <w:rPr>
          <w:rFonts w:ascii="Arial Narrow" w:hAnsi="Arial Narrow" w:cs="Calibri"/>
          <w:color w:val="000000" w:themeColor="text1"/>
          <w:szCs w:val="20"/>
          <w:lang w:val="es-ES"/>
        </w:rPr>
        <w:t xml:space="preserve">Al Dr. Pacheco por la tutoría e interés por nuestro trabajo. </w:t>
      </w:r>
    </w:p>
    <w:p w14:paraId="3BA36C22" w14:textId="77777777" w:rsidR="003C2B91" w:rsidRPr="00FC1DA4" w:rsidRDefault="003C2B91" w:rsidP="003C2B91">
      <w:pPr>
        <w:spacing w:line="360" w:lineRule="auto"/>
        <w:jc w:val="both"/>
        <w:rPr>
          <w:rFonts w:ascii="Arial Narrow" w:hAnsi="Arial Narrow" w:cs="Calibri"/>
          <w:color w:val="000000" w:themeColor="text1"/>
          <w:szCs w:val="20"/>
          <w:lang w:val="es-ES"/>
        </w:rPr>
      </w:pPr>
    </w:p>
    <w:p w14:paraId="077821FB" w14:textId="77777777" w:rsidR="003C2B91" w:rsidRPr="00FC1DA4" w:rsidRDefault="003C2B91" w:rsidP="003C2B91">
      <w:pPr>
        <w:spacing w:line="360" w:lineRule="auto"/>
        <w:jc w:val="both"/>
        <w:rPr>
          <w:rFonts w:ascii="Arial Narrow" w:hAnsi="Arial Narrow" w:cs="Calibri"/>
          <w:color w:val="000000" w:themeColor="text1"/>
          <w:szCs w:val="20"/>
          <w:lang w:val="es-ES"/>
        </w:rPr>
      </w:pPr>
      <w:r w:rsidRPr="00FC1DA4">
        <w:rPr>
          <w:rFonts w:ascii="Arial Narrow" w:hAnsi="Arial Narrow" w:cs="Calibri"/>
          <w:color w:val="000000" w:themeColor="text1"/>
          <w:szCs w:val="20"/>
          <w:lang w:val="es-ES"/>
        </w:rPr>
        <w:t>A la Dra. Peñaranda por ayudarnos con nuestro proyecto final de graduación.</w:t>
      </w:r>
    </w:p>
    <w:p w14:paraId="26BC548E" w14:textId="77777777" w:rsidR="003C2B91" w:rsidRPr="00FC1DA4" w:rsidRDefault="003C2B91" w:rsidP="003C2B91">
      <w:pPr>
        <w:spacing w:line="360" w:lineRule="auto"/>
        <w:jc w:val="both"/>
        <w:rPr>
          <w:rFonts w:ascii="Arial Narrow" w:hAnsi="Arial Narrow" w:cs="Calibri"/>
          <w:color w:val="000000" w:themeColor="text1"/>
          <w:szCs w:val="20"/>
          <w:lang w:val="es-ES"/>
        </w:rPr>
      </w:pPr>
    </w:p>
    <w:p w14:paraId="2204922C" w14:textId="77777777" w:rsidR="003C2B91" w:rsidRPr="00FC1DA4" w:rsidRDefault="003C2B91" w:rsidP="003C2B91">
      <w:pPr>
        <w:spacing w:line="360" w:lineRule="auto"/>
        <w:jc w:val="both"/>
        <w:rPr>
          <w:rFonts w:ascii="Arial Narrow" w:hAnsi="Arial Narrow" w:cs="Calibri"/>
          <w:color w:val="000000" w:themeColor="text1"/>
          <w:szCs w:val="20"/>
          <w:lang w:val="es-ES"/>
        </w:rPr>
      </w:pPr>
      <w:r w:rsidRPr="00FC1DA4">
        <w:rPr>
          <w:rFonts w:ascii="Arial Narrow" w:hAnsi="Arial Narrow" w:cs="Calibri"/>
          <w:color w:val="000000" w:themeColor="text1"/>
          <w:szCs w:val="20"/>
          <w:lang w:val="es-ES"/>
        </w:rPr>
        <w:t>Al personal de Estadística y Archivo del Hospital de las Mujeres Adolfo Carit Eva por ayudarnos oportunamente en la recopilación de expedientes.</w:t>
      </w:r>
    </w:p>
    <w:p w14:paraId="24685982" w14:textId="77777777" w:rsidR="003C2B91" w:rsidRPr="00FC1DA4" w:rsidRDefault="003C2B91" w:rsidP="003C2B91">
      <w:pPr>
        <w:spacing w:line="360" w:lineRule="auto"/>
        <w:jc w:val="both"/>
        <w:rPr>
          <w:rFonts w:ascii="Arial Narrow" w:hAnsi="Arial Narrow" w:cs="Calibri"/>
          <w:color w:val="000000" w:themeColor="text1"/>
          <w:szCs w:val="20"/>
          <w:lang w:val="es-ES"/>
        </w:rPr>
      </w:pPr>
    </w:p>
    <w:p w14:paraId="523E9A8E" w14:textId="77777777" w:rsidR="003127EC" w:rsidRDefault="003C2B91" w:rsidP="003C2B91">
      <w:pPr>
        <w:spacing w:line="360" w:lineRule="auto"/>
        <w:jc w:val="both"/>
        <w:rPr>
          <w:rFonts w:ascii="Calibri" w:hAnsi="Calibri" w:cs="Calibri"/>
          <w:color w:val="000000" w:themeColor="text1"/>
          <w:szCs w:val="20"/>
          <w:lang w:val="es-ES"/>
        </w:rPr>
      </w:pPr>
      <w:r w:rsidRPr="00FC1DA4">
        <w:rPr>
          <w:rFonts w:ascii="Arial Narrow" w:hAnsi="Arial Narrow" w:cs="Calibri"/>
          <w:color w:val="000000" w:themeColor="text1"/>
          <w:szCs w:val="20"/>
          <w:lang w:val="es-ES"/>
        </w:rPr>
        <w:t>Y, por último, a nuestras familias, amigos e hija, que nos apoyaron en todo momento y han sido nuestra motivación en el proceso de formación como Especialistas.</w:t>
      </w:r>
      <w:r w:rsidRPr="00FC1DA4">
        <w:rPr>
          <w:rFonts w:ascii="Calibri" w:hAnsi="Calibri" w:cs="Calibri"/>
          <w:color w:val="000000" w:themeColor="text1"/>
          <w:szCs w:val="20"/>
          <w:lang w:val="es-ES"/>
        </w:rPr>
        <w:t xml:space="preserve"> </w:t>
      </w:r>
    </w:p>
    <w:p w14:paraId="46BC1A9E" w14:textId="4C6F4A31" w:rsidR="003127EC" w:rsidRDefault="003127EC">
      <w:pPr>
        <w:rPr>
          <w:rFonts w:ascii="Calibri" w:hAnsi="Calibri" w:cs="Calibri"/>
          <w:color w:val="000000" w:themeColor="text1"/>
          <w:szCs w:val="20"/>
          <w:lang w:val="es-ES"/>
        </w:rPr>
      </w:pPr>
      <w:r>
        <w:rPr>
          <w:rFonts w:ascii="Calibri" w:hAnsi="Calibri" w:cs="Calibri"/>
          <w:color w:val="000000" w:themeColor="text1"/>
          <w:szCs w:val="20"/>
          <w:lang w:val="es-ES"/>
        </w:rPr>
        <w:br w:type="page"/>
      </w:r>
      <w:r w:rsidR="000E2475" w:rsidRPr="000E2475">
        <w:rPr>
          <w:rFonts w:ascii="Calibri" w:hAnsi="Calibri" w:cs="Calibri"/>
          <w:color w:val="000000" w:themeColor="text1"/>
          <w:szCs w:val="20"/>
          <w:lang w:val="es-ES"/>
        </w:rPr>
        <w:lastRenderedPageBreak/>
        <w:drawing>
          <wp:inline distT="0" distB="0" distL="0" distR="0" wp14:anchorId="647E1057" wp14:editId="68044F5A">
            <wp:extent cx="5612130" cy="7514590"/>
            <wp:effectExtent l="0" t="0" r="127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12130" cy="7514590"/>
                    </a:xfrm>
                    <a:prstGeom prst="rect">
                      <a:avLst/>
                    </a:prstGeom>
                  </pic:spPr>
                </pic:pic>
              </a:graphicData>
            </a:graphic>
          </wp:inline>
        </w:drawing>
      </w:r>
    </w:p>
    <w:p w14:paraId="6BA815C1" w14:textId="77777777" w:rsidR="000E2475" w:rsidRDefault="003127EC" w:rsidP="003127EC">
      <w:pPr>
        <w:spacing w:line="360" w:lineRule="auto"/>
        <w:jc w:val="both"/>
        <w:rPr>
          <w:rFonts w:ascii="Arial Narrow" w:hAnsi="Arial Narrow" w:cs="Calibri"/>
          <w:color w:val="000000" w:themeColor="text1"/>
          <w:lang w:val="es-ES"/>
        </w:rPr>
      </w:pPr>
      <w:r w:rsidRPr="003127EC">
        <w:rPr>
          <w:rFonts w:ascii="Arial Narrow" w:hAnsi="Arial Narrow" w:cs="Calibri"/>
          <w:color w:val="000000" w:themeColor="text1"/>
          <w:lang w:val="es-ES"/>
        </w:rPr>
        <w:t>Este trabajo final de graduación fue aceptado por la Subcomisión de la Especialidad en Ginecología y Obstetricia del Programa de Posgrado en Especialidades Médicas de la Universidad de Costa Rica, como requisito parcial para optar por el grado y título de Especialista en Ginecología y Obstetricia.</w:t>
      </w:r>
    </w:p>
    <w:p w14:paraId="7E215AA4" w14:textId="2277DEB9" w:rsidR="003C2B91" w:rsidRPr="000E2475" w:rsidRDefault="003C2B91" w:rsidP="003127EC">
      <w:pPr>
        <w:spacing w:line="360" w:lineRule="auto"/>
        <w:jc w:val="both"/>
        <w:rPr>
          <w:rFonts w:ascii="Arial Narrow" w:hAnsi="Arial Narrow" w:cs="Calibri"/>
          <w:color w:val="000000" w:themeColor="text1"/>
          <w:lang w:val="es-ES"/>
        </w:rPr>
      </w:pPr>
      <w:r w:rsidRPr="00FC1DA4">
        <w:rPr>
          <w:rFonts w:ascii="Arial Narrow" w:hAnsi="Arial Narrow" w:cs="Calibri"/>
          <w:b/>
          <w:color w:val="000000" w:themeColor="text1"/>
          <w:szCs w:val="20"/>
          <w:lang w:val="es-ES"/>
        </w:rPr>
        <w:lastRenderedPageBreak/>
        <w:t xml:space="preserve">Índice general </w:t>
      </w:r>
    </w:p>
    <w:p w14:paraId="609F3C43" w14:textId="77777777" w:rsidR="00651A6E" w:rsidRDefault="00651A6E" w:rsidP="00651A6E">
      <w:pPr>
        <w:spacing w:line="360" w:lineRule="auto"/>
        <w:jc w:val="both"/>
        <w:rPr>
          <w:rFonts w:ascii="Arial Narrow" w:hAnsi="Arial Narrow" w:cs="Calibri"/>
          <w:b/>
          <w:color w:val="000000" w:themeColor="text1"/>
          <w:szCs w:val="20"/>
          <w:lang w:val="es-ES"/>
        </w:rPr>
      </w:pPr>
    </w:p>
    <w:p w14:paraId="57D7CBC0" w14:textId="77777777" w:rsidR="00651A6E" w:rsidRDefault="00651A6E" w:rsidP="00651A6E">
      <w:pPr>
        <w:spacing w:line="360" w:lineRule="auto"/>
        <w:jc w:val="both"/>
        <w:rPr>
          <w:rFonts w:ascii="Arial Narrow" w:hAnsi="Arial Narrow"/>
        </w:rPr>
      </w:pPr>
      <w:r>
        <w:rPr>
          <w:rFonts w:ascii="Arial Narrow" w:hAnsi="Arial Narrow"/>
        </w:rPr>
        <w:t>Agradecimientos…………………………………………………………….…………………..…………….i</w:t>
      </w:r>
    </w:p>
    <w:p w14:paraId="0CB076CB" w14:textId="77777777" w:rsidR="00651A6E" w:rsidRDefault="00651A6E" w:rsidP="00651A6E">
      <w:pPr>
        <w:spacing w:line="360" w:lineRule="auto"/>
        <w:jc w:val="both"/>
        <w:rPr>
          <w:rFonts w:ascii="Arial Narrow" w:hAnsi="Arial Narrow"/>
        </w:rPr>
      </w:pPr>
      <w:r>
        <w:rPr>
          <w:rFonts w:ascii="Arial Narrow" w:hAnsi="Arial Narrow"/>
        </w:rPr>
        <w:t>Índice general……………………………………………………………………………………………….…</w:t>
      </w:r>
      <w:proofErr w:type="spellStart"/>
      <w:r>
        <w:rPr>
          <w:rFonts w:ascii="Arial Narrow" w:hAnsi="Arial Narrow"/>
        </w:rPr>
        <w:t>ii</w:t>
      </w:r>
      <w:r w:rsidR="003127EC">
        <w:rPr>
          <w:rFonts w:ascii="Arial Narrow" w:hAnsi="Arial Narrow"/>
        </w:rPr>
        <w:t>I</w:t>
      </w:r>
      <w:proofErr w:type="spellEnd"/>
    </w:p>
    <w:p w14:paraId="68CA0EC1" w14:textId="77777777" w:rsidR="00651A6E" w:rsidRDefault="00651A6E" w:rsidP="00651A6E">
      <w:pPr>
        <w:spacing w:line="360" w:lineRule="auto"/>
        <w:jc w:val="both"/>
        <w:rPr>
          <w:rFonts w:ascii="Arial Narrow" w:hAnsi="Arial Narrow"/>
        </w:rPr>
      </w:pPr>
      <w:r>
        <w:rPr>
          <w:rFonts w:ascii="Arial Narrow" w:hAnsi="Arial Narrow"/>
        </w:rPr>
        <w:t>Resumen……………………………</w:t>
      </w:r>
      <w:r w:rsidR="003127EC">
        <w:rPr>
          <w:rFonts w:ascii="Arial Narrow" w:hAnsi="Arial Narrow"/>
        </w:rPr>
        <w:t>………………………………………………………………………….iv</w:t>
      </w:r>
    </w:p>
    <w:p w14:paraId="2AA4E71E" w14:textId="77777777" w:rsidR="00651A6E" w:rsidRDefault="00651A6E" w:rsidP="00651A6E">
      <w:pPr>
        <w:spacing w:line="360" w:lineRule="auto"/>
        <w:jc w:val="both"/>
        <w:rPr>
          <w:rFonts w:ascii="Arial Narrow" w:hAnsi="Arial Narrow"/>
        </w:rPr>
      </w:pPr>
      <w:proofErr w:type="spellStart"/>
      <w:r>
        <w:rPr>
          <w:rFonts w:ascii="Arial Narrow" w:hAnsi="Arial Narrow"/>
        </w:rPr>
        <w:t>Abstract</w:t>
      </w:r>
      <w:proofErr w:type="spellEnd"/>
      <w:r>
        <w:rPr>
          <w:rFonts w:ascii="Arial Narrow" w:hAnsi="Arial Narrow"/>
        </w:rPr>
        <w:t>……………………………………………………………………………………………..………….v</w:t>
      </w:r>
      <w:r w:rsidR="003127EC">
        <w:rPr>
          <w:rFonts w:ascii="Arial Narrow" w:hAnsi="Arial Narrow"/>
        </w:rPr>
        <w:t>i</w:t>
      </w:r>
    </w:p>
    <w:p w14:paraId="13433E0C" w14:textId="77777777" w:rsidR="00651A6E" w:rsidRDefault="00651A6E" w:rsidP="00651A6E">
      <w:pPr>
        <w:spacing w:line="360" w:lineRule="auto"/>
        <w:jc w:val="both"/>
        <w:rPr>
          <w:rFonts w:ascii="Arial Narrow" w:hAnsi="Arial Narrow"/>
        </w:rPr>
      </w:pPr>
      <w:r>
        <w:rPr>
          <w:rFonts w:ascii="Arial Narrow" w:hAnsi="Arial Narrow"/>
        </w:rPr>
        <w:t>Índice de tablas……………………………………………………………………</w:t>
      </w:r>
      <w:r w:rsidR="003127EC">
        <w:rPr>
          <w:rFonts w:ascii="Arial Narrow" w:hAnsi="Arial Narrow"/>
        </w:rPr>
        <w:t>……………………..……vii</w:t>
      </w:r>
    </w:p>
    <w:p w14:paraId="15B0052A" w14:textId="77777777" w:rsidR="00651A6E" w:rsidRDefault="00651A6E" w:rsidP="00651A6E">
      <w:pPr>
        <w:spacing w:line="360" w:lineRule="auto"/>
        <w:jc w:val="both"/>
        <w:rPr>
          <w:rFonts w:ascii="Arial Narrow" w:hAnsi="Arial Narrow"/>
        </w:rPr>
      </w:pPr>
      <w:r>
        <w:rPr>
          <w:rFonts w:ascii="Arial Narrow" w:hAnsi="Arial Narrow"/>
        </w:rPr>
        <w:t>Índices de gráficos………………………………………………………………………………….…………vii</w:t>
      </w:r>
      <w:r w:rsidR="003127EC">
        <w:rPr>
          <w:rFonts w:ascii="Arial Narrow" w:hAnsi="Arial Narrow"/>
        </w:rPr>
        <w:t>i</w:t>
      </w:r>
    </w:p>
    <w:p w14:paraId="1CC2D595" w14:textId="77777777" w:rsidR="00651A6E" w:rsidRDefault="00651A6E" w:rsidP="00651A6E">
      <w:pPr>
        <w:spacing w:line="360" w:lineRule="auto"/>
        <w:jc w:val="both"/>
        <w:rPr>
          <w:rFonts w:ascii="Arial Narrow" w:hAnsi="Arial Narrow"/>
        </w:rPr>
      </w:pPr>
      <w:r>
        <w:rPr>
          <w:rFonts w:ascii="Arial Narrow" w:hAnsi="Arial Narrow"/>
        </w:rPr>
        <w:t>Índice de abreviaturas…………………</w:t>
      </w:r>
      <w:r w:rsidR="003127EC">
        <w:rPr>
          <w:rFonts w:ascii="Arial Narrow" w:hAnsi="Arial Narrow"/>
        </w:rPr>
        <w:t>…………………………………………………………..…………ix</w:t>
      </w:r>
    </w:p>
    <w:p w14:paraId="798866E1" w14:textId="77777777" w:rsidR="00651A6E" w:rsidRDefault="00651A6E" w:rsidP="00651A6E">
      <w:pPr>
        <w:spacing w:line="360" w:lineRule="auto"/>
        <w:jc w:val="both"/>
        <w:rPr>
          <w:rFonts w:ascii="Arial Narrow" w:hAnsi="Arial Narrow"/>
        </w:rPr>
      </w:pPr>
      <w:r>
        <w:rPr>
          <w:rFonts w:ascii="Arial Narrow" w:hAnsi="Arial Narrow"/>
        </w:rPr>
        <w:t>Introducción……………………………………………………………………………………………………1</w:t>
      </w:r>
    </w:p>
    <w:p w14:paraId="00DFB6F6" w14:textId="77777777" w:rsidR="000B789C" w:rsidRDefault="000B789C" w:rsidP="00E01C62">
      <w:pPr>
        <w:spacing w:line="360" w:lineRule="auto"/>
        <w:ind w:firstLine="708"/>
        <w:jc w:val="both"/>
        <w:rPr>
          <w:rFonts w:ascii="Arial Narrow" w:hAnsi="Arial Narrow"/>
        </w:rPr>
      </w:pPr>
      <w:r>
        <w:rPr>
          <w:rFonts w:ascii="Arial Narrow" w:hAnsi="Arial Narrow"/>
        </w:rPr>
        <w:t>Antecedentes…………………………………………</w:t>
      </w:r>
      <w:r w:rsidR="00E01C62">
        <w:rPr>
          <w:rFonts w:ascii="Arial Narrow" w:hAnsi="Arial Narrow"/>
        </w:rPr>
        <w:t>….</w:t>
      </w:r>
      <w:r>
        <w:rPr>
          <w:rFonts w:ascii="Arial Narrow" w:hAnsi="Arial Narrow"/>
        </w:rPr>
        <w:t>………………………………………….1</w:t>
      </w:r>
    </w:p>
    <w:p w14:paraId="217A9A2A" w14:textId="77777777" w:rsidR="00E01C62" w:rsidRDefault="00E01C62" w:rsidP="00E01C62">
      <w:pPr>
        <w:spacing w:line="360" w:lineRule="auto"/>
        <w:ind w:firstLine="708"/>
        <w:jc w:val="both"/>
        <w:rPr>
          <w:rFonts w:ascii="Arial Narrow" w:hAnsi="Arial Narrow"/>
        </w:rPr>
      </w:pPr>
      <w:r>
        <w:rPr>
          <w:rFonts w:ascii="Arial Narrow" w:hAnsi="Arial Narrow"/>
        </w:rPr>
        <w:t>Justificación………………………………………………………………………………………….3</w:t>
      </w:r>
    </w:p>
    <w:p w14:paraId="777909D5" w14:textId="77777777" w:rsidR="00651A6E" w:rsidRDefault="00651A6E" w:rsidP="00651A6E">
      <w:pPr>
        <w:spacing w:line="360" w:lineRule="auto"/>
        <w:jc w:val="both"/>
        <w:rPr>
          <w:rFonts w:ascii="Arial Narrow" w:hAnsi="Arial Narrow"/>
        </w:rPr>
      </w:pPr>
      <w:r>
        <w:rPr>
          <w:rFonts w:ascii="Arial Narrow" w:hAnsi="Arial Narrow"/>
        </w:rPr>
        <w:t>Materiales y métodos ………………………………………………………………………………………..5</w:t>
      </w:r>
    </w:p>
    <w:p w14:paraId="797B2E25" w14:textId="77777777" w:rsidR="00651A6E" w:rsidRDefault="00651A6E" w:rsidP="00651A6E">
      <w:pPr>
        <w:spacing w:line="360" w:lineRule="auto"/>
        <w:jc w:val="both"/>
        <w:rPr>
          <w:rFonts w:ascii="Arial Narrow" w:hAnsi="Arial Narrow"/>
        </w:rPr>
      </w:pPr>
      <w:r>
        <w:rPr>
          <w:rFonts w:ascii="Arial Narrow" w:hAnsi="Arial Narrow"/>
        </w:rPr>
        <w:tab/>
        <w:t>Población y periodo de estudios ………………………………………………………………….5</w:t>
      </w:r>
    </w:p>
    <w:p w14:paraId="05A62A1F" w14:textId="77777777" w:rsidR="00651A6E" w:rsidRDefault="00651A6E" w:rsidP="00651A6E">
      <w:pPr>
        <w:spacing w:line="360" w:lineRule="auto"/>
        <w:jc w:val="both"/>
        <w:rPr>
          <w:rFonts w:ascii="Arial Narrow" w:hAnsi="Arial Narrow"/>
        </w:rPr>
      </w:pPr>
      <w:r>
        <w:rPr>
          <w:rFonts w:ascii="Arial Narrow" w:hAnsi="Arial Narrow"/>
        </w:rPr>
        <w:tab/>
        <w:t>Muestra ………………………………………………………………………………………………5</w:t>
      </w:r>
    </w:p>
    <w:p w14:paraId="52AA914C" w14:textId="77777777" w:rsidR="00651A6E" w:rsidRDefault="00651A6E" w:rsidP="00651A6E">
      <w:pPr>
        <w:spacing w:line="360" w:lineRule="auto"/>
        <w:jc w:val="both"/>
        <w:rPr>
          <w:rFonts w:ascii="Arial Narrow" w:hAnsi="Arial Narrow"/>
        </w:rPr>
      </w:pPr>
      <w:r>
        <w:rPr>
          <w:rFonts w:ascii="Arial Narrow" w:hAnsi="Arial Narrow"/>
        </w:rPr>
        <w:tab/>
        <w:t>Tipo de estudio……………………………</w:t>
      </w:r>
      <w:r w:rsidR="00AA29CD">
        <w:rPr>
          <w:rFonts w:ascii="Arial Narrow" w:hAnsi="Arial Narrow"/>
        </w:rPr>
        <w:t>……………………………………………………</w:t>
      </w:r>
      <w:r>
        <w:rPr>
          <w:rFonts w:ascii="Arial Narrow" w:hAnsi="Arial Narrow"/>
        </w:rPr>
        <w:t>……5</w:t>
      </w:r>
    </w:p>
    <w:p w14:paraId="7494E6A0" w14:textId="77777777" w:rsidR="00651A6E" w:rsidRDefault="00651A6E" w:rsidP="00651A6E">
      <w:pPr>
        <w:spacing w:line="360" w:lineRule="auto"/>
        <w:jc w:val="both"/>
        <w:rPr>
          <w:rFonts w:ascii="Arial Narrow" w:hAnsi="Arial Narrow"/>
        </w:rPr>
      </w:pPr>
      <w:r>
        <w:rPr>
          <w:rFonts w:ascii="Arial Narrow" w:hAnsi="Arial Narrow"/>
        </w:rPr>
        <w:tab/>
        <w:t>Variables …………………</w:t>
      </w:r>
      <w:r w:rsidR="00AA29CD">
        <w:rPr>
          <w:rFonts w:ascii="Arial Narrow" w:hAnsi="Arial Narrow"/>
        </w:rPr>
        <w:t>………………………………………………………….</w:t>
      </w:r>
      <w:r>
        <w:rPr>
          <w:rFonts w:ascii="Arial Narrow" w:hAnsi="Arial Narrow"/>
        </w:rPr>
        <w:t>………………6</w:t>
      </w:r>
    </w:p>
    <w:p w14:paraId="0F60760C" w14:textId="77777777" w:rsidR="00651A6E" w:rsidRDefault="00651A6E" w:rsidP="00651A6E">
      <w:pPr>
        <w:spacing w:line="360" w:lineRule="auto"/>
        <w:jc w:val="both"/>
        <w:rPr>
          <w:rFonts w:ascii="Arial Narrow" w:hAnsi="Arial Narrow"/>
        </w:rPr>
      </w:pPr>
      <w:r>
        <w:rPr>
          <w:rFonts w:ascii="Arial Narrow" w:hAnsi="Arial Narrow"/>
        </w:rPr>
        <w:tab/>
        <w:t>Criterios de inclusión ………</w:t>
      </w:r>
      <w:r w:rsidR="00AA29CD">
        <w:rPr>
          <w:rFonts w:ascii="Arial Narrow" w:hAnsi="Arial Narrow"/>
        </w:rPr>
        <w:t>…………………………………………….</w:t>
      </w:r>
      <w:r>
        <w:rPr>
          <w:rFonts w:ascii="Arial Narrow" w:hAnsi="Arial Narrow"/>
        </w:rPr>
        <w:t>…………………………7</w:t>
      </w:r>
    </w:p>
    <w:p w14:paraId="029D6FD2" w14:textId="77777777" w:rsidR="00651A6E" w:rsidRDefault="00651A6E" w:rsidP="00651A6E">
      <w:pPr>
        <w:spacing w:line="360" w:lineRule="auto"/>
        <w:jc w:val="both"/>
        <w:rPr>
          <w:rFonts w:ascii="Arial Narrow" w:hAnsi="Arial Narrow"/>
        </w:rPr>
      </w:pPr>
      <w:r>
        <w:rPr>
          <w:rFonts w:ascii="Arial Narrow" w:hAnsi="Arial Narrow"/>
        </w:rPr>
        <w:tab/>
        <w:t>Criterios de exclusión……………………………</w:t>
      </w:r>
      <w:r w:rsidR="00AA29CD">
        <w:rPr>
          <w:rFonts w:ascii="Arial Narrow" w:hAnsi="Arial Narrow"/>
        </w:rPr>
        <w:t>…………………………………………….</w:t>
      </w:r>
      <w:r>
        <w:rPr>
          <w:rFonts w:ascii="Arial Narrow" w:hAnsi="Arial Narrow"/>
        </w:rPr>
        <w:t>……7</w:t>
      </w:r>
    </w:p>
    <w:p w14:paraId="6CD78D60" w14:textId="77777777" w:rsidR="00651A6E" w:rsidRDefault="00651A6E" w:rsidP="00651A6E">
      <w:pPr>
        <w:spacing w:line="360" w:lineRule="auto"/>
        <w:jc w:val="both"/>
        <w:rPr>
          <w:rFonts w:ascii="Arial Narrow" w:hAnsi="Arial Narrow"/>
        </w:rPr>
      </w:pPr>
      <w:r>
        <w:rPr>
          <w:rFonts w:ascii="Arial Narrow" w:hAnsi="Arial Narrow"/>
        </w:rPr>
        <w:tab/>
        <w:t>Método de recolección de información y de medición…………………………………</w:t>
      </w:r>
      <w:r w:rsidR="00AA29CD">
        <w:rPr>
          <w:rFonts w:ascii="Arial Narrow" w:hAnsi="Arial Narrow"/>
        </w:rPr>
        <w:t>……….</w:t>
      </w:r>
      <w:r>
        <w:rPr>
          <w:rFonts w:ascii="Arial Narrow" w:hAnsi="Arial Narrow"/>
        </w:rPr>
        <w:t>7</w:t>
      </w:r>
    </w:p>
    <w:p w14:paraId="24577DA9" w14:textId="77777777" w:rsidR="00651A6E" w:rsidRDefault="00651A6E" w:rsidP="00651A6E">
      <w:pPr>
        <w:spacing w:line="360" w:lineRule="auto"/>
        <w:jc w:val="both"/>
        <w:rPr>
          <w:rFonts w:ascii="Arial Narrow" w:hAnsi="Arial Narrow"/>
        </w:rPr>
      </w:pPr>
      <w:r>
        <w:rPr>
          <w:rFonts w:ascii="Arial Narrow" w:hAnsi="Arial Narrow"/>
        </w:rPr>
        <w:tab/>
      </w:r>
      <w:r>
        <w:rPr>
          <w:rFonts w:ascii="Arial Narrow" w:hAnsi="Arial Narrow"/>
        </w:rPr>
        <w:tab/>
        <w:t>Identificación de participantes, enrolamiento y consentimiento…</w:t>
      </w:r>
      <w:r w:rsidR="00AA29CD">
        <w:rPr>
          <w:rFonts w:ascii="Arial Narrow" w:hAnsi="Arial Narrow"/>
        </w:rPr>
        <w:t>…………………..</w:t>
      </w:r>
      <w:r>
        <w:rPr>
          <w:rFonts w:ascii="Arial Narrow" w:hAnsi="Arial Narrow"/>
        </w:rPr>
        <w:t>7</w:t>
      </w:r>
    </w:p>
    <w:p w14:paraId="4B7C8872" w14:textId="77777777" w:rsidR="00651A6E" w:rsidRDefault="00651A6E" w:rsidP="00651A6E">
      <w:pPr>
        <w:spacing w:line="360" w:lineRule="auto"/>
        <w:jc w:val="both"/>
        <w:rPr>
          <w:rFonts w:ascii="Arial Narrow" w:hAnsi="Arial Narrow"/>
        </w:rPr>
      </w:pPr>
      <w:r>
        <w:rPr>
          <w:rFonts w:ascii="Arial Narrow" w:hAnsi="Arial Narrow"/>
        </w:rPr>
        <w:tab/>
        <w:t>Plan de análisis ………………………………</w:t>
      </w:r>
      <w:r w:rsidR="00AA29CD">
        <w:rPr>
          <w:rFonts w:ascii="Arial Narrow" w:hAnsi="Arial Narrow"/>
        </w:rPr>
        <w:t>………………………………………………….</w:t>
      </w:r>
      <w:r>
        <w:rPr>
          <w:rFonts w:ascii="Arial Narrow" w:hAnsi="Arial Narrow"/>
        </w:rPr>
        <w:t>…7</w:t>
      </w:r>
    </w:p>
    <w:p w14:paraId="038B6545" w14:textId="77777777" w:rsidR="00651A6E" w:rsidRDefault="00651A6E" w:rsidP="00651A6E">
      <w:pPr>
        <w:spacing w:line="360" w:lineRule="auto"/>
        <w:jc w:val="both"/>
        <w:rPr>
          <w:rFonts w:ascii="Arial Narrow" w:hAnsi="Arial Narrow"/>
        </w:rPr>
      </w:pPr>
      <w:r>
        <w:rPr>
          <w:rFonts w:ascii="Arial Narrow" w:hAnsi="Arial Narrow"/>
        </w:rPr>
        <w:tab/>
      </w:r>
      <w:r>
        <w:rPr>
          <w:rFonts w:ascii="Arial Narrow" w:hAnsi="Arial Narrow"/>
        </w:rPr>
        <w:tab/>
        <w:t>Análisis estadístico…………………………………</w:t>
      </w:r>
      <w:r w:rsidR="00AA29CD">
        <w:rPr>
          <w:rFonts w:ascii="Arial Narrow" w:hAnsi="Arial Narrow"/>
        </w:rPr>
        <w:t>……………………………………..</w:t>
      </w:r>
      <w:r>
        <w:rPr>
          <w:rFonts w:ascii="Arial Narrow" w:hAnsi="Arial Narrow"/>
        </w:rPr>
        <w:t>7</w:t>
      </w:r>
    </w:p>
    <w:p w14:paraId="15B8B21B" w14:textId="77777777" w:rsidR="00651A6E" w:rsidRDefault="00651A6E" w:rsidP="00651A6E">
      <w:pPr>
        <w:spacing w:line="360" w:lineRule="auto"/>
        <w:jc w:val="both"/>
        <w:rPr>
          <w:rFonts w:ascii="Arial Narrow" w:hAnsi="Arial Narrow"/>
        </w:rPr>
      </w:pPr>
      <w:r>
        <w:rPr>
          <w:rFonts w:ascii="Arial Narrow" w:hAnsi="Arial Narrow"/>
        </w:rPr>
        <w:tab/>
      </w:r>
      <w:r>
        <w:rPr>
          <w:rFonts w:ascii="Arial Narrow" w:hAnsi="Arial Narrow"/>
        </w:rPr>
        <w:tab/>
        <w:t>Excepción al consentimiento informado……………………</w:t>
      </w:r>
      <w:r w:rsidR="00AA29CD">
        <w:rPr>
          <w:rFonts w:ascii="Arial Narrow" w:hAnsi="Arial Narrow"/>
        </w:rPr>
        <w:t>……………..</w:t>
      </w:r>
      <w:r>
        <w:rPr>
          <w:rFonts w:ascii="Arial Narrow" w:hAnsi="Arial Narrow"/>
        </w:rPr>
        <w:t>……………8</w:t>
      </w:r>
    </w:p>
    <w:p w14:paraId="69956576" w14:textId="77777777" w:rsidR="00651A6E" w:rsidRDefault="00651A6E" w:rsidP="00651A6E">
      <w:pPr>
        <w:spacing w:line="360" w:lineRule="auto"/>
        <w:jc w:val="both"/>
        <w:rPr>
          <w:rFonts w:ascii="Arial Narrow" w:hAnsi="Arial Narrow"/>
        </w:rPr>
      </w:pPr>
      <w:r>
        <w:rPr>
          <w:rFonts w:ascii="Arial Narrow" w:hAnsi="Arial Narrow"/>
        </w:rPr>
        <w:tab/>
        <w:t>Consideraciones éticas …………………………………</w:t>
      </w:r>
      <w:r w:rsidR="00AA29CD">
        <w:rPr>
          <w:rFonts w:ascii="Arial Narrow" w:hAnsi="Arial Narrow"/>
        </w:rPr>
        <w:t>…………………………………………</w:t>
      </w:r>
      <w:r>
        <w:rPr>
          <w:rFonts w:ascii="Arial Narrow" w:hAnsi="Arial Narrow"/>
        </w:rPr>
        <w:t>8</w:t>
      </w:r>
    </w:p>
    <w:p w14:paraId="23624DCA" w14:textId="77777777" w:rsidR="00651A6E" w:rsidRDefault="00651A6E" w:rsidP="00651A6E">
      <w:pPr>
        <w:spacing w:line="360" w:lineRule="auto"/>
        <w:jc w:val="both"/>
        <w:rPr>
          <w:rFonts w:ascii="Arial Narrow" w:hAnsi="Arial Narrow"/>
        </w:rPr>
      </w:pPr>
      <w:r>
        <w:rPr>
          <w:rFonts w:ascii="Arial Narrow" w:hAnsi="Arial Narrow"/>
        </w:rPr>
        <w:t>Resultados…………………………………</w:t>
      </w:r>
      <w:r w:rsidR="00AA29CD">
        <w:rPr>
          <w:rFonts w:ascii="Arial Narrow" w:hAnsi="Arial Narrow"/>
        </w:rPr>
        <w:t>………………………………………………………………….</w:t>
      </w:r>
      <w:r>
        <w:rPr>
          <w:rFonts w:ascii="Arial Narrow" w:hAnsi="Arial Narrow"/>
        </w:rPr>
        <w:t>9</w:t>
      </w:r>
    </w:p>
    <w:p w14:paraId="0D4F03C5" w14:textId="77777777" w:rsidR="00651A6E" w:rsidRDefault="00651A6E" w:rsidP="00651A6E">
      <w:pPr>
        <w:spacing w:line="360" w:lineRule="auto"/>
        <w:jc w:val="both"/>
        <w:rPr>
          <w:rFonts w:ascii="Arial Narrow" w:hAnsi="Arial Narrow"/>
        </w:rPr>
      </w:pPr>
      <w:r>
        <w:rPr>
          <w:rFonts w:ascii="Arial Narrow" w:hAnsi="Arial Narrow"/>
        </w:rPr>
        <w:t>Discusión …………………………………</w:t>
      </w:r>
      <w:r w:rsidR="00AA29CD">
        <w:rPr>
          <w:rFonts w:ascii="Arial Narrow" w:hAnsi="Arial Narrow"/>
        </w:rPr>
        <w:t>………………………………………………………………….</w:t>
      </w:r>
      <w:r w:rsidR="000D53E0">
        <w:rPr>
          <w:rFonts w:ascii="Arial Narrow" w:hAnsi="Arial Narrow"/>
        </w:rPr>
        <w:t>12</w:t>
      </w:r>
    </w:p>
    <w:p w14:paraId="2B5057B0" w14:textId="77777777" w:rsidR="00651A6E" w:rsidRDefault="00651A6E" w:rsidP="00651A6E">
      <w:pPr>
        <w:spacing w:line="360" w:lineRule="auto"/>
        <w:jc w:val="both"/>
        <w:rPr>
          <w:rFonts w:ascii="Arial Narrow" w:hAnsi="Arial Narrow"/>
        </w:rPr>
      </w:pPr>
      <w:r>
        <w:rPr>
          <w:rFonts w:ascii="Arial Narrow" w:hAnsi="Arial Narrow"/>
        </w:rPr>
        <w:t>Conclusiones …………………………………</w:t>
      </w:r>
      <w:r w:rsidR="00AA29CD">
        <w:rPr>
          <w:rFonts w:ascii="Arial Narrow" w:hAnsi="Arial Narrow"/>
        </w:rPr>
        <w:t>……………………………………………………………..</w:t>
      </w:r>
      <w:r w:rsidR="000D53E0">
        <w:rPr>
          <w:rFonts w:ascii="Arial Narrow" w:hAnsi="Arial Narrow"/>
        </w:rPr>
        <w:t>15</w:t>
      </w:r>
    </w:p>
    <w:p w14:paraId="4440BA7A" w14:textId="77777777" w:rsidR="00651A6E" w:rsidRDefault="00651A6E" w:rsidP="00651A6E">
      <w:pPr>
        <w:spacing w:line="360" w:lineRule="auto"/>
        <w:jc w:val="both"/>
        <w:rPr>
          <w:rFonts w:ascii="Arial Narrow" w:hAnsi="Arial Narrow"/>
        </w:rPr>
      </w:pPr>
      <w:r>
        <w:rPr>
          <w:rFonts w:ascii="Arial Narrow" w:hAnsi="Arial Narrow"/>
        </w:rPr>
        <w:t>Referencias ……………………………………</w:t>
      </w:r>
      <w:r w:rsidR="00AA29CD">
        <w:rPr>
          <w:rFonts w:ascii="Arial Narrow" w:hAnsi="Arial Narrow"/>
        </w:rPr>
        <w:t>…………………………………………………………….</w:t>
      </w:r>
      <w:r w:rsidR="000D53E0">
        <w:rPr>
          <w:rFonts w:ascii="Arial Narrow" w:hAnsi="Arial Narrow"/>
        </w:rPr>
        <w:t>16</w:t>
      </w:r>
    </w:p>
    <w:p w14:paraId="023EB55D" w14:textId="77777777" w:rsidR="00651A6E" w:rsidRPr="002728BB" w:rsidRDefault="00651A6E" w:rsidP="002728BB">
      <w:pPr>
        <w:rPr>
          <w:rFonts w:ascii="Arial Narrow" w:hAnsi="Arial Narrow"/>
        </w:rPr>
      </w:pPr>
      <w:r>
        <w:rPr>
          <w:rFonts w:ascii="Arial Narrow" w:hAnsi="Arial Narrow"/>
        </w:rPr>
        <w:br w:type="page"/>
      </w:r>
    </w:p>
    <w:p w14:paraId="3AC0587F" w14:textId="77777777" w:rsidR="003C2B91" w:rsidRPr="00FC1DA4" w:rsidRDefault="003C2B91" w:rsidP="003C2B91">
      <w:pPr>
        <w:rPr>
          <w:rFonts w:ascii="Arial Narrow" w:hAnsi="Arial Narrow" w:cs="Calibri"/>
          <w:b/>
          <w:bCs/>
          <w:color w:val="000000" w:themeColor="text1"/>
          <w:szCs w:val="20"/>
          <w:lang w:val="es-ES"/>
        </w:rPr>
      </w:pPr>
      <w:r w:rsidRPr="00FC1DA4">
        <w:rPr>
          <w:rFonts w:ascii="Arial Narrow" w:hAnsi="Arial Narrow" w:cs="Calibri"/>
          <w:b/>
          <w:bCs/>
          <w:color w:val="000000" w:themeColor="text1"/>
          <w:szCs w:val="20"/>
          <w:lang w:val="es-ES"/>
        </w:rPr>
        <w:lastRenderedPageBreak/>
        <w:t>Resumen</w:t>
      </w:r>
    </w:p>
    <w:p w14:paraId="000FE453" w14:textId="77777777" w:rsidR="003C2B91" w:rsidRPr="00FC1DA4" w:rsidRDefault="003C2B91" w:rsidP="003C2B91">
      <w:pPr>
        <w:pStyle w:val="Prrafodelista"/>
        <w:spacing w:line="360" w:lineRule="auto"/>
        <w:ind w:left="643"/>
        <w:rPr>
          <w:rFonts w:ascii="Arial Narrow" w:hAnsi="Arial Narrow" w:cs="Calibri"/>
          <w:b/>
          <w:bCs/>
          <w:color w:val="000000" w:themeColor="text1"/>
          <w:szCs w:val="20"/>
          <w:lang w:val="es-ES"/>
        </w:rPr>
      </w:pPr>
    </w:p>
    <w:p w14:paraId="7CB6E2A5"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cs="Calibri"/>
          <w:color w:val="000000" w:themeColor="text1"/>
          <w:szCs w:val="20"/>
          <w:lang w:eastAsia="es-ES_tradnl"/>
        </w:rPr>
      </w:pPr>
      <w:r w:rsidRPr="00FC1DA4">
        <w:rPr>
          <w:rFonts w:ascii="Arial Narrow" w:hAnsi="Arial Narrow" w:cs="Calibri"/>
          <w:b/>
          <w:bCs/>
          <w:color w:val="000000" w:themeColor="text1"/>
          <w:szCs w:val="20"/>
        </w:rPr>
        <w:t>Antecedentes</w:t>
      </w:r>
      <w:r w:rsidRPr="00FC1DA4">
        <w:rPr>
          <w:rFonts w:ascii="Arial Narrow" w:hAnsi="Arial Narrow" w:cs="Calibri"/>
          <w:color w:val="000000" w:themeColor="text1"/>
          <w:szCs w:val="20"/>
        </w:rPr>
        <w:t xml:space="preserve">: </w:t>
      </w:r>
      <w:r w:rsidRPr="00FC1DA4">
        <w:rPr>
          <w:rFonts w:ascii="Arial Narrow" w:hAnsi="Arial Narrow" w:cs="Calibri"/>
          <w:color w:val="000000" w:themeColor="text1"/>
          <w:szCs w:val="20"/>
          <w:lang w:eastAsia="es-ES_tradnl"/>
        </w:rPr>
        <w:t xml:space="preserve">La ruptura prematura de membranas (RPM) pretérmino se presenta en un 3% de todos los embarazos y aproximadamente el 50-60% de las pacientes con RPM iniciarán la labor de parto en el transcurso de una semana. La RPM contribuye importantemente como desencadenante de partos pretérmino. En la actualidad es reconocido que la antibioticoterapia administrada en los casos de RPM </w:t>
      </w:r>
      <w:proofErr w:type="spellStart"/>
      <w:r w:rsidRPr="00FC1DA4">
        <w:rPr>
          <w:rFonts w:ascii="Arial Narrow" w:hAnsi="Arial Narrow" w:cs="Calibri"/>
          <w:color w:val="000000" w:themeColor="text1"/>
          <w:szCs w:val="20"/>
          <w:lang w:eastAsia="es-ES_tradnl"/>
        </w:rPr>
        <w:t>pretérmino</w:t>
      </w:r>
      <w:proofErr w:type="spellEnd"/>
      <w:r w:rsidRPr="00FC1DA4">
        <w:rPr>
          <w:rFonts w:ascii="Arial Narrow" w:hAnsi="Arial Narrow" w:cs="Calibri"/>
          <w:color w:val="000000" w:themeColor="text1"/>
          <w:szCs w:val="20"/>
          <w:lang w:eastAsia="es-ES_tradnl"/>
        </w:rPr>
        <w:t xml:space="preserve"> disminuye la </w:t>
      </w:r>
      <w:proofErr w:type="spellStart"/>
      <w:r w:rsidRPr="00FC1DA4">
        <w:rPr>
          <w:rFonts w:ascii="Arial Narrow" w:hAnsi="Arial Narrow" w:cs="Calibri"/>
          <w:color w:val="000000" w:themeColor="text1"/>
          <w:szCs w:val="20"/>
          <w:lang w:eastAsia="es-ES_tradnl"/>
        </w:rPr>
        <w:t>morbi</w:t>
      </w:r>
      <w:proofErr w:type="spellEnd"/>
      <w:r w:rsidRPr="00FC1DA4">
        <w:rPr>
          <w:rFonts w:ascii="Arial Narrow" w:hAnsi="Arial Narrow" w:cs="Calibri"/>
          <w:color w:val="000000" w:themeColor="text1"/>
          <w:szCs w:val="20"/>
          <w:lang w:eastAsia="es-ES_tradnl"/>
        </w:rPr>
        <w:t>-mortalidad perinatal al prolongar el periodo de latencia entre la ruptura de membranas y el inicio del trabajo de parto, y disminuyendo la incidencia de infección intraamniótica.</w:t>
      </w:r>
    </w:p>
    <w:p w14:paraId="0F21D160" w14:textId="77777777" w:rsidR="003C2B91" w:rsidRPr="00FC1DA4" w:rsidRDefault="003C2B91" w:rsidP="003C2B91">
      <w:pPr>
        <w:spacing w:line="360" w:lineRule="auto"/>
        <w:jc w:val="both"/>
        <w:rPr>
          <w:rFonts w:ascii="Arial Narrow" w:hAnsi="Arial Narrow"/>
          <w:sz w:val="32"/>
        </w:rPr>
      </w:pPr>
      <w:r w:rsidRPr="00FC1DA4">
        <w:rPr>
          <w:rFonts w:ascii="Arial Narrow" w:hAnsi="Arial Narrow" w:cs="Calibri"/>
          <w:color w:val="000000" w:themeColor="text1"/>
          <w:szCs w:val="20"/>
          <w:lang w:eastAsia="es-ES_tradnl"/>
        </w:rPr>
        <w:t>E</w:t>
      </w:r>
      <w:r w:rsidRPr="00FC1DA4">
        <w:rPr>
          <w:rFonts w:ascii="Arial Narrow" w:hAnsi="Arial Narrow" w:cstheme="minorHAnsi"/>
          <w:color w:val="000000" w:themeColor="text1"/>
          <w:szCs w:val="20"/>
        </w:rPr>
        <w:t xml:space="preserve">l régimen óptimo de </w:t>
      </w:r>
      <w:r w:rsidRPr="00FC1DA4">
        <w:rPr>
          <w:rFonts w:ascii="Arial Narrow" w:hAnsi="Arial Narrow" w:cstheme="minorHAnsi"/>
          <w:szCs w:val="20"/>
        </w:rPr>
        <w:t xml:space="preserve">antibióticos aún </w:t>
      </w:r>
      <w:r w:rsidRPr="00FC1DA4">
        <w:rPr>
          <w:rFonts w:ascii="Arial Narrow" w:hAnsi="Arial Narrow" w:cstheme="minorHAnsi"/>
          <w:color w:val="000000" w:themeColor="text1"/>
          <w:szCs w:val="20"/>
        </w:rPr>
        <w:t>no es claro, sin embargo, existe amplia evidencia a favor del uso de eritromicina como parte del esquema.</w:t>
      </w:r>
    </w:p>
    <w:p w14:paraId="1F6A13B0" w14:textId="77777777" w:rsidR="003C2B91" w:rsidRPr="00FC1DA4" w:rsidRDefault="003C2B91" w:rsidP="003C2B91">
      <w:pPr>
        <w:spacing w:line="360" w:lineRule="auto"/>
        <w:jc w:val="both"/>
        <w:rPr>
          <w:rFonts w:ascii="Arial Narrow" w:hAnsi="Arial Narrow" w:cs="Calibri"/>
          <w:color w:val="000000" w:themeColor="text1"/>
          <w:szCs w:val="20"/>
        </w:rPr>
      </w:pPr>
      <w:r w:rsidRPr="00FC1DA4">
        <w:rPr>
          <w:rFonts w:ascii="Arial Narrow" w:hAnsi="Arial Narrow" w:cs="Calibri"/>
          <w:color w:val="000000" w:themeColor="text1"/>
          <w:szCs w:val="20"/>
        </w:rPr>
        <w:t>En la Caja Costarricense del Seguro Social (CCSS) se emplea claritromicina en lugar de eritromicina en el esquema de manejo de la RPM, debido a que la eritromicina no se encuentra dentro de la lista oficial de medicamentos de la institución. No existen estudios que comparen el uso de claritromicina en lugar de eritromicina en el manejo de la RPM pretérmino.</w:t>
      </w:r>
    </w:p>
    <w:p w14:paraId="4382092D" w14:textId="77777777" w:rsidR="003C2B91" w:rsidRPr="00FC1DA4" w:rsidRDefault="003C2B91" w:rsidP="003C2B91">
      <w:pPr>
        <w:spacing w:line="360" w:lineRule="auto"/>
        <w:jc w:val="both"/>
        <w:rPr>
          <w:rFonts w:ascii="Arial Narrow" w:hAnsi="Arial Narrow" w:cs="Calibri"/>
          <w:color w:val="000000" w:themeColor="text1"/>
          <w:szCs w:val="20"/>
        </w:rPr>
      </w:pPr>
      <w:r w:rsidRPr="00FC1DA4">
        <w:rPr>
          <w:rFonts w:ascii="Arial Narrow" w:hAnsi="Arial Narrow" w:cs="Calibri"/>
          <w:b/>
          <w:bCs/>
          <w:color w:val="000000" w:themeColor="text1"/>
          <w:szCs w:val="20"/>
        </w:rPr>
        <w:t>Objetivo principal</w:t>
      </w:r>
      <w:r w:rsidRPr="00FC1DA4">
        <w:rPr>
          <w:rFonts w:ascii="Arial Narrow" w:hAnsi="Arial Narrow" w:cs="Calibri"/>
          <w:color w:val="000000" w:themeColor="text1"/>
          <w:szCs w:val="20"/>
        </w:rPr>
        <w:t>: D</w:t>
      </w:r>
      <w:r w:rsidRPr="00FC1DA4">
        <w:rPr>
          <w:rFonts w:ascii="Arial Narrow" w:hAnsi="Arial Narrow" w:cs="Calibri"/>
          <w:color w:val="000000" w:themeColor="text1"/>
          <w:szCs w:val="20"/>
          <w:lang w:val="es"/>
        </w:rPr>
        <w:t xml:space="preserve">escribir los resultados de la antibioticoterapia utilizada para la ruptura prematura de membranas alejada de término cuando se emplea claritromicina, en el Servicio de Obstetricia del </w:t>
      </w:r>
      <w:bookmarkStart w:id="0" w:name="_Hlk78789517"/>
      <w:r w:rsidRPr="00FC1DA4">
        <w:rPr>
          <w:rFonts w:ascii="Arial Narrow" w:hAnsi="Arial Narrow" w:cs="Calibri"/>
          <w:color w:val="000000" w:themeColor="text1"/>
          <w:szCs w:val="20"/>
          <w:lang w:val="es"/>
        </w:rPr>
        <w:t xml:space="preserve">Hospital De Las Mujeres Dr. Adolfo Carit Eva (HOMACE) </w:t>
      </w:r>
      <w:bookmarkEnd w:id="0"/>
      <w:r w:rsidRPr="00FC1DA4">
        <w:rPr>
          <w:rFonts w:ascii="Arial Narrow" w:hAnsi="Arial Narrow" w:cs="Calibri"/>
          <w:color w:val="000000" w:themeColor="text1"/>
          <w:szCs w:val="20"/>
          <w:lang w:val="es"/>
        </w:rPr>
        <w:t xml:space="preserve">en el período de enero del 2013 a enero del 2018. </w:t>
      </w:r>
    </w:p>
    <w:p w14:paraId="6EA6CCB3" w14:textId="77777777" w:rsidR="003C2B91" w:rsidRPr="00FC1DA4" w:rsidRDefault="003C2B91" w:rsidP="003C2B91">
      <w:pPr>
        <w:spacing w:line="360" w:lineRule="auto"/>
        <w:jc w:val="both"/>
        <w:rPr>
          <w:rFonts w:ascii="Arial Narrow" w:hAnsi="Arial Narrow" w:cs="Calibri"/>
          <w:color w:val="000000" w:themeColor="text1"/>
          <w:szCs w:val="20"/>
          <w:highlight w:val="white"/>
        </w:rPr>
      </w:pPr>
      <w:r w:rsidRPr="00FC1DA4">
        <w:rPr>
          <w:rFonts w:ascii="Arial Narrow" w:hAnsi="Arial Narrow" w:cs="Calibri"/>
          <w:b/>
          <w:bCs/>
          <w:color w:val="000000" w:themeColor="text1"/>
          <w:szCs w:val="20"/>
        </w:rPr>
        <w:t xml:space="preserve">Metodología: </w:t>
      </w:r>
      <w:r w:rsidRPr="00FC1DA4">
        <w:rPr>
          <w:rFonts w:ascii="Arial Narrow" w:hAnsi="Arial Narrow" w:cs="Calibri"/>
          <w:color w:val="000000" w:themeColor="text1"/>
          <w:szCs w:val="20"/>
          <w:shd w:val="clear" w:color="auto" w:fill="FFFFFF"/>
        </w:rPr>
        <w:t>Estudio observacional retrospectivo de cohorte desarrollado en pacientes con edad gestacional de 24+0 a 32+0 semanas en el periodo de</w:t>
      </w:r>
      <w:r w:rsidRPr="00FC1DA4">
        <w:rPr>
          <w:rFonts w:ascii="Arial Narrow" w:hAnsi="Arial Narrow" w:cs="Calibri"/>
          <w:color w:val="000000" w:themeColor="text1"/>
          <w:szCs w:val="20"/>
          <w:lang w:val="es"/>
        </w:rPr>
        <w:t xml:space="preserve"> enero del 2013 y enero del 2018</w:t>
      </w:r>
      <w:r w:rsidRPr="00FC1DA4">
        <w:rPr>
          <w:rFonts w:ascii="Arial Narrow" w:hAnsi="Arial Narrow" w:cs="Calibri"/>
          <w:color w:val="000000" w:themeColor="text1"/>
          <w:szCs w:val="20"/>
          <w:shd w:val="clear" w:color="auto" w:fill="FFFFFF"/>
        </w:rPr>
        <w:t xml:space="preserve"> en control en HOMACE, considerando como exposición la presencia de ruptura prematura de membranas diagnosticada por clínica a quienes se les prescribió antibioticoterapia con ampicilina/claritromicina/amoxacilina.</w:t>
      </w:r>
    </w:p>
    <w:p w14:paraId="1007E890" w14:textId="77777777" w:rsidR="003C2B91" w:rsidRPr="00FC1DA4" w:rsidRDefault="003C2B91" w:rsidP="003C2B91">
      <w:pPr>
        <w:spacing w:line="360" w:lineRule="auto"/>
        <w:jc w:val="both"/>
        <w:rPr>
          <w:rFonts w:ascii="Arial Narrow" w:hAnsi="Arial Narrow"/>
          <w:sz w:val="32"/>
        </w:rPr>
      </w:pPr>
      <w:r w:rsidRPr="00FC1DA4">
        <w:rPr>
          <w:rFonts w:ascii="Arial Narrow" w:hAnsi="Arial Narrow" w:cs="Calibri"/>
          <w:b/>
          <w:bCs/>
          <w:color w:val="000000" w:themeColor="text1"/>
          <w:szCs w:val="20"/>
          <w:shd w:val="clear" w:color="auto" w:fill="FFFFFF"/>
        </w:rPr>
        <w:t>Resultados:</w:t>
      </w:r>
      <w:r w:rsidRPr="00FC1DA4">
        <w:rPr>
          <w:rFonts w:ascii="Arial Narrow" w:hAnsi="Arial Narrow" w:cs="Calibri"/>
          <w:color w:val="000000" w:themeColor="text1"/>
          <w:szCs w:val="20"/>
          <w:shd w:val="clear" w:color="auto" w:fill="FFFFFF"/>
        </w:rPr>
        <w:t xml:space="preserve"> </w:t>
      </w:r>
      <w:r w:rsidRPr="00FC1DA4">
        <w:rPr>
          <w:rFonts w:ascii="Arial Narrow" w:hAnsi="Arial Narrow" w:cs="Calibri"/>
          <w:color w:val="000000" w:themeColor="text1"/>
          <w:szCs w:val="20"/>
        </w:rPr>
        <w:t xml:space="preserve">Un total de 36 </w:t>
      </w:r>
      <w:r w:rsidRPr="00FC1DA4">
        <w:rPr>
          <w:rFonts w:ascii="Arial Narrow" w:hAnsi="Arial Narrow" w:cs="Calibri"/>
          <w:szCs w:val="20"/>
        </w:rPr>
        <w:t>pacientes</w:t>
      </w:r>
      <w:r w:rsidRPr="00FC1DA4">
        <w:rPr>
          <w:rFonts w:ascii="Arial Narrow" w:hAnsi="Arial Narrow" w:cs="Calibri"/>
          <w:strike/>
          <w:szCs w:val="20"/>
        </w:rPr>
        <w:t xml:space="preserve"> </w:t>
      </w:r>
      <w:r w:rsidRPr="00FC1DA4">
        <w:rPr>
          <w:rFonts w:ascii="Arial Narrow" w:hAnsi="Arial Narrow" w:cs="Calibri"/>
          <w:szCs w:val="20"/>
        </w:rPr>
        <w:t>corresponden con la muestra que cumplió criterios de inclusión</w:t>
      </w:r>
      <w:r w:rsidRPr="00FC1DA4">
        <w:rPr>
          <w:rFonts w:ascii="Arial Narrow" w:hAnsi="Arial Narrow" w:cs="Calibri"/>
          <w:color w:val="000000" w:themeColor="text1"/>
          <w:szCs w:val="20"/>
        </w:rPr>
        <w:t>. La prolongación del embarazo se documentó en el 72.0% (26/36) de los casos y la presencia de corioamnionitis se presentó en el 8.3% (3/36). La distribución de pacientes según días de latencia (días que se prolongó el embarazo) evidenció que lo más frecuente fue un periodo de latencia mayor o igual a 7 días en el 63.9% (23/36).</w:t>
      </w:r>
    </w:p>
    <w:p w14:paraId="1A71A7C5" w14:textId="77777777" w:rsidR="003C2B91" w:rsidRPr="00FC1DA4" w:rsidRDefault="003C2B91" w:rsidP="003C2B91">
      <w:pPr>
        <w:pStyle w:val="Piedepgina"/>
        <w:tabs>
          <w:tab w:val="clear" w:pos="4252"/>
          <w:tab w:val="clear" w:pos="8504"/>
          <w:tab w:val="left" w:pos="993"/>
        </w:tabs>
        <w:spacing w:line="360" w:lineRule="auto"/>
        <w:jc w:val="both"/>
        <w:rPr>
          <w:rFonts w:ascii="Arial Narrow" w:hAnsi="Arial Narrow"/>
          <w:sz w:val="32"/>
        </w:rPr>
      </w:pPr>
      <w:r w:rsidRPr="00FC1DA4">
        <w:rPr>
          <w:rFonts w:ascii="Arial Narrow" w:hAnsi="Arial Narrow" w:cs="Calibri"/>
          <w:b/>
          <w:bCs/>
          <w:color w:val="000000" w:themeColor="text1"/>
          <w:szCs w:val="20"/>
        </w:rPr>
        <w:t>Conclus</w:t>
      </w:r>
      <w:r w:rsidRPr="00FC1DA4">
        <w:rPr>
          <w:rFonts w:ascii="Arial Narrow" w:hAnsi="Arial Narrow" w:cs="Calibri"/>
          <w:b/>
          <w:bCs/>
          <w:szCs w:val="20"/>
        </w:rPr>
        <w:t>ión</w:t>
      </w:r>
      <w:r w:rsidRPr="00FC1DA4">
        <w:rPr>
          <w:rFonts w:ascii="Arial Narrow" w:hAnsi="Arial Narrow" w:cs="Calibri"/>
          <w:b/>
          <w:bCs/>
          <w:color w:val="000000" w:themeColor="text1"/>
          <w:szCs w:val="20"/>
        </w:rPr>
        <w:t>:</w:t>
      </w:r>
      <w:r w:rsidRPr="00FC1DA4">
        <w:rPr>
          <w:rFonts w:ascii="Arial Narrow" w:hAnsi="Arial Narrow" w:cs="Calibri"/>
          <w:b/>
          <w:color w:val="000000" w:themeColor="text1"/>
          <w:szCs w:val="20"/>
        </w:rPr>
        <w:t xml:space="preserve"> </w:t>
      </w:r>
      <w:r w:rsidRPr="00FC1DA4">
        <w:rPr>
          <w:rFonts w:ascii="Arial Narrow" w:hAnsi="Arial Narrow" w:cs="Calibri"/>
          <w:color w:val="000000" w:themeColor="text1"/>
          <w:szCs w:val="20"/>
        </w:rPr>
        <w:t>L</w:t>
      </w:r>
      <w:r w:rsidRPr="00FC1DA4">
        <w:rPr>
          <w:rFonts w:ascii="Arial Narrow" w:hAnsi="Arial Narrow" w:cs="Calibri"/>
          <w:color w:val="000000" w:themeColor="text1"/>
          <w:szCs w:val="20"/>
          <w:lang w:val="es"/>
        </w:rPr>
        <w:t xml:space="preserve">a antibioticoterapia utilizada para la ruptura prematura de membranas alejada de término en el Servicio de Obstetricia del Hospital De Las Mujeres Dr. Adolfo Carit Eva en el período de enero del 2013 a enero del 2018 logró tener un impacto positivo en el curso clínico obstétrico, </w:t>
      </w:r>
      <w:r w:rsidRPr="00FC1DA4">
        <w:rPr>
          <w:rFonts w:ascii="Arial Narrow" w:hAnsi="Arial Narrow" w:cs="Calibri"/>
          <w:color w:val="000000" w:themeColor="text1"/>
          <w:szCs w:val="20"/>
          <w:lang w:val="es"/>
        </w:rPr>
        <w:lastRenderedPageBreak/>
        <w:t xml:space="preserve">aumentando la posibilidad de prolongar el embarazo en la mayoría de las pacientes y disminuyendo el riesgo de las complicaciones asociadas a esta condición. </w:t>
      </w:r>
    </w:p>
    <w:p w14:paraId="153DE0AC" w14:textId="77777777" w:rsidR="003C2B91" w:rsidRPr="00FC1DA4" w:rsidRDefault="003C2B91" w:rsidP="003C2B91">
      <w:pPr>
        <w:spacing w:line="360" w:lineRule="auto"/>
        <w:ind w:left="283"/>
        <w:jc w:val="both"/>
        <w:rPr>
          <w:rFonts w:ascii="Arial Narrow" w:hAnsi="Arial Narrow" w:cs="Calibri"/>
          <w:color w:val="000000" w:themeColor="text1"/>
          <w:szCs w:val="20"/>
          <w:highlight w:val="white"/>
        </w:rPr>
      </w:pPr>
    </w:p>
    <w:p w14:paraId="01E0F17E" w14:textId="77777777" w:rsidR="003C2B91" w:rsidRPr="00FC1DA4" w:rsidRDefault="003C2B91" w:rsidP="003C2B91">
      <w:pPr>
        <w:spacing w:line="360" w:lineRule="auto"/>
        <w:jc w:val="both"/>
        <w:rPr>
          <w:rFonts w:ascii="Arial Narrow" w:hAnsi="Arial Narrow" w:cs="Calibri"/>
          <w:color w:val="000000" w:themeColor="text1"/>
          <w:szCs w:val="20"/>
          <w:highlight w:val="white"/>
        </w:rPr>
      </w:pPr>
      <w:r w:rsidRPr="00FC1DA4">
        <w:rPr>
          <w:rFonts w:ascii="Arial Narrow" w:hAnsi="Arial Narrow" w:cs="Calibri"/>
          <w:b/>
          <w:bCs/>
          <w:color w:val="000000" w:themeColor="text1"/>
          <w:szCs w:val="20"/>
          <w:shd w:val="clear" w:color="auto" w:fill="FFFFFF"/>
        </w:rPr>
        <w:t>Palabras clave</w:t>
      </w:r>
      <w:r w:rsidRPr="00FC1DA4">
        <w:rPr>
          <w:rFonts w:ascii="Arial Narrow" w:hAnsi="Arial Narrow" w:cs="Calibri"/>
          <w:color w:val="000000" w:themeColor="text1"/>
          <w:szCs w:val="20"/>
          <w:shd w:val="clear" w:color="auto" w:fill="FFFFFF"/>
        </w:rPr>
        <w:t>: Ruptura prematura de membranas, claritromicina, corioamnionitis.</w:t>
      </w:r>
      <w:bookmarkStart w:id="1" w:name="_Hlk69116419"/>
      <w:bookmarkEnd w:id="1"/>
    </w:p>
    <w:p w14:paraId="2D9D1B6F" w14:textId="77777777" w:rsidR="003C2B91" w:rsidRPr="00FC1DA4" w:rsidRDefault="003C2B91" w:rsidP="003C2B91">
      <w:pPr>
        <w:spacing w:line="360" w:lineRule="auto"/>
        <w:ind w:left="283"/>
        <w:jc w:val="both"/>
        <w:rPr>
          <w:rFonts w:ascii="Arial Narrow" w:hAnsi="Arial Narrow" w:cs="Calibri"/>
          <w:color w:val="000000" w:themeColor="text1"/>
          <w:szCs w:val="20"/>
          <w:highlight w:val="white"/>
        </w:rPr>
      </w:pPr>
    </w:p>
    <w:p w14:paraId="7F322EB0"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b/>
          <w:bCs/>
          <w:color w:val="000000" w:themeColor="text1"/>
          <w:szCs w:val="20"/>
          <w:lang w:eastAsia="es-ES_tradnl"/>
        </w:rPr>
      </w:pPr>
    </w:p>
    <w:p w14:paraId="43362414"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b/>
          <w:bCs/>
          <w:color w:val="000000" w:themeColor="text1"/>
          <w:szCs w:val="20"/>
          <w:lang w:eastAsia="es-ES_tradnl"/>
        </w:rPr>
      </w:pPr>
    </w:p>
    <w:p w14:paraId="0F12DCC6" w14:textId="77777777" w:rsidR="00FC1DA4" w:rsidRPr="00651A6E" w:rsidRDefault="00FC1DA4">
      <w:pPr>
        <w:rPr>
          <w:rFonts w:ascii="Arial Narrow" w:eastAsia="Times New Roman" w:hAnsi="Arial Narrow" w:cstheme="minorHAnsi"/>
          <w:b/>
          <w:bCs/>
          <w:color w:val="000000" w:themeColor="text1"/>
          <w:szCs w:val="20"/>
          <w:lang w:eastAsia="es-ES_tradnl"/>
        </w:rPr>
      </w:pPr>
      <w:r w:rsidRPr="00651A6E">
        <w:rPr>
          <w:rFonts w:ascii="Arial Narrow" w:eastAsia="Times New Roman" w:hAnsi="Arial Narrow" w:cstheme="minorHAnsi"/>
          <w:b/>
          <w:bCs/>
          <w:color w:val="000000" w:themeColor="text1"/>
          <w:szCs w:val="20"/>
          <w:lang w:eastAsia="es-ES_tradnl"/>
        </w:rPr>
        <w:br w:type="page"/>
      </w:r>
    </w:p>
    <w:p w14:paraId="61AC52AC"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b/>
          <w:bCs/>
          <w:color w:val="000000" w:themeColor="text1"/>
          <w:szCs w:val="20"/>
          <w:lang w:val="en" w:eastAsia="es-ES_tradnl"/>
        </w:rPr>
      </w:pPr>
      <w:r w:rsidRPr="00FC1DA4">
        <w:rPr>
          <w:rFonts w:ascii="Arial Narrow" w:eastAsia="Times New Roman" w:hAnsi="Arial Narrow" w:cstheme="minorHAnsi"/>
          <w:b/>
          <w:bCs/>
          <w:color w:val="000000" w:themeColor="text1"/>
          <w:szCs w:val="20"/>
          <w:lang w:val="en" w:eastAsia="es-ES_tradnl"/>
        </w:rPr>
        <w:lastRenderedPageBreak/>
        <w:t xml:space="preserve">Abstract </w:t>
      </w:r>
    </w:p>
    <w:p w14:paraId="2AEC79E9"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b/>
          <w:bCs/>
          <w:color w:val="000000" w:themeColor="text1"/>
          <w:szCs w:val="20"/>
          <w:lang w:val="en" w:eastAsia="es-ES_tradnl"/>
        </w:rPr>
      </w:pPr>
    </w:p>
    <w:p w14:paraId="4D0DA8ED"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color w:val="000000" w:themeColor="text1"/>
          <w:szCs w:val="20"/>
          <w:lang w:val="en" w:eastAsia="es-ES_tradnl"/>
        </w:rPr>
      </w:pPr>
      <w:r w:rsidRPr="00FC1DA4">
        <w:rPr>
          <w:rFonts w:ascii="Arial Narrow" w:eastAsia="Times New Roman" w:hAnsi="Arial Narrow" w:cstheme="minorHAnsi"/>
          <w:b/>
          <w:bCs/>
          <w:color w:val="000000" w:themeColor="text1"/>
          <w:szCs w:val="20"/>
          <w:lang w:val="en" w:eastAsia="es-ES_tradnl"/>
        </w:rPr>
        <w:t>Background:</w:t>
      </w:r>
      <w:r w:rsidRPr="00FC1DA4">
        <w:rPr>
          <w:rFonts w:ascii="Arial Narrow" w:eastAsia="Times New Roman" w:hAnsi="Arial Narrow" w:cstheme="minorHAnsi"/>
          <w:color w:val="000000" w:themeColor="text1"/>
          <w:szCs w:val="20"/>
          <w:lang w:val="en" w:eastAsia="es-ES_tradnl"/>
        </w:rPr>
        <w:t xml:space="preserve"> Preterm premature rupture of membranes (PROM) occurs in 3% of all pregnancies and approximately 50-60% of women with PROM will go into labor within a week. PROM contributes greatly as a trigger for preterm labor. At present, it is recognized that antibiotic therapy administered in cases of preterm PROM reduces perinatal morbidity and mortality by prolonging the latency period between membrane rupture and the onset of labor, and decreasing the incidence of intra-amniotic infection.</w:t>
      </w:r>
    </w:p>
    <w:p w14:paraId="2016584D"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color w:val="000000" w:themeColor="text1"/>
          <w:szCs w:val="20"/>
          <w:lang w:val="en" w:eastAsia="es-ES_tradnl"/>
        </w:rPr>
      </w:pPr>
      <w:r w:rsidRPr="00FC1DA4">
        <w:rPr>
          <w:rFonts w:ascii="Arial Narrow" w:eastAsia="Times New Roman" w:hAnsi="Arial Narrow" w:cstheme="minorHAnsi"/>
          <w:color w:val="000000" w:themeColor="text1"/>
          <w:szCs w:val="20"/>
          <w:lang w:val="en" w:eastAsia="es-ES_tradnl"/>
        </w:rPr>
        <w:t>The optimal antibiotic regimen is not yet clear, however, there is wide evidence in favor of the use of erythromycin as part of the scheme.</w:t>
      </w:r>
    </w:p>
    <w:p w14:paraId="14465166"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color w:val="000000" w:themeColor="text1"/>
          <w:szCs w:val="20"/>
          <w:lang w:val="en" w:eastAsia="es-ES_tradnl"/>
        </w:rPr>
      </w:pPr>
      <w:r w:rsidRPr="00FC1DA4">
        <w:rPr>
          <w:rFonts w:ascii="Arial Narrow" w:eastAsia="Times New Roman" w:hAnsi="Arial Narrow" w:cstheme="minorHAnsi"/>
          <w:color w:val="000000" w:themeColor="text1"/>
          <w:szCs w:val="20"/>
          <w:lang w:val="en" w:eastAsia="es-ES_tradnl"/>
        </w:rPr>
        <w:t>In the Costa Rican Social Security Fund (CCSS), clarithromycin is used instead of erythromycin in the PRM management scheme, because erythromycin is not on the institution's official drug list. There are no studies comparing the use of clarithromycin instead of erythromycin in the management of preterm PROM.</w:t>
      </w:r>
    </w:p>
    <w:p w14:paraId="68AD7E35"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color w:val="000000" w:themeColor="text1"/>
          <w:szCs w:val="20"/>
          <w:lang w:val="en" w:eastAsia="es-ES_tradnl"/>
        </w:rPr>
      </w:pPr>
      <w:r w:rsidRPr="00FC1DA4">
        <w:rPr>
          <w:rFonts w:ascii="Arial Narrow" w:eastAsia="Times New Roman" w:hAnsi="Arial Narrow" w:cstheme="minorHAnsi"/>
          <w:b/>
          <w:bCs/>
          <w:color w:val="000000" w:themeColor="text1"/>
          <w:szCs w:val="20"/>
          <w:lang w:val="en" w:eastAsia="es-ES_tradnl"/>
        </w:rPr>
        <w:t>Objective:</w:t>
      </w:r>
      <w:r w:rsidRPr="00FC1DA4">
        <w:rPr>
          <w:rFonts w:ascii="Arial Narrow" w:eastAsia="Times New Roman" w:hAnsi="Arial Narrow" w:cstheme="minorHAnsi"/>
          <w:color w:val="000000" w:themeColor="text1"/>
          <w:szCs w:val="20"/>
          <w:lang w:val="en" w:eastAsia="es-ES_tradnl"/>
        </w:rPr>
        <w:t xml:space="preserve"> To describe the results of the antibiotic therapy used for premature rupture of membranes far from term when clarithromycin is used, in the Obstetrics Service of the Women`s Hospital Dr. Adolfo Carit Eva (HOMACE) in the period from January 2013 to January 2018.</w:t>
      </w:r>
    </w:p>
    <w:p w14:paraId="62CFB462"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color w:val="000000" w:themeColor="text1"/>
          <w:szCs w:val="20"/>
          <w:lang w:val="en-US" w:eastAsia="es-ES_tradnl"/>
        </w:rPr>
      </w:pPr>
      <w:r w:rsidRPr="00FC1DA4">
        <w:rPr>
          <w:rFonts w:ascii="Arial Narrow" w:eastAsia="Times New Roman" w:hAnsi="Arial Narrow" w:cstheme="minorHAnsi"/>
          <w:b/>
          <w:bCs/>
          <w:color w:val="000000" w:themeColor="text1"/>
          <w:szCs w:val="20"/>
          <w:lang w:val="en" w:eastAsia="es-ES_tradnl"/>
        </w:rPr>
        <w:t>Study Design:</w:t>
      </w:r>
      <w:r w:rsidRPr="00FC1DA4">
        <w:rPr>
          <w:rFonts w:ascii="Arial Narrow" w:eastAsia="Times New Roman" w:hAnsi="Arial Narrow" w:cstheme="minorHAnsi"/>
          <w:color w:val="000000" w:themeColor="text1"/>
          <w:szCs w:val="20"/>
          <w:lang w:val="en" w:eastAsia="es-ES_tradnl"/>
        </w:rPr>
        <w:t xml:space="preserve"> Retrospective observational cohort study developed in patients with a gestational age of 24 + 0 to 32 +0 weeks in the period between January 2013 and January 2018 in control in HOMACE, considering as exposure the presence of premature rupture of membranes diagnosed by clinic who were prescribed antibiotic therapy with ampicillin / clarithromycin / </w:t>
      </w:r>
      <w:proofErr w:type="spellStart"/>
      <w:r w:rsidRPr="00FC1DA4">
        <w:rPr>
          <w:rFonts w:ascii="Arial Narrow" w:eastAsia="Times New Roman" w:hAnsi="Arial Narrow" w:cstheme="minorHAnsi"/>
          <w:color w:val="000000" w:themeColor="text1"/>
          <w:szCs w:val="20"/>
          <w:lang w:val="en" w:eastAsia="es-ES_tradnl"/>
        </w:rPr>
        <w:t>amoxacillin</w:t>
      </w:r>
      <w:proofErr w:type="spellEnd"/>
      <w:r w:rsidRPr="00FC1DA4">
        <w:rPr>
          <w:rFonts w:ascii="Arial Narrow" w:eastAsia="Times New Roman" w:hAnsi="Arial Narrow" w:cstheme="minorHAnsi"/>
          <w:color w:val="000000" w:themeColor="text1"/>
          <w:szCs w:val="20"/>
          <w:lang w:val="en" w:eastAsia="es-ES_tradnl"/>
        </w:rPr>
        <w:t>.</w:t>
      </w:r>
    </w:p>
    <w:p w14:paraId="5547FA7A"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color w:val="000000" w:themeColor="text1"/>
          <w:szCs w:val="20"/>
          <w:lang w:val="en" w:eastAsia="es-ES_tradnl"/>
        </w:rPr>
      </w:pPr>
      <w:r w:rsidRPr="00FC1DA4">
        <w:rPr>
          <w:rFonts w:ascii="Arial Narrow" w:eastAsia="Times New Roman" w:hAnsi="Arial Narrow" w:cstheme="minorHAnsi"/>
          <w:b/>
          <w:bCs/>
          <w:color w:val="000000" w:themeColor="text1"/>
          <w:szCs w:val="20"/>
          <w:lang w:val="en" w:eastAsia="es-ES_tradnl"/>
        </w:rPr>
        <w:t>Results:</w:t>
      </w:r>
      <w:r w:rsidRPr="00FC1DA4">
        <w:rPr>
          <w:rFonts w:ascii="Arial Narrow" w:eastAsia="Times New Roman" w:hAnsi="Arial Narrow" w:cstheme="minorHAnsi"/>
          <w:color w:val="000000" w:themeColor="text1"/>
          <w:szCs w:val="20"/>
          <w:lang w:val="en" w:eastAsia="es-ES_tradnl"/>
        </w:rPr>
        <w:t xml:space="preserve"> A total of 36 patients were evaluated. Prolongation of pregnancy was documented in 72.0% (26/36) of cases and the presence of chorioamnionitis was present in 8.3% (3/36). The distribution of patients according to days of latency (days that the pregnancy was prolonged) showed that the most frequent was a latency greater than or equal to 7 days in 63.9% (23/36).</w:t>
      </w:r>
    </w:p>
    <w:p w14:paraId="45610338"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color w:val="202124"/>
          <w:szCs w:val="20"/>
          <w:lang w:val="en" w:eastAsia="es-ES_tradnl"/>
        </w:rPr>
      </w:pPr>
      <w:r w:rsidRPr="00FC1DA4">
        <w:rPr>
          <w:rFonts w:ascii="Arial Narrow" w:eastAsia="Times New Roman" w:hAnsi="Arial Narrow" w:cstheme="minorHAnsi"/>
          <w:b/>
          <w:bCs/>
          <w:color w:val="000000" w:themeColor="text1"/>
          <w:szCs w:val="20"/>
          <w:lang w:val="en" w:eastAsia="es-ES_tradnl"/>
        </w:rPr>
        <w:t>Conclusions:</w:t>
      </w:r>
      <w:r w:rsidRPr="00FC1DA4">
        <w:rPr>
          <w:rFonts w:ascii="Arial Narrow" w:eastAsia="Times New Roman" w:hAnsi="Arial Narrow" w:cstheme="minorHAnsi"/>
          <w:color w:val="000000" w:themeColor="text1"/>
          <w:szCs w:val="20"/>
          <w:lang w:val="en" w:eastAsia="es-ES_tradnl"/>
        </w:rPr>
        <w:t xml:space="preserve"> </w:t>
      </w:r>
      <w:r w:rsidRPr="00FC1DA4">
        <w:rPr>
          <w:rFonts w:ascii="Arial Narrow" w:eastAsia="Times New Roman" w:hAnsi="Arial Narrow" w:cstheme="minorHAnsi"/>
          <w:color w:val="202124"/>
          <w:szCs w:val="20"/>
          <w:lang w:val="en" w:eastAsia="es-ES_tradnl"/>
        </w:rPr>
        <w:t>The antibiotic therapy used for premature rupture of membranes far from term in the Obstetric Service of Women`s Hospital Dr. Adolfo Carit Eva in the period from January 2013 to January 2018 managed to have a positive impact on the obstetric clinical course, increasing the possibility of prolonging pregnancy in most patients and decreasing the risk of complications associated with this condition.</w:t>
      </w:r>
    </w:p>
    <w:p w14:paraId="35C56093" w14:textId="77777777" w:rsidR="003C2B91" w:rsidRPr="00FC1DA4" w:rsidRDefault="003C2B91" w:rsidP="003C2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cs="Calibri"/>
          <w:color w:val="000000" w:themeColor="text1"/>
          <w:szCs w:val="20"/>
          <w:lang w:val="en-US"/>
        </w:rPr>
      </w:pPr>
    </w:p>
    <w:p w14:paraId="7016AA16" w14:textId="77777777" w:rsidR="003C2B91" w:rsidRPr="00FC1DA4" w:rsidRDefault="003C2B91" w:rsidP="00FC1D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cs="Calibri"/>
          <w:color w:val="000000" w:themeColor="text1"/>
          <w:szCs w:val="20"/>
          <w:lang w:val="en-US"/>
        </w:rPr>
      </w:pPr>
      <w:r w:rsidRPr="00FC1DA4">
        <w:rPr>
          <w:rFonts w:ascii="Arial Narrow" w:hAnsi="Arial Narrow" w:cs="Calibri"/>
          <w:b/>
          <w:bCs/>
          <w:color w:val="000000" w:themeColor="text1"/>
          <w:szCs w:val="20"/>
          <w:lang w:val="en"/>
        </w:rPr>
        <w:t>Key words</w:t>
      </w:r>
      <w:r w:rsidRPr="00FC1DA4">
        <w:rPr>
          <w:rFonts w:ascii="Arial Narrow" w:hAnsi="Arial Narrow" w:cs="Calibri"/>
          <w:color w:val="000000" w:themeColor="text1"/>
          <w:szCs w:val="20"/>
          <w:lang w:val="en"/>
        </w:rPr>
        <w:t>: Premature rupture of membranes, clarithromycin, chorioamn</w:t>
      </w:r>
      <w:r w:rsidR="00FC1DA4">
        <w:rPr>
          <w:rFonts w:ascii="Arial Narrow" w:hAnsi="Arial Narrow" w:cs="Calibri"/>
          <w:color w:val="000000" w:themeColor="text1"/>
          <w:szCs w:val="20"/>
          <w:lang w:val="en"/>
        </w:rPr>
        <w:t>ionitis</w:t>
      </w:r>
    </w:p>
    <w:p w14:paraId="30880129" w14:textId="77777777" w:rsidR="003C2B91" w:rsidRDefault="003C2B91" w:rsidP="003C2B91">
      <w:pPr>
        <w:rPr>
          <w:rFonts w:ascii="Arial Narrow" w:hAnsi="Arial Narrow" w:cs="Calibri"/>
          <w:b/>
          <w:bCs/>
          <w:color w:val="000000" w:themeColor="text1"/>
          <w:szCs w:val="20"/>
          <w:lang w:val="es-ES"/>
        </w:rPr>
      </w:pPr>
      <w:r w:rsidRPr="00FC1DA4">
        <w:rPr>
          <w:rFonts w:ascii="Arial Narrow" w:hAnsi="Arial Narrow" w:cs="Calibri"/>
          <w:b/>
          <w:bCs/>
          <w:color w:val="000000" w:themeColor="text1"/>
          <w:szCs w:val="20"/>
          <w:lang w:val="es-ES"/>
        </w:rPr>
        <w:lastRenderedPageBreak/>
        <w:t>Índice de tablas</w:t>
      </w:r>
    </w:p>
    <w:p w14:paraId="6CA13C69" w14:textId="77777777" w:rsidR="002650AF" w:rsidRDefault="002650AF" w:rsidP="003C2B91">
      <w:pPr>
        <w:rPr>
          <w:rFonts w:ascii="Arial Narrow" w:hAnsi="Arial Narrow" w:cs="Calibri"/>
          <w:b/>
          <w:bCs/>
          <w:color w:val="000000" w:themeColor="text1"/>
          <w:szCs w:val="20"/>
          <w:lang w:val="es-ES"/>
        </w:rPr>
      </w:pPr>
    </w:p>
    <w:p w14:paraId="00978308" w14:textId="77777777" w:rsidR="002650AF" w:rsidRDefault="002650AF" w:rsidP="002650AF">
      <w:pPr>
        <w:spacing w:line="360" w:lineRule="auto"/>
        <w:rPr>
          <w:rFonts w:ascii="Arial Narrow" w:hAnsi="Arial Narrow" w:cs="Calibri"/>
          <w:b/>
          <w:color w:val="000000" w:themeColor="text1"/>
          <w:lang w:val="es-ES"/>
        </w:rPr>
      </w:pPr>
    </w:p>
    <w:p w14:paraId="4F8A792F" w14:textId="77777777" w:rsidR="002650AF" w:rsidRPr="002728BB" w:rsidRDefault="002650AF" w:rsidP="002728BB">
      <w:pPr>
        <w:spacing w:line="360" w:lineRule="auto"/>
        <w:jc w:val="both"/>
        <w:rPr>
          <w:rFonts w:ascii="Arial Narrow" w:hAnsi="Arial Narrow" w:cs="Calibri"/>
          <w:color w:val="000000" w:themeColor="text1"/>
          <w:lang w:val="es-ES"/>
        </w:rPr>
      </w:pPr>
      <w:r w:rsidRPr="002728BB">
        <w:rPr>
          <w:rFonts w:ascii="Arial Narrow" w:hAnsi="Arial Narrow" w:cs="Calibri"/>
          <w:color w:val="000000" w:themeColor="text1"/>
        </w:rPr>
        <w:t xml:space="preserve">Tabla 1: Distribución de pacientes con indicación de </w:t>
      </w:r>
      <w:r w:rsidRPr="002728BB">
        <w:rPr>
          <w:rFonts w:ascii="Arial Narrow" w:hAnsi="Arial Narrow" w:cs="Calibri"/>
          <w:color w:val="000000" w:themeColor="text1"/>
          <w:lang w:val="es-ES"/>
        </w:rPr>
        <w:t>antibioticoterapia por ruptura prematura de membranas alejada de término, con esquema de claritromicina, según antecedentes personales patológicos……………………………………</w:t>
      </w:r>
      <w:r w:rsidR="002728BB" w:rsidRPr="002728BB">
        <w:rPr>
          <w:rFonts w:ascii="Arial Narrow" w:hAnsi="Arial Narrow" w:cs="Calibri"/>
          <w:color w:val="000000" w:themeColor="text1"/>
          <w:lang w:val="es-ES"/>
        </w:rPr>
        <w:t>………………………………………</w:t>
      </w:r>
      <w:r w:rsidRPr="002728BB">
        <w:rPr>
          <w:rFonts w:ascii="Arial Narrow" w:hAnsi="Arial Narrow" w:cs="Calibri"/>
          <w:color w:val="000000" w:themeColor="text1"/>
          <w:lang w:val="es-ES"/>
        </w:rPr>
        <w:t>…………</w:t>
      </w:r>
      <w:r w:rsidR="002728BB" w:rsidRPr="002728BB">
        <w:rPr>
          <w:rFonts w:ascii="Arial Narrow" w:hAnsi="Arial Narrow" w:cs="Calibri"/>
          <w:color w:val="000000" w:themeColor="text1"/>
          <w:lang w:val="es-ES"/>
        </w:rPr>
        <w:t>……</w:t>
      </w:r>
      <w:r w:rsidRPr="002728BB">
        <w:rPr>
          <w:rFonts w:ascii="Arial Narrow" w:hAnsi="Arial Narrow" w:cs="Calibri"/>
          <w:color w:val="000000" w:themeColor="text1"/>
          <w:lang w:val="es-ES"/>
        </w:rPr>
        <w:t>…………</w:t>
      </w:r>
      <w:r w:rsidR="002728BB" w:rsidRPr="002728BB">
        <w:rPr>
          <w:rFonts w:ascii="Arial Narrow" w:hAnsi="Arial Narrow" w:cs="Calibri"/>
          <w:color w:val="000000" w:themeColor="text1"/>
          <w:lang w:val="es-ES"/>
        </w:rPr>
        <w:t>9</w:t>
      </w:r>
    </w:p>
    <w:p w14:paraId="0E57F185" w14:textId="77777777" w:rsidR="002728BB" w:rsidRPr="002728BB" w:rsidRDefault="002650AF" w:rsidP="002728BB">
      <w:pPr>
        <w:spacing w:line="360" w:lineRule="auto"/>
        <w:jc w:val="both"/>
        <w:rPr>
          <w:rFonts w:ascii="Arial Narrow" w:hAnsi="Arial Narrow" w:cs="Calibri"/>
          <w:color w:val="000000" w:themeColor="text1"/>
          <w:lang w:val="es-ES"/>
        </w:rPr>
      </w:pPr>
      <w:r w:rsidRPr="002728BB">
        <w:rPr>
          <w:rFonts w:ascii="Arial Narrow" w:hAnsi="Arial Narrow" w:cs="Calibri"/>
          <w:color w:val="000000" w:themeColor="text1"/>
        </w:rPr>
        <w:t xml:space="preserve">Tabla 2: Distribución de pacientes con indicación de </w:t>
      </w:r>
      <w:r w:rsidRPr="002728BB">
        <w:rPr>
          <w:rFonts w:ascii="Arial Narrow" w:hAnsi="Arial Narrow" w:cs="Calibri"/>
          <w:color w:val="000000" w:themeColor="text1"/>
          <w:lang w:val="es-ES"/>
        </w:rPr>
        <w:t>antibioticoterapia por ruptura prematura de membranas alejada de término, según edad gestacional al momento del evento…</w:t>
      </w:r>
      <w:r w:rsidR="002728BB" w:rsidRPr="002728BB">
        <w:rPr>
          <w:rFonts w:ascii="Arial Narrow" w:hAnsi="Arial Narrow" w:cs="Calibri"/>
          <w:color w:val="000000" w:themeColor="text1"/>
          <w:lang w:val="es-ES"/>
        </w:rPr>
        <w:t>……………….</w:t>
      </w:r>
      <w:r w:rsidRPr="002728BB">
        <w:rPr>
          <w:rFonts w:ascii="Arial Narrow" w:hAnsi="Arial Narrow" w:cs="Calibri"/>
          <w:color w:val="000000" w:themeColor="text1"/>
          <w:lang w:val="es-ES"/>
        </w:rPr>
        <w:t>…</w:t>
      </w:r>
      <w:r w:rsidR="002728BB" w:rsidRPr="002728BB">
        <w:rPr>
          <w:rFonts w:ascii="Arial Narrow" w:hAnsi="Arial Narrow" w:cs="Calibri"/>
          <w:color w:val="000000" w:themeColor="text1"/>
          <w:lang w:val="es-ES"/>
        </w:rPr>
        <w:t>10</w:t>
      </w:r>
    </w:p>
    <w:p w14:paraId="5ED93A68" w14:textId="77777777" w:rsidR="00F2733F" w:rsidRPr="00801CC3" w:rsidRDefault="00F2733F" w:rsidP="002728BB">
      <w:pPr>
        <w:spacing w:line="360" w:lineRule="auto"/>
        <w:jc w:val="both"/>
        <w:rPr>
          <w:rFonts w:ascii="Arial Narrow" w:hAnsi="Arial Narrow" w:cs="Calibri"/>
          <w:b/>
          <w:bCs/>
          <w:color w:val="000000" w:themeColor="text1"/>
          <w:lang w:val="es-ES"/>
        </w:rPr>
      </w:pPr>
      <w:r w:rsidRPr="002728BB">
        <w:rPr>
          <w:rFonts w:ascii="Arial Narrow" w:hAnsi="Arial Narrow" w:cs="Calibri"/>
          <w:color w:val="000000" w:themeColor="text1"/>
        </w:rPr>
        <w:t xml:space="preserve">Tabla 3: Distribución </w:t>
      </w:r>
      <w:r w:rsidRPr="00801CC3">
        <w:rPr>
          <w:rFonts w:ascii="Arial Narrow" w:hAnsi="Arial Narrow" w:cs="Calibri"/>
          <w:color w:val="000000" w:themeColor="text1"/>
        </w:rPr>
        <w:t xml:space="preserve">de pacientes con indicación de </w:t>
      </w:r>
      <w:r w:rsidRPr="00801CC3">
        <w:rPr>
          <w:rFonts w:ascii="Arial Narrow" w:hAnsi="Arial Narrow" w:cs="Calibri"/>
          <w:color w:val="000000" w:themeColor="text1"/>
          <w:lang w:val="es-ES"/>
        </w:rPr>
        <w:t>antibioticoterapia por ruptura prematura de membranas alejada de térmi</w:t>
      </w:r>
      <w:r>
        <w:rPr>
          <w:rFonts w:ascii="Arial Narrow" w:hAnsi="Arial Narrow" w:cs="Calibri"/>
          <w:color w:val="000000" w:themeColor="text1"/>
          <w:lang w:val="es-ES"/>
        </w:rPr>
        <w:t>no, según presentación clínica………………</w:t>
      </w:r>
      <w:r w:rsidR="002728BB">
        <w:rPr>
          <w:rFonts w:ascii="Arial Narrow" w:hAnsi="Arial Narrow" w:cs="Calibri"/>
          <w:color w:val="000000" w:themeColor="text1"/>
          <w:lang w:val="es-ES"/>
        </w:rPr>
        <w:t>…………</w:t>
      </w:r>
      <w:r>
        <w:rPr>
          <w:rFonts w:ascii="Arial Narrow" w:hAnsi="Arial Narrow" w:cs="Calibri"/>
          <w:color w:val="000000" w:themeColor="text1"/>
          <w:lang w:val="es-ES"/>
        </w:rPr>
        <w:t>…………………..</w:t>
      </w:r>
      <w:r w:rsidR="002728BB">
        <w:rPr>
          <w:rFonts w:ascii="Arial Narrow" w:hAnsi="Arial Narrow" w:cs="Calibri"/>
          <w:color w:val="000000" w:themeColor="text1"/>
          <w:lang w:val="es-ES"/>
        </w:rPr>
        <w:t>10</w:t>
      </w:r>
    </w:p>
    <w:p w14:paraId="4EA27F5F" w14:textId="77777777" w:rsidR="00F2733F" w:rsidRPr="00801CC3" w:rsidRDefault="00F2733F" w:rsidP="002650AF">
      <w:pPr>
        <w:spacing w:line="360" w:lineRule="auto"/>
        <w:rPr>
          <w:rFonts w:ascii="Arial Narrow" w:hAnsi="Arial Narrow" w:cs="Calibri"/>
          <w:b/>
          <w:bCs/>
          <w:color w:val="000000" w:themeColor="text1"/>
          <w:lang w:val="es-ES"/>
        </w:rPr>
      </w:pPr>
    </w:p>
    <w:p w14:paraId="4AFD4650" w14:textId="77777777" w:rsidR="002650AF" w:rsidRPr="002650AF" w:rsidRDefault="002650AF" w:rsidP="003C2B91">
      <w:pPr>
        <w:rPr>
          <w:rFonts w:ascii="Arial Narrow" w:hAnsi="Arial Narrow" w:cs="Calibri"/>
          <w:b/>
          <w:bCs/>
          <w:color w:val="000000" w:themeColor="text1"/>
          <w:sz w:val="32"/>
          <w:szCs w:val="20"/>
          <w:lang w:val="es-ES"/>
        </w:rPr>
      </w:pPr>
    </w:p>
    <w:p w14:paraId="717F4CFE" w14:textId="77777777" w:rsidR="002650AF" w:rsidRDefault="002650AF">
      <w:pPr>
        <w:rPr>
          <w:rFonts w:cs="Calibri"/>
          <w:b/>
          <w:bCs/>
          <w:color w:val="000000" w:themeColor="text1"/>
          <w:sz w:val="20"/>
          <w:szCs w:val="20"/>
          <w:lang w:val="es-ES"/>
        </w:rPr>
      </w:pPr>
      <w:r>
        <w:rPr>
          <w:rFonts w:cs="Calibri"/>
          <w:b/>
          <w:bCs/>
          <w:color w:val="000000" w:themeColor="text1"/>
          <w:sz w:val="20"/>
          <w:szCs w:val="20"/>
          <w:lang w:val="es-ES"/>
        </w:rPr>
        <w:br w:type="page"/>
      </w:r>
    </w:p>
    <w:p w14:paraId="3BB995A0" w14:textId="77777777" w:rsidR="002650AF" w:rsidRDefault="002650AF">
      <w:pPr>
        <w:rPr>
          <w:rFonts w:cs="Calibri"/>
          <w:b/>
          <w:bCs/>
          <w:color w:val="000000" w:themeColor="text1"/>
          <w:sz w:val="20"/>
          <w:szCs w:val="20"/>
          <w:lang w:val="es-ES"/>
        </w:rPr>
      </w:pPr>
    </w:p>
    <w:p w14:paraId="59ADDD96" w14:textId="77777777" w:rsidR="00F2733F" w:rsidRDefault="002650AF" w:rsidP="003C2B91">
      <w:pPr>
        <w:rPr>
          <w:rFonts w:ascii="Arial Narrow" w:hAnsi="Arial Narrow" w:cs="Calibri"/>
          <w:b/>
          <w:bCs/>
          <w:color w:val="000000" w:themeColor="text1"/>
          <w:szCs w:val="20"/>
          <w:lang w:val="es-ES"/>
        </w:rPr>
      </w:pPr>
      <w:r>
        <w:rPr>
          <w:rFonts w:ascii="Arial Narrow" w:hAnsi="Arial Narrow" w:cs="Calibri"/>
          <w:b/>
          <w:bCs/>
          <w:color w:val="000000" w:themeColor="text1"/>
          <w:szCs w:val="20"/>
          <w:lang w:val="es-ES"/>
        </w:rPr>
        <w:t xml:space="preserve">Índice de gráficos </w:t>
      </w:r>
    </w:p>
    <w:p w14:paraId="7E1AA1C0" w14:textId="77777777" w:rsidR="00F2733F" w:rsidRDefault="00F2733F" w:rsidP="003C2B91">
      <w:pPr>
        <w:rPr>
          <w:rFonts w:ascii="Arial Narrow" w:hAnsi="Arial Narrow" w:cs="Calibri"/>
          <w:b/>
          <w:bCs/>
          <w:color w:val="000000" w:themeColor="text1"/>
          <w:szCs w:val="20"/>
          <w:lang w:val="es-ES"/>
        </w:rPr>
      </w:pPr>
    </w:p>
    <w:p w14:paraId="5EBC2FEB" w14:textId="77777777" w:rsidR="00F2733F" w:rsidRPr="00801CC3" w:rsidRDefault="00F2733F" w:rsidP="00F2733F">
      <w:pPr>
        <w:spacing w:line="360" w:lineRule="auto"/>
        <w:jc w:val="both"/>
        <w:rPr>
          <w:rFonts w:ascii="Arial Narrow" w:hAnsi="Arial Narrow" w:cs="Calibri"/>
          <w:color w:val="000000" w:themeColor="text1"/>
          <w:lang w:val="es-ES"/>
        </w:rPr>
      </w:pPr>
      <w:r w:rsidRPr="002728BB">
        <w:rPr>
          <w:rFonts w:ascii="Arial Narrow" w:hAnsi="Arial Narrow" w:cs="Calibri"/>
          <w:color w:val="000000" w:themeColor="text1"/>
        </w:rPr>
        <w:t>Gráfico 1: Distribución</w:t>
      </w:r>
      <w:r w:rsidRPr="00801CC3">
        <w:rPr>
          <w:rFonts w:ascii="Arial Narrow" w:hAnsi="Arial Narrow" w:cs="Calibri"/>
          <w:color w:val="000000" w:themeColor="text1"/>
        </w:rPr>
        <w:t xml:space="preserve"> de pacientes con indicación de </w:t>
      </w:r>
      <w:r w:rsidRPr="00801CC3">
        <w:rPr>
          <w:rFonts w:ascii="Arial Narrow" w:hAnsi="Arial Narrow" w:cs="Calibri"/>
          <w:color w:val="000000" w:themeColor="text1"/>
          <w:lang w:val="es-ES"/>
        </w:rPr>
        <w:t>antibioticoterapia por ruptura prematura de membranas alejada de t</w:t>
      </w:r>
      <w:r>
        <w:rPr>
          <w:rFonts w:ascii="Arial Narrow" w:hAnsi="Arial Narrow" w:cs="Calibri"/>
          <w:color w:val="000000" w:themeColor="text1"/>
          <w:lang w:val="es-ES"/>
        </w:rPr>
        <w:t>érmino, según días de latencia…………</w:t>
      </w:r>
      <w:r w:rsidR="002728BB">
        <w:rPr>
          <w:rFonts w:ascii="Arial Narrow" w:hAnsi="Arial Narrow" w:cs="Calibri"/>
          <w:color w:val="000000" w:themeColor="text1"/>
          <w:lang w:val="es-ES"/>
        </w:rPr>
        <w:t>………………………….</w:t>
      </w:r>
      <w:r>
        <w:rPr>
          <w:rFonts w:ascii="Arial Narrow" w:hAnsi="Arial Narrow" w:cs="Calibri"/>
          <w:color w:val="000000" w:themeColor="text1"/>
          <w:lang w:val="es-ES"/>
        </w:rPr>
        <w:t>…………….</w:t>
      </w:r>
      <w:r w:rsidR="002728BB">
        <w:rPr>
          <w:rFonts w:ascii="Arial Narrow" w:hAnsi="Arial Narrow" w:cs="Calibri"/>
          <w:color w:val="000000" w:themeColor="text1"/>
          <w:lang w:val="es-ES"/>
        </w:rPr>
        <w:t>11</w:t>
      </w:r>
    </w:p>
    <w:p w14:paraId="74873D3C" w14:textId="77777777" w:rsidR="003C2B91" w:rsidRDefault="003C2B91" w:rsidP="003C2B91">
      <w:pPr>
        <w:rPr>
          <w:rFonts w:cs="Calibri"/>
          <w:b/>
          <w:bCs/>
          <w:color w:val="000000" w:themeColor="text1"/>
          <w:sz w:val="20"/>
          <w:szCs w:val="20"/>
          <w:lang w:val="es-ES"/>
        </w:rPr>
      </w:pPr>
      <w:r>
        <w:rPr>
          <w:rFonts w:cs="Calibri"/>
          <w:b/>
          <w:bCs/>
          <w:color w:val="000000" w:themeColor="text1"/>
          <w:sz w:val="20"/>
          <w:szCs w:val="20"/>
          <w:lang w:val="es-ES"/>
        </w:rPr>
        <w:br w:type="page"/>
      </w:r>
    </w:p>
    <w:p w14:paraId="03451219" w14:textId="77777777" w:rsidR="00F2733F" w:rsidRPr="002650AF" w:rsidRDefault="00F2733F" w:rsidP="003C2B91">
      <w:pPr>
        <w:rPr>
          <w:rFonts w:ascii="Arial Narrow" w:hAnsi="Arial Narrow" w:cs="Calibri"/>
          <w:b/>
          <w:bCs/>
          <w:color w:val="000000" w:themeColor="text1"/>
          <w:szCs w:val="20"/>
          <w:lang w:val="es-ES"/>
        </w:rPr>
      </w:pPr>
    </w:p>
    <w:p w14:paraId="0BD400C2" w14:textId="77777777" w:rsidR="00CA3CE5" w:rsidRDefault="003C2B91" w:rsidP="003C2B91">
      <w:pPr>
        <w:rPr>
          <w:rFonts w:ascii="Arial Narrow" w:hAnsi="Arial Narrow" w:cs="Calibri"/>
          <w:b/>
          <w:bCs/>
          <w:color w:val="000000" w:themeColor="text1"/>
          <w:szCs w:val="20"/>
          <w:lang w:val="es-ES"/>
        </w:rPr>
      </w:pPr>
      <w:r w:rsidRPr="00FC1DA4">
        <w:rPr>
          <w:rFonts w:ascii="Arial Narrow" w:hAnsi="Arial Narrow" w:cs="Calibri"/>
          <w:b/>
          <w:bCs/>
          <w:color w:val="000000" w:themeColor="text1"/>
          <w:szCs w:val="20"/>
          <w:lang w:val="es-ES"/>
        </w:rPr>
        <w:t>Índice de abreviaturas</w:t>
      </w:r>
    </w:p>
    <w:p w14:paraId="5F2DC461" w14:textId="77777777" w:rsidR="00CA3CE5" w:rsidRDefault="00CA3CE5" w:rsidP="003C2B91">
      <w:pPr>
        <w:rPr>
          <w:rFonts w:ascii="Arial Narrow" w:hAnsi="Arial Narrow" w:cs="Calibri"/>
          <w:b/>
          <w:bCs/>
          <w:color w:val="000000" w:themeColor="text1"/>
          <w:szCs w:val="20"/>
          <w:lang w:val="es-ES"/>
        </w:rPr>
      </w:pPr>
    </w:p>
    <w:p w14:paraId="79D3AD05" w14:textId="77777777" w:rsidR="00086677" w:rsidRPr="00651A6E" w:rsidRDefault="00086677" w:rsidP="00086677">
      <w:pPr>
        <w:spacing w:line="360" w:lineRule="auto"/>
        <w:rPr>
          <w:rFonts w:ascii="Arial Narrow" w:hAnsi="Arial Narrow" w:cs="Calibri"/>
          <w:color w:val="000000" w:themeColor="text1"/>
          <w:szCs w:val="20"/>
        </w:rPr>
      </w:pPr>
      <w:r w:rsidRPr="00651A6E">
        <w:rPr>
          <w:rFonts w:ascii="Arial Narrow" w:hAnsi="Arial Narrow" w:cs="Calibri"/>
          <w:color w:val="000000" w:themeColor="text1"/>
          <w:szCs w:val="20"/>
        </w:rPr>
        <w:t xml:space="preserve">ACOG: </w:t>
      </w:r>
      <w:r w:rsidRPr="00651A6E">
        <w:rPr>
          <w:rFonts w:ascii="Arial Narrow" w:hAnsi="Arial Narrow" w:cstheme="minorHAnsi"/>
        </w:rPr>
        <w:t xml:space="preserve">American </w:t>
      </w:r>
      <w:proofErr w:type="spellStart"/>
      <w:r w:rsidRPr="00651A6E">
        <w:rPr>
          <w:rFonts w:ascii="Arial Narrow" w:hAnsi="Arial Narrow" w:cstheme="minorHAnsi"/>
        </w:rPr>
        <w:t>College</w:t>
      </w:r>
      <w:proofErr w:type="spellEnd"/>
      <w:r w:rsidRPr="00651A6E">
        <w:rPr>
          <w:rFonts w:ascii="Arial Narrow" w:hAnsi="Arial Narrow" w:cstheme="minorHAnsi"/>
        </w:rPr>
        <w:t xml:space="preserve"> of </w:t>
      </w:r>
      <w:proofErr w:type="spellStart"/>
      <w:r w:rsidRPr="00651A6E">
        <w:rPr>
          <w:rFonts w:ascii="Arial Narrow" w:hAnsi="Arial Narrow" w:cstheme="minorHAnsi"/>
        </w:rPr>
        <w:t>Obstetricians</w:t>
      </w:r>
      <w:proofErr w:type="spellEnd"/>
      <w:r w:rsidRPr="00651A6E">
        <w:rPr>
          <w:rFonts w:ascii="Arial Narrow" w:hAnsi="Arial Narrow" w:cstheme="minorHAnsi"/>
        </w:rPr>
        <w:t xml:space="preserve"> and </w:t>
      </w:r>
      <w:proofErr w:type="spellStart"/>
      <w:r w:rsidRPr="00651A6E">
        <w:rPr>
          <w:rFonts w:ascii="Arial Narrow" w:hAnsi="Arial Narrow" w:cstheme="minorHAnsi"/>
        </w:rPr>
        <w:t>Gynecologists</w:t>
      </w:r>
      <w:proofErr w:type="spellEnd"/>
    </w:p>
    <w:p w14:paraId="48A18A08" w14:textId="77777777" w:rsidR="00086677" w:rsidRPr="00086677" w:rsidRDefault="00086677" w:rsidP="00086677">
      <w:pPr>
        <w:spacing w:line="360" w:lineRule="auto"/>
        <w:rPr>
          <w:rFonts w:ascii="Arial Narrow" w:hAnsi="Arial Narrow" w:cs="Calibri"/>
          <w:color w:val="000000" w:themeColor="text1"/>
          <w:szCs w:val="20"/>
        </w:rPr>
      </w:pPr>
      <w:r w:rsidRPr="00086677">
        <w:rPr>
          <w:rFonts w:ascii="Arial Narrow" w:hAnsi="Arial Narrow" w:cs="Calibri"/>
          <w:color w:val="000000" w:themeColor="text1"/>
          <w:szCs w:val="20"/>
        </w:rPr>
        <w:t>ATB: antibióticos</w:t>
      </w:r>
    </w:p>
    <w:p w14:paraId="7839406D" w14:textId="77777777" w:rsidR="00086677" w:rsidRDefault="00086677" w:rsidP="00086677">
      <w:pPr>
        <w:spacing w:line="360" w:lineRule="auto"/>
        <w:rPr>
          <w:rFonts w:ascii="Arial Narrow" w:hAnsi="Arial Narrow" w:cs="Calibri"/>
          <w:color w:val="000000" w:themeColor="text1"/>
          <w:szCs w:val="20"/>
        </w:rPr>
      </w:pPr>
      <w:r w:rsidRPr="00CA3CE5">
        <w:rPr>
          <w:rFonts w:ascii="Arial Narrow" w:hAnsi="Arial Narrow" w:cs="Calibri"/>
          <w:color w:val="000000" w:themeColor="text1"/>
          <w:szCs w:val="20"/>
        </w:rPr>
        <w:t>CCSS: Caja Costarricense del Seguro S</w:t>
      </w:r>
      <w:r>
        <w:rPr>
          <w:rFonts w:ascii="Arial Narrow" w:hAnsi="Arial Narrow" w:cs="Calibri"/>
          <w:color w:val="000000" w:themeColor="text1"/>
          <w:szCs w:val="20"/>
        </w:rPr>
        <w:t xml:space="preserve">ocial </w:t>
      </w:r>
    </w:p>
    <w:p w14:paraId="4769888A" w14:textId="77777777" w:rsidR="00086677" w:rsidRDefault="00086677" w:rsidP="00086677">
      <w:pPr>
        <w:spacing w:line="360" w:lineRule="auto"/>
        <w:rPr>
          <w:rFonts w:ascii="Arial Narrow" w:hAnsi="Arial Narrow" w:cs="Calibri"/>
          <w:color w:val="000000" w:themeColor="text1"/>
        </w:rPr>
      </w:pPr>
      <w:r w:rsidRPr="00FC1DA4">
        <w:rPr>
          <w:rFonts w:ascii="Arial Narrow" w:hAnsi="Arial Narrow" w:cs="Calibri"/>
          <w:color w:val="000000" w:themeColor="text1"/>
        </w:rPr>
        <w:t>COCHRANE</w:t>
      </w:r>
      <w:r>
        <w:rPr>
          <w:rFonts w:ascii="Arial Narrow" w:hAnsi="Arial Narrow" w:cs="Calibri"/>
          <w:color w:val="000000" w:themeColor="text1"/>
        </w:rPr>
        <w:t>: es una biblioteca virtual</w:t>
      </w:r>
    </w:p>
    <w:p w14:paraId="36A7E230" w14:textId="77777777" w:rsidR="00086677" w:rsidRDefault="00086677" w:rsidP="00086677">
      <w:pPr>
        <w:spacing w:line="360" w:lineRule="auto"/>
        <w:rPr>
          <w:rFonts w:ascii="Arial Narrow" w:hAnsi="Arial Narrow" w:cs="Calibri"/>
          <w:color w:val="000000" w:themeColor="text1"/>
          <w:szCs w:val="20"/>
        </w:rPr>
      </w:pPr>
      <w:r w:rsidRPr="00801CC3">
        <w:rPr>
          <w:rFonts w:ascii="Arial Narrow" w:hAnsi="Arial Narrow" w:cs="Arial"/>
          <w:shd w:val="clear" w:color="auto" w:fill="FFFFFF"/>
        </w:rPr>
        <w:t>EDUS</w:t>
      </w:r>
      <w:r>
        <w:rPr>
          <w:rFonts w:ascii="Arial Narrow" w:hAnsi="Arial Narrow" w:cs="Arial"/>
          <w:shd w:val="clear" w:color="auto" w:fill="FFFFFF"/>
        </w:rPr>
        <w:t xml:space="preserve">: </w:t>
      </w:r>
      <w:r w:rsidRPr="00801CC3">
        <w:rPr>
          <w:rFonts w:ascii="Arial Narrow" w:hAnsi="Arial Narrow" w:cs="Arial"/>
          <w:shd w:val="clear" w:color="auto" w:fill="FFFFFF"/>
        </w:rPr>
        <w:t>Ex</w:t>
      </w:r>
      <w:r>
        <w:rPr>
          <w:rFonts w:ascii="Arial Narrow" w:hAnsi="Arial Narrow" w:cs="Arial"/>
          <w:shd w:val="clear" w:color="auto" w:fill="FFFFFF"/>
        </w:rPr>
        <w:t>pediente Digital Único en Salud</w:t>
      </w:r>
    </w:p>
    <w:p w14:paraId="619D0CEC" w14:textId="77777777" w:rsidR="00086677" w:rsidRDefault="00086677" w:rsidP="00086677">
      <w:pPr>
        <w:spacing w:line="360" w:lineRule="auto"/>
        <w:rPr>
          <w:rFonts w:ascii="Arial Narrow" w:hAnsi="Arial Narrow" w:cs="Calibri"/>
          <w:color w:val="000000" w:themeColor="text1"/>
          <w:szCs w:val="20"/>
        </w:rPr>
      </w:pPr>
      <w:r>
        <w:rPr>
          <w:rFonts w:ascii="Arial Narrow" w:hAnsi="Arial Narrow" w:cs="Calibri"/>
          <w:color w:val="000000" w:themeColor="text1"/>
          <w:szCs w:val="20"/>
        </w:rPr>
        <w:t>EG: edad gestacional</w:t>
      </w:r>
    </w:p>
    <w:p w14:paraId="6105B07E" w14:textId="77777777" w:rsidR="00086677" w:rsidRDefault="00086677" w:rsidP="00086677">
      <w:pPr>
        <w:spacing w:line="360" w:lineRule="auto"/>
        <w:rPr>
          <w:rFonts w:ascii="Arial Narrow" w:hAnsi="Arial Narrow" w:cs="Calibri"/>
          <w:color w:val="000000" w:themeColor="text1"/>
          <w:szCs w:val="20"/>
        </w:rPr>
      </w:pPr>
      <w:r>
        <w:rPr>
          <w:rFonts w:ascii="Arial Narrow" w:hAnsi="Arial Narrow" w:cs="Calibri"/>
          <w:color w:val="000000" w:themeColor="text1"/>
          <w:szCs w:val="20"/>
        </w:rPr>
        <w:t xml:space="preserve">FCF: frecuencia cardiaca fetal </w:t>
      </w:r>
    </w:p>
    <w:p w14:paraId="3250CE28" w14:textId="77777777" w:rsidR="00086677" w:rsidRDefault="00086677" w:rsidP="00086677">
      <w:pPr>
        <w:spacing w:line="360" w:lineRule="auto"/>
        <w:rPr>
          <w:rFonts w:ascii="Arial Narrow" w:hAnsi="Arial Narrow" w:cs="Calibri"/>
          <w:color w:val="000000" w:themeColor="text1"/>
          <w:szCs w:val="20"/>
          <w:lang w:val="es"/>
        </w:rPr>
      </w:pPr>
      <w:r w:rsidRPr="00FC1DA4">
        <w:rPr>
          <w:rFonts w:ascii="Arial Narrow" w:hAnsi="Arial Narrow" w:cs="Calibri"/>
          <w:color w:val="000000" w:themeColor="text1"/>
          <w:szCs w:val="20"/>
          <w:lang w:val="es"/>
        </w:rPr>
        <w:t>HOMACE</w:t>
      </w:r>
      <w:r>
        <w:rPr>
          <w:rFonts w:ascii="Arial Narrow" w:hAnsi="Arial Narrow" w:cs="Calibri"/>
          <w:color w:val="000000" w:themeColor="text1"/>
          <w:szCs w:val="20"/>
          <w:lang w:val="es"/>
        </w:rPr>
        <w:t xml:space="preserve">: </w:t>
      </w:r>
      <w:r w:rsidRPr="00FC1DA4">
        <w:rPr>
          <w:rFonts w:ascii="Arial Narrow" w:hAnsi="Arial Narrow" w:cs="Calibri"/>
          <w:color w:val="000000" w:themeColor="text1"/>
          <w:szCs w:val="20"/>
          <w:lang w:val="es"/>
        </w:rPr>
        <w:t>Hospital De La</w:t>
      </w:r>
      <w:r>
        <w:rPr>
          <w:rFonts w:ascii="Arial Narrow" w:hAnsi="Arial Narrow" w:cs="Calibri"/>
          <w:color w:val="000000" w:themeColor="text1"/>
          <w:szCs w:val="20"/>
          <w:lang w:val="es"/>
        </w:rPr>
        <w:t>s Mujeres Dr. Adolfo Carit Eva</w:t>
      </w:r>
    </w:p>
    <w:p w14:paraId="61019C16" w14:textId="77777777" w:rsidR="00086677" w:rsidRPr="008D42EF" w:rsidRDefault="00086677" w:rsidP="00086677">
      <w:pPr>
        <w:spacing w:line="360" w:lineRule="auto"/>
        <w:rPr>
          <w:rFonts w:ascii="Arial Narrow" w:hAnsi="Arial Narrow" w:cs="Calibri"/>
          <w:color w:val="000000" w:themeColor="text1"/>
          <w:szCs w:val="20"/>
          <w:lang w:val="en-US"/>
        </w:rPr>
      </w:pPr>
      <w:r w:rsidRPr="008D42EF">
        <w:rPr>
          <w:rFonts w:ascii="Arial Narrow" w:hAnsi="Arial Narrow" w:cs="Calibri"/>
          <w:color w:val="000000" w:themeColor="text1"/>
          <w:szCs w:val="20"/>
          <w:lang w:val="en-US"/>
        </w:rPr>
        <w:t xml:space="preserve">IV: </w:t>
      </w:r>
      <w:proofErr w:type="spellStart"/>
      <w:r w:rsidRPr="008D42EF">
        <w:rPr>
          <w:rFonts w:ascii="Arial Narrow" w:hAnsi="Arial Narrow" w:cs="Calibri"/>
          <w:color w:val="000000" w:themeColor="text1"/>
          <w:szCs w:val="20"/>
          <w:lang w:val="en-US"/>
        </w:rPr>
        <w:t>intravenoso</w:t>
      </w:r>
      <w:proofErr w:type="spellEnd"/>
    </w:p>
    <w:p w14:paraId="15CDE3BE" w14:textId="77777777" w:rsidR="00086677" w:rsidRDefault="00086677" w:rsidP="00086677">
      <w:pPr>
        <w:spacing w:line="360" w:lineRule="auto"/>
        <w:rPr>
          <w:rFonts w:ascii="Arial Narrow" w:hAnsi="Arial Narrow" w:cs="Calibri"/>
          <w:color w:val="000000" w:themeColor="text1"/>
          <w:lang w:val="en-US"/>
        </w:rPr>
      </w:pPr>
      <w:r w:rsidRPr="00D529EE">
        <w:rPr>
          <w:rFonts w:ascii="Arial Narrow" w:hAnsi="Arial Narrow" w:cs="Calibri"/>
          <w:color w:val="000000" w:themeColor="text1"/>
          <w:lang w:val="en-US"/>
        </w:rPr>
        <w:t>JAMA</w:t>
      </w:r>
      <w:r>
        <w:rPr>
          <w:rFonts w:ascii="Arial Narrow" w:hAnsi="Arial Narrow" w:cs="Calibri"/>
          <w:color w:val="000000" w:themeColor="text1"/>
          <w:lang w:val="en-US"/>
        </w:rPr>
        <w:t xml:space="preserve">: </w:t>
      </w:r>
      <w:r w:rsidRPr="00D529EE">
        <w:rPr>
          <w:rFonts w:ascii="Arial Narrow" w:hAnsi="Arial Narrow" w:cs="Calibri"/>
          <w:color w:val="000000" w:themeColor="text1"/>
          <w:lang w:val="en-US"/>
        </w:rPr>
        <w:t>Journal of th</w:t>
      </w:r>
      <w:r>
        <w:rPr>
          <w:rFonts w:ascii="Arial Narrow" w:hAnsi="Arial Narrow" w:cs="Calibri"/>
          <w:color w:val="000000" w:themeColor="text1"/>
          <w:lang w:val="en-US"/>
        </w:rPr>
        <w:t>e American Medical Association</w:t>
      </w:r>
    </w:p>
    <w:p w14:paraId="16A6AB25" w14:textId="77777777" w:rsidR="00C0273F" w:rsidRPr="000E2475" w:rsidRDefault="00C0273F" w:rsidP="00086677">
      <w:pPr>
        <w:spacing w:line="360" w:lineRule="auto"/>
        <w:rPr>
          <w:rFonts w:ascii="Arial Narrow" w:hAnsi="Arial Narrow" w:cs="Calibri"/>
          <w:color w:val="000000" w:themeColor="text1"/>
        </w:rPr>
      </w:pPr>
      <w:r w:rsidRPr="000E2475">
        <w:rPr>
          <w:rFonts w:ascii="Arial Narrow" w:hAnsi="Arial Narrow" w:cs="Calibri"/>
          <w:color w:val="000000" w:themeColor="text1"/>
        </w:rPr>
        <w:t>LOM: Lista Oficial de Medicamentos</w:t>
      </w:r>
    </w:p>
    <w:p w14:paraId="130069FC" w14:textId="77777777" w:rsidR="00086677" w:rsidRPr="000E2475" w:rsidRDefault="00086677" w:rsidP="00086677">
      <w:pPr>
        <w:spacing w:line="360" w:lineRule="auto"/>
        <w:rPr>
          <w:rFonts w:ascii="Arial Narrow" w:hAnsi="Arial Narrow" w:cs="Calibri"/>
          <w:color w:val="000000" w:themeColor="text1"/>
        </w:rPr>
      </w:pPr>
      <w:proofErr w:type="spellStart"/>
      <w:r w:rsidRPr="000E2475">
        <w:rPr>
          <w:rFonts w:ascii="Arial Narrow" w:hAnsi="Arial Narrow" w:cs="Calibri"/>
          <w:color w:val="000000" w:themeColor="text1"/>
        </w:rPr>
        <w:t>Lpm</w:t>
      </w:r>
      <w:proofErr w:type="spellEnd"/>
      <w:r w:rsidRPr="000E2475">
        <w:rPr>
          <w:rFonts w:ascii="Arial Narrow" w:hAnsi="Arial Narrow" w:cs="Calibri"/>
          <w:color w:val="000000" w:themeColor="text1"/>
        </w:rPr>
        <w:t>: latidos por minuto</w:t>
      </w:r>
    </w:p>
    <w:p w14:paraId="11EE9D39" w14:textId="77777777" w:rsidR="00086677" w:rsidRDefault="00086677" w:rsidP="00086677">
      <w:pPr>
        <w:spacing w:line="360" w:lineRule="auto"/>
        <w:rPr>
          <w:rFonts w:ascii="Arial Narrow" w:eastAsia="Times New Roman" w:hAnsi="Arial Narrow" w:cstheme="minorHAnsi"/>
          <w:color w:val="000000" w:themeColor="text1"/>
          <w:spacing w:val="-5"/>
          <w:shd w:val="clear" w:color="auto" w:fill="FFFFFF"/>
          <w:lang w:val="en-US"/>
        </w:rPr>
      </w:pPr>
      <w:r w:rsidRPr="004E139E">
        <w:rPr>
          <w:rFonts w:ascii="Arial Narrow" w:eastAsia="Times New Roman" w:hAnsi="Arial Narrow" w:cstheme="minorHAnsi"/>
          <w:color w:val="000000" w:themeColor="text1"/>
          <w:spacing w:val="-5"/>
          <w:shd w:val="clear" w:color="auto" w:fill="FFFFFF"/>
          <w:lang w:val="en-US"/>
        </w:rPr>
        <w:t xml:space="preserve">NICHD </w:t>
      </w:r>
      <w:r>
        <w:rPr>
          <w:rFonts w:ascii="Arial Narrow" w:eastAsia="Times New Roman" w:hAnsi="Arial Narrow" w:cstheme="minorHAnsi"/>
          <w:color w:val="000000" w:themeColor="text1"/>
          <w:spacing w:val="-5"/>
          <w:shd w:val="clear" w:color="auto" w:fill="FFFFFF"/>
          <w:lang w:val="en-US"/>
        </w:rPr>
        <w:t xml:space="preserve">National Institute of Child and Human Development Eunice Kennedy Shriver </w:t>
      </w:r>
    </w:p>
    <w:p w14:paraId="0A1261C9" w14:textId="77777777" w:rsidR="00086677" w:rsidRPr="00CE7386" w:rsidRDefault="00086677" w:rsidP="00086677">
      <w:pPr>
        <w:spacing w:line="360" w:lineRule="auto"/>
        <w:rPr>
          <w:rFonts w:ascii="Arial Narrow" w:hAnsi="Arial Narrow" w:cs="Calibri"/>
          <w:color w:val="000000" w:themeColor="text1"/>
          <w:szCs w:val="20"/>
        </w:rPr>
      </w:pPr>
      <w:r w:rsidRPr="00CE7386">
        <w:rPr>
          <w:rFonts w:ascii="Arial Narrow" w:hAnsi="Arial Narrow" w:cs="Calibri"/>
          <w:color w:val="000000" w:themeColor="text1"/>
        </w:rPr>
        <w:t xml:space="preserve">ORACLE: nombre de un </w:t>
      </w:r>
      <w:proofErr w:type="spellStart"/>
      <w:r w:rsidRPr="00CE7386">
        <w:rPr>
          <w:rFonts w:ascii="Arial Narrow" w:hAnsi="Arial Narrow" w:cs="Calibri"/>
          <w:color w:val="000000" w:themeColor="text1"/>
        </w:rPr>
        <w:t>studio</w:t>
      </w:r>
      <w:proofErr w:type="spellEnd"/>
    </w:p>
    <w:p w14:paraId="7E3E19D5" w14:textId="77777777" w:rsidR="00086677" w:rsidRPr="00086677" w:rsidRDefault="00086677" w:rsidP="00086677">
      <w:pPr>
        <w:spacing w:line="360" w:lineRule="auto"/>
        <w:rPr>
          <w:rFonts w:ascii="Arial Narrow" w:eastAsia="Times New Roman" w:hAnsi="Arial Narrow" w:cstheme="minorHAnsi"/>
          <w:color w:val="000000" w:themeColor="text1"/>
          <w:szCs w:val="20"/>
          <w:lang w:eastAsia="es-ES_tradnl"/>
        </w:rPr>
      </w:pPr>
      <w:r w:rsidRPr="00086677">
        <w:rPr>
          <w:rFonts w:ascii="Arial Narrow" w:eastAsia="Times New Roman" w:hAnsi="Arial Narrow" w:cstheme="minorHAnsi"/>
          <w:color w:val="000000" w:themeColor="text1"/>
          <w:szCs w:val="20"/>
          <w:lang w:eastAsia="es-ES_tradnl"/>
        </w:rPr>
        <w:t xml:space="preserve">PROM: </w:t>
      </w:r>
      <w:proofErr w:type="spellStart"/>
      <w:r w:rsidRPr="00086677">
        <w:rPr>
          <w:rFonts w:ascii="Arial Narrow" w:eastAsia="Times New Roman" w:hAnsi="Arial Narrow" w:cstheme="minorHAnsi"/>
          <w:color w:val="000000" w:themeColor="text1"/>
          <w:szCs w:val="20"/>
          <w:lang w:eastAsia="es-ES_tradnl"/>
        </w:rPr>
        <w:t>premature</w:t>
      </w:r>
      <w:proofErr w:type="spellEnd"/>
      <w:r w:rsidRPr="00086677">
        <w:rPr>
          <w:rFonts w:ascii="Arial Narrow" w:eastAsia="Times New Roman" w:hAnsi="Arial Narrow" w:cstheme="minorHAnsi"/>
          <w:color w:val="000000" w:themeColor="text1"/>
          <w:szCs w:val="20"/>
          <w:lang w:eastAsia="es-ES_tradnl"/>
        </w:rPr>
        <w:t xml:space="preserve"> </w:t>
      </w:r>
      <w:proofErr w:type="spellStart"/>
      <w:r w:rsidRPr="00086677">
        <w:rPr>
          <w:rFonts w:ascii="Arial Narrow" w:eastAsia="Times New Roman" w:hAnsi="Arial Narrow" w:cstheme="minorHAnsi"/>
          <w:color w:val="000000" w:themeColor="text1"/>
          <w:szCs w:val="20"/>
          <w:lang w:eastAsia="es-ES_tradnl"/>
        </w:rPr>
        <w:t>rupture</w:t>
      </w:r>
      <w:proofErr w:type="spellEnd"/>
      <w:r w:rsidRPr="00086677">
        <w:rPr>
          <w:rFonts w:ascii="Arial Narrow" w:eastAsia="Times New Roman" w:hAnsi="Arial Narrow" w:cstheme="minorHAnsi"/>
          <w:color w:val="000000" w:themeColor="text1"/>
          <w:szCs w:val="20"/>
          <w:lang w:eastAsia="es-ES_tradnl"/>
        </w:rPr>
        <w:t xml:space="preserve"> of </w:t>
      </w:r>
      <w:proofErr w:type="spellStart"/>
      <w:r w:rsidRPr="00086677">
        <w:rPr>
          <w:rFonts w:ascii="Arial Narrow" w:eastAsia="Times New Roman" w:hAnsi="Arial Narrow" w:cstheme="minorHAnsi"/>
          <w:color w:val="000000" w:themeColor="text1"/>
          <w:szCs w:val="20"/>
          <w:lang w:eastAsia="es-ES_tradnl"/>
        </w:rPr>
        <w:t>membranes</w:t>
      </w:r>
      <w:proofErr w:type="spellEnd"/>
    </w:p>
    <w:p w14:paraId="2F71FAF7" w14:textId="77777777" w:rsidR="00086677" w:rsidRPr="00086677" w:rsidRDefault="00086677" w:rsidP="00086677">
      <w:pPr>
        <w:spacing w:line="360" w:lineRule="auto"/>
        <w:rPr>
          <w:rFonts w:ascii="Arial Narrow" w:hAnsi="Arial Narrow" w:cs="Calibri"/>
          <w:b/>
          <w:bCs/>
          <w:color w:val="000000" w:themeColor="text1"/>
          <w:szCs w:val="20"/>
        </w:rPr>
      </w:pPr>
      <w:r w:rsidRPr="00086677">
        <w:rPr>
          <w:rFonts w:ascii="Arial Narrow" w:eastAsia="Times New Roman" w:hAnsi="Arial Narrow" w:cstheme="minorHAnsi"/>
          <w:color w:val="000000" w:themeColor="text1"/>
          <w:szCs w:val="20"/>
          <w:lang w:eastAsia="es-ES_tradnl"/>
        </w:rPr>
        <w:t>RR: riesgo relativo</w:t>
      </w:r>
    </w:p>
    <w:p w14:paraId="42B58F80" w14:textId="77777777" w:rsidR="00086677" w:rsidRDefault="00086677" w:rsidP="00086677">
      <w:pPr>
        <w:spacing w:line="360" w:lineRule="auto"/>
        <w:rPr>
          <w:rFonts w:ascii="Arial Narrow" w:hAnsi="Arial Narrow" w:cs="Calibri"/>
          <w:color w:val="000000" w:themeColor="text1"/>
          <w:szCs w:val="20"/>
          <w:lang w:eastAsia="es-ES_tradnl"/>
        </w:rPr>
      </w:pPr>
      <w:r>
        <w:rPr>
          <w:rFonts w:ascii="Arial Narrow" w:hAnsi="Arial Narrow" w:cs="Calibri"/>
          <w:color w:val="000000" w:themeColor="text1"/>
          <w:szCs w:val="20"/>
          <w:lang w:eastAsia="es-ES_tradnl"/>
        </w:rPr>
        <w:t>RPM: ruptura prematura de membranas</w:t>
      </w:r>
    </w:p>
    <w:p w14:paraId="4A4EFD10" w14:textId="77777777" w:rsidR="00126889" w:rsidRDefault="00126889" w:rsidP="00086677">
      <w:pPr>
        <w:spacing w:line="360" w:lineRule="auto"/>
        <w:rPr>
          <w:rFonts w:ascii="Arial Narrow" w:hAnsi="Arial Narrow"/>
        </w:rPr>
        <w:sectPr w:rsidR="00126889" w:rsidSect="00126889">
          <w:headerReference w:type="default" r:id="rId11"/>
          <w:pgSz w:w="12240" w:h="15840"/>
          <w:pgMar w:top="1417" w:right="1701" w:bottom="1417" w:left="1701" w:header="708" w:footer="0" w:gutter="0"/>
          <w:pgNumType w:fmt="lowerRoman" w:start="1" w:chapStyle="1"/>
          <w:cols w:space="720"/>
          <w:formProt w:val="0"/>
          <w:docGrid w:linePitch="360"/>
        </w:sectPr>
      </w:pPr>
      <w:r>
        <w:rPr>
          <w:rFonts w:ascii="Arial Narrow" w:hAnsi="Arial Narrow"/>
        </w:rPr>
        <w:t>VO: vía ora</w:t>
      </w:r>
      <w:r w:rsidR="00BB5798">
        <w:rPr>
          <w:rFonts w:ascii="Arial Narrow" w:hAnsi="Arial Narrow"/>
        </w:rPr>
        <w:t>l</w:t>
      </w:r>
    </w:p>
    <w:p w14:paraId="534F274D" w14:textId="77777777" w:rsidR="00CB5C64" w:rsidRDefault="00E016EB" w:rsidP="00126889">
      <w:pPr>
        <w:rPr>
          <w:rFonts w:ascii="Arial Narrow" w:hAnsi="Arial Narrow" w:cs="Calibri"/>
          <w:b/>
          <w:bCs/>
          <w:color w:val="000000" w:themeColor="text1"/>
          <w:lang w:val="es"/>
        </w:rPr>
      </w:pPr>
      <w:r w:rsidRPr="00FC1DA4">
        <w:rPr>
          <w:rFonts w:ascii="Arial Narrow" w:hAnsi="Arial Narrow" w:cs="Calibri"/>
          <w:b/>
          <w:bCs/>
          <w:color w:val="000000" w:themeColor="text1"/>
          <w:lang w:val="es"/>
        </w:rPr>
        <w:lastRenderedPageBreak/>
        <w:t>I</w:t>
      </w:r>
      <w:r w:rsidR="003C2B91" w:rsidRPr="00FC1DA4">
        <w:rPr>
          <w:rFonts w:ascii="Arial Narrow" w:hAnsi="Arial Narrow" w:cs="Calibri"/>
          <w:b/>
          <w:bCs/>
          <w:color w:val="000000" w:themeColor="text1"/>
          <w:lang w:val="es"/>
        </w:rPr>
        <w:t>ntroducción</w:t>
      </w:r>
    </w:p>
    <w:p w14:paraId="1EA3A2AC" w14:textId="77777777" w:rsidR="000B789C" w:rsidRDefault="000B789C" w:rsidP="00126889">
      <w:pPr>
        <w:rPr>
          <w:rFonts w:ascii="Arial Narrow" w:hAnsi="Arial Narrow" w:cs="Calibri"/>
          <w:b/>
          <w:bCs/>
          <w:color w:val="000000" w:themeColor="text1"/>
          <w:lang w:val="es"/>
        </w:rPr>
      </w:pPr>
    </w:p>
    <w:p w14:paraId="06A450F8" w14:textId="77777777" w:rsidR="000B789C" w:rsidRPr="00126889" w:rsidRDefault="000B789C" w:rsidP="00126889">
      <w:pPr>
        <w:rPr>
          <w:rFonts w:ascii="Arial Narrow" w:hAnsi="Arial Narrow" w:cs="Calibri"/>
          <w:b/>
          <w:bCs/>
          <w:color w:val="000000" w:themeColor="text1"/>
          <w:sz w:val="28"/>
          <w:szCs w:val="28"/>
          <w:lang w:val="es"/>
        </w:rPr>
      </w:pPr>
      <w:r>
        <w:rPr>
          <w:rFonts w:ascii="Arial Narrow" w:hAnsi="Arial Narrow" w:cs="Calibri"/>
          <w:b/>
          <w:bCs/>
          <w:color w:val="000000" w:themeColor="text1"/>
          <w:lang w:val="es"/>
        </w:rPr>
        <w:t>Antecedentes</w:t>
      </w:r>
    </w:p>
    <w:p w14:paraId="68C2DB36" w14:textId="77777777" w:rsidR="00CB5C64" w:rsidRPr="00FC1DA4" w:rsidRDefault="00CB5C64" w:rsidP="003C2B91">
      <w:pPr>
        <w:spacing w:line="360" w:lineRule="auto"/>
        <w:rPr>
          <w:rFonts w:ascii="Arial Narrow" w:hAnsi="Arial Narrow" w:cs="Calibri"/>
          <w:b/>
          <w:bCs/>
          <w:color w:val="000000" w:themeColor="text1"/>
          <w:lang w:val="es-ES_tradnl"/>
        </w:rPr>
      </w:pPr>
    </w:p>
    <w:p w14:paraId="16608B66" w14:textId="77777777" w:rsidR="00CB5C64" w:rsidRPr="00FC1DA4"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rPr>
      </w:pPr>
      <w:r w:rsidRPr="00FC1DA4">
        <w:rPr>
          <w:rFonts w:ascii="Arial Narrow" w:hAnsi="Arial Narrow" w:cs="Calibri"/>
          <w:color w:val="000000" w:themeColor="text1"/>
          <w:lang w:eastAsia="es-ES_tradnl"/>
        </w:rPr>
        <w:t xml:space="preserve">Por definición la ruptura prematura de membranas (RPM) es la ruptura de las membranas ovulares antes del inicio de la labor de parto, y cuando esta ruptura ocurre antes de las 37 semanas de edad gestacional (EG) se conoce como RPM pretérmino </w:t>
      </w:r>
      <w:r w:rsidRPr="00FC1DA4">
        <w:rPr>
          <w:rFonts w:ascii="Arial Narrow" w:hAnsi="Arial Narrow"/>
        </w:rPr>
        <w:fldChar w:fldCharType="begin"/>
      </w:r>
      <w:r w:rsidRPr="00FC1DA4">
        <w:rPr>
          <w:rFonts w:ascii="Arial Narrow" w:hAnsi="Arial Narrow"/>
        </w:rPr>
        <w:instrText>ADDIN CSL_CITATION {"citationItems":[{"id":"ITEM-1","itemData":{"abstract":"A basic office evaluation is the first and most important step in the assessment of urinary incontinence. Office evaluation in all women should include a thorough history, physical examination, assessment of symp-tom severity, and goals for treatment. In addition, all women with symptoms of urinary incontinence should have screening for urinary tract infection and postvoid residual urine volume to rule out retention and overflow incontinence before initiating any treatment. A simple cough stress test is useful in the initial evaluation, espe-cially in women with stress incontinence symptoms. Often, a diagnosis is made with basic office evaluation, and therapy can be initiated based on these findings. Additional specialized urodynamic studies may be nec-essary if complex conditions are present or the etiology of incontinence is unclear after a basic evaluation.","author":[{"dropping-particle":"","family":"Committee on Practice Bulletins","given":"","non-dropping-particle":"","parse-names":false,"suffix":""}],"container-title":"Obstetrics &amp; Gynecology","id":"ITEM-1","issue":"76","issued":{"date-parts":[["2020"]]},"page":"168-186","title":"Clinical Management Guidelines for Obstetrician – Gynecologists: Prelabor Rupture of Membranes","type":"article-journal","volume":"133"},"uris":["http://www.mendeley.com/documents/?uuid=04107a34-496c-4cc1-8fe1-4b0666e15c06"]}],"mendeley":{"formattedCitation":"(1)","plainTextFormattedCitation":"(1)","previouslyFormattedCitation":"(1)"},"properties":{"noteIndex":0},"schema":"https://github.com/citation-style-language/schema/raw/master/csl-citation.json"}</w:instrText>
      </w:r>
      <w:r w:rsidRPr="00FC1DA4">
        <w:rPr>
          <w:rFonts w:ascii="Arial Narrow" w:hAnsi="Arial Narrow"/>
        </w:rPr>
        <w:fldChar w:fldCharType="separate"/>
      </w:r>
      <w:bookmarkStart w:id="2" w:name="Bookmark"/>
      <w:r w:rsidRPr="00FC1DA4">
        <w:rPr>
          <w:rFonts w:ascii="Arial Narrow" w:hAnsi="Arial Narrow" w:cs="Calibri"/>
          <w:color w:val="000000" w:themeColor="text1"/>
          <w:lang w:eastAsia="es-ES_tradnl"/>
        </w:rPr>
        <w:t>(1)</w:t>
      </w:r>
      <w:r w:rsidRPr="00FC1DA4">
        <w:rPr>
          <w:rFonts w:ascii="Arial Narrow" w:hAnsi="Arial Narrow"/>
        </w:rPr>
        <w:fldChar w:fldCharType="end"/>
      </w:r>
      <w:bookmarkEnd w:id="2"/>
      <w:r w:rsidRPr="00FC1DA4">
        <w:rPr>
          <w:rFonts w:ascii="Arial Narrow" w:hAnsi="Arial Narrow" w:cs="Calibri"/>
          <w:color w:val="000000" w:themeColor="text1"/>
          <w:lang w:eastAsia="es-ES_tradnl"/>
        </w:rPr>
        <w:t>.</w:t>
      </w:r>
    </w:p>
    <w:p w14:paraId="10D0874C" w14:textId="77777777" w:rsidR="00CB5C64" w:rsidRPr="00FC1DA4"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rPr>
      </w:pPr>
      <w:r w:rsidRPr="00FC1DA4">
        <w:rPr>
          <w:rFonts w:ascii="Arial Narrow" w:hAnsi="Arial Narrow" w:cs="Calibri"/>
          <w:color w:val="000000" w:themeColor="text1"/>
          <w:lang w:eastAsia="es-ES_tradnl"/>
        </w:rPr>
        <w:t xml:space="preserve">La RPM pretérmino se presenta en un 3% de todos los embarazos y aproximadamente el 50-60% de las pacientes con RPM iniciarán la labor de parto en el transcurso de una semana </w:t>
      </w:r>
      <w:r w:rsidRPr="00FC1DA4">
        <w:rPr>
          <w:rFonts w:ascii="Arial Narrow" w:hAnsi="Arial Narrow"/>
        </w:rPr>
        <w:fldChar w:fldCharType="begin"/>
      </w:r>
      <w:r w:rsidRPr="00FC1DA4">
        <w:rPr>
          <w:rFonts w:ascii="Arial Narrow" w:hAnsi="Arial Narrow"/>
        </w:rPr>
        <w:instrText>ADDIN CSL_CITATION {"citationItems":[{"id":"ITEM-1","itemData":{"DOI":"10.1002/9781444317619.ch19","ISBN":"9781405192903","abstract":"Weakening of the fetal membranes leading to preterm premature rupture of the membranes can occur for several reasons, but local inflammation and infection are evident in many cases, particularly when membrane rupture occurs remote from term. After preterm premature rupture of the membranes, delivery may be required or inevitable because of advanced labor, intrauterine infection, placental abruption, or because of abnormal fetal testing. For those amenable to continuation of pregnancy, the decision to actively pursue delivery or to conservatively manage the pregnancy hinges on knowledge of gestational age, and an understanding of the expected clinical course, the risks of intrauterine infection, abruptio placentae, and fetal distress/death, as well as the neonatal risks with immediate or delayed delivery. In this chapter we provide guidance to assist in the management of these difficult patients. © 2010 Blackwell Publishing Ltd.","author":[{"dropping-particle":"","family":"Mercer","given":"Brian M.","non-dropping-particle":"","parse-names":false,"suffix":""}],"container-title":"Preterm Birth: Prevention and Management","id":"ITEM-1","issue":"1","issued":{"date-parts":[["2010"]]},"page":"217-231","title":"Preterm Premature Rupture of the Membranes","type":"article-journal","volume":"101"},"uris":["http://www.mendeley.com/documents/?uuid=642dee23-a499-4d2e-91cb-22b61d088904"]}],"mendeley":{"formattedCitation":"(2)","plainTextFormattedCitation":"(2)","previouslyFormattedCitation":"(2)"},"properties":{"noteIndex":0},"schema":"https://github.com/citation-style-language/schema/raw/master/csl-citation.json"}</w:instrText>
      </w:r>
      <w:r w:rsidRPr="00FC1DA4">
        <w:rPr>
          <w:rFonts w:ascii="Arial Narrow" w:hAnsi="Arial Narrow"/>
        </w:rPr>
        <w:fldChar w:fldCharType="separate"/>
      </w:r>
      <w:bookmarkStart w:id="3" w:name="Bookmark1"/>
      <w:r w:rsidRPr="00FC1DA4">
        <w:rPr>
          <w:rFonts w:ascii="Arial Narrow" w:hAnsi="Arial Narrow" w:cs="Calibri"/>
          <w:color w:val="000000" w:themeColor="text1"/>
          <w:lang w:eastAsia="es-ES_tradnl"/>
        </w:rPr>
        <w:t>(2)</w:t>
      </w:r>
      <w:r w:rsidRPr="00FC1DA4">
        <w:rPr>
          <w:rFonts w:ascii="Arial Narrow" w:hAnsi="Arial Narrow"/>
        </w:rPr>
        <w:fldChar w:fldCharType="end"/>
      </w:r>
      <w:bookmarkEnd w:id="3"/>
      <w:r w:rsidRPr="00FC1DA4">
        <w:rPr>
          <w:rFonts w:ascii="Arial Narrow" w:hAnsi="Arial Narrow" w:cs="Calibri"/>
          <w:color w:val="000000" w:themeColor="text1"/>
          <w:lang w:eastAsia="es-ES_tradnl"/>
        </w:rPr>
        <w:t xml:space="preserve">, con lo que la RPM contribuye en gran magnitud como desencadenante de una gran proporción de los partos pretérmino. </w:t>
      </w:r>
    </w:p>
    <w:p w14:paraId="2AE32DC7" w14:textId="77777777" w:rsidR="00CB5C64" w:rsidRPr="00FC1DA4"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rPr>
      </w:pPr>
      <w:r w:rsidRPr="00FC1DA4">
        <w:rPr>
          <w:rFonts w:ascii="Arial Narrow" w:hAnsi="Arial Narrow" w:cs="Calibri"/>
          <w:color w:val="000000" w:themeColor="text1"/>
          <w:lang w:eastAsia="es-ES_tradnl"/>
        </w:rPr>
        <w:t xml:space="preserve">La RPM pretérmino conlleva una importante </w:t>
      </w:r>
      <w:proofErr w:type="spellStart"/>
      <w:r w:rsidRPr="00FC1DA4">
        <w:rPr>
          <w:rFonts w:ascii="Arial Narrow" w:hAnsi="Arial Narrow" w:cs="Calibri"/>
          <w:color w:val="000000" w:themeColor="text1"/>
          <w:lang w:eastAsia="es-ES_tradnl"/>
        </w:rPr>
        <w:t>morbi</w:t>
      </w:r>
      <w:proofErr w:type="spellEnd"/>
      <w:r w:rsidRPr="00FC1DA4">
        <w:rPr>
          <w:rFonts w:ascii="Arial Narrow" w:hAnsi="Arial Narrow" w:cs="Calibri"/>
          <w:color w:val="000000" w:themeColor="text1"/>
          <w:lang w:eastAsia="es-ES_tradnl"/>
        </w:rPr>
        <w:t xml:space="preserve">-mortalidad perinatal relacionada principalmente con la edad gestacional cuando ocurre la ruptura de membranas y al momento del parto </w:t>
      </w:r>
      <w:r w:rsidRPr="00FC1DA4">
        <w:rPr>
          <w:rFonts w:ascii="Arial Narrow" w:hAnsi="Arial Narrow"/>
        </w:rPr>
        <w:fldChar w:fldCharType="begin"/>
      </w:r>
      <w:r w:rsidRPr="00FC1DA4">
        <w:rPr>
          <w:rFonts w:ascii="Arial Narrow" w:hAnsi="Arial Narrow"/>
        </w:rPr>
        <w:instrText>ADDIN CSL_CITATION {"citationItems":[{"id":"ITEM-1","itemData":{"DOI":"10.1055/s-0034-1373846","ISSN":"10988785","abstract":"Objective The objective of the article is to describe latency for patients with preterm premature membrane rupture (PPROM) between 240/7 and 316/7 weeks' gestation.\nStudy Design Secondary analysis of data collected prospectively in a multicenter clinical trial of magnesium sulfate for cerebral palsy prevention. Women with PPROM and fewer than six contractions per hour at enrollment who were candidates for expectant management (n = 1,377) were included in this analysis. Length of latency was calculated in days by subtracting the time of delivery from the time of membrane rupture.\nResults At each week of gestation, median latency between 24 and 28 weeks was similar at approximately 9 days, but it was significantly shorter with PPROM at 29, 30, and 31 weeks (p &lt; 0.001). In addition, the percentage of patients remaining undelivered at 7 days and 14 days was similar for PPROM between 24 and 28 weeks, but it decreased significantly after that. For each gestational age, the proportion of patients remaining pregnant declined in a fashion similar to an exponential pattern.\nConclusion Median latency after PPROM is similar from 24 to 28 weeks' gestation, but it shortens with PPROM at and after 29 weeks.","author":[{"dropping-particle":"","family":"Peaceman","given":"Alan M.","non-dropping-particle":"","parse-names":false,"suffix":""},{"dropping-particle":"","family":"Lai","given":"Yinglei","non-dropping-particle":"","parse-names":false,"suffix":""},{"dropping-particle":"","family":"Rouse","given":"Dwight J.","non-dropping-particle":"","parse-names":false,"suffix":""},{"dropping-particle":"","family":"Spong","given":"Catherine Y.","non-dropping-particle":"","parse-names":false,"suffix":""},{"dropping-particle":"","family":"Mercer","given":"Brian M.","non-dropping-particle":"","parse-names":false,"suffix":""},{"dropping-particle":"","family":"Varner","given":"Michael W.","non-dropping-particle":"","parse-names":false,"suffix":""},{"dropping-particle":"","family":"Thorp","given":"John M.","non-dropping-particle":"","parse-names":false,"suffix":""},{"dropping-particle":"","family":"Ramin","given":"Susan M.","non-dropping-particle":"","parse-names":false,"suffix":""},{"dropping-particle":"","family":"Malone","given":"Fergal D.","non-dropping-particle":"","parse-names":false,"suffix":""},{"dropping-particle":"","family":"O'Sullivan","given":"Mary J.","non-dropping-particle":"","parse-names":false,"suffix":""},{"dropping-particle":"","family":"Hankins","given":"Gary D.V.","non-dropping-particle":"","parse-names":false,"suffix":""}],"container-title":"American Journal of Perinatology","id":"ITEM-1","issue":"1","issued":{"date-parts":[["2015"]]},"page":"57-62","title":"Length of latency with preterm premature rupture of membranes before 32 weeks' gestation","type":"article-journal","volume":"32"},"uris":["http://www.mendeley.com/documents/?uuid=69befd8d-0cac-4a70-a82a-5c7e01767c75"]}],"mendeley":{"formattedCitation":"(3)","plainTextFormattedCitation":"(3)","previouslyFormattedCitation":"(3)"},"properties":{"noteIndex":0},"schema":"https://github.com/citation-style-language/schema/raw/master/csl-citation.json"}</w:instrText>
      </w:r>
      <w:r w:rsidRPr="00FC1DA4">
        <w:rPr>
          <w:rFonts w:ascii="Arial Narrow" w:hAnsi="Arial Narrow"/>
        </w:rPr>
        <w:fldChar w:fldCharType="separate"/>
      </w:r>
      <w:bookmarkStart w:id="4" w:name="Bookmark2"/>
      <w:r w:rsidRPr="00FC1DA4">
        <w:rPr>
          <w:rFonts w:ascii="Arial Narrow" w:hAnsi="Arial Narrow" w:cs="Calibri"/>
          <w:color w:val="000000" w:themeColor="text1"/>
          <w:lang w:eastAsia="es-ES_tradnl"/>
        </w:rPr>
        <w:t>(3)</w:t>
      </w:r>
      <w:r w:rsidRPr="00FC1DA4">
        <w:rPr>
          <w:rFonts w:ascii="Arial Narrow" w:hAnsi="Arial Narrow"/>
        </w:rPr>
        <w:fldChar w:fldCharType="end"/>
      </w:r>
      <w:bookmarkEnd w:id="4"/>
      <w:r w:rsidRPr="00FC1DA4">
        <w:rPr>
          <w:rFonts w:ascii="Arial Narrow" w:hAnsi="Arial Narrow" w:cs="Calibri"/>
          <w:color w:val="000000" w:themeColor="text1"/>
          <w:lang w:eastAsia="es-ES_tradnl"/>
        </w:rPr>
        <w:t xml:space="preserve">. </w:t>
      </w:r>
    </w:p>
    <w:p w14:paraId="685FE37D" w14:textId="77777777" w:rsidR="00CB5C64" w:rsidRPr="00FC1DA4"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cs="Calibri"/>
          <w:color w:val="000000" w:themeColor="text1"/>
          <w:lang w:eastAsia="es-ES_tradnl"/>
        </w:rPr>
      </w:pPr>
      <w:r w:rsidRPr="00FC1DA4">
        <w:rPr>
          <w:rFonts w:ascii="Arial Narrow" w:hAnsi="Arial Narrow" w:cs="Calibri"/>
          <w:color w:val="000000" w:themeColor="text1"/>
          <w:lang w:eastAsia="es-ES_tradnl"/>
        </w:rPr>
        <w:t>La principal complicación neonatal seria asociada, es el síndrome de distrés respiratorio. Otras complicaciones como la hemorragia intraventricular, la sepsis neonatal y la enterocolitis necrotizante son también de importancia. Existen múltiples complicaciones a largo plazo para los neonatos nacidos antes del término.</w:t>
      </w:r>
    </w:p>
    <w:p w14:paraId="41A71517" w14:textId="77777777" w:rsidR="00CB5C64" w:rsidRPr="00FC1DA4"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cs="Calibri"/>
          <w:color w:val="000000" w:themeColor="text1"/>
          <w:lang w:eastAsia="es-ES_tradnl"/>
        </w:rPr>
      </w:pPr>
      <w:r w:rsidRPr="00FC1DA4">
        <w:rPr>
          <w:rFonts w:ascii="Arial Narrow" w:hAnsi="Arial Narrow" w:cs="Calibri"/>
          <w:color w:val="000000" w:themeColor="text1"/>
          <w:lang w:eastAsia="es-ES_tradnl"/>
        </w:rPr>
        <w:t xml:space="preserve">En la actualidad es reconocido que la antibioticoterapia administrada en los casos de RPM </w:t>
      </w:r>
      <w:proofErr w:type="spellStart"/>
      <w:r w:rsidRPr="00FC1DA4">
        <w:rPr>
          <w:rFonts w:ascii="Arial Narrow" w:hAnsi="Arial Narrow" w:cs="Calibri"/>
          <w:color w:val="000000" w:themeColor="text1"/>
          <w:lang w:eastAsia="es-ES_tradnl"/>
        </w:rPr>
        <w:t>pretérmino</w:t>
      </w:r>
      <w:proofErr w:type="spellEnd"/>
      <w:r w:rsidRPr="00FC1DA4">
        <w:rPr>
          <w:rFonts w:ascii="Arial Narrow" w:hAnsi="Arial Narrow" w:cs="Calibri"/>
          <w:color w:val="000000" w:themeColor="text1"/>
          <w:lang w:eastAsia="es-ES_tradnl"/>
        </w:rPr>
        <w:t xml:space="preserve"> disminuye la </w:t>
      </w:r>
      <w:proofErr w:type="spellStart"/>
      <w:r w:rsidRPr="00FC1DA4">
        <w:rPr>
          <w:rFonts w:ascii="Arial Narrow" w:hAnsi="Arial Narrow" w:cs="Calibri"/>
          <w:color w:val="000000" w:themeColor="text1"/>
          <w:lang w:eastAsia="es-ES_tradnl"/>
        </w:rPr>
        <w:t>morbi</w:t>
      </w:r>
      <w:proofErr w:type="spellEnd"/>
      <w:r w:rsidRPr="00FC1DA4">
        <w:rPr>
          <w:rFonts w:ascii="Arial Narrow" w:hAnsi="Arial Narrow" w:cs="Calibri"/>
          <w:color w:val="000000" w:themeColor="text1"/>
          <w:lang w:eastAsia="es-ES_tradnl"/>
        </w:rPr>
        <w:t>-mortalidad perinatal, al prolongar el periodo de latencia entre la ruptura de membranas y el inicio del trabajo de parto y disminuyendo la incidencia de infección intraamniótica</w:t>
      </w:r>
      <w:r w:rsidRPr="00FC1DA4">
        <w:rPr>
          <w:rFonts w:ascii="Arial Narrow" w:hAnsi="Arial Narrow" w:cs="Calibri"/>
          <w:color w:val="C9211E"/>
          <w:lang w:eastAsia="es-ES_tradnl"/>
        </w:rPr>
        <w:t>,</w:t>
      </w:r>
      <w:r w:rsidRPr="00FC1DA4">
        <w:rPr>
          <w:rFonts w:ascii="Arial Narrow" w:hAnsi="Arial Narrow" w:cs="Calibri"/>
          <w:color w:val="000000" w:themeColor="text1"/>
          <w:lang w:eastAsia="es-ES_tradnl"/>
        </w:rPr>
        <w:t xml:space="preserve"> que está asociada a un aumento en la morbilidad </w:t>
      </w:r>
      <w:r w:rsidR="003C2B91" w:rsidRPr="00FC1DA4">
        <w:rPr>
          <w:rFonts w:ascii="Arial Narrow" w:hAnsi="Arial Narrow" w:cs="Calibri"/>
          <w:color w:val="000000" w:themeColor="text1"/>
          <w:lang w:eastAsia="es-ES_tradnl"/>
        </w:rPr>
        <w:t>perinatal con su sola presencia (1).</w:t>
      </w:r>
    </w:p>
    <w:p w14:paraId="41E0F5A9" w14:textId="77777777" w:rsidR="00CB5C64" w:rsidRPr="00FC1DA4"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rPr>
      </w:pPr>
      <w:r w:rsidRPr="00FC1DA4">
        <w:rPr>
          <w:rFonts w:ascii="Arial Narrow" w:hAnsi="Arial Narrow" w:cs="Calibri"/>
          <w:color w:val="000000" w:themeColor="text1"/>
          <w:lang w:eastAsia="es-ES_tradnl"/>
        </w:rPr>
        <w:t xml:space="preserve">El enfoque más común para el manejo de la ruptura prematura de membranas (RPM) pretérmino en embarazos menores de 34+0 semanas de gestación es el manejo expectante con antibióticos para prolongar la latencia. Esta práctica se basa en el entendimiento de que la edad gestacional en el momento del parto es el factor más importante que influye en el resultado neonatal </w:t>
      </w:r>
      <w:r w:rsidRPr="00FC1DA4">
        <w:rPr>
          <w:rFonts w:ascii="Arial Narrow" w:hAnsi="Arial Narrow"/>
        </w:rPr>
        <w:fldChar w:fldCharType="begin"/>
      </w:r>
      <w:r w:rsidRPr="00FC1DA4">
        <w:rPr>
          <w:rFonts w:ascii="Arial Narrow" w:hAnsi="Arial Narrow"/>
        </w:rPr>
        <w:instrText>ADDIN CSL_CITATION {"citationItems":[{"id":"ITEM-1","itemData":{"abstract":"1. DEFINICIÓN Se entiende por rotura prematura de membranas (RPM) la rotura de las membranas ovulares antes del inicio del parto, con la consiguiente salida de líquido amniótico. La mayoría de las RPM son a término y el parto se desencadenará, incluso en condiciones cervicales desfavorables, de forma espontánea en las siguientes 24-48 horas (60%-95%). Más infrecuente es la RPM pretérmino que complica un 2-4% de todas las gestaciones únicas, un 7-20% de las gestaciones gemelares y representa un 30% de los partos pretérmino 1, 2 . Debido a que el límite de la viabilidad se ha reducido en los últimos años, actualmente nos referiremos a RPM previable cuando ésta se produce antes de la semana 24.0 de gestación. 2. DIAGNÓSTICO El diagnóstico de RPM se basa en la constatación de la salida de líquido amniótico. En un 80-90% es evidenciable al colocar un espéculo, tras realizar maniobras de valsalva. En un 10-20% de los casos aparecen dudas en el diagnóstico ya sea porque: a. La pérdida de líquido es intermitente. b. No se evidencia hidrorrea en vagina durante la exploración física. c. Existe contaminación por secreciones cervicales, semen, sangre, orina. En caso de no objetivarse hidrorrea franca, se optará por realizar las siguientes pruebas diagnósticas: 1. Comprobación de pH vaginal (normal pH 3.4-5.5): Es un test colorimétrico. El líquido amniótico es alcalino (pH &gt; a 6.5). Presenta falsos positivos (semen, orina, sangre, vaginosis bacteriana) y falsos negativos (candidasis). 2. Ecografía fetal: evidencia de oligoamnios no existente previamente. Presenta una escasa sensibilidad y especificidad. Ambas pruebas son poco específicas y no concluyentes por lo que en casos seleccionados en los que persiste la duda diagnóstica se recurrirá a: 3. Pruebas bioquímicas: 3.1. Insulin-like growth factor binding protein-1 (IGFBP-1) (PROM test®, Amnioquick®): La IGFBP-1 es una proteína sintetizada en el hígado fetal y en la decidua. Está presente en líquido amniótico a grandes concentraciones siendo su concentración mínima en sangre materna. Su sensibilidad varía del 74-100% y su especificidad del 77-98% 3, 4 .","author":[{"dropping-particle":"","family":"Fetal","given":"Medicina","non-dropping-particle":"","parse-names":false,"suffix":""}],"container-title":"Clínic Barcelona","id":"ITEM-1","issued":{"date-parts":[["2013"]]},"page":"1-12","title":"Rotura prematura de membranas a término y pretérmino","type":"article-journal","volume":"1"},"uris":["http://www.mendeley.com/documents/?uuid=adc53c91-71e2-4f66-b7cd-ec8cc3831bd2"]}],"mendeley":{"formattedCitation":"(4)","plainTextFormattedCitation":"(4)","previouslyFormattedCitation":"(4)"},"properties":{"noteIndex":0},"schema":"https://github.com/citation-style-language/schema/raw/master/csl-citation.json"}</w:instrText>
      </w:r>
      <w:r w:rsidRPr="00FC1DA4">
        <w:rPr>
          <w:rFonts w:ascii="Arial Narrow" w:hAnsi="Arial Narrow"/>
        </w:rPr>
        <w:fldChar w:fldCharType="separate"/>
      </w:r>
      <w:bookmarkStart w:id="5" w:name="Bookmark3"/>
      <w:r w:rsidRPr="00FC1DA4">
        <w:rPr>
          <w:rFonts w:ascii="Arial Narrow" w:hAnsi="Arial Narrow" w:cs="Calibri"/>
          <w:color w:val="000000" w:themeColor="text1"/>
          <w:lang w:eastAsia="es-ES_tradnl"/>
        </w:rPr>
        <w:t>(4)</w:t>
      </w:r>
      <w:r w:rsidRPr="00FC1DA4">
        <w:rPr>
          <w:rFonts w:ascii="Arial Narrow" w:hAnsi="Arial Narrow"/>
        </w:rPr>
        <w:fldChar w:fldCharType="end"/>
      </w:r>
      <w:bookmarkEnd w:id="5"/>
      <w:r w:rsidRPr="00FC1DA4">
        <w:rPr>
          <w:rFonts w:ascii="Arial Narrow" w:hAnsi="Arial Narrow" w:cs="Calibri"/>
          <w:color w:val="000000" w:themeColor="text1"/>
          <w:lang w:eastAsia="es-ES_tradnl"/>
        </w:rPr>
        <w:t xml:space="preserve">. </w:t>
      </w:r>
    </w:p>
    <w:p w14:paraId="6E3D3A38" w14:textId="77777777" w:rsidR="00CB5C64" w:rsidRPr="00FC1DA4"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cs="Calibri"/>
          <w:color w:val="000000" w:themeColor="text1"/>
          <w:lang w:eastAsia="es-ES_tradnl"/>
        </w:rPr>
      </w:pPr>
      <w:r w:rsidRPr="00FC1DA4">
        <w:rPr>
          <w:rFonts w:ascii="Arial Narrow" w:hAnsi="Arial Narrow" w:cs="Calibri"/>
          <w:color w:val="000000" w:themeColor="text1"/>
          <w:lang w:eastAsia="es-ES_tradnl"/>
        </w:rPr>
        <w:t>Múltiples esquemas antibióticos han sido sometidos a estudios en el escenario de la RPM y diferentes organismos internacionales han generado protocolos de antibioticoterapia que en algunos casos difieren unos de otros.</w:t>
      </w:r>
    </w:p>
    <w:p w14:paraId="3DEF70C7" w14:textId="77777777" w:rsidR="00CB5C64" w:rsidRPr="00FC1DA4" w:rsidRDefault="00E016EB">
      <w:pPr>
        <w:spacing w:line="360" w:lineRule="auto"/>
        <w:jc w:val="both"/>
        <w:rPr>
          <w:rFonts w:ascii="Arial Narrow" w:hAnsi="Arial Narrow"/>
        </w:rPr>
      </w:pPr>
      <w:r w:rsidRPr="00FC1DA4">
        <w:rPr>
          <w:rFonts w:ascii="Arial Narrow" w:hAnsi="Arial Narrow" w:cs="Calibri"/>
          <w:color w:val="000000" w:themeColor="text1"/>
          <w:lang w:val="es-ES"/>
        </w:rPr>
        <w:t>En el año 1997 se publicó en el Periódico de la Asociación Médica Americana (</w:t>
      </w:r>
      <w:bookmarkStart w:id="6" w:name="_Hlk78789592"/>
      <w:proofErr w:type="spellStart"/>
      <w:r w:rsidRPr="00FC1DA4">
        <w:rPr>
          <w:rFonts w:ascii="Arial Narrow" w:hAnsi="Arial Narrow" w:cs="Calibri"/>
          <w:color w:val="000000" w:themeColor="text1"/>
          <w:lang w:val="es-ES"/>
        </w:rPr>
        <w:t>Journal</w:t>
      </w:r>
      <w:proofErr w:type="spellEnd"/>
      <w:r w:rsidRPr="00FC1DA4">
        <w:rPr>
          <w:rFonts w:ascii="Arial Narrow" w:hAnsi="Arial Narrow" w:cs="Calibri"/>
          <w:color w:val="000000" w:themeColor="text1"/>
          <w:lang w:val="es-ES"/>
        </w:rPr>
        <w:t xml:space="preserve"> of </w:t>
      </w:r>
      <w:proofErr w:type="spellStart"/>
      <w:r w:rsidRPr="00FC1DA4">
        <w:rPr>
          <w:rFonts w:ascii="Arial Narrow" w:hAnsi="Arial Narrow" w:cs="Calibri"/>
          <w:color w:val="000000" w:themeColor="text1"/>
          <w:lang w:val="es-ES"/>
        </w:rPr>
        <w:t>the</w:t>
      </w:r>
      <w:proofErr w:type="spellEnd"/>
      <w:r w:rsidRPr="00FC1DA4">
        <w:rPr>
          <w:rFonts w:ascii="Arial Narrow" w:hAnsi="Arial Narrow" w:cs="Calibri"/>
          <w:color w:val="000000" w:themeColor="text1"/>
          <w:lang w:val="es-ES"/>
        </w:rPr>
        <w:t xml:space="preserve"> American Medical </w:t>
      </w:r>
      <w:proofErr w:type="spellStart"/>
      <w:r w:rsidRPr="00FC1DA4">
        <w:rPr>
          <w:rFonts w:ascii="Arial Narrow" w:hAnsi="Arial Narrow" w:cs="Calibri"/>
          <w:color w:val="000000" w:themeColor="text1"/>
          <w:lang w:val="es-ES"/>
        </w:rPr>
        <w:t>Association</w:t>
      </w:r>
      <w:proofErr w:type="spellEnd"/>
      <w:r w:rsidRPr="00FC1DA4">
        <w:rPr>
          <w:rFonts w:ascii="Arial Narrow" w:hAnsi="Arial Narrow" w:cs="Calibri"/>
          <w:color w:val="000000" w:themeColor="text1"/>
          <w:lang w:val="es-ES"/>
        </w:rPr>
        <w:t>, JAMA</w:t>
      </w:r>
      <w:bookmarkEnd w:id="6"/>
      <w:r w:rsidRPr="00FC1DA4">
        <w:rPr>
          <w:rFonts w:ascii="Arial Narrow" w:hAnsi="Arial Narrow" w:cs="Calibri"/>
          <w:color w:val="000000" w:themeColor="text1"/>
          <w:lang w:val="es-ES"/>
        </w:rPr>
        <w:t xml:space="preserve">) un estudio que marcó la pauta para el manejo con antibióticos de la RPM pretérmino. Se trató de un estudio randomizado, controlado, a doble ciego que llevó por título “La terapia antibiótica para la reducción de la morbilidad después de una ruptura prematura de membranas </w:t>
      </w:r>
      <w:r w:rsidRPr="00FC1DA4">
        <w:rPr>
          <w:rFonts w:ascii="Arial Narrow" w:hAnsi="Arial Narrow" w:cs="Calibri"/>
          <w:color w:val="000000" w:themeColor="text1"/>
          <w:lang w:val="es-ES"/>
        </w:rPr>
        <w:lastRenderedPageBreak/>
        <w:t xml:space="preserve">pretérmino”. </w:t>
      </w:r>
      <w:r w:rsidRPr="00FC1DA4">
        <w:rPr>
          <w:rFonts w:ascii="Arial Narrow" w:hAnsi="Arial Narrow" w:cs="Calibri"/>
          <w:color w:val="000000" w:themeColor="text1"/>
        </w:rPr>
        <w:t xml:space="preserve">El objetivo primordial del estudio fue determinar si el tratamiento antibiótico durante el manejo expectante de la RPM reduciría la morbilidad infantil, también evaluó la prolongación del embarazo y el diagnóstico de corioamnionitis. Para el estudio se empleó como esquema de antibiótico ampicilina 2 gramos IV (intravenoso) cada 6 horas y eritromicina 250 mg IV cada 6 horas por 48 horas, seguido de amoxicilina 250 mg VO (vía oral) cada 8 horas y eritromicina 333 mg VO cada 8 horas por 5 días, versus un régimen de placebo. El estudio evaluó la muerte fetal e infantil, distrés respiratorio, hemorragia intraventricular severa, enterocolitis necrotizante o sepsis en las siguientes 72 horas del nacimiento; así como la prolongación del embarazo y el diagnóstico de corioamnionitis. Los resultados evidenciaron una disminución de la morbilidad infantil con el uso de estos antibióticos en el escenario de la RPM, y una prolongación de la fase de latencia </w:t>
      </w:r>
      <w:r w:rsidRPr="00FC1DA4">
        <w:rPr>
          <w:rFonts w:ascii="Arial Narrow" w:hAnsi="Arial Narrow"/>
        </w:rPr>
        <w:fldChar w:fldCharType="begin"/>
      </w:r>
      <w:r w:rsidRPr="00FC1DA4">
        <w:rPr>
          <w:rFonts w:ascii="Arial Narrow" w:hAnsi="Arial Narrow"/>
        </w:rPr>
        <w:instrText>ADDIN CSL_CITATION {"citationItems":[{"id":"ITEM-1","itemData":{"DOI":"10.1016/j.jogc.2017.06.003","ISSN":"17012163","abstract":"Objective To review the evidence and provide recommendations on the use of antibiotics in preterm premature rupture of the membranes (PPROM). Outcomes Outcomes evaluated include the effect of antibiotic treatment on maternal infection, chorioamnionitis, and neonatal morbidity and mortality. Evidence Published literature was retrieved through searches of Medline, EMBASE, CINAHL, and The Cochrane Library, using appropriate controlled vocabulary and key words (PPROM, infection, and antibiotics). Results were restricted to systematic reviews, randomized control trials/controlled clinical trials, and observational studies. There were no date or language restrictions. Searches were updated on a regular basis and new material incorporated in the guideline to July 2008. Grey (unpublished) literature was identified through searching the websites of health technology assessment and health technology assessment-related agencies, clinical practice guideline collections, clinical trial registries, and national and international medical specialty societies. Values The evidence obtained was reviewed and evaluated by the Infectious Diseases Committee of the Society of Obstetricians and Gynaecologists of Canada (SOGC) under the leadership of the principal authors, and recommendations were made according to guidelines developed by the Canadian Task Force on Preventive Health Care. Benefits, Harms, and Costs Guideline implementation should assist the practitioner in developing an approach to the use of antibiotics in women with PPROM. Patients will benefit from appropriate management of this condition. Validation This guideline has been reviewed and approved by the Infectious Diseases Committee and the Maternal Fetal Medicine Committee of the SOGC, and approved by the Executive and Council of the SOGC. Sponsor The Society of Obstetricians and Gynaecologists of Canada. Recommendations 1. Following PPROM at 32 weeks’ gestation, antibiotics should be administered to women who are not in labour in order to prolong pregnancy and to decrease maternal and neonatal morbidity (I-A).2. The use of antibiotics should be gestational-age dependent. The evidence for benefit is greater at earlier gestational ages (&lt;32 weeks) (I-A).3. For women with PPROM at &gt;32 weeks’ gestation, administration of antibiotics to prolong pregnancy is recommended if fetal lung maturity cannot be proven and/or delivery is not planned (I-A).4. Antibiotic regimens may consist of an initial parenteral phase fol…","author":[{"dropping-particle":"","family":"Yudin","given":"Mark H.","non-dropping-particle":"","parse-names":false,"suffix":""},{"dropping-particle":"","family":"Schalkwyk","given":"Julie","non-dropping-particle":"van","parse-names":false,"suffix":""},{"dropping-particle":"","family":"Eyk","given":"Nancy","non-dropping-particle":"Van","parse-names":false,"suffix":""}],"container-title":"Journal of Obstetrics and Gynaecology Canada","id":"ITEM-1","issue":"9","issued":{"date-parts":[["2017"]]},"page":"e207-e212","publisher":"Elsevier Inc","title":"No. 233-Antibiotic Therapy in Preterm Premature Rupture of the Membranes","type":"article-journal","volume":"39"},"uris":["http://www.mendeley.com/documents/?uuid=b0d1fabb-793f-4308-95be-750c19e7bb77"]}],"mendeley":{"formattedCitation":"(5)","plainTextFormattedCitation":"(5)","previouslyFormattedCitation":"(5)"},"properties":{"noteIndex":0},"schema":"https://github.com/citation-style-language/schema/raw/master/csl-citation.json"}</w:instrText>
      </w:r>
      <w:r w:rsidRPr="00FC1DA4">
        <w:rPr>
          <w:rFonts w:ascii="Arial Narrow" w:hAnsi="Arial Narrow"/>
        </w:rPr>
        <w:fldChar w:fldCharType="separate"/>
      </w:r>
      <w:bookmarkStart w:id="7" w:name="Bookmark4"/>
      <w:r w:rsidRPr="00FC1DA4">
        <w:rPr>
          <w:rFonts w:ascii="Arial Narrow" w:hAnsi="Arial Narrow" w:cs="Calibri"/>
          <w:color w:val="000000" w:themeColor="text1"/>
        </w:rPr>
        <w:t>(5)</w:t>
      </w:r>
      <w:r w:rsidRPr="00FC1DA4">
        <w:rPr>
          <w:rFonts w:ascii="Arial Narrow" w:hAnsi="Arial Narrow"/>
        </w:rPr>
        <w:fldChar w:fldCharType="end"/>
      </w:r>
      <w:bookmarkEnd w:id="7"/>
      <w:r w:rsidRPr="00FC1DA4">
        <w:rPr>
          <w:rFonts w:ascii="Arial Narrow" w:hAnsi="Arial Narrow" w:cs="Calibri"/>
          <w:color w:val="000000" w:themeColor="text1"/>
        </w:rPr>
        <w:t>.</w:t>
      </w:r>
    </w:p>
    <w:p w14:paraId="25C654A4" w14:textId="77777777" w:rsidR="00CB5C64" w:rsidRPr="00FC1DA4" w:rsidRDefault="00E016EB">
      <w:pPr>
        <w:pStyle w:val="NormalWeb"/>
        <w:spacing w:before="280" w:after="280" w:line="360" w:lineRule="auto"/>
        <w:jc w:val="both"/>
        <w:rPr>
          <w:rFonts w:ascii="Arial Narrow" w:hAnsi="Arial Narrow"/>
        </w:rPr>
      </w:pPr>
      <w:r w:rsidRPr="00FC1DA4">
        <w:rPr>
          <w:rFonts w:ascii="Arial Narrow" w:hAnsi="Arial Narrow" w:cs="Calibri"/>
          <w:color w:val="000000" w:themeColor="text1"/>
        </w:rPr>
        <w:t xml:space="preserve">Un segundo estudio randomizado de importancia realizado por </w:t>
      </w:r>
      <w:bookmarkStart w:id="8" w:name="_Hlk78789671"/>
      <w:r w:rsidRPr="00FC1DA4">
        <w:rPr>
          <w:rFonts w:ascii="Arial Narrow" w:hAnsi="Arial Narrow" w:cs="Calibri"/>
          <w:color w:val="000000" w:themeColor="text1"/>
        </w:rPr>
        <w:t>ORACLE</w:t>
      </w:r>
      <w:bookmarkEnd w:id="8"/>
      <w:r w:rsidRPr="00FC1DA4">
        <w:rPr>
          <w:rFonts w:ascii="Arial Narrow" w:hAnsi="Arial Narrow" w:cs="Calibri"/>
          <w:color w:val="000000" w:themeColor="text1"/>
        </w:rPr>
        <w:t xml:space="preserve"> y publicado en el año 2002 llamado “Antibióticos para la ruptura prematura de membranas pretérmino: resultados a corto y largo plazo</w:t>
      </w:r>
      <w:r w:rsidRPr="00FC1DA4">
        <w:rPr>
          <w:rFonts w:ascii="Arial Narrow" w:hAnsi="Arial Narrow" w:cs="Calibri"/>
        </w:rPr>
        <w:t xml:space="preserve">.” llegó </w:t>
      </w:r>
      <w:r w:rsidRPr="00FC1DA4">
        <w:rPr>
          <w:rFonts w:ascii="Arial Narrow" w:hAnsi="Arial Narrow" w:cs="Calibri"/>
          <w:color w:val="000000" w:themeColor="text1"/>
        </w:rPr>
        <w:t xml:space="preserve">a la conclusión que el uso de antibióticos en la ruptura prematura de membranas antes de la labor puede jugar un rol en la disminución de la morbilidad infantil </w:t>
      </w:r>
      <w:r w:rsidRPr="00FC1DA4">
        <w:rPr>
          <w:rFonts w:ascii="Arial Narrow" w:hAnsi="Arial Narrow"/>
        </w:rPr>
        <w:fldChar w:fldCharType="begin"/>
      </w:r>
      <w:r w:rsidRPr="00FC1DA4">
        <w:rPr>
          <w:rFonts w:ascii="Arial Narrow" w:hAnsi="Arial Narrow"/>
        </w:rPr>
        <w:instrText>ADDIN CSL_CITATION {"citationItems":[{"id":"ITEM-1","itemData":{"DOI":"10.1016/j.jogc.2017.06.003","ISSN":"17012163","abstract":"Objective To review the evidence and provide recommendations on the use of antibiotics in preterm premature rupture of the membranes (PPROM). Outcomes Outcomes evaluated include the effect of antibiotic treatment on maternal infection, chorioamnionitis, and neonatal morbidity and mortality. Evidence Published literature was retrieved through searches of Medline, EMBASE, CINAHL, and The Cochrane Library, using appropriate controlled vocabulary and key words (PPROM, infection, and antibiotics). Results were restricted to systematic reviews, randomized control trials/controlled clinical trials, and observational studies. There were no date or language restrictions. Searches were updated on a regular basis and new material incorporated in the guideline to July 2008. Grey (unpublished) literature was identified through searching the websites of health technology assessment and health technology assessment-related agencies, clinical practice guideline collections, clinical trial registries, and national and international medical specialty societies. Values The evidence obtained was reviewed and evaluated by the Infectious Diseases Committee of the Society of Obstetricians and Gynaecologists of Canada (SOGC) under the leadership of the principal authors, and recommendations were made according to guidelines developed by the Canadian Task Force on Preventive Health Care. Benefits, Harms, and Costs Guideline implementation should assist the practitioner in developing an approach to the use of antibiotics in women with PPROM. Patients will benefit from appropriate management of this condition. Validation This guideline has been reviewed and approved by the Infectious Diseases Committee and the Maternal Fetal Medicine Committee of the SOGC, and approved by the Executive and Council of the SOGC. Sponsor The Society of Obstetricians and Gynaecologists of Canada. Recommendations 1. Following PPROM at 32 weeks’ gestation, antibiotics should be administered to women who are not in labour in order to prolong pregnancy and to decrease maternal and neonatal morbidity (I-A).2. The use of antibiotics should be gestational-age dependent. The evidence for benefit is greater at earlier gestational ages (&lt;32 weeks) (I-A).3. For women with PPROM at &gt;32 weeks’ gestation, administration of antibiotics to prolong pregnancy is recommended if fetal lung maturity cannot be proven and/or delivery is not planned (I-A).4. Antibiotic regimens may consist of an initial parenteral phase fol…","author":[{"dropping-particle":"","family":"Yudin","given":"Mark H.","non-dropping-particle":"","parse-names":false,"suffix":""},{"dropping-particle":"","family":"Schalkwyk","given":"Julie","non-dropping-particle":"van","parse-names":false,"suffix":""},{"dropping-particle":"","family":"Eyk","given":"Nancy","non-dropping-particle":"Van","parse-names":false,"suffix":""}],"container-title":"Journal of Obstetrics and Gynaecology Canada","id":"ITEM-1","issue":"9","issued":{"date-parts":[["2017"]]},"page":"e207-e212","publisher":"Elsevier Inc","title":"No. 233-Antibiotic Therapy in Preterm Premature Rupture of the Membranes","type":"article-journal","volume":"39"},"uris":["http://www.mendeley.com/documents/?uuid=b0d1fabb-793f-4308-95be-750c19e7bb77"]}],"mendeley":{"formattedCitation":"(5)","plainTextFormattedCitation":"(5)","previouslyFormattedCitation":"(5)"},"properties":{"noteIndex":0},"schema":"https://github.com/citation-style-language/schema/raw/master/csl-citation.json"}</w:instrText>
      </w:r>
      <w:r w:rsidRPr="00FC1DA4">
        <w:rPr>
          <w:rFonts w:ascii="Arial Narrow" w:hAnsi="Arial Narrow"/>
        </w:rPr>
        <w:fldChar w:fldCharType="separate"/>
      </w:r>
      <w:bookmarkStart w:id="9" w:name="Bookmark5"/>
      <w:r w:rsidRPr="00FC1DA4">
        <w:rPr>
          <w:rFonts w:ascii="Arial Narrow" w:hAnsi="Arial Narrow" w:cs="Calibri"/>
          <w:color w:val="000000" w:themeColor="text1"/>
        </w:rPr>
        <w:t>(5)</w:t>
      </w:r>
      <w:r w:rsidRPr="00FC1DA4">
        <w:rPr>
          <w:rFonts w:ascii="Arial Narrow" w:hAnsi="Arial Narrow"/>
        </w:rPr>
        <w:fldChar w:fldCharType="end"/>
      </w:r>
      <w:bookmarkEnd w:id="9"/>
      <w:r w:rsidRPr="00FC1DA4">
        <w:rPr>
          <w:rFonts w:ascii="Arial Narrow" w:hAnsi="Arial Narrow" w:cs="Calibri"/>
          <w:color w:val="000000" w:themeColor="text1"/>
        </w:rPr>
        <w:t>.</w:t>
      </w:r>
    </w:p>
    <w:p w14:paraId="44A9E2F5" w14:textId="77777777" w:rsidR="00CB5C64" w:rsidRPr="00FC1DA4" w:rsidRDefault="00E016EB">
      <w:pPr>
        <w:pStyle w:val="NormalWeb"/>
        <w:spacing w:before="280" w:after="280" w:line="360" w:lineRule="auto"/>
        <w:jc w:val="both"/>
        <w:rPr>
          <w:rFonts w:ascii="Arial Narrow" w:hAnsi="Arial Narrow"/>
        </w:rPr>
      </w:pPr>
      <w:r w:rsidRPr="00FC1DA4">
        <w:rPr>
          <w:rFonts w:ascii="Arial Narrow" w:hAnsi="Arial Narrow" w:cs="Calibri"/>
          <w:color w:val="000000" w:themeColor="text1"/>
        </w:rPr>
        <w:t xml:space="preserve">En el 2013, </w:t>
      </w:r>
      <w:bookmarkStart w:id="10" w:name="_Hlk78789690"/>
      <w:r w:rsidRPr="00FC1DA4">
        <w:rPr>
          <w:rFonts w:ascii="Arial Narrow" w:hAnsi="Arial Narrow" w:cs="Calibri"/>
          <w:color w:val="000000" w:themeColor="text1"/>
        </w:rPr>
        <w:t>COCHRANE</w:t>
      </w:r>
      <w:bookmarkEnd w:id="10"/>
      <w:r w:rsidRPr="00FC1DA4">
        <w:rPr>
          <w:rFonts w:ascii="Arial Narrow" w:hAnsi="Arial Narrow" w:cs="Calibri"/>
          <w:color w:val="000000" w:themeColor="text1"/>
        </w:rPr>
        <w:t xml:space="preserve"> realizó una revisión sobre antibióticos para ruptura prematura de membranas pretérmino cuyo objetivo era evaluar los efectos inmediatos y a largo plazo de administrar antibióticos a mujeres con RPM antes de las 37 semanas de gestación sobre la morbilidad asociada a infecciones, la morbilidad y mortalidad neonatal y el desarrollo a largo plazo en los niños. Llegaron a la conclusión que la prescripción rutinaria de antibióticos en mujeres con RPM pretérmino está asociada con prolongación del embarazo y mejorías de un número de morbilidades neonatales a corto plazo </w:t>
      </w:r>
      <w:r w:rsidRPr="00FC1DA4">
        <w:rPr>
          <w:rFonts w:ascii="Arial Narrow" w:hAnsi="Arial Narrow"/>
        </w:rPr>
        <w:fldChar w:fldCharType="begin"/>
      </w:r>
      <w:r w:rsidRPr="00FC1DA4">
        <w:rPr>
          <w:rFonts w:ascii="Arial Narrow" w:hAnsi="Arial Narrow"/>
        </w:rPr>
        <w:instrText>ADDIN CSL_CITATION {"citationItems":[{"id":"ITEM-1","itemData":{"DOI":"10.1002/14651858.CD001058.pub3","ISSN":"1469493X","abstract":"Background: Premature birth carries substantial neonatal morbidity and mortality. Subclinical infection is associated with preterm rupture of membranes (PROM). Prophylactic maternal antibiotic therapy might lessen infectious morbidity and delay labour, but could suppress labour without treating underlying infection. Objectives: To evaluate the immediate and long-term effects of administering antibiotics to women with PROM before 37 weeks, on maternal infectious morbidity, neonatal morbidity and mortality, and longer-term childhood development. Search methods: We searched the Cochrane Pregnancy and Childbirth Group's Trials Register (30 September 2013). Selection criteria: Randomised controlled trials comparing antibiotic administration with placebo that reported clinically relevant outcomes were included as were trials of different antibiotics. Trials in which no placebo was used were included for the outcome of perinatal death alone. Data collection and analysis: We extracted data from each report without blinding of either the results or the treatments that women received. We sought unpublished data from a number of authors. Main results: We included 22 trials, involving 6872 women and babies. The use of antibiotics following PROM is associated with statistically significant reductions in chorioamnionitis (average risk ratio (RR) 0.66, 95% confidence interval (CI) 0.46 to 0.96, and a reduction in the numbers of babies born within 48 hours (average RR 0.71, 95% CI 0.58 to 0.87) and seven days of randomisation (average RR 0.79, 95% CI 0.71 to 0.89). The following markers of neonatal morbidity were reduced: neonatal infection (RR 0.67, 95% CI 0.52 to 0.85), use of surfactant (RR 0.83, 95% CI 0.72 to 0.96), oxygen therapy (RR 0.88, 95% CI 0.81 to 0.96), and abnormal cerebral ultrasound scan prior to discharge from hospital (RR 0.81, 95% CI 0.68 to 0.98). Co-amoxiclav was associated with an increased risk of neonatal necrotising enterocolitis (RR 4.72, 95% CI 1.57 to 14.23). One study evaluated the children's health at seven years of age (ORACLE Children Study) and found antibiotics seemed to have little effect on the health of children. Authors' conclusions: Routine prescription of antibiotics for women with preterm rupture of the membranes is associated with prolongation of pregnancy and improvements in a number of short-term neonatal morbidities, but no significant reduction in perinatal mortality. Despite lack of evidence of longer-term benefit in chil…","author":[{"dropping-particle":"","family":"Kenyon","given":"Sara","non-dropping-particle":"","parse-names":false,"suffix":""},{"dropping-particle":"","family":"Boulvain","given":"Michel","non-dropping-particle":"","parse-names":false,"suffix":""},{"dropping-particle":"","family":"Neilson","given":"James P.","non-dropping-particle":"","parse-names":false,"suffix":""}],"container-title":"Cochrane Database of Systematic Reviews","id":"ITEM-1","issue":"12","issued":{"date-parts":[["2013"]]},"title":"Antibiotics for preterm rupture of membranes","type":"article-journal","volume":"2013"},"uris":["http://www.mendeley.com/documents/?uuid=23724f70-07cc-4e2a-8a33-7c05e13f9390"]}],"mendeley":{"formattedCitation":"(6)","plainTextFormattedCitation":"(6)","previouslyFormattedCitation":"(6)"},"properties":{"noteIndex":0},"schema":"https://github.com/citation-style-language/schema/raw/master/csl-citation.json"}</w:instrText>
      </w:r>
      <w:r w:rsidRPr="00FC1DA4">
        <w:rPr>
          <w:rFonts w:ascii="Arial Narrow" w:hAnsi="Arial Narrow"/>
        </w:rPr>
        <w:fldChar w:fldCharType="separate"/>
      </w:r>
      <w:bookmarkStart w:id="11" w:name="Bookmark6"/>
      <w:r w:rsidRPr="00FC1DA4">
        <w:rPr>
          <w:rFonts w:ascii="Arial Narrow" w:hAnsi="Arial Narrow" w:cs="Calibri"/>
          <w:color w:val="000000" w:themeColor="text1"/>
        </w:rPr>
        <w:t>(6)</w:t>
      </w:r>
      <w:r w:rsidRPr="00FC1DA4">
        <w:rPr>
          <w:rFonts w:ascii="Arial Narrow" w:hAnsi="Arial Narrow"/>
        </w:rPr>
        <w:fldChar w:fldCharType="end"/>
      </w:r>
      <w:bookmarkEnd w:id="11"/>
      <w:r w:rsidRPr="00FC1DA4">
        <w:rPr>
          <w:rFonts w:ascii="Arial Narrow" w:hAnsi="Arial Narrow" w:cs="Calibri"/>
          <w:color w:val="000000" w:themeColor="text1"/>
        </w:rPr>
        <w:t>.</w:t>
      </w:r>
    </w:p>
    <w:p w14:paraId="4474A081" w14:textId="77777777" w:rsidR="00CB5C64" w:rsidRPr="00FC1DA4" w:rsidRDefault="00E016EB">
      <w:pPr>
        <w:pStyle w:val="NormalWeb"/>
        <w:spacing w:before="280" w:after="280" w:line="360" w:lineRule="auto"/>
        <w:jc w:val="both"/>
        <w:rPr>
          <w:rFonts w:ascii="Arial Narrow" w:hAnsi="Arial Narrow"/>
        </w:rPr>
      </w:pPr>
      <w:r w:rsidRPr="00FC1DA4">
        <w:rPr>
          <w:rFonts w:ascii="Arial Narrow" w:hAnsi="Arial Narrow" w:cstheme="minorHAnsi"/>
          <w:color w:val="000000" w:themeColor="text1"/>
        </w:rPr>
        <w:t>Basándose en la evidencia científica en la actualidad el uso de antibióticos es uno de los pilares en el manejo expectante de la RPM pretérmino, aun así</w:t>
      </w:r>
      <w:r w:rsidRPr="00FC1DA4">
        <w:rPr>
          <w:rFonts w:ascii="Arial Narrow" w:hAnsi="Arial Narrow" w:cstheme="minorHAnsi"/>
          <w:color w:val="C9211E"/>
        </w:rPr>
        <w:t>,</w:t>
      </w:r>
      <w:r w:rsidRPr="00FC1DA4">
        <w:rPr>
          <w:rFonts w:ascii="Arial Narrow" w:hAnsi="Arial Narrow" w:cstheme="minorHAnsi"/>
          <w:color w:val="000000" w:themeColor="text1"/>
        </w:rPr>
        <w:t xml:space="preserve"> el régimen óptimo de antibióticos para prolongar el periodo de latencia y disminuir el riesgo de sepsis aun no es claro</w:t>
      </w:r>
      <w:r w:rsidRPr="00FC1DA4">
        <w:rPr>
          <w:rFonts w:ascii="Arial Narrow" w:hAnsi="Arial Narrow" w:cstheme="minorHAnsi"/>
          <w:color w:val="C9211E"/>
        </w:rPr>
        <w:t>,</w:t>
      </w:r>
      <w:r w:rsidRPr="00FC1DA4">
        <w:rPr>
          <w:rFonts w:ascii="Arial Narrow" w:hAnsi="Arial Narrow" w:cstheme="minorHAnsi"/>
          <w:color w:val="000000" w:themeColor="text1"/>
        </w:rPr>
        <w:t xml:space="preserve"> debido a que múltiples regímenes han demostrado ser eficaces, sin embargo, existe amplia evidencia a favor del uso de eritromicina como parte del esquema, </w:t>
      </w:r>
      <w:r w:rsidRPr="00FC1DA4">
        <w:rPr>
          <w:rFonts w:ascii="Arial Narrow" w:eastAsia="Times New Roman" w:hAnsi="Arial Narrow" w:cstheme="minorHAnsi"/>
          <w:color w:val="000000" w:themeColor="text1"/>
          <w:spacing w:val="-5"/>
          <w:shd w:val="clear" w:color="auto" w:fill="FFFFFF"/>
        </w:rPr>
        <w:t>principalmente por ser un antibiótico de amplio espectro y ser seguro durante el embarazo.</w:t>
      </w:r>
    </w:p>
    <w:p w14:paraId="493E43FD" w14:textId="77777777" w:rsidR="00CB5C64" w:rsidRDefault="00E016EB">
      <w:pPr>
        <w:pStyle w:val="NormalWeb"/>
        <w:spacing w:before="280" w:after="280" w:line="360" w:lineRule="auto"/>
        <w:jc w:val="both"/>
        <w:rPr>
          <w:rFonts w:ascii="Arial Narrow" w:eastAsia="Times New Roman" w:hAnsi="Arial Narrow" w:cstheme="minorHAnsi"/>
          <w:color w:val="000000" w:themeColor="text1"/>
          <w:spacing w:val="-5"/>
          <w:shd w:val="clear" w:color="auto" w:fill="FFFFFF"/>
        </w:rPr>
      </w:pPr>
      <w:r w:rsidRPr="00FC1DA4">
        <w:rPr>
          <w:rFonts w:ascii="Arial Narrow" w:hAnsi="Arial Narrow" w:cstheme="minorHAnsi"/>
          <w:color w:val="000000" w:themeColor="text1"/>
        </w:rPr>
        <w:t xml:space="preserve">La eritromicina forma parte de las recomendaciones de la Asociación Americana de Ginecología y Obstetricia (ACOG por sus siglas en inglés) así como del </w:t>
      </w:r>
      <w:bookmarkStart w:id="12" w:name="_Hlk78789727"/>
      <w:r w:rsidRPr="00FC1DA4">
        <w:rPr>
          <w:rFonts w:ascii="Arial Narrow" w:eastAsia="Times New Roman" w:hAnsi="Arial Narrow" w:cstheme="minorHAnsi"/>
          <w:color w:val="000000" w:themeColor="text1"/>
          <w:spacing w:val="-5"/>
          <w:shd w:val="clear" w:color="auto" w:fill="FFFFFF"/>
        </w:rPr>
        <w:t xml:space="preserve">Instituto Nacional de la Salud infantil y Desarrollo </w:t>
      </w:r>
      <w:r w:rsidRPr="00FC1DA4">
        <w:rPr>
          <w:rFonts w:ascii="Arial Narrow" w:eastAsia="Times New Roman" w:hAnsi="Arial Narrow" w:cstheme="minorHAnsi"/>
          <w:color w:val="000000" w:themeColor="text1"/>
          <w:spacing w:val="-5"/>
          <w:shd w:val="clear" w:color="auto" w:fill="FFFFFF"/>
        </w:rPr>
        <w:lastRenderedPageBreak/>
        <w:t xml:space="preserve">Humano Eunice Kennedy </w:t>
      </w:r>
      <w:proofErr w:type="spellStart"/>
      <w:r w:rsidRPr="00FC1DA4">
        <w:rPr>
          <w:rFonts w:ascii="Arial Narrow" w:eastAsia="Times New Roman" w:hAnsi="Arial Narrow" w:cstheme="minorHAnsi"/>
          <w:color w:val="000000" w:themeColor="text1"/>
          <w:spacing w:val="-5"/>
          <w:shd w:val="clear" w:color="auto" w:fill="FFFFFF"/>
        </w:rPr>
        <w:t>Shriver</w:t>
      </w:r>
      <w:proofErr w:type="spellEnd"/>
      <w:r w:rsidRPr="00FC1DA4">
        <w:rPr>
          <w:rFonts w:ascii="Arial Narrow" w:eastAsia="Times New Roman" w:hAnsi="Arial Narrow" w:cstheme="minorHAnsi"/>
          <w:color w:val="000000" w:themeColor="text1"/>
          <w:spacing w:val="-5"/>
          <w:shd w:val="clear" w:color="auto" w:fill="FFFFFF"/>
        </w:rPr>
        <w:t xml:space="preserve"> (NICHD</w:t>
      </w:r>
      <w:bookmarkEnd w:id="12"/>
      <w:r w:rsidRPr="00FC1DA4">
        <w:rPr>
          <w:rFonts w:ascii="Arial Narrow" w:eastAsia="Times New Roman" w:hAnsi="Arial Narrow" w:cstheme="minorHAnsi"/>
          <w:color w:val="000000" w:themeColor="text1"/>
          <w:spacing w:val="-5"/>
          <w:shd w:val="clear" w:color="auto" w:fill="FFFFFF"/>
        </w:rPr>
        <w:t>, por sus siglas en inglés) para el manejo expectante de la RPM pretérmino</w:t>
      </w:r>
      <w:r w:rsidR="003843F8" w:rsidRPr="00FC1DA4">
        <w:rPr>
          <w:rFonts w:ascii="Arial Narrow" w:eastAsia="Times New Roman" w:hAnsi="Arial Narrow" w:cstheme="minorHAnsi"/>
          <w:color w:val="000000" w:themeColor="text1"/>
          <w:spacing w:val="-5"/>
          <w:shd w:val="clear" w:color="auto" w:fill="FFFFFF"/>
        </w:rPr>
        <w:t xml:space="preserve"> (1). </w:t>
      </w:r>
    </w:p>
    <w:p w14:paraId="74C3138E" w14:textId="77777777" w:rsidR="00E01C62" w:rsidRPr="00E01C62" w:rsidRDefault="00E01C62">
      <w:pPr>
        <w:pStyle w:val="NormalWeb"/>
        <w:spacing w:before="280" w:after="280" w:line="360" w:lineRule="auto"/>
        <w:jc w:val="both"/>
        <w:rPr>
          <w:rFonts w:ascii="Arial Narrow" w:hAnsi="Arial Narrow"/>
          <w:b/>
        </w:rPr>
      </w:pPr>
      <w:r w:rsidRPr="00E01C62">
        <w:rPr>
          <w:rFonts w:ascii="Arial Narrow" w:eastAsia="Times New Roman" w:hAnsi="Arial Narrow" w:cstheme="minorHAnsi"/>
          <w:b/>
          <w:color w:val="000000" w:themeColor="text1"/>
          <w:spacing w:val="-5"/>
          <w:shd w:val="clear" w:color="auto" w:fill="FFFFFF"/>
        </w:rPr>
        <w:t>Justificación</w:t>
      </w:r>
    </w:p>
    <w:p w14:paraId="7AD215D5" w14:textId="77777777" w:rsidR="00CB5C64" w:rsidRPr="00FC1DA4" w:rsidRDefault="00E016EB">
      <w:pPr>
        <w:pStyle w:val="NormalWeb"/>
        <w:spacing w:before="280" w:after="280" w:line="360" w:lineRule="auto"/>
        <w:jc w:val="both"/>
        <w:rPr>
          <w:rFonts w:ascii="Arial Narrow" w:hAnsi="Arial Narrow"/>
        </w:rPr>
      </w:pPr>
      <w:r w:rsidRPr="00FC1DA4">
        <w:rPr>
          <w:rFonts w:ascii="Arial Narrow" w:eastAsia="Times New Roman" w:hAnsi="Arial Narrow" w:cstheme="minorHAnsi"/>
          <w:color w:val="000000" w:themeColor="text1"/>
          <w:spacing w:val="-5"/>
          <w:shd w:val="clear" w:color="auto" w:fill="FFFFFF"/>
        </w:rPr>
        <w:t xml:space="preserve">Debido a la falta de disponibilidad de eritromicina o a la intolerancia de la misma por parte de las pacientes, algunos centros han sustituido su empleo por el uso de azitromicina, </w:t>
      </w:r>
      <w:r w:rsidR="00E01C62">
        <w:rPr>
          <w:rFonts w:ascii="Arial Narrow" w:eastAsia="Times New Roman" w:hAnsi="Arial Narrow" w:cstheme="minorHAnsi"/>
          <w:spacing w:val="-5"/>
          <w:shd w:val="clear" w:color="auto" w:fill="FFFFFF"/>
        </w:rPr>
        <w:t>a sabiendas</w:t>
      </w:r>
      <w:r w:rsidRPr="00FC1DA4">
        <w:rPr>
          <w:rFonts w:ascii="Arial Narrow" w:eastAsia="Times New Roman" w:hAnsi="Arial Narrow" w:cstheme="minorHAnsi"/>
          <w:spacing w:val="-5"/>
          <w:shd w:val="clear" w:color="auto" w:fill="FFFFFF"/>
        </w:rPr>
        <w:t xml:space="preserve"> </w:t>
      </w:r>
      <w:r w:rsidRPr="00FC1DA4">
        <w:rPr>
          <w:rFonts w:ascii="Arial Narrow" w:eastAsia="Times New Roman" w:hAnsi="Arial Narrow" w:cstheme="minorHAnsi"/>
          <w:color w:val="000000" w:themeColor="text1"/>
          <w:spacing w:val="-5"/>
          <w:shd w:val="clear" w:color="auto" w:fill="FFFFFF"/>
        </w:rPr>
        <w:t xml:space="preserve">que los macrólidos son los antibióticos estudiados con mejores resultados con respecto a la prolongación de la latencia y la disminución de morbilidad infecciosa neonatal </w:t>
      </w:r>
      <w:r w:rsidRPr="00FC1DA4">
        <w:rPr>
          <w:rFonts w:ascii="Arial Narrow" w:hAnsi="Arial Narrow"/>
        </w:rPr>
        <w:fldChar w:fldCharType="begin"/>
      </w:r>
      <w:r w:rsidRPr="00FC1DA4">
        <w:rPr>
          <w:rFonts w:ascii="Arial Narrow" w:hAnsi="Arial Narrow"/>
        </w:rPr>
        <w:instrText>ADDIN CSL_CITATION {"citationItems":[{"id":"ITEM-1","itemData":{"DOI":"10.1002/14651858.CD001058.pub3","ISSN":"1469493X","abstract":"Background: Premature birth carries substantial neonatal morbidity and mortality. Subclinical infection is associated with preterm rupture of membranes (PROM). Prophylactic maternal antibiotic therapy might lessen infectious morbidity and delay labour, but could suppress labour without treating underlying infection. Objectives: To evaluate the immediate and long-term effects of administering antibiotics to women with PROM before 37 weeks, on maternal infectious morbidity, neonatal morbidity and mortality, and longer-term childhood development. Search methods: We searched the Cochrane Pregnancy and Childbirth Group's Trials Register (30 September 2013). Selection criteria: Randomised controlled trials comparing antibiotic administration with placebo that reported clinically relevant outcomes were included as were trials of different antibiotics. Trials in which no placebo was used were included for the outcome of perinatal death alone. Data collection and analysis: We extracted data from each report without blinding of either the results or the treatments that women received. We sought unpublished data from a number of authors. Main results: We included 22 trials, involving 6872 women and babies. The use of antibiotics following PROM is associated with statistically significant reductions in chorioamnionitis (average risk ratio (RR) 0.66, 95% confidence interval (CI) 0.46 to 0.96, and a reduction in the numbers of babies born within 48 hours (average RR 0.71, 95% CI 0.58 to 0.87) and seven days of randomisation (average RR 0.79, 95% CI 0.71 to 0.89). The following markers of neonatal morbidity were reduced: neonatal infection (RR 0.67, 95% CI 0.52 to 0.85), use of surfactant (RR 0.83, 95% CI 0.72 to 0.96), oxygen therapy (RR 0.88, 95% CI 0.81 to 0.96), and abnormal cerebral ultrasound scan prior to discharge from hospital (RR 0.81, 95% CI 0.68 to 0.98). Co-amoxiclav was associated with an increased risk of neonatal necrotising enterocolitis (RR 4.72, 95% CI 1.57 to 14.23). One study evaluated the children's health at seven years of age (ORACLE Children Study) and found antibiotics seemed to have little effect on the health of children. Authors' conclusions: Routine prescription of antibiotics for women with preterm rupture of the membranes is associated with prolongation of pregnancy and improvements in a number of short-term neonatal morbidities, but no significant reduction in perinatal mortality. Despite lack of evidence of longer-term benefit in chil…","author":[{"dropping-particle":"","family":"Kenyon","given":"Sara","non-dropping-particle":"","parse-names":false,"suffix":""},{"dropping-particle":"","family":"Boulvain","given":"Michel","non-dropping-particle":"","parse-names":false,"suffix":""},{"dropping-particle":"","family":"Neilson","given":"James P.","non-dropping-particle":"","parse-names":false,"suffix":""}],"container-title":"Cochrane Database of Systematic Reviews","id":"ITEM-1","issue":"12","issued":{"date-parts":[["2013"]]},"title":"Antibiotics for preterm rupture of membranes","type":"article-journal","volume":"2013"},"uris":["http://www.mendeley.com/documents/?uuid=23724f70-07cc-4e2a-8a33-7c05e13f9390"]}],"mendeley":{"formattedCitation":"(6)","plainTextFormattedCitation":"(6)","previouslyFormattedCitation":"(6)"},"properties":{"noteIndex":0},"schema":"https://github.com/citation-style-language/schema/raw/master/csl-citation.json"}</w:instrText>
      </w:r>
      <w:r w:rsidRPr="00FC1DA4">
        <w:rPr>
          <w:rFonts w:ascii="Arial Narrow" w:hAnsi="Arial Narrow"/>
        </w:rPr>
        <w:fldChar w:fldCharType="separate"/>
      </w:r>
      <w:bookmarkStart w:id="13" w:name="Bookmark7"/>
      <w:r w:rsidRPr="00FC1DA4">
        <w:rPr>
          <w:rFonts w:ascii="Arial Narrow" w:eastAsia="Times New Roman" w:hAnsi="Arial Narrow" w:cstheme="minorHAnsi"/>
          <w:color w:val="000000" w:themeColor="text1"/>
          <w:spacing w:val="-5"/>
          <w:shd w:val="clear" w:color="auto" w:fill="FFFFFF"/>
        </w:rPr>
        <w:t>(6)</w:t>
      </w:r>
      <w:r w:rsidRPr="00FC1DA4">
        <w:rPr>
          <w:rFonts w:ascii="Arial Narrow" w:hAnsi="Arial Narrow"/>
        </w:rPr>
        <w:fldChar w:fldCharType="end"/>
      </w:r>
      <w:bookmarkEnd w:id="13"/>
      <w:r w:rsidRPr="00FC1DA4">
        <w:rPr>
          <w:rFonts w:ascii="Arial Narrow" w:eastAsia="Times New Roman" w:hAnsi="Arial Narrow" w:cstheme="minorHAnsi"/>
          <w:color w:val="000000" w:themeColor="text1"/>
          <w:spacing w:val="-5"/>
          <w:shd w:val="clear" w:color="auto" w:fill="FFFFFF"/>
        </w:rPr>
        <w:t xml:space="preserve">. </w:t>
      </w:r>
      <w:r w:rsidRPr="00FC1DA4">
        <w:rPr>
          <w:rFonts w:ascii="Arial Narrow" w:eastAsia="Times New Roman" w:hAnsi="Arial Narrow" w:cstheme="minorHAnsi"/>
          <w:color w:val="C9211E"/>
          <w:spacing w:val="-5"/>
          <w:shd w:val="clear" w:color="auto" w:fill="FFFFFF"/>
        </w:rPr>
        <w:t xml:space="preserve"> </w:t>
      </w:r>
      <w:r w:rsidR="00E01C62">
        <w:rPr>
          <w:rFonts w:ascii="Arial Narrow" w:eastAsia="Times New Roman" w:hAnsi="Arial Narrow" w:cstheme="minorHAnsi"/>
          <w:spacing w:val="-5"/>
          <w:shd w:val="clear" w:color="auto" w:fill="FFFFFF"/>
        </w:rPr>
        <w:t>E</w:t>
      </w:r>
      <w:r w:rsidRPr="00FC1DA4">
        <w:rPr>
          <w:rFonts w:ascii="Arial Narrow" w:eastAsia="Times New Roman" w:hAnsi="Arial Narrow" w:cstheme="minorHAnsi"/>
          <w:spacing w:val="-5"/>
          <w:shd w:val="clear" w:color="auto" w:fill="FFFFFF"/>
        </w:rPr>
        <w:t xml:space="preserve">xisten </w:t>
      </w:r>
      <w:r w:rsidRPr="00FC1DA4">
        <w:rPr>
          <w:rFonts w:ascii="Arial Narrow" w:eastAsia="Times New Roman" w:hAnsi="Arial Narrow" w:cstheme="minorHAnsi"/>
          <w:color w:val="000000" w:themeColor="text1"/>
          <w:spacing w:val="-5"/>
          <w:shd w:val="clear" w:color="auto" w:fill="FFFFFF"/>
        </w:rPr>
        <w:t xml:space="preserve">estudios retrospectivos que han concluido que la azitromicina no muestra diferencias con la eritromicina con respecto a la prolongación del tiempo de latencia o los resultados neonatales </w:t>
      </w:r>
      <w:r w:rsidRPr="00FC1DA4">
        <w:rPr>
          <w:rFonts w:ascii="Arial Narrow" w:hAnsi="Arial Narrow"/>
        </w:rPr>
        <w:fldChar w:fldCharType="begin"/>
      </w:r>
      <w:r w:rsidRPr="00FC1DA4">
        <w:rPr>
          <w:rFonts w:ascii="Arial Narrow" w:hAnsi="Arial Narrow"/>
        </w:rPr>
        <w:instrText>ADDIN CSL_CITATION {"citationItems":[{"id":"ITEM-1","itemData":{"DOI":"10.1097/AOG.0000000000000426","ISBN":"0000000000000","author":[{"dropping-particle":"","family":"Pierson","given":"Rebecca C","non-dropping-particle":"","parse-names":false,"suffix":""},{"dropping-particle":"","family":"Gordon","given":"Sashana S","non-dropping-particle":"","parse-names":false,"suffix":""},{"dropping-particle":"","family":"Haas","given":"David M","non-dropping-particle":"","parse-names":false,"suffix":""}],"id":"ITEM-1","issue":"3","issued":{"date-parts":[["2014"]]},"page":"515-519","title":"A Retrospective Comparison of Antibiotic Regimens for Preterm Premature Rupture of Membranes","type":"article-journal","volume":"124"},"uris":["http://www.mendeley.com/documents/?uuid=0b587fc9-b5d2-4073-9299-89410247755f"]},{"id":"ITEM-2","itemData":{"author":[{"dropping-particle":"","family":"Finneran","given":"Matthew M","non-dropping-particle":"","parse-names":false,"suffix":""},{"dropping-particle":"","family":"Appiagyei","given":"Ashley","non-dropping-particle":"","parse-names":false,"suffix":""},{"dropping-particle":"","family":"Templin","given":"Megan","non-dropping-particle":"","parse-names":false,"suffix":""},{"dropping-particle":"","family":"Mertz","given":"Heather","non-dropping-particle":"","parse-names":false,"suffix":""}],"id":"ITEM-2","issue":"212","issued":{"date-parts":[["2017"]]},"page":"1102-1107","title":"Comparison of Azithromycin versus Erythromycin for Prolongation of Latency in Pregnancies Complicated by Preterm Premature Rupture of Membranes","type":"article-journal","volume":"1"},"uris":["http://www.mendeley.com/documents/?uuid=c9a9337e-506b-42c1-85b7-d48a5885b35a"]}],"mendeley":{"formattedCitation":"(7,8)","plainTextFormattedCitation":"(7,8)","previouslyFormattedCitation":"(7,8)"},"properties":{"noteIndex":0},"schema":"https://github.com/citation-style-language/schema/raw/master/csl-citation.json"}</w:instrText>
      </w:r>
      <w:r w:rsidRPr="00FC1DA4">
        <w:rPr>
          <w:rFonts w:ascii="Arial Narrow" w:hAnsi="Arial Narrow"/>
        </w:rPr>
        <w:fldChar w:fldCharType="separate"/>
      </w:r>
      <w:bookmarkStart w:id="14" w:name="Bookmark8"/>
      <w:r w:rsidRPr="00FC1DA4">
        <w:rPr>
          <w:rFonts w:ascii="Arial Narrow" w:eastAsia="Times New Roman" w:hAnsi="Arial Narrow" w:cstheme="minorHAnsi"/>
          <w:color w:val="000000" w:themeColor="text1"/>
          <w:spacing w:val="-5"/>
          <w:shd w:val="clear" w:color="auto" w:fill="FFFFFF"/>
        </w:rPr>
        <w:t>(7,8)</w:t>
      </w:r>
      <w:r w:rsidRPr="00FC1DA4">
        <w:rPr>
          <w:rFonts w:ascii="Arial Narrow" w:hAnsi="Arial Narrow"/>
        </w:rPr>
        <w:fldChar w:fldCharType="end"/>
      </w:r>
      <w:bookmarkEnd w:id="14"/>
      <w:r w:rsidRPr="00FC1DA4">
        <w:rPr>
          <w:rFonts w:ascii="Arial Narrow" w:eastAsia="Times New Roman" w:hAnsi="Arial Narrow" w:cstheme="minorHAnsi"/>
          <w:color w:val="000000" w:themeColor="text1"/>
          <w:spacing w:val="-5"/>
          <w:shd w:val="clear" w:color="auto" w:fill="FFFFFF"/>
        </w:rPr>
        <w:t>.</w:t>
      </w:r>
    </w:p>
    <w:p w14:paraId="689C9845" w14:textId="77777777" w:rsidR="00CB5C64" w:rsidRPr="00FC1DA4" w:rsidRDefault="00E016EB">
      <w:pPr>
        <w:pStyle w:val="NormalWeb"/>
        <w:spacing w:before="280" w:after="280" w:line="360" w:lineRule="auto"/>
        <w:jc w:val="both"/>
        <w:rPr>
          <w:rFonts w:ascii="Arial Narrow" w:hAnsi="Arial Narrow"/>
        </w:rPr>
      </w:pPr>
      <w:r w:rsidRPr="00FC1DA4">
        <w:rPr>
          <w:rFonts w:ascii="Arial Narrow" w:hAnsi="Arial Narrow" w:cs="Calibri"/>
          <w:color w:val="000000" w:themeColor="text1"/>
        </w:rPr>
        <w:t xml:space="preserve">En nuestro medio, en la Caja Costarricense del Seguro Social (CCSS) se emplea claritromicina en lugar de eritromicina en el esquema de manejo de la RPM, debido a que la eritromicina no se encuentra dentro de la lista oficial de medicamentos de la institución, y con el conocimiento que la eritromicina, la claritromicina y la azitromicina cubren el mismo espectro de gérmenes </w:t>
      </w:r>
      <w:r w:rsidRPr="00FC1DA4">
        <w:rPr>
          <w:rFonts w:ascii="Arial Narrow" w:hAnsi="Arial Narrow"/>
        </w:rPr>
        <w:fldChar w:fldCharType="begin"/>
      </w:r>
      <w:r w:rsidRPr="00FC1DA4">
        <w:rPr>
          <w:rFonts w:ascii="Arial Narrow" w:hAnsi="Arial Narrow"/>
        </w:rPr>
        <w:instrText>ADDIN CSL_CITATION {"citationItems":[{"id":"ITEM-1","itemData":{"DOI":"10.1002/14651858.CD001058.pub3","ISSN":"1469493X","abstract":"Background: Premature birth carries substantial neonatal morbidity and mortality. Subclinical infection is associated with preterm rupture of membranes (PROM). Prophylactic maternal antibiotic therapy might lessen infectious morbidity and delay labour, but could suppress labour without treating underlying infection. Objectives: To evaluate the immediate and long-term effects of administering antibiotics to women with PROM before 37 weeks, on maternal infectious morbidity, neonatal morbidity and mortality, and longer-term childhood development. Search methods: We searched the Cochrane Pregnancy and Childbirth Group's Trials Register (30 September 2013). Selection criteria: Randomised controlled trials comparing antibiotic administration with placebo that reported clinically relevant outcomes were included as were trials of different antibiotics. Trials in which no placebo was used were included for the outcome of perinatal death alone. Data collection and analysis: We extracted data from each report without blinding of either the results or the treatments that women received. We sought unpublished data from a number of authors. Main results: We included 22 trials, involving 6872 women and babies. The use of antibiotics following PROM is associated with statistically significant reductions in chorioamnionitis (average risk ratio (RR) 0.66, 95% confidence interval (CI) 0.46 to 0.96, and a reduction in the numbers of babies born within 48 hours (average RR 0.71, 95% CI 0.58 to 0.87) and seven days of randomisation (average RR 0.79, 95% CI 0.71 to 0.89). The following markers of neonatal morbidity were reduced: neonatal infection (RR 0.67, 95% CI 0.52 to 0.85), use of surfactant (RR 0.83, 95% CI 0.72 to 0.96), oxygen therapy (RR 0.88, 95% CI 0.81 to 0.96), and abnormal cerebral ultrasound scan prior to discharge from hospital (RR 0.81, 95% CI 0.68 to 0.98). Co-amoxiclav was associated with an increased risk of neonatal necrotising enterocolitis (RR 4.72, 95% CI 1.57 to 14.23). One study evaluated the children's health at seven years of age (ORACLE Children Study) and found antibiotics seemed to have little effect on the health of children. Authors' conclusions: Routine prescription of antibiotics for women with preterm rupture of the membranes is associated with prolongation of pregnancy and improvements in a number of short-term neonatal morbidities, but no significant reduction in perinatal mortality. Despite lack of evidence of longer-term benefit in chil…","author":[{"dropping-particle":"","family":"Kenyon","given":"Sara","non-dropping-particle":"","parse-names":false,"suffix":""},{"dropping-particle":"","family":"Boulvain","given":"Michel","non-dropping-particle":"","parse-names":false,"suffix":""},{"dropping-particle":"","family":"Neilson","given":"James P.","non-dropping-particle":"","parse-names":false,"suffix":""}],"container-title":"Cochrane Database of Systematic Reviews","id":"ITEM-1","issue":"12","issued":{"date-parts":[["2013"]]},"title":"Antibiotics for preterm rupture of membranes","type":"article-journal","volume":"2013"},"uris":["http://www.mendeley.com/documents/?uuid=37733639-bdf8-46ac-834a-8517cb62fe45"]}],"mendeley":{"formattedCitation":"(6)","plainTextFormattedCitation":"(6)","previouslyFormattedCitation":"(6)"},"properties":{"noteIndex":0},"schema":"https://github.com/citation-style-language/schema/raw/master/csl-citation.json"}</w:instrText>
      </w:r>
      <w:r w:rsidRPr="00FC1DA4">
        <w:rPr>
          <w:rFonts w:ascii="Arial Narrow" w:hAnsi="Arial Narrow"/>
        </w:rPr>
        <w:fldChar w:fldCharType="separate"/>
      </w:r>
      <w:bookmarkStart w:id="15" w:name="Bookmark9"/>
      <w:r w:rsidRPr="00FC1DA4">
        <w:rPr>
          <w:rFonts w:ascii="Arial Narrow" w:hAnsi="Arial Narrow" w:cs="Calibri"/>
          <w:color w:val="000000" w:themeColor="text1"/>
        </w:rPr>
        <w:t>(6)</w:t>
      </w:r>
      <w:r w:rsidRPr="00FC1DA4">
        <w:rPr>
          <w:rFonts w:ascii="Arial Narrow" w:hAnsi="Arial Narrow"/>
        </w:rPr>
        <w:fldChar w:fldCharType="end"/>
      </w:r>
      <w:bookmarkEnd w:id="15"/>
      <w:r w:rsidRPr="00FC1DA4">
        <w:rPr>
          <w:rFonts w:ascii="Arial Narrow" w:hAnsi="Arial Narrow" w:cs="Calibri"/>
          <w:color w:val="000000" w:themeColor="text1"/>
        </w:rPr>
        <w:t>.</w:t>
      </w:r>
    </w:p>
    <w:p w14:paraId="5A8A6DB3" w14:textId="77777777" w:rsidR="00CB5C64" w:rsidRPr="00FC1DA4" w:rsidRDefault="00E016EB">
      <w:pPr>
        <w:pStyle w:val="NormalWeb"/>
        <w:spacing w:before="280" w:after="280" w:line="360" w:lineRule="auto"/>
        <w:jc w:val="both"/>
        <w:rPr>
          <w:rFonts w:ascii="Arial Narrow" w:eastAsia="Times New Roman" w:hAnsi="Arial Narrow" w:cs="Calibri"/>
          <w:color w:val="000000" w:themeColor="text1"/>
          <w:lang w:val="es-CR"/>
        </w:rPr>
      </w:pPr>
      <w:r w:rsidRPr="00FC1DA4">
        <w:rPr>
          <w:rFonts w:ascii="Arial Narrow" w:eastAsia="Times New Roman" w:hAnsi="Arial Narrow" w:cs="Calibri"/>
          <w:color w:val="000000" w:themeColor="text1"/>
          <w:lang w:val="es-CR"/>
        </w:rPr>
        <w:t>En la actualidad</w:t>
      </w:r>
      <w:r w:rsidRPr="00FC1DA4">
        <w:rPr>
          <w:rFonts w:ascii="Arial Narrow" w:eastAsia="Times New Roman" w:hAnsi="Arial Narrow" w:cs="Calibri"/>
          <w:color w:val="C9211E"/>
          <w:lang w:val="es-CR"/>
        </w:rPr>
        <w:t>,</w:t>
      </w:r>
      <w:r w:rsidRPr="00FC1DA4">
        <w:rPr>
          <w:rFonts w:ascii="Arial Narrow" w:eastAsia="Times New Roman" w:hAnsi="Arial Narrow" w:cs="Calibri"/>
          <w:color w:val="000000" w:themeColor="text1"/>
          <w:lang w:val="es-CR"/>
        </w:rPr>
        <w:t xml:space="preserve"> en el Hospital de las Mujeres Dr. Adolfo Carit Eva (HOMACE) existe un protocolo para el manejo de la RPM alejada de término, el mismo utiliza el siguiente esquema de antibioticoterapia: Claritromicina 500 mg cada 12 horas VO por 7 días + Ampicilina 2 gramos IV cada 6 horas por 48 horas. Al finalizar las 48 horas de ampicilina, se inicia amoxicilina 500 mg cada 8 horas VO por 5 días. Este protocolo se creó durante la realización de este estudio. </w:t>
      </w:r>
    </w:p>
    <w:p w14:paraId="0B9F55AE" w14:textId="77777777" w:rsidR="00FC1DA4" w:rsidRPr="002650AF" w:rsidRDefault="00E016EB">
      <w:pPr>
        <w:pStyle w:val="NormalWeb"/>
        <w:spacing w:before="280" w:after="280" w:line="360" w:lineRule="auto"/>
        <w:jc w:val="both"/>
        <w:rPr>
          <w:rFonts w:ascii="Arial Narrow" w:hAnsi="Arial Narrow" w:cs="Calibri"/>
          <w:color w:val="000000" w:themeColor="text1"/>
        </w:rPr>
      </w:pPr>
      <w:r w:rsidRPr="00FC1DA4">
        <w:rPr>
          <w:rFonts w:ascii="Arial Narrow" w:hAnsi="Arial Narrow" w:cs="Calibri"/>
          <w:color w:val="000000" w:themeColor="text1"/>
        </w:rPr>
        <w:t>En Costa Rica no existen estudios que comparen el uso de claritromicina en lugar de eritromicina en el manejo de la RPM pretérmino, si bien sabemos que ambos son macrólidos que cubren el mismo perfil de gérmenes, también existen diferencias entre ellos en cuanto a aspectos de la farmacocinética.</w:t>
      </w:r>
    </w:p>
    <w:p w14:paraId="7AA6AC07" w14:textId="77777777" w:rsidR="00C317A3" w:rsidRDefault="00C317A3">
      <w:pPr>
        <w:pStyle w:val="NormalWeb"/>
        <w:spacing w:before="280" w:after="280" w:line="360" w:lineRule="auto"/>
        <w:jc w:val="both"/>
        <w:rPr>
          <w:rFonts w:ascii="Arial Narrow" w:hAnsi="Arial Narrow" w:cs="Calibri"/>
          <w:b/>
          <w:bCs/>
          <w:color w:val="000000" w:themeColor="text1"/>
        </w:rPr>
      </w:pPr>
    </w:p>
    <w:p w14:paraId="6722951B" w14:textId="77777777" w:rsidR="00CB5C64" w:rsidRPr="00FC1DA4" w:rsidRDefault="003C2B91">
      <w:pPr>
        <w:pStyle w:val="NormalWeb"/>
        <w:spacing w:before="280" w:after="280" w:line="360" w:lineRule="auto"/>
        <w:jc w:val="both"/>
        <w:rPr>
          <w:rFonts w:ascii="Arial Narrow" w:hAnsi="Arial Narrow" w:cs="Calibri"/>
          <w:b/>
          <w:bCs/>
          <w:color w:val="000000" w:themeColor="text1"/>
        </w:rPr>
      </w:pPr>
      <w:r w:rsidRPr="00FC1DA4">
        <w:rPr>
          <w:rFonts w:ascii="Arial Narrow" w:hAnsi="Arial Narrow" w:cs="Calibri"/>
          <w:b/>
          <w:bCs/>
          <w:color w:val="000000" w:themeColor="text1"/>
        </w:rPr>
        <w:t>Objetivo principal</w:t>
      </w:r>
    </w:p>
    <w:p w14:paraId="34BF23B9" w14:textId="77777777" w:rsidR="00FC1DA4" w:rsidRPr="00FC1DA4" w:rsidRDefault="00E016EB">
      <w:pPr>
        <w:pStyle w:val="NormalWeb"/>
        <w:spacing w:before="280" w:after="280" w:line="360" w:lineRule="auto"/>
        <w:jc w:val="both"/>
        <w:rPr>
          <w:rFonts w:ascii="Arial Narrow" w:hAnsi="Arial Narrow" w:cs="Calibri"/>
          <w:color w:val="000000" w:themeColor="text1"/>
          <w:lang w:val="es"/>
        </w:rPr>
      </w:pPr>
      <w:r w:rsidRPr="00FC1DA4">
        <w:rPr>
          <w:rFonts w:ascii="Arial Narrow" w:hAnsi="Arial Narrow" w:cs="Calibri"/>
          <w:color w:val="000000" w:themeColor="text1"/>
        </w:rPr>
        <w:t>D</w:t>
      </w:r>
      <w:r w:rsidRPr="00FC1DA4">
        <w:rPr>
          <w:rFonts w:ascii="Arial Narrow" w:hAnsi="Arial Narrow" w:cs="Calibri"/>
          <w:color w:val="000000" w:themeColor="text1"/>
          <w:lang w:val="es"/>
        </w:rPr>
        <w:t xml:space="preserve">escribir los resultados de la antibioticoterapia utilizada para la ruptura prematura de membranas alejada de término cuando se emplea claritromicina, en el Servicio de Obstetricia del Hospital De Las Mujeres Dr. Adolfo Carit Eva en el período de enero del 2013 a enero del 2018. </w:t>
      </w:r>
    </w:p>
    <w:p w14:paraId="23CA2DCD" w14:textId="77777777" w:rsidR="00CB5C64" w:rsidRPr="00FC1DA4" w:rsidRDefault="003C2B91">
      <w:pPr>
        <w:pStyle w:val="NormalWeb"/>
        <w:spacing w:before="280" w:after="280" w:line="360" w:lineRule="auto"/>
        <w:jc w:val="both"/>
        <w:rPr>
          <w:rFonts w:ascii="Arial Narrow" w:hAnsi="Arial Narrow" w:cs="Calibri"/>
          <w:b/>
          <w:bCs/>
          <w:color w:val="000000" w:themeColor="text1"/>
          <w:lang w:val="es"/>
        </w:rPr>
      </w:pPr>
      <w:r w:rsidRPr="00FC1DA4">
        <w:rPr>
          <w:rFonts w:ascii="Arial Narrow" w:hAnsi="Arial Narrow" w:cs="Calibri"/>
          <w:b/>
          <w:bCs/>
          <w:color w:val="000000" w:themeColor="text1"/>
          <w:lang w:val="es"/>
        </w:rPr>
        <w:lastRenderedPageBreak/>
        <w:t xml:space="preserve">Objetivos específicos </w:t>
      </w:r>
    </w:p>
    <w:p w14:paraId="1E4BD0CA" w14:textId="77777777" w:rsidR="00CB5C64" w:rsidRPr="00FC1DA4" w:rsidRDefault="00C06409">
      <w:pPr>
        <w:pStyle w:val="NormalWeb"/>
        <w:spacing w:before="280" w:after="280" w:line="360" w:lineRule="auto"/>
        <w:jc w:val="both"/>
        <w:rPr>
          <w:rFonts w:ascii="Arial Narrow" w:hAnsi="Arial Narrow" w:cs="Calibri"/>
          <w:color w:val="000000" w:themeColor="text1"/>
          <w:lang w:val="es"/>
        </w:rPr>
      </w:pPr>
      <w:r w:rsidRPr="00FC1DA4">
        <w:rPr>
          <w:rFonts w:ascii="Arial Narrow" w:hAnsi="Arial Narrow" w:cs="Calibri"/>
          <w:color w:val="000000" w:themeColor="text1"/>
          <w:lang w:val="es"/>
        </w:rPr>
        <w:t xml:space="preserve">1. </w:t>
      </w:r>
      <w:r w:rsidR="00E016EB" w:rsidRPr="00FC1DA4">
        <w:rPr>
          <w:rFonts w:ascii="Arial Narrow" w:hAnsi="Arial Narrow" w:cs="Calibri"/>
          <w:color w:val="000000" w:themeColor="text1"/>
          <w:lang w:val="es"/>
        </w:rPr>
        <w:t>Establecer el número de pacientes, tratadas con este esquema, que se diagnosticaron con corioamnionitis posterior al diagnóstico de RPM e inicio de antibioticoterapia.</w:t>
      </w:r>
    </w:p>
    <w:p w14:paraId="5D959B84" w14:textId="77777777" w:rsidR="003843F8" w:rsidRPr="00FC1DA4" w:rsidRDefault="00C06409">
      <w:pPr>
        <w:pStyle w:val="NormalWeb"/>
        <w:spacing w:before="280" w:after="280" w:line="360" w:lineRule="auto"/>
        <w:jc w:val="both"/>
        <w:rPr>
          <w:rFonts w:ascii="Arial Narrow" w:hAnsi="Arial Narrow" w:cs="Calibri"/>
          <w:color w:val="000000" w:themeColor="text1"/>
          <w:lang w:val="es"/>
        </w:rPr>
      </w:pPr>
      <w:r w:rsidRPr="00FC1DA4">
        <w:rPr>
          <w:rFonts w:ascii="Arial Narrow" w:hAnsi="Arial Narrow" w:cs="Calibri"/>
          <w:color w:val="000000" w:themeColor="text1"/>
          <w:lang w:val="es"/>
        </w:rPr>
        <w:t xml:space="preserve">2. </w:t>
      </w:r>
      <w:r w:rsidR="00E016EB" w:rsidRPr="00FC1DA4">
        <w:rPr>
          <w:rFonts w:ascii="Arial Narrow" w:hAnsi="Arial Narrow" w:cs="Calibri"/>
          <w:color w:val="000000" w:themeColor="text1"/>
          <w:lang w:val="es"/>
        </w:rPr>
        <w:t>Determinar el número de días que se prolongó el nacimiento a partir del inicio de la antibioticoterapia que incluyó claritromicina.</w:t>
      </w:r>
    </w:p>
    <w:p w14:paraId="4F7BF164" w14:textId="77777777" w:rsidR="00CB5C64" w:rsidRDefault="00CB5C64" w:rsidP="003843F8">
      <w:pPr>
        <w:rPr>
          <w:rFonts w:ascii="Calibri" w:hAnsi="Calibri" w:cs="Calibri"/>
          <w:color w:val="000000" w:themeColor="text1"/>
          <w:sz w:val="20"/>
          <w:szCs w:val="20"/>
          <w:lang w:val="es"/>
        </w:rPr>
      </w:pPr>
    </w:p>
    <w:p w14:paraId="60E86C62" w14:textId="77777777" w:rsidR="003843F8" w:rsidRDefault="003843F8" w:rsidP="003843F8">
      <w:pPr>
        <w:rPr>
          <w:rFonts w:ascii="Calibri" w:eastAsia="Calibri" w:hAnsi="Calibri" w:cs="Calibri"/>
          <w:color w:val="000000" w:themeColor="text1"/>
          <w:sz w:val="20"/>
          <w:szCs w:val="20"/>
          <w:lang w:val="es" w:eastAsia="es-ES_tradnl"/>
        </w:rPr>
      </w:pPr>
    </w:p>
    <w:p w14:paraId="4F92CA63" w14:textId="77777777" w:rsidR="003843F8" w:rsidRDefault="003843F8" w:rsidP="003843F8">
      <w:pPr>
        <w:rPr>
          <w:rFonts w:ascii="Calibri" w:eastAsia="Calibri" w:hAnsi="Calibri" w:cs="Calibri"/>
          <w:color w:val="000000" w:themeColor="text1"/>
          <w:sz w:val="20"/>
          <w:szCs w:val="20"/>
          <w:lang w:val="es" w:eastAsia="es-ES_tradnl"/>
        </w:rPr>
      </w:pPr>
    </w:p>
    <w:p w14:paraId="4D6B0930" w14:textId="77777777" w:rsidR="003843F8" w:rsidRDefault="003843F8" w:rsidP="003843F8">
      <w:pPr>
        <w:rPr>
          <w:rFonts w:ascii="Calibri" w:eastAsia="Calibri" w:hAnsi="Calibri" w:cs="Calibri"/>
          <w:color w:val="000000" w:themeColor="text1"/>
          <w:sz w:val="20"/>
          <w:szCs w:val="20"/>
          <w:lang w:val="es" w:eastAsia="es-ES_tradnl"/>
        </w:rPr>
      </w:pPr>
    </w:p>
    <w:p w14:paraId="1E4C4C62" w14:textId="77777777" w:rsidR="003843F8" w:rsidRDefault="003843F8" w:rsidP="003843F8">
      <w:pPr>
        <w:rPr>
          <w:rFonts w:ascii="Calibri" w:eastAsia="Calibri" w:hAnsi="Calibri" w:cs="Calibri"/>
          <w:color w:val="000000" w:themeColor="text1"/>
          <w:sz w:val="20"/>
          <w:szCs w:val="20"/>
          <w:lang w:val="es" w:eastAsia="es-ES_tradnl"/>
        </w:rPr>
      </w:pPr>
    </w:p>
    <w:p w14:paraId="701B0C30" w14:textId="77777777" w:rsidR="003843F8" w:rsidRDefault="003843F8" w:rsidP="003843F8">
      <w:pPr>
        <w:rPr>
          <w:rFonts w:ascii="Calibri" w:eastAsia="Calibri" w:hAnsi="Calibri" w:cs="Calibri"/>
          <w:color w:val="000000" w:themeColor="text1"/>
          <w:sz w:val="20"/>
          <w:szCs w:val="20"/>
          <w:lang w:val="es" w:eastAsia="es-ES_tradnl"/>
        </w:rPr>
      </w:pPr>
    </w:p>
    <w:p w14:paraId="58AF7D4E" w14:textId="77777777" w:rsidR="003843F8" w:rsidRDefault="003843F8" w:rsidP="003843F8">
      <w:pPr>
        <w:rPr>
          <w:rFonts w:ascii="Calibri" w:eastAsia="Calibri" w:hAnsi="Calibri" w:cs="Calibri"/>
          <w:color w:val="000000" w:themeColor="text1"/>
          <w:sz w:val="20"/>
          <w:szCs w:val="20"/>
          <w:lang w:val="es" w:eastAsia="es-ES_tradnl"/>
        </w:rPr>
      </w:pPr>
    </w:p>
    <w:p w14:paraId="5F66FA84" w14:textId="77777777" w:rsidR="003843F8" w:rsidRDefault="003843F8" w:rsidP="003843F8">
      <w:pPr>
        <w:rPr>
          <w:rFonts w:ascii="Calibri" w:eastAsia="Calibri" w:hAnsi="Calibri" w:cs="Calibri"/>
          <w:color w:val="000000" w:themeColor="text1"/>
          <w:sz w:val="20"/>
          <w:szCs w:val="20"/>
          <w:lang w:val="es" w:eastAsia="es-ES_tradnl"/>
        </w:rPr>
      </w:pPr>
    </w:p>
    <w:p w14:paraId="0CA58A59" w14:textId="77777777" w:rsidR="003843F8" w:rsidRDefault="003843F8" w:rsidP="003843F8">
      <w:pPr>
        <w:rPr>
          <w:rFonts w:ascii="Calibri" w:eastAsia="Calibri" w:hAnsi="Calibri" w:cs="Calibri"/>
          <w:color w:val="000000" w:themeColor="text1"/>
          <w:sz w:val="20"/>
          <w:szCs w:val="20"/>
          <w:lang w:val="es" w:eastAsia="es-ES_tradnl"/>
        </w:rPr>
      </w:pPr>
    </w:p>
    <w:p w14:paraId="45B93D7E" w14:textId="77777777" w:rsidR="003843F8" w:rsidRDefault="003843F8" w:rsidP="003843F8">
      <w:pPr>
        <w:rPr>
          <w:rFonts w:ascii="Calibri" w:eastAsia="Calibri" w:hAnsi="Calibri" w:cs="Calibri"/>
          <w:color w:val="000000" w:themeColor="text1"/>
          <w:sz w:val="20"/>
          <w:szCs w:val="20"/>
          <w:lang w:val="es" w:eastAsia="es-ES_tradnl"/>
        </w:rPr>
      </w:pPr>
    </w:p>
    <w:p w14:paraId="6E78D759" w14:textId="77777777" w:rsidR="003843F8" w:rsidRDefault="003843F8" w:rsidP="003843F8">
      <w:pPr>
        <w:rPr>
          <w:rFonts w:ascii="Calibri" w:eastAsia="Calibri" w:hAnsi="Calibri" w:cs="Calibri"/>
          <w:color w:val="000000" w:themeColor="text1"/>
          <w:sz w:val="20"/>
          <w:szCs w:val="20"/>
          <w:lang w:val="es" w:eastAsia="es-ES_tradnl"/>
        </w:rPr>
      </w:pPr>
    </w:p>
    <w:p w14:paraId="2CEA6399" w14:textId="77777777" w:rsidR="003843F8" w:rsidRDefault="003843F8" w:rsidP="003843F8">
      <w:pPr>
        <w:rPr>
          <w:rFonts w:ascii="Calibri" w:eastAsia="Calibri" w:hAnsi="Calibri" w:cs="Calibri"/>
          <w:color w:val="000000" w:themeColor="text1"/>
          <w:sz w:val="20"/>
          <w:szCs w:val="20"/>
          <w:lang w:val="es" w:eastAsia="es-ES_tradnl"/>
        </w:rPr>
      </w:pPr>
    </w:p>
    <w:p w14:paraId="36FBBE92" w14:textId="77777777" w:rsidR="003843F8" w:rsidRDefault="003843F8" w:rsidP="003843F8">
      <w:pPr>
        <w:rPr>
          <w:rFonts w:ascii="Calibri" w:eastAsia="Calibri" w:hAnsi="Calibri" w:cs="Calibri"/>
          <w:color w:val="000000" w:themeColor="text1"/>
          <w:sz w:val="20"/>
          <w:szCs w:val="20"/>
          <w:lang w:val="es" w:eastAsia="es-ES_tradnl"/>
        </w:rPr>
      </w:pPr>
    </w:p>
    <w:p w14:paraId="72CAC6A5" w14:textId="77777777" w:rsidR="003843F8" w:rsidRDefault="003843F8" w:rsidP="003843F8">
      <w:pPr>
        <w:rPr>
          <w:rFonts w:ascii="Calibri" w:eastAsia="Calibri" w:hAnsi="Calibri" w:cs="Calibri"/>
          <w:color w:val="000000" w:themeColor="text1"/>
          <w:sz w:val="20"/>
          <w:szCs w:val="20"/>
          <w:lang w:val="es" w:eastAsia="es-ES_tradnl"/>
        </w:rPr>
      </w:pPr>
    </w:p>
    <w:p w14:paraId="68339F73" w14:textId="77777777" w:rsidR="003843F8" w:rsidRDefault="003843F8" w:rsidP="003843F8">
      <w:pPr>
        <w:rPr>
          <w:rFonts w:ascii="Calibri" w:eastAsia="Calibri" w:hAnsi="Calibri" w:cs="Calibri"/>
          <w:color w:val="000000" w:themeColor="text1"/>
          <w:sz w:val="20"/>
          <w:szCs w:val="20"/>
          <w:lang w:val="es" w:eastAsia="es-ES_tradnl"/>
        </w:rPr>
      </w:pPr>
    </w:p>
    <w:p w14:paraId="1F78F431" w14:textId="77777777" w:rsidR="003843F8" w:rsidRDefault="003843F8" w:rsidP="003843F8">
      <w:pPr>
        <w:rPr>
          <w:rFonts w:ascii="Calibri" w:eastAsia="Calibri" w:hAnsi="Calibri" w:cs="Calibri"/>
          <w:color w:val="000000" w:themeColor="text1"/>
          <w:sz w:val="20"/>
          <w:szCs w:val="20"/>
          <w:lang w:val="es" w:eastAsia="es-ES_tradnl"/>
        </w:rPr>
      </w:pPr>
    </w:p>
    <w:p w14:paraId="7E3CC77A" w14:textId="77777777" w:rsidR="003843F8" w:rsidRDefault="003843F8" w:rsidP="003843F8">
      <w:pPr>
        <w:rPr>
          <w:rFonts w:ascii="Calibri" w:eastAsia="Calibri" w:hAnsi="Calibri" w:cs="Calibri"/>
          <w:color w:val="000000" w:themeColor="text1"/>
          <w:sz w:val="20"/>
          <w:szCs w:val="20"/>
          <w:lang w:val="es" w:eastAsia="es-ES_tradnl"/>
        </w:rPr>
      </w:pPr>
    </w:p>
    <w:p w14:paraId="7CBD7EB0" w14:textId="77777777" w:rsidR="003843F8" w:rsidRPr="003843F8" w:rsidRDefault="003843F8" w:rsidP="003843F8">
      <w:pPr>
        <w:rPr>
          <w:rFonts w:ascii="Calibri" w:eastAsia="Calibri" w:hAnsi="Calibri" w:cs="Calibri"/>
          <w:color w:val="000000" w:themeColor="text1"/>
          <w:sz w:val="20"/>
          <w:szCs w:val="20"/>
          <w:lang w:val="es" w:eastAsia="es-ES_tradnl"/>
        </w:rPr>
      </w:pPr>
    </w:p>
    <w:p w14:paraId="0CB23162" w14:textId="77777777" w:rsidR="00FC1DA4" w:rsidRDefault="00FC1DA4">
      <w:pPr>
        <w:rPr>
          <w:rFonts w:ascii="Calibri" w:eastAsia="Calibri" w:hAnsi="Calibri" w:cs="Calibri"/>
          <w:b/>
          <w:bCs/>
          <w:color w:val="000000" w:themeColor="text1"/>
          <w:sz w:val="20"/>
          <w:szCs w:val="20"/>
          <w:lang w:val="es" w:eastAsia="es-ES_tradnl"/>
        </w:rPr>
      </w:pPr>
      <w:r>
        <w:rPr>
          <w:rFonts w:ascii="Calibri" w:hAnsi="Calibri" w:cs="Calibri"/>
          <w:b/>
          <w:bCs/>
          <w:color w:val="000000" w:themeColor="text1"/>
          <w:sz w:val="20"/>
          <w:szCs w:val="20"/>
          <w:lang w:val="es"/>
        </w:rPr>
        <w:br w:type="page"/>
      </w:r>
    </w:p>
    <w:p w14:paraId="2B1D316D" w14:textId="77777777" w:rsidR="00CB5C64" w:rsidRPr="00FC1DA4" w:rsidRDefault="00C06409" w:rsidP="00C06409">
      <w:pPr>
        <w:pStyle w:val="NormalWeb"/>
        <w:spacing w:before="280" w:line="360" w:lineRule="auto"/>
        <w:jc w:val="both"/>
        <w:rPr>
          <w:rFonts w:ascii="Arial Narrow" w:hAnsi="Arial Narrow" w:cs="Calibri"/>
          <w:b/>
          <w:bCs/>
          <w:color w:val="000000" w:themeColor="text1"/>
          <w:szCs w:val="20"/>
        </w:rPr>
      </w:pPr>
      <w:r w:rsidRPr="00FC1DA4">
        <w:rPr>
          <w:rFonts w:ascii="Arial Narrow" w:hAnsi="Arial Narrow" w:cs="Calibri"/>
          <w:b/>
          <w:bCs/>
          <w:color w:val="000000" w:themeColor="text1"/>
          <w:szCs w:val="20"/>
          <w:lang w:val="es"/>
        </w:rPr>
        <w:lastRenderedPageBreak/>
        <w:t>M</w:t>
      </w:r>
      <w:r w:rsidR="0050204C" w:rsidRPr="00FC1DA4">
        <w:rPr>
          <w:rFonts w:ascii="Arial Narrow" w:hAnsi="Arial Narrow" w:cs="Calibri"/>
          <w:b/>
          <w:bCs/>
          <w:color w:val="000000" w:themeColor="text1"/>
          <w:szCs w:val="20"/>
          <w:lang w:val="es"/>
        </w:rPr>
        <w:t>ateriales y métodos</w:t>
      </w:r>
    </w:p>
    <w:p w14:paraId="19FDFE9D" w14:textId="77777777" w:rsidR="00CB5C64" w:rsidRPr="00FC1DA4" w:rsidRDefault="00E016EB" w:rsidP="00BB1E09">
      <w:pPr>
        <w:pStyle w:val="NormalWeb"/>
        <w:spacing w:before="280" w:after="280" w:line="360" w:lineRule="auto"/>
        <w:jc w:val="both"/>
        <w:rPr>
          <w:rFonts w:ascii="Arial Narrow" w:hAnsi="Arial Narrow" w:cs="Calibri"/>
          <w:b/>
          <w:bCs/>
          <w:color w:val="000000" w:themeColor="text1"/>
          <w:szCs w:val="20"/>
          <w:lang w:val="es"/>
        </w:rPr>
      </w:pPr>
      <w:r w:rsidRPr="00FC1DA4">
        <w:rPr>
          <w:rFonts w:ascii="Arial Narrow" w:hAnsi="Arial Narrow" w:cs="Calibri"/>
          <w:b/>
          <w:bCs/>
          <w:color w:val="000000" w:themeColor="text1"/>
          <w:szCs w:val="20"/>
          <w:lang w:val="es"/>
        </w:rPr>
        <w:t>P</w:t>
      </w:r>
      <w:r w:rsidR="00BB1E09" w:rsidRPr="00FC1DA4">
        <w:rPr>
          <w:rFonts w:ascii="Arial Narrow" w:hAnsi="Arial Narrow" w:cs="Calibri"/>
          <w:b/>
          <w:bCs/>
          <w:color w:val="000000" w:themeColor="text1"/>
          <w:szCs w:val="20"/>
          <w:lang w:val="es"/>
        </w:rPr>
        <w:t>oblación y periodo de estudio</w:t>
      </w:r>
    </w:p>
    <w:p w14:paraId="401D829C" w14:textId="77777777" w:rsidR="00CB5C64" w:rsidRPr="00FC1DA4" w:rsidRDefault="00E016EB">
      <w:pPr>
        <w:spacing w:line="360" w:lineRule="auto"/>
        <w:jc w:val="both"/>
        <w:rPr>
          <w:rFonts w:ascii="Arial Narrow" w:hAnsi="Arial Narrow" w:cs="Calibri"/>
          <w:color w:val="000000" w:themeColor="text1"/>
          <w:szCs w:val="20"/>
          <w:lang w:val="es"/>
        </w:rPr>
      </w:pPr>
      <w:r w:rsidRPr="00FC1DA4">
        <w:rPr>
          <w:rFonts w:ascii="Arial Narrow" w:hAnsi="Arial Narrow" w:cs="Calibri"/>
          <w:color w:val="000000" w:themeColor="text1"/>
          <w:szCs w:val="20"/>
          <w:lang w:val="es"/>
        </w:rPr>
        <w:t>Mujeres con diagnóstico de ruptura prematura de membranas alejada de término (24+0 a 32+0 semanas de edad gestacional) que recibieron tratamiento con un esquema de antibióticos que incluyera claritromicina en el Servicio de Obstetricia del Hospital De Las Mujeres Dr. Adolfo Carit Eva en el período de enero del 2013 a enero del 2018.</w:t>
      </w:r>
    </w:p>
    <w:p w14:paraId="47286FA4" w14:textId="77777777" w:rsidR="00CB5C64" w:rsidRPr="00FC1DA4" w:rsidRDefault="00CB5C64">
      <w:pPr>
        <w:spacing w:line="360" w:lineRule="auto"/>
        <w:jc w:val="both"/>
        <w:rPr>
          <w:rFonts w:ascii="Arial Narrow" w:hAnsi="Arial Narrow" w:cs="Calibri"/>
          <w:color w:val="000000" w:themeColor="text1"/>
          <w:szCs w:val="20"/>
          <w:lang w:val="es"/>
        </w:rPr>
      </w:pPr>
    </w:p>
    <w:p w14:paraId="754FBFAA" w14:textId="77777777" w:rsidR="005C0FD4" w:rsidRPr="00FC1DA4" w:rsidRDefault="005C0FD4">
      <w:pPr>
        <w:spacing w:line="360" w:lineRule="auto"/>
        <w:jc w:val="both"/>
        <w:rPr>
          <w:rFonts w:ascii="Arial Narrow" w:hAnsi="Arial Narrow" w:cs="Calibri"/>
          <w:b/>
          <w:color w:val="000000" w:themeColor="text1"/>
          <w:szCs w:val="20"/>
          <w:lang w:val="es"/>
        </w:rPr>
      </w:pPr>
      <w:r w:rsidRPr="00FC1DA4">
        <w:rPr>
          <w:rFonts w:ascii="Arial Narrow" w:hAnsi="Arial Narrow" w:cs="Calibri"/>
          <w:b/>
          <w:color w:val="000000" w:themeColor="text1"/>
          <w:szCs w:val="20"/>
          <w:lang w:val="es"/>
        </w:rPr>
        <w:t xml:space="preserve">Muestra </w:t>
      </w:r>
    </w:p>
    <w:p w14:paraId="0F78DBD7" w14:textId="77777777" w:rsidR="005C0FD4" w:rsidRPr="00FC1DA4" w:rsidRDefault="005C0FD4" w:rsidP="005C0FD4">
      <w:pPr>
        <w:spacing w:line="360" w:lineRule="auto"/>
        <w:jc w:val="both"/>
        <w:rPr>
          <w:rFonts w:ascii="Arial Narrow" w:hAnsi="Arial Narrow" w:cs="Calibri"/>
          <w:color w:val="000000" w:themeColor="text1"/>
          <w:szCs w:val="20"/>
        </w:rPr>
      </w:pPr>
    </w:p>
    <w:p w14:paraId="2A967CFB" w14:textId="77777777" w:rsidR="005C0FD4" w:rsidRPr="00FC1DA4" w:rsidRDefault="005C0FD4" w:rsidP="005C0FD4">
      <w:pPr>
        <w:spacing w:line="360" w:lineRule="auto"/>
        <w:jc w:val="both"/>
        <w:rPr>
          <w:rFonts w:ascii="Arial Narrow" w:hAnsi="Arial Narrow" w:cs="Calibri"/>
          <w:color w:val="000000" w:themeColor="text1"/>
          <w:szCs w:val="20"/>
        </w:rPr>
      </w:pPr>
      <w:r w:rsidRPr="00FC1DA4">
        <w:rPr>
          <w:rFonts w:ascii="Arial Narrow" w:hAnsi="Arial Narrow" w:cs="Calibri"/>
          <w:color w:val="000000" w:themeColor="text1"/>
          <w:szCs w:val="20"/>
        </w:rPr>
        <w:t>Un total de 2197 pacientes fueron diagnosticadas con ruptura prematura de membranas en el periodo mencionado. De estos, 1344 fueron excluidos por no cumplir con los criterios de inclusión, 636 sin posibilidad de localizar el expediente de salud y 181 casos posterior a la verificación del diagnóstico incorrecto, obteniéndose una muestra total de 36 pacientes que cumplieron con los criterios de inclusión y exclusión del estudio.</w:t>
      </w:r>
    </w:p>
    <w:p w14:paraId="6A4573A9" w14:textId="77777777" w:rsidR="005C0FD4" w:rsidRPr="00FC1DA4" w:rsidRDefault="005C0FD4">
      <w:pPr>
        <w:spacing w:line="360" w:lineRule="auto"/>
        <w:jc w:val="both"/>
        <w:rPr>
          <w:rFonts w:ascii="Arial Narrow" w:hAnsi="Arial Narrow" w:cs="Calibri"/>
          <w:color w:val="000000" w:themeColor="text1"/>
          <w:szCs w:val="20"/>
          <w:lang w:val="es"/>
        </w:rPr>
      </w:pPr>
    </w:p>
    <w:p w14:paraId="0573095E" w14:textId="77777777" w:rsidR="00CB5C64" w:rsidRPr="00FC1DA4" w:rsidRDefault="00BB1E09" w:rsidP="00BB1E09">
      <w:pPr>
        <w:spacing w:line="360" w:lineRule="auto"/>
        <w:jc w:val="both"/>
        <w:rPr>
          <w:rFonts w:ascii="Arial Narrow" w:hAnsi="Arial Narrow" w:cs="Calibri"/>
          <w:b/>
          <w:bCs/>
          <w:color w:val="000000" w:themeColor="text1"/>
          <w:szCs w:val="20"/>
          <w:lang w:val="es"/>
        </w:rPr>
      </w:pPr>
      <w:r w:rsidRPr="00FC1DA4">
        <w:rPr>
          <w:rFonts w:ascii="Arial Narrow" w:hAnsi="Arial Narrow" w:cs="Calibri"/>
          <w:b/>
          <w:bCs/>
          <w:color w:val="000000" w:themeColor="text1"/>
          <w:szCs w:val="20"/>
          <w:lang w:val="es"/>
        </w:rPr>
        <w:t>Tipo de estudio</w:t>
      </w:r>
    </w:p>
    <w:p w14:paraId="293B0F00" w14:textId="77777777" w:rsidR="00CB5C64" w:rsidRPr="00FC1DA4" w:rsidRDefault="00CB5C64">
      <w:pPr>
        <w:pStyle w:val="Prrafodelista"/>
        <w:spacing w:line="360" w:lineRule="auto"/>
        <w:jc w:val="both"/>
        <w:rPr>
          <w:rFonts w:ascii="Arial Narrow" w:hAnsi="Arial Narrow" w:cs="Calibri"/>
          <w:b/>
          <w:bCs/>
          <w:color w:val="000000" w:themeColor="text1"/>
          <w:szCs w:val="20"/>
          <w:lang w:val="es"/>
        </w:rPr>
      </w:pPr>
    </w:p>
    <w:p w14:paraId="59BB4126" w14:textId="77777777" w:rsidR="00CB5C64" w:rsidRPr="00FC1DA4" w:rsidRDefault="00E016EB">
      <w:pPr>
        <w:spacing w:line="360" w:lineRule="auto"/>
        <w:jc w:val="both"/>
        <w:rPr>
          <w:rFonts w:ascii="Arial Narrow" w:hAnsi="Arial Narrow"/>
          <w:sz w:val="32"/>
        </w:rPr>
      </w:pPr>
      <w:r w:rsidRPr="00FC1DA4">
        <w:rPr>
          <w:rFonts w:ascii="Arial Narrow" w:hAnsi="Arial Narrow" w:cs="Calibri"/>
          <w:color w:val="000000" w:themeColor="text1"/>
          <w:szCs w:val="20"/>
          <w:shd w:val="clear" w:color="auto" w:fill="FFFFFF"/>
        </w:rPr>
        <w:t>Estudio observacional retrospectivo de cohorte desarrollado en pacientes con edad gestacional de 24+0 a 32+0 semanas, en el periodo entre</w:t>
      </w:r>
      <w:r w:rsidRPr="00FC1DA4">
        <w:rPr>
          <w:rFonts w:ascii="Arial Narrow" w:hAnsi="Arial Narrow" w:cs="Calibri"/>
          <w:color w:val="000000" w:themeColor="text1"/>
          <w:szCs w:val="20"/>
          <w:lang w:val="es"/>
        </w:rPr>
        <w:t xml:space="preserve"> enero del 2013 y enero del 2018</w:t>
      </w:r>
      <w:r w:rsidRPr="00FC1DA4">
        <w:rPr>
          <w:rFonts w:ascii="Arial Narrow" w:hAnsi="Arial Narrow" w:cs="Calibri"/>
          <w:color w:val="000000" w:themeColor="text1"/>
          <w:szCs w:val="20"/>
          <w:shd w:val="clear" w:color="auto" w:fill="FFFFFF"/>
        </w:rPr>
        <w:t xml:space="preserve"> en control en HOMACE, considerando como requisito la presencia de ruptura prematura de membranas diagnosticada por clínica y a quienes se les indicó antibioticoterapia con ampicilina 2 g IV (vía intravenosa) cada 6 horas por 2 días seguido de amoxicilina 500 mg cada 8 horas VO (vía oral) más</w:t>
      </w:r>
      <w:r w:rsidR="00C317A3">
        <w:rPr>
          <w:rFonts w:ascii="Arial Narrow" w:hAnsi="Arial Narrow" w:cs="Calibri"/>
          <w:color w:val="000000" w:themeColor="text1"/>
          <w:szCs w:val="20"/>
          <w:shd w:val="clear" w:color="auto" w:fill="FFFFFF"/>
        </w:rPr>
        <w:t xml:space="preserve"> claritromicina 500 mg VO cada 12</w:t>
      </w:r>
      <w:r w:rsidRPr="00FC1DA4">
        <w:rPr>
          <w:rFonts w:ascii="Arial Narrow" w:hAnsi="Arial Narrow" w:cs="Calibri"/>
          <w:color w:val="000000" w:themeColor="text1"/>
          <w:szCs w:val="20"/>
          <w:shd w:val="clear" w:color="auto" w:fill="FFFFFF"/>
        </w:rPr>
        <w:t xml:space="preserve"> horas por 7 días. Las pacientes con RPM diagnosticadas y tratadas con el esquema de tratamiento descrito fueron seguidas por un periodo que abarca desde el diagnóstico de la RPM hasta el parto, para la identificación de corioamnionitis. La presencia de corioamnionitis se determinó por clínica según la presencia de fiebre sin una fuente clara acompañada de uno o más de los siguientes criterios: 1) Frecuencia cardiaca fetal basal mayor a 160 </w:t>
      </w:r>
      <w:proofErr w:type="spellStart"/>
      <w:r w:rsidRPr="00FC1DA4">
        <w:rPr>
          <w:rFonts w:ascii="Arial Narrow" w:hAnsi="Arial Narrow" w:cs="Calibri"/>
          <w:color w:val="000000" w:themeColor="text1"/>
          <w:szCs w:val="20"/>
          <w:shd w:val="clear" w:color="auto" w:fill="FFFFFF"/>
        </w:rPr>
        <w:t>lpm</w:t>
      </w:r>
      <w:proofErr w:type="spellEnd"/>
      <w:r w:rsidRPr="00FC1DA4">
        <w:rPr>
          <w:rFonts w:ascii="Arial Narrow" w:hAnsi="Arial Narrow" w:cs="Calibri"/>
          <w:color w:val="000000" w:themeColor="text1"/>
          <w:szCs w:val="20"/>
          <w:shd w:val="clear" w:color="auto" w:fill="FFFFFF"/>
        </w:rPr>
        <w:t xml:space="preserve"> (latidos por minuto) por 10 minutos</w:t>
      </w:r>
      <w:r w:rsidRPr="00E364EE">
        <w:rPr>
          <w:rFonts w:ascii="Arial Narrow" w:hAnsi="Arial Narrow" w:cs="Calibri"/>
          <w:szCs w:val="20"/>
          <w:shd w:val="clear" w:color="auto" w:fill="FFFFFF"/>
        </w:rPr>
        <w:t xml:space="preserve"> o </w:t>
      </w:r>
      <w:r w:rsidRPr="00FC1DA4">
        <w:rPr>
          <w:rFonts w:ascii="Arial Narrow" w:hAnsi="Arial Narrow" w:cs="Calibri"/>
          <w:color w:val="000000" w:themeColor="text1"/>
          <w:szCs w:val="20"/>
          <w:shd w:val="clear" w:color="auto" w:fill="FFFFFF"/>
        </w:rPr>
        <w:t xml:space="preserve">más, 2) Leucocitosis materna mayor a 15 mil/mm3 en ausencia de uso de corticoesteroides, 3) Secreción purulenta a través del orifico cervical externo; o por amniocentesis. Se describirá como </w:t>
      </w:r>
      <w:r w:rsidRPr="00FC1DA4">
        <w:rPr>
          <w:rFonts w:ascii="Arial Narrow" w:hAnsi="Arial Narrow" w:cs="Calibri"/>
          <w:color w:val="000000" w:themeColor="text1"/>
          <w:szCs w:val="20"/>
          <w:shd w:val="clear" w:color="auto" w:fill="FFFFFF"/>
        </w:rPr>
        <w:lastRenderedPageBreak/>
        <w:t xml:space="preserve">evento secundario la determinación del número de días en los que se prolongó el nacimiento a partir del inicio de la terapia antibiótica. </w:t>
      </w:r>
    </w:p>
    <w:p w14:paraId="7FBF39F3" w14:textId="77777777" w:rsidR="00CB5C64" w:rsidRPr="00FC1DA4" w:rsidRDefault="00E016EB">
      <w:pPr>
        <w:spacing w:line="360" w:lineRule="auto"/>
        <w:jc w:val="both"/>
        <w:rPr>
          <w:rFonts w:ascii="Arial Narrow" w:hAnsi="Arial Narrow" w:cs="Calibri"/>
          <w:color w:val="000000" w:themeColor="text1"/>
          <w:szCs w:val="20"/>
          <w:highlight w:val="white"/>
        </w:rPr>
      </w:pPr>
      <w:r w:rsidRPr="00FC1DA4">
        <w:rPr>
          <w:rFonts w:ascii="Arial Narrow" w:hAnsi="Arial Narrow" w:cs="Calibri"/>
          <w:color w:val="000000" w:themeColor="text1"/>
          <w:szCs w:val="20"/>
          <w:shd w:val="clear" w:color="auto" w:fill="FFFFFF"/>
        </w:rPr>
        <w:t>Los resultados de la cohorte serán comparados en relación con la presencia de corioamnionitis del grupo control tomado de la literatura según el estudio de Mercer y cols.</w:t>
      </w:r>
    </w:p>
    <w:p w14:paraId="661F15BD" w14:textId="77777777" w:rsidR="00CB5C64" w:rsidRPr="00FC1DA4" w:rsidRDefault="00CB5C64">
      <w:pPr>
        <w:spacing w:line="360" w:lineRule="auto"/>
        <w:jc w:val="both"/>
        <w:rPr>
          <w:rFonts w:ascii="Arial Narrow" w:hAnsi="Arial Narrow" w:cs="Calibri"/>
          <w:color w:val="000000" w:themeColor="text1"/>
          <w:szCs w:val="20"/>
          <w:highlight w:val="white"/>
        </w:rPr>
      </w:pPr>
    </w:p>
    <w:p w14:paraId="5191D43E" w14:textId="77777777" w:rsidR="00CB5C64" w:rsidRDefault="00E016EB" w:rsidP="00BB1E09">
      <w:pPr>
        <w:pStyle w:val="Piedepgina"/>
        <w:tabs>
          <w:tab w:val="clear" w:pos="4252"/>
          <w:tab w:val="clear" w:pos="8504"/>
          <w:tab w:val="left" w:pos="993"/>
        </w:tabs>
        <w:spacing w:line="360" w:lineRule="auto"/>
        <w:jc w:val="both"/>
        <w:rPr>
          <w:rFonts w:ascii="Arial Narrow" w:hAnsi="Arial Narrow" w:cs="Calibri"/>
          <w:b/>
          <w:bCs/>
          <w:color w:val="000000" w:themeColor="text1"/>
          <w:szCs w:val="20"/>
        </w:rPr>
      </w:pPr>
      <w:r w:rsidRPr="00FC1DA4">
        <w:rPr>
          <w:rFonts w:ascii="Arial Narrow" w:hAnsi="Arial Narrow" w:cs="Calibri"/>
          <w:b/>
          <w:bCs/>
          <w:color w:val="000000" w:themeColor="text1"/>
          <w:szCs w:val="20"/>
        </w:rPr>
        <w:t>V</w:t>
      </w:r>
      <w:r w:rsidR="00BB1E09" w:rsidRPr="00FC1DA4">
        <w:rPr>
          <w:rFonts w:ascii="Arial Narrow" w:hAnsi="Arial Narrow" w:cs="Calibri"/>
          <w:b/>
          <w:bCs/>
          <w:color w:val="000000" w:themeColor="text1"/>
          <w:szCs w:val="20"/>
        </w:rPr>
        <w:t xml:space="preserve">ariables </w:t>
      </w:r>
    </w:p>
    <w:p w14:paraId="62882D88" w14:textId="77777777" w:rsidR="00FC1DA4" w:rsidRPr="00FC1DA4" w:rsidRDefault="00FC1DA4" w:rsidP="00BB1E09">
      <w:pPr>
        <w:pStyle w:val="Piedepgina"/>
        <w:tabs>
          <w:tab w:val="clear" w:pos="4252"/>
          <w:tab w:val="clear" w:pos="8504"/>
          <w:tab w:val="left" w:pos="993"/>
        </w:tabs>
        <w:spacing w:line="360" w:lineRule="auto"/>
        <w:jc w:val="both"/>
        <w:rPr>
          <w:rFonts w:ascii="Arial Narrow" w:hAnsi="Arial Narrow" w:cs="Calibri"/>
          <w:b/>
          <w:bCs/>
          <w:color w:val="000000" w:themeColor="text1"/>
          <w:szCs w:val="20"/>
        </w:rPr>
      </w:pPr>
    </w:p>
    <w:p w14:paraId="1D47A089" w14:textId="77777777" w:rsidR="00CB5C64" w:rsidRPr="00FC1DA4" w:rsidRDefault="00E016EB">
      <w:pPr>
        <w:pStyle w:val="Piedepgina"/>
        <w:numPr>
          <w:ilvl w:val="0"/>
          <w:numId w:val="2"/>
        </w:numPr>
        <w:tabs>
          <w:tab w:val="clear" w:pos="4252"/>
          <w:tab w:val="clear" w:pos="8504"/>
          <w:tab w:val="left" w:pos="993"/>
        </w:tabs>
        <w:spacing w:line="360" w:lineRule="auto"/>
        <w:jc w:val="both"/>
        <w:rPr>
          <w:rFonts w:ascii="Arial Narrow" w:hAnsi="Arial Narrow" w:cs="Calibri"/>
          <w:color w:val="000000" w:themeColor="text1"/>
          <w:szCs w:val="20"/>
        </w:rPr>
      </w:pPr>
      <w:r w:rsidRPr="00FC1DA4">
        <w:rPr>
          <w:rFonts w:ascii="Arial Narrow" w:hAnsi="Arial Narrow" w:cs="Calibri"/>
          <w:color w:val="000000" w:themeColor="text1"/>
          <w:szCs w:val="20"/>
        </w:rPr>
        <w:t>Mujeres embarazadas con RPM alejada del término</w:t>
      </w:r>
    </w:p>
    <w:p w14:paraId="5FE67159" w14:textId="77777777" w:rsidR="00CB5C64" w:rsidRPr="00FC1DA4" w:rsidRDefault="00E016EB">
      <w:pPr>
        <w:pStyle w:val="Piedepgina"/>
        <w:numPr>
          <w:ilvl w:val="0"/>
          <w:numId w:val="2"/>
        </w:numPr>
        <w:tabs>
          <w:tab w:val="clear" w:pos="4252"/>
          <w:tab w:val="clear" w:pos="8504"/>
          <w:tab w:val="left" w:pos="993"/>
        </w:tabs>
        <w:spacing w:line="360" w:lineRule="auto"/>
        <w:jc w:val="both"/>
        <w:rPr>
          <w:rFonts w:ascii="Arial Narrow" w:hAnsi="Arial Narrow" w:cs="Calibri"/>
          <w:color w:val="000000" w:themeColor="text1"/>
          <w:szCs w:val="20"/>
        </w:rPr>
      </w:pPr>
      <w:r w:rsidRPr="00FC1DA4">
        <w:rPr>
          <w:rFonts w:ascii="Arial Narrow" w:hAnsi="Arial Narrow" w:cs="Calibri"/>
          <w:color w:val="000000" w:themeColor="text1"/>
          <w:szCs w:val="20"/>
        </w:rPr>
        <w:t>Edad gestacional 24+0 a 32+0 semanas</w:t>
      </w:r>
    </w:p>
    <w:p w14:paraId="26974B69" w14:textId="77777777" w:rsidR="00CB5C64" w:rsidRPr="00FC1DA4" w:rsidRDefault="00E016EB">
      <w:pPr>
        <w:pStyle w:val="Piedepgina"/>
        <w:numPr>
          <w:ilvl w:val="0"/>
          <w:numId w:val="2"/>
        </w:numPr>
        <w:tabs>
          <w:tab w:val="clear" w:pos="4252"/>
          <w:tab w:val="clear" w:pos="8504"/>
          <w:tab w:val="left" w:pos="993"/>
        </w:tabs>
        <w:spacing w:line="360" w:lineRule="auto"/>
        <w:jc w:val="both"/>
        <w:rPr>
          <w:rFonts w:ascii="Arial Narrow" w:hAnsi="Arial Narrow" w:cs="Calibri"/>
          <w:color w:val="000000" w:themeColor="text1"/>
          <w:szCs w:val="20"/>
        </w:rPr>
      </w:pPr>
      <w:r w:rsidRPr="00FC1DA4">
        <w:rPr>
          <w:rFonts w:ascii="Arial Narrow" w:hAnsi="Arial Narrow" w:cs="Calibri"/>
          <w:color w:val="000000" w:themeColor="text1"/>
          <w:szCs w:val="20"/>
        </w:rPr>
        <w:t>Tratamiento con ampicilina/claritromicina/amoxicilina</w:t>
      </w:r>
    </w:p>
    <w:p w14:paraId="1534BA16" w14:textId="77777777" w:rsidR="00CB5C64" w:rsidRPr="00FC1DA4" w:rsidRDefault="00E016EB">
      <w:pPr>
        <w:pStyle w:val="Piedepgina"/>
        <w:numPr>
          <w:ilvl w:val="0"/>
          <w:numId w:val="2"/>
        </w:numPr>
        <w:tabs>
          <w:tab w:val="clear" w:pos="4252"/>
          <w:tab w:val="clear" w:pos="8504"/>
          <w:tab w:val="left" w:pos="993"/>
        </w:tabs>
        <w:spacing w:line="360" w:lineRule="auto"/>
        <w:jc w:val="both"/>
        <w:rPr>
          <w:rFonts w:ascii="Arial Narrow" w:hAnsi="Arial Narrow" w:cs="Calibri"/>
          <w:color w:val="000000" w:themeColor="text1"/>
          <w:szCs w:val="20"/>
        </w:rPr>
      </w:pPr>
      <w:r w:rsidRPr="00FC1DA4">
        <w:rPr>
          <w:rFonts w:ascii="Arial Narrow" w:hAnsi="Arial Narrow" w:cs="Calibri"/>
          <w:color w:val="000000" w:themeColor="text1"/>
          <w:szCs w:val="20"/>
        </w:rPr>
        <w:t>Corioamnionitis</w:t>
      </w:r>
    </w:p>
    <w:p w14:paraId="22D3A7A6" w14:textId="77777777" w:rsidR="00CB5C64" w:rsidRPr="00FC1DA4" w:rsidRDefault="00E016EB">
      <w:pPr>
        <w:pStyle w:val="Piedepgina"/>
        <w:numPr>
          <w:ilvl w:val="0"/>
          <w:numId w:val="2"/>
        </w:numPr>
        <w:tabs>
          <w:tab w:val="clear" w:pos="4252"/>
          <w:tab w:val="clear" w:pos="8504"/>
          <w:tab w:val="left" w:pos="993"/>
        </w:tabs>
        <w:spacing w:line="360" w:lineRule="auto"/>
        <w:jc w:val="both"/>
        <w:rPr>
          <w:rFonts w:ascii="Arial Narrow" w:hAnsi="Arial Narrow" w:cs="Calibri"/>
          <w:color w:val="000000" w:themeColor="text1"/>
          <w:szCs w:val="20"/>
        </w:rPr>
      </w:pPr>
      <w:r w:rsidRPr="00FC1DA4">
        <w:rPr>
          <w:rFonts w:ascii="Arial Narrow" w:hAnsi="Arial Narrow" w:cs="Calibri"/>
          <w:color w:val="000000" w:themeColor="text1"/>
          <w:szCs w:val="20"/>
        </w:rPr>
        <w:t>Ausencia de otra infección</w:t>
      </w:r>
    </w:p>
    <w:p w14:paraId="2CD353FD" w14:textId="77777777" w:rsidR="00CB5C64" w:rsidRPr="00FC1DA4" w:rsidRDefault="00E016EB">
      <w:pPr>
        <w:pStyle w:val="Piedepgina"/>
        <w:numPr>
          <w:ilvl w:val="0"/>
          <w:numId w:val="2"/>
        </w:numPr>
        <w:tabs>
          <w:tab w:val="clear" w:pos="4252"/>
          <w:tab w:val="clear" w:pos="8504"/>
          <w:tab w:val="left" w:pos="993"/>
        </w:tabs>
        <w:spacing w:line="360" w:lineRule="auto"/>
        <w:jc w:val="both"/>
        <w:rPr>
          <w:rFonts w:ascii="Arial Narrow" w:hAnsi="Arial Narrow" w:cs="Calibri"/>
          <w:color w:val="000000" w:themeColor="text1"/>
          <w:szCs w:val="20"/>
        </w:rPr>
      </w:pPr>
      <w:r w:rsidRPr="00FC1DA4">
        <w:rPr>
          <w:rFonts w:ascii="Arial Narrow" w:hAnsi="Arial Narrow" w:cs="Calibri"/>
          <w:color w:val="000000" w:themeColor="text1"/>
          <w:szCs w:val="20"/>
        </w:rPr>
        <w:t>Prolongación del embarazo</w:t>
      </w:r>
    </w:p>
    <w:p w14:paraId="4249CBBB" w14:textId="77777777" w:rsidR="00CB5C64" w:rsidRPr="00FC1DA4" w:rsidRDefault="00CB5C64">
      <w:pPr>
        <w:pStyle w:val="Piedepgina"/>
        <w:tabs>
          <w:tab w:val="clear" w:pos="4252"/>
          <w:tab w:val="clear" w:pos="8504"/>
          <w:tab w:val="left" w:pos="993"/>
        </w:tabs>
        <w:spacing w:line="360" w:lineRule="auto"/>
        <w:ind w:left="720"/>
        <w:jc w:val="both"/>
        <w:rPr>
          <w:rFonts w:ascii="Arial Narrow" w:hAnsi="Arial Narrow" w:cs="Calibri"/>
          <w:b/>
          <w:bCs/>
          <w:color w:val="000000" w:themeColor="text1"/>
          <w:szCs w:val="20"/>
        </w:rPr>
      </w:pPr>
    </w:p>
    <w:p w14:paraId="24198EF7" w14:textId="77777777" w:rsidR="00CB5C64" w:rsidRDefault="00CB5C64">
      <w:pPr>
        <w:rPr>
          <w:rFonts w:ascii="Calibri" w:eastAsia="Times New Roman" w:hAnsi="Calibri" w:cs="Calibri"/>
          <w:b/>
          <w:bCs/>
          <w:color w:val="000000" w:themeColor="text1"/>
          <w:sz w:val="20"/>
          <w:szCs w:val="20"/>
          <w:lang w:val="es-ES" w:eastAsia="es-ES"/>
        </w:rPr>
      </w:pPr>
    </w:p>
    <w:tbl>
      <w:tblPr>
        <w:tblW w:w="4950" w:type="pct"/>
        <w:jc w:val="center"/>
        <w:tblLook w:val="04A0" w:firstRow="1" w:lastRow="0" w:firstColumn="1" w:lastColumn="0" w:noHBand="0" w:noVBand="1"/>
      </w:tblPr>
      <w:tblGrid>
        <w:gridCol w:w="1977"/>
        <w:gridCol w:w="1427"/>
        <w:gridCol w:w="1134"/>
        <w:gridCol w:w="1402"/>
        <w:gridCol w:w="1175"/>
        <w:gridCol w:w="1625"/>
      </w:tblGrid>
      <w:tr w:rsidR="00CB5C64" w:rsidRPr="00FC1DA4" w14:paraId="731DC6DF" w14:textId="77777777">
        <w:trPr>
          <w:trHeight w:val="444"/>
          <w:jc w:val="center"/>
        </w:trPr>
        <w:tc>
          <w:tcPr>
            <w:tcW w:w="1979" w:type="dxa"/>
            <w:tcBorders>
              <w:top w:val="single" w:sz="4" w:space="0" w:color="BFBFBF"/>
              <w:left w:val="single" w:sz="4" w:space="0" w:color="BFBFBF"/>
              <w:bottom w:val="single" w:sz="4" w:space="0" w:color="BFBFBF"/>
              <w:right w:val="single" w:sz="4" w:space="0" w:color="BFBFBF"/>
            </w:tcBorders>
            <w:shd w:val="clear" w:color="auto" w:fill="auto"/>
          </w:tcPr>
          <w:p w14:paraId="038E5EE5" w14:textId="77777777" w:rsidR="00CB5C64" w:rsidRPr="00FC1DA4" w:rsidRDefault="00E016EB">
            <w:pPr>
              <w:rPr>
                <w:rFonts w:ascii="Arial Narrow" w:hAnsi="Arial Narrow" w:cs="Calibri"/>
                <w:b/>
                <w:bCs/>
                <w:color w:val="000000" w:themeColor="text1"/>
                <w:sz w:val="18"/>
                <w:szCs w:val="16"/>
              </w:rPr>
            </w:pPr>
            <w:r w:rsidRPr="00FC1DA4">
              <w:rPr>
                <w:rFonts w:ascii="Arial Narrow" w:hAnsi="Arial Narrow" w:cs="Calibri"/>
                <w:b/>
                <w:bCs/>
                <w:color w:val="000000" w:themeColor="text1"/>
                <w:sz w:val="18"/>
                <w:szCs w:val="16"/>
              </w:rPr>
              <w:t xml:space="preserve">       Objetivo Especifico</w:t>
            </w:r>
          </w:p>
        </w:tc>
        <w:tc>
          <w:tcPr>
            <w:tcW w:w="1428" w:type="dxa"/>
            <w:tcBorders>
              <w:top w:val="single" w:sz="4" w:space="0" w:color="BFBFBF"/>
              <w:left w:val="single" w:sz="4" w:space="0" w:color="BFBFBF"/>
              <w:bottom w:val="single" w:sz="4" w:space="0" w:color="BFBFBF"/>
              <w:right w:val="single" w:sz="4" w:space="0" w:color="BFBFBF"/>
            </w:tcBorders>
            <w:shd w:val="clear" w:color="auto" w:fill="auto"/>
          </w:tcPr>
          <w:p w14:paraId="07DB1D69" w14:textId="77777777" w:rsidR="00CB5C64" w:rsidRPr="00FC1DA4" w:rsidRDefault="00E016EB">
            <w:pPr>
              <w:rPr>
                <w:rFonts w:ascii="Arial Narrow" w:hAnsi="Arial Narrow" w:cs="Calibri"/>
                <w:b/>
                <w:bCs/>
                <w:color w:val="000000" w:themeColor="text1"/>
                <w:sz w:val="18"/>
                <w:szCs w:val="16"/>
              </w:rPr>
            </w:pPr>
            <w:r w:rsidRPr="00FC1DA4">
              <w:rPr>
                <w:rFonts w:ascii="Arial Narrow" w:hAnsi="Arial Narrow" w:cs="Calibri"/>
                <w:b/>
                <w:bCs/>
                <w:color w:val="000000" w:themeColor="text1"/>
                <w:sz w:val="18"/>
                <w:szCs w:val="16"/>
              </w:rPr>
              <w:t>Variables</w:t>
            </w:r>
          </w:p>
        </w:tc>
        <w:tc>
          <w:tcPr>
            <w:tcW w:w="1134" w:type="dxa"/>
            <w:tcBorders>
              <w:top w:val="single" w:sz="4" w:space="0" w:color="BFBFBF"/>
              <w:left w:val="single" w:sz="4" w:space="0" w:color="BFBFBF"/>
              <w:bottom w:val="single" w:sz="4" w:space="0" w:color="BFBFBF"/>
              <w:right w:val="single" w:sz="4" w:space="0" w:color="BFBFBF"/>
            </w:tcBorders>
            <w:shd w:val="clear" w:color="auto" w:fill="auto"/>
          </w:tcPr>
          <w:p w14:paraId="7C03EAAE" w14:textId="77777777" w:rsidR="00CB5C64" w:rsidRPr="00FC1DA4" w:rsidRDefault="00E016EB">
            <w:pPr>
              <w:rPr>
                <w:rFonts w:ascii="Arial Narrow" w:hAnsi="Arial Narrow" w:cs="Calibri"/>
                <w:b/>
                <w:bCs/>
                <w:color w:val="000000" w:themeColor="text1"/>
                <w:sz w:val="18"/>
                <w:szCs w:val="16"/>
              </w:rPr>
            </w:pPr>
            <w:r w:rsidRPr="00FC1DA4">
              <w:rPr>
                <w:rFonts w:ascii="Arial Narrow" w:hAnsi="Arial Narrow" w:cs="Calibri"/>
                <w:b/>
                <w:bCs/>
                <w:color w:val="000000" w:themeColor="text1"/>
                <w:sz w:val="18"/>
                <w:szCs w:val="16"/>
              </w:rPr>
              <w:t>Clasificación</w:t>
            </w:r>
          </w:p>
        </w:tc>
        <w:tc>
          <w:tcPr>
            <w:tcW w:w="1404" w:type="dxa"/>
            <w:tcBorders>
              <w:top w:val="single" w:sz="4" w:space="0" w:color="BFBFBF"/>
              <w:left w:val="single" w:sz="4" w:space="0" w:color="BFBFBF"/>
              <w:bottom w:val="single" w:sz="4" w:space="0" w:color="BFBFBF"/>
              <w:right w:val="single" w:sz="4" w:space="0" w:color="BFBFBF"/>
            </w:tcBorders>
            <w:shd w:val="clear" w:color="auto" w:fill="auto"/>
          </w:tcPr>
          <w:p w14:paraId="3D4F157D" w14:textId="77777777" w:rsidR="00CB5C64" w:rsidRPr="00FC1DA4" w:rsidRDefault="00E016EB">
            <w:pPr>
              <w:rPr>
                <w:rFonts w:ascii="Arial Narrow" w:hAnsi="Arial Narrow" w:cs="Calibri"/>
                <w:b/>
                <w:bCs/>
                <w:color w:val="000000" w:themeColor="text1"/>
                <w:sz w:val="18"/>
                <w:szCs w:val="16"/>
              </w:rPr>
            </w:pPr>
            <w:r w:rsidRPr="00FC1DA4">
              <w:rPr>
                <w:rFonts w:ascii="Arial Narrow" w:hAnsi="Arial Narrow" w:cs="Calibri"/>
                <w:b/>
                <w:bCs/>
                <w:color w:val="000000" w:themeColor="text1"/>
                <w:sz w:val="18"/>
                <w:szCs w:val="16"/>
              </w:rPr>
              <w:t xml:space="preserve">Definición </w:t>
            </w:r>
          </w:p>
        </w:tc>
        <w:tc>
          <w:tcPr>
            <w:tcW w:w="1175" w:type="dxa"/>
            <w:tcBorders>
              <w:top w:val="single" w:sz="4" w:space="0" w:color="BFBFBF"/>
              <w:left w:val="single" w:sz="4" w:space="0" w:color="BFBFBF"/>
              <w:bottom w:val="single" w:sz="4" w:space="0" w:color="BFBFBF"/>
              <w:right w:val="single" w:sz="4" w:space="0" w:color="BFBFBF"/>
            </w:tcBorders>
            <w:shd w:val="clear" w:color="auto" w:fill="auto"/>
          </w:tcPr>
          <w:p w14:paraId="1DF8350D" w14:textId="77777777" w:rsidR="00CB5C64" w:rsidRPr="00FC1DA4" w:rsidRDefault="00E016EB">
            <w:pPr>
              <w:rPr>
                <w:rFonts w:ascii="Arial Narrow" w:hAnsi="Arial Narrow" w:cs="Calibri"/>
                <w:b/>
                <w:bCs/>
                <w:color w:val="000000" w:themeColor="text1"/>
                <w:sz w:val="18"/>
                <w:szCs w:val="16"/>
              </w:rPr>
            </w:pPr>
            <w:r w:rsidRPr="00FC1DA4">
              <w:rPr>
                <w:rFonts w:ascii="Arial Narrow" w:hAnsi="Arial Narrow" w:cs="Calibri"/>
                <w:b/>
                <w:bCs/>
                <w:color w:val="000000" w:themeColor="text1"/>
                <w:sz w:val="18"/>
                <w:szCs w:val="16"/>
              </w:rPr>
              <w:t>Dimensiones</w:t>
            </w:r>
          </w:p>
        </w:tc>
        <w:tc>
          <w:tcPr>
            <w:tcW w:w="1628" w:type="dxa"/>
            <w:tcBorders>
              <w:top w:val="single" w:sz="4" w:space="0" w:color="BFBFBF"/>
              <w:left w:val="single" w:sz="4" w:space="0" w:color="BFBFBF"/>
              <w:bottom w:val="single" w:sz="4" w:space="0" w:color="BFBFBF"/>
              <w:right w:val="single" w:sz="4" w:space="0" w:color="BFBFBF"/>
            </w:tcBorders>
            <w:shd w:val="clear" w:color="auto" w:fill="auto"/>
          </w:tcPr>
          <w:p w14:paraId="561808FD" w14:textId="77777777" w:rsidR="00CB5C64" w:rsidRPr="00FC1DA4" w:rsidRDefault="00E016EB">
            <w:pPr>
              <w:rPr>
                <w:rFonts w:ascii="Arial Narrow" w:hAnsi="Arial Narrow" w:cs="Calibri"/>
                <w:b/>
                <w:bCs/>
                <w:color w:val="000000" w:themeColor="text1"/>
                <w:sz w:val="18"/>
                <w:szCs w:val="16"/>
              </w:rPr>
            </w:pPr>
            <w:r w:rsidRPr="00FC1DA4">
              <w:rPr>
                <w:rFonts w:ascii="Arial Narrow" w:hAnsi="Arial Narrow" w:cs="Calibri"/>
                <w:b/>
                <w:bCs/>
                <w:color w:val="000000" w:themeColor="text1"/>
                <w:sz w:val="18"/>
                <w:szCs w:val="16"/>
              </w:rPr>
              <w:t>Valores</w:t>
            </w:r>
          </w:p>
        </w:tc>
      </w:tr>
      <w:tr w:rsidR="00CB5C64" w:rsidRPr="00FC1DA4" w14:paraId="1E857043" w14:textId="77777777">
        <w:trPr>
          <w:trHeight w:val="387"/>
          <w:jc w:val="center"/>
        </w:trPr>
        <w:tc>
          <w:tcPr>
            <w:tcW w:w="1979" w:type="dxa"/>
            <w:vMerge w:val="restart"/>
            <w:tcBorders>
              <w:top w:val="single" w:sz="4" w:space="0" w:color="BFBFBF"/>
              <w:left w:val="single" w:sz="4" w:space="0" w:color="BFBFBF"/>
              <w:bottom w:val="single" w:sz="4" w:space="0" w:color="BFBFBF"/>
              <w:right w:val="single" w:sz="4" w:space="0" w:color="BFBFBF"/>
            </w:tcBorders>
            <w:shd w:val="clear" w:color="auto" w:fill="auto"/>
          </w:tcPr>
          <w:p w14:paraId="5863479B" w14:textId="77777777" w:rsidR="00CB5C64" w:rsidRPr="00FC1DA4" w:rsidRDefault="00E016EB">
            <w:pPr>
              <w:rPr>
                <w:rFonts w:ascii="Arial Narrow" w:hAnsi="Arial Narrow" w:cs="Calibri"/>
                <w:color w:val="000000" w:themeColor="text1"/>
                <w:sz w:val="18"/>
                <w:szCs w:val="16"/>
              </w:rPr>
            </w:pPr>
            <w:r w:rsidRPr="00FC1DA4">
              <w:rPr>
                <w:rFonts w:ascii="Arial Narrow" w:hAnsi="Arial Narrow" w:cs="Calibri"/>
                <w:color w:val="000000" w:themeColor="text1"/>
                <w:sz w:val="18"/>
                <w:szCs w:val="16"/>
              </w:rPr>
              <w:t>Establecer el número de pacientes tratadas con este esquema que se diagnosticaron con corioamnionitis posterior al inicio de la antibioticoterapia.</w:t>
            </w:r>
          </w:p>
        </w:tc>
        <w:tc>
          <w:tcPr>
            <w:tcW w:w="1428" w:type="dxa"/>
            <w:tcBorders>
              <w:top w:val="single" w:sz="4" w:space="0" w:color="BFBFBF"/>
              <w:left w:val="single" w:sz="4" w:space="0" w:color="BFBFBF"/>
              <w:bottom w:val="single" w:sz="4" w:space="0" w:color="BFBFBF"/>
              <w:right w:val="single" w:sz="4" w:space="0" w:color="BFBFBF"/>
            </w:tcBorders>
            <w:shd w:val="clear" w:color="auto" w:fill="auto"/>
          </w:tcPr>
          <w:p w14:paraId="73BEE30B"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Corioamnionitis: Fiebre materna más una de las siguientes: Taquicardi</w:t>
            </w:r>
            <w:r w:rsidR="00C634DE">
              <w:rPr>
                <w:rFonts w:ascii="Arial Narrow" w:hAnsi="Arial Narrow" w:cs="Calibri"/>
                <w:iCs/>
                <w:color w:val="000000" w:themeColor="text1"/>
                <w:sz w:val="18"/>
                <w:szCs w:val="16"/>
              </w:rPr>
              <w:t>a fetal, Leucocitosis materna, Descarga purulenta cervical, A</w:t>
            </w:r>
            <w:r w:rsidRPr="00FC1DA4">
              <w:rPr>
                <w:rFonts w:ascii="Arial Narrow" w:hAnsi="Arial Narrow" w:cs="Calibri"/>
                <w:iCs/>
                <w:color w:val="000000" w:themeColor="text1"/>
                <w:sz w:val="18"/>
                <w:szCs w:val="16"/>
              </w:rPr>
              <w:t>mniocentesis.</w:t>
            </w:r>
          </w:p>
        </w:tc>
        <w:tc>
          <w:tcPr>
            <w:tcW w:w="1134" w:type="dxa"/>
            <w:tcBorders>
              <w:top w:val="single" w:sz="4" w:space="0" w:color="BFBFBF"/>
              <w:left w:val="single" w:sz="4" w:space="0" w:color="BFBFBF"/>
              <w:bottom w:val="single" w:sz="4" w:space="0" w:color="BFBFBF"/>
              <w:right w:val="single" w:sz="4" w:space="0" w:color="BFBFBF"/>
            </w:tcBorders>
            <w:shd w:val="clear" w:color="auto" w:fill="auto"/>
          </w:tcPr>
          <w:p w14:paraId="7D18FFC0"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Cuantitativa nominal</w:t>
            </w:r>
          </w:p>
        </w:tc>
        <w:tc>
          <w:tcPr>
            <w:tcW w:w="1404" w:type="dxa"/>
            <w:tcBorders>
              <w:top w:val="single" w:sz="4" w:space="0" w:color="BFBFBF"/>
              <w:left w:val="single" w:sz="4" w:space="0" w:color="BFBFBF"/>
              <w:bottom w:val="single" w:sz="4" w:space="0" w:color="BFBFBF"/>
              <w:right w:val="single" w:sz="4" w:space="0" w:color="BFBFBF"/>
            </w:tcBorders>
            <w:shd w:val="clear" w:color="auto" w:fill="auto"/>
          </w:tcPr>
          <w:p w14:paraId="4318522D"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Presencia de Fiebre materna más una de las siguientes: Taquicardia fetal, Leucocitosis materna, descarga purulenta cervical</w:t>
            </w:r>
          </w:p>
        </w:tc>
        <w:tc>
          <w:tcPr>
            <w:tcW w:w="1175" w:type="dxa"/>
            <w:tcBorders>
              <w:top w:val="single" w:sz="4" w:space="0" w:color="BFBFBF"/>
              <w:left w:val="single" w:sz="4" w:space="0" w:color="BFBFBF"/>
              <w:bottom w:val="single" w:sz="4" w:space="0" w:color="BFBFBF"/>
              <w:right w:val="single" w:sz="4" w:space="0" w:color="BFBFBF"/>
            </w:tcBorders>
            <w:shd w:val="clear" w:color="auto" w:fill="auto"/>
          </w:tcPr>
          <w:p w14:paraId="171551B5"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 xml:space="preserve">Fiebre materna: T oral ≥39ºC </w:t>
            </w:r>
          </w:p>
          <w:p w14:paraId="27EC3990" w14:textId="77777777" w:rsidR="00CB5C64" w:rsidRPr="00FC1DA4" w:rsidRDefault="00CB5C64">
            <w:pPr>
              <w:rPr>
                <w:rFonts w:ascii="Arial Narrow" w:hAnsi="Arial Narrow" w:cs="Calibri"/>
                <w:iCs/>
                <w:color w:val="000000" w:themeColor="text1"/>
                <w:sz w:val="18"/>
                <w:szCs w:val="16"/>
              </w:rPr>
            </w:pPr>
          </w:p>
          <w:p w14:paraId="2C69149E"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 xml:space="preserve">Taquicardia fetal: FCF &gt; 160 </w:t>
            </w:r>
            <w:proofErr w:type="spellStart"/>
            <w:r w:rsidRPr="00FC1DA4">
              <w:rPr>
                <w:rFonts w:ascii="Arial Narrow" w:hAnsi="Arial Narrow" w:cs="Calibri"/>
                <w:iCs/>
                <w:color w:val="000000" w:themeColor="text1"/>
                <w:sz w:val="18"/>
                <w:szCs w:val="16"/>
              </w:rPr>
              <w:t>lpm</w:t>
            </w:r>
            <w:proofErr w:type="spellEnd"/>
            <w:r w:rsidRPr="00FC1DA4">
              <w:rPr>
                <w:rFonts w:ascii="Arial Narrow" w:hAnsi="Arial Narrow" w:cs="Calibri"/>
                <w:iCs/>
                <w:color w:val="000000" w:themeColor="text1"/>
                <w:sz w:val="18"/>
                <w:szCs w:val="16"/>
              </w:rPr>
              <w:t xml:space="preserve"> por 10 minutos o más.</w:t>
            </w:r>
          </w:p>
          <w:p w14:paraId="5648B9EE" w14:textId="77777777" w:rsidR="00CB5C64" w:rsidRPr="00FC1DA4" w:rsidRDefault="00CB5C64">
            <w:pPr>
              <w:rPr>
                <w:rFonts w:ascii="Arial Narrow" w:hAnsi="Arial Narrow" w:cs="Calibri"/>
                <w:iCs/>
                <w:color w:val="000000" w:themeColor="text1"/>
                <w:sz w:val="18"/>
                <w:szCs w:val="16"/>
              </w:rPr>
            </w:pPr>
          </w:p>
          <w:p w14:paraId="3F11B2B5"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Leucocitosis materna: Leucos &gt; 15 mil/mm3. En ausencia de esteroides.</w:t>
            </w:r>
          </w:p>
        </w:tc>
        <w:tc>
          <w:tcPr>
            <w:tcW w:w="1628" w:type="dxa"/>
            <w:tcBorders>
              <w:top w:val="single" w:sz="4" w:space="0" w:color="BFBFBF"/>
              <w:left w:val="single" w:sz="4" w:space="0" w:color="BFBFBF"/>
              <w:bottom w:val="single" w:sz="4" w:space="0" w:color="BFBFBF"/>
              <w:right w:val="single" w:sz="4" w:space="0" w:color="BFBFBF"/>
            </w:tcBorders>
            <w:shd w:val="clear" w:color="auto" w:fill="auto"/>
          </w:tcPr>
          <w:p w14:paraId="25019C07"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1.Presencia</w:t>
            </w:r>
          </w:p>
          <w:p w14:paraId="49CB7CF4"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2.Ausencia</w:t>
            </w:r>
          </w:p>
        </w:tc>
      </w:tr>
      <w:tr w:rsidR="00CB5C64" w:rsidRPr="00FC1DA4" w14:paraId="3329CCF7" w14:textId="77777777">
        <w:trPr>
          <w:trHeight w:val="407"/>
          <w:jc w:val="center"/>
        </w:trPr>
        <w:tc>
          <w:tcPr>
            <w:tcW w:w="1979" w:type="dxa"/>
            <w:vMerge/>
            <w:tcBorders>
              <w:top w:val="single" w:sz="4" w:space="0" w:color="BFBFBF"/>
              <w:left w:val="single" w:sz="4" w:space="0" w:color="BFBFBF"/>
              <w:bottom w:val="single" w:sz="4" w:space="0" w:color="BFBFBF"/>
              <w:right w:val="single" w:sz="4" w:space="0" w:color="BFBFBF"/>
            </w:tcBorders>
            <w:shd w:val="clear" w:color="auto" w:fill="auto"/>
          </w:tcPr>
          <w:p w14:paraId="00308918" w14:textId="77777777" w:rsidR="00CB5C64" w:rsidRPr="00FC1DA4" w:rsidRDefault="00CB5C64">
            <w:pPr>
              <w:rPr>
                <w:rFonts w:ascii="Arial Narrow" w:hAnsi="Arial Narrow" w:cs="Calibri"/>
                <w:iCs/>
                <w:color w:val="000000" w:themeColor="text1"/>
                <w:sz w:val="18"/>
                <w:szCs w:val="16"/>
              </w:rPr>
            </w:pPr>
          </w:p>
        </w:tc>
        <w:tc>
          <w:tcPr>
            <w:tcW w:w="1428" w:type="dxa"/>
            <w:tcBorders>
              <w:top w:val="single" w:sz="4" w:space="0" w:color="BFBFBF"/>
              <w:left w:val="single" w:sz="4" w:space="0" w:color="BFBFBF"/>
              <w:bottom w:val="single" w:sz="4" w:space="0" w:color="BFBFBF"/>
              <w:right w:val="single" w:sz="4" w:space="0" w:color="BFBFBF"/>
            </w:tcBorders>
            <w:shd w:val="clear" w:color="auto" w:fill="auto"/>
          </w:tcPr>
          <w:p w14:paraId="61080D85" w14:textId="77777777" w:rsidR="00CB5C64" w:rsidRPr="00FC1DA4" w:rsidRDefault="00E016EB">
            <w:pPr>
              <w:tabs>
                <w:tab w:val="left" w:pos="2034"/>
              </w:tabs>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Ausencia de otra infección.</w:t>
            </w:r>
          </w:p>
        </w:tc>
        <w:tc>
          <w:tcPr>
            <w:tcW w:w="1134" w:type="dxa"/>
            <w:tcBorders>
              <w:top w:val="single" w:sz="4" w:space="0" w:color="BFBFBF"/>
              <w:left w:val="single" w:sz="4" w:space="0" w:color="BFBFBF"/>
              <w:bottom w:val="single" w:sz="4" w:space="0" w:color="BFBFBF"/>
              <w:right w:val="single" w:sz="4" w:space="0" w:color="BFBFBF"/>
            </w:tcBorders>
            <w:shd w:val="clear" w:color="auto" w:fill="auto"/>
          </w:tcPr>
          <w:p w14:paraId="0CFBA32E"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Cualitativa nominal</w:t>
            </w:r>
          </w:p>
        </w:tc>
        <w:tc>
          <w:tcPr>
            <w:tcW w:w="1404" w:type="dxa"/>
            <w:tcBorders>
              <w:top w:val="single" w:sz="4" w:space="0" w:color="BFBFBF"/>
              <w:left w:val="single" w:sz="4" w:space="0" w:color="BFBFBF"/>
              <w:bottom w:val="single" w:sz="4" w:space="0" w:color="BFBFBF"/>
              <w:right w:val="single" w:sz="4" w:space="0" w:color="BFBFBF"/>
            </w:tcBorders>
            <w:shd w:val="clear" w:color="auto" w:fill="auto"/>
          </w:tcPr>
          <w:p w14:paraId="2CAFC0E0"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Descartar otra fuente de infección que pudiera justificar el cuadro.</w:t>
            </w:r>
          </w:p>
          <w:p w14:paraId="6D872ECF"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(examen físico, examen general de orina, proteína C reactiva, hemograma)</w:t>
            </w:r>
          </w:p>
        </w:tc>
        <w:tc>
          <w:tcPr>
            <w:tcW w:w="1175" w:type="dxa"/>
            <w:tcBorders>
              <w:top w:val="single" w:sz="4" w:space="0" w:color="BFBFBF"/>
              <w:left w:val="single" w:sz="4" w:space="0" w:color="BFBFBF"/>
              <w:bottom w:val="single" w:sz="4" w:space="0" w:color="BFBFBF"/>
              <w:right w:val="single" w:sz="4" w:space="0" w:color="BFBFBF"/>
            </w:tcBorders>
            <w:shd w:val="clear" w:color="auto" w:fill="auto"/>
          </w:tcPr>
          <w:p w14:paraId="761BA871" w14:textId="77777777" w:rsidR="00CB5C64" w:rsidRPr="00FC1DA4" w:rsidRDefault="00CB5C64">
            <w:pPr>
              <w:rPr>
                <w:rFonts w:ascii="Arial Narrow" w:hAnsi="Arial Narrow" w:cs="Calibri"/>
                <w:iCs/>
                <w:color w:val="000000" w:themeColor="text1"/>
                <w:sz w:val="18"/>
                <w:szCs w:val="16"/>
              </w:rPr>
            </w:pPr>
          </w:p>
        </w:tc>
        <w:tc>
          <w:tcPr>
            <w:tcW w:w="1628" w:type="dxa"/>
            <w:tcBorders>
              <w:top w:val="single" w:sz="4" w:space="0" w:color="BFBFBF"/>
              <w:left w:val="single" w:sz="4" w:space="0" w:color="BFBFBF"/>
              <w:bottom w:val="single" w:sz="4" w:space="0" w:color="BFBFBF"/>
              <w:right w:val="single" w:sz="4" w:space="0" w:color="BFBFBF"/>
            </w:tcBorders>
            <w:shd w:val="clear" w:color="auto" w:fill="auto"/>
          </w:tcPr>
          <w:p w14:paraId="1E19F0F6"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1.Ausencia de otra infección</w:t>
            </w:r>
          </w:p>
          <w:p w14:paraId="643DD539"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2.Presencia de otra infección</w:t>
            </w:r>
          </w:p>
        </w:tc>
      </w:tr>
      <w:tr w:rsidR="00CB5C64" w:rsidRPr="00FC1DA4" w14:paraId="0744A0DF" w14:textId="77777777">
        <w:trPr>
          <w:trHeight w:val="407"/>
          <w:jc w:val="center"/>
        </w:trPr>
        <w:tc>
          <w:tcPr>
            <w:tcW w:w="1979" w:type="dxa"/>
            <w:tcBorders>
              <w:top w:val="single" w:sz="4" w:space="0" w:color="BFBFBF"/>
              <w:left w:val="single" w:sz="4" w:space="0" w:color="BFBFBF"/>
              <w:bottom w:val="single" w:sz="4" w:space="0" w:color="BFBFBF"/>
              <w:right w:val="single" w:sz="4" w:space="0" w:color="BFBFBF"/>
            </w:tcBorders>
            <w:shd w:val="clear" w:color="auto" w:fill="auto"/>
          </w:tcPr>
          <w:p w14:paraId="65A8F0BA" w14:textId="77777777" w:rsidR="00CB5C64" w:rsidRPr="00FC1DA4" w:rsidRDefault="00E016EB">
            <w:pPr>
              <w:rPr>
                <w:rFonts w:ascii="Arial Narrow" w:hAnsi="Arial Narrow" w:cs="Calibri"/>
                <w:color w:val="000000" w:themeColor="text1"/>
                <w:sz w:val="18"/>
                <w:szCs w:val="16"/>
              </w:rPr>
            </w:pPr>
            <w:r w:rsidRPr="00FC1DA4">
              <w:rPr>
                <w:rFonts w:ascii="Arial Narrow" w:hAnsi="Arial Narrow" w:cs="Calibri"/>
                <w:color w:val="000000" w:themeColor="text1"/>
                <w:sz w:val="18"/>
                <w:szCs w:val="16"/>
              </w:rPr>
              <w:t>Determinar el número de días entre el inicio de los ATB y el parto.</w:t>
            </w:r>
          </w:p>
        </w:tc>
        <w:tc>
          <w:tcPr>
            <w:tcW w:w="1428" w:type="dxa"/>
            <w:tcBorders>
              <w:top w:val="single" w:sz="4" w:space="0" w:color="BFBFBF"/>
              <w:left w:val="single" w:sz="4" w:space="0" w:color="BFBFBF"/>
              <w:bottom w:val="single" w:sz="4" w:space="0" w:color="BFBFBF"/>
              <w:right w:val="single" w:sz="4" w:space="0" w:color="BFBFBF"/>
            </w:tcBorders>
            <w:shd w:val="clear" w:color="auto" w:fill="auto"/>
          </w:tcPr>
          <w:p w14:paraId="1D27F6F9" w14:textId="77777777" w:rsidR="00CB5C64" w:rsidRPr="00FC1DA4" w:rsidRDefault="00E016EB">
            <w:pPr>
              <w:tabs>
                <w:tab w:val="left" w:pos="2034"/>
              </w:tabs>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Registrar el número de días entre el inicio de los ATB y el parto.</w:t>
            </w:r>
          </w:p>
        </w:tc>
        <w:tc>
          <w:tcPr>
            <w:tcW w:w="1134" w:type="dxa"/>
            <w:tcBorders>
              <w:top w:val="single" w:sz="4" w:space="0" w:color="BFBFBF"/>
              <w:left w:val="single" w:sz="4" w:space="0" w:color="BFBFBF"/>
              <w:bottom w:val="single" w:sz="4" w:space="0" w:color="BFBFBF"/>
              <w:right w:val="single" w:sz="4" w:space="0" w:color="BFBFBF"/>
            </w:tcBorders>
            <w:shd w:val="clear" w:color="auto" w:fill="auto"/>
          </w:tcPr>
          <w:p w14:paraId="213A7B69"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Cuantitativa discreta</w:t>
            </w:r>
          </w:p>
        </w:tc>
        <w:tc>
          <w:tcPr>
            <w:tcW w:w="1404" w:type="dxa"/>
            <w:tcBorders>
              <w:top w:val="single" w:sz="4" w:space="0" w:color="BFBFBF"/>
              <w:left w:val="single" w:sz="4" w:space="0" w:color="BFBFBF"/>
              <w:bottom w:val="single" w:sz="4" w:space="0" w:color="BFBFBF"/>
              <w:right w:val="single" w:sz="4" w:space="0" w:color="BFBFBF"/>
            </w:tcBorders>
            <w:shd w:val="clear" w:color="auto" w:fill="auto"/>
          </w:tcPr>
          <w:p w14:paraId="5B9D3386"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Determinar la cantidad de días y clasificar latencia según duración.</w:t>
            </w:r>
          </w:p>
        </w:tc>
        <w:tc>
          <w:tcPr>
            <w:tcW w:w="1175" w:type="dxa"/>
            <w:tcBorders>
              <w:top w:val="single" w:sz="4" w:space="0" w:color="BFBFBF"/>
              <w:left w:val="single" w:sz="4" w:space="0" w:color="BFBFBF"/>
              <w:bottom w:val="single" w:sz="4" w:space="0" w:color="BFBFBF"/>
              <w:right w:val="single" w:sz="4" w:space="0" w:color="BFBFBF"/>
            </w:tcBorders>
            <w:shd w:val="clear" w:color="auto" w:fill="auto"/>
          </w:tcPr>
          <w:p w14:paraId="38CE875A" w14:textId="77777777" w:rsidR="00CB5C64" w:rsidRPr="00FC1DA4" w:rsidRDefault="00E016EB">
            <w:pPr>
              <w:jc w:val="both"/>
              <w:rPr>
                <w:rFonts w:ascii="Arial Narrow" w:eastAsia="Calibri" w:hAnsi="Arial Narrow" w:cs="Calibri"/>
                <w:iCs/>
                <w:color w:val="000000" w:themeColor="text1"/>
                <w:sz w:val="18"/>
                <w:szCs w:val="16"/>
              </w:rPr>
            </w:pPr>
            <w:r w:rsidRPr="00FC1DA4">
              <w:rPr>
                <w:rFonts w:ascii="Arial Narrow" w:eastAsia="Calibri" w:hAnsi="Arial Narrow" w:cs="Calibri"/>
                <w:iCs/>
                <w:color w:val="000000" w:themeColor="text1"/>
                <w:sz w:val="18"/>
                <w:szCs w:val="16"/>
              </w:rPr>
              <w:t>a.&lt;24h</w:t>
            </w:r>
          </w:p>
          <w:p w14:paraId="662B6235" w14:textId="77777777" w:rsidR="00CB5C64" w:rsidRPr="00FC1DA4" w:rsidRDefault="00E016EB">
            <w:pPr>
              <w:jc w:val="both"/>
              <w:rPr>
                <w:rFonts w:ascii="Arial Narrow" w:eastAsia="Calibri" w:hAnsi="Arial Narrow" w:cs="Calibri"/>
                <w:iCs/>
                <w:color w:val="000000" w:themeColor="text1"/>
                <w:sz w:val="18"/>
                <w:szCs w:val="16"/>
              </w:rPr>
            </w:pPr>
            <w:r w:rsidRPr="00FC1DA4">
              <w:rPr>
                <w:rFonts w:ascii="Arial Narrow" w:eastAsia="Calibri" w:hAnsi="Arial Narrow" w:cs="Calibri"/>
                <w:iCs/>
                <w:color w:val="000000" w:themeColor="text1"/>
                <w:sz w:val="18"/>
                <w:szCs w:val="16"/>
              </w:rPr>
              <w:t>b.≥24h - &lt;48h</w:t>
            </w:r>
          </w:p>
          <w:p w14:paraId="29637547" w14:textId="77777777" w:rsidR="00CB5C64" w:rsidRPr="00FC1DA4" w:rsidRDefault="00E016EB">
            <w:pPr>
              <w:jc w:val="both"/>
              <w:rPr>
                <w:rFonts w:ascii="Arial Narrow" w:eastAsia="Calibri" w:hAnsi="Arial Narrow" w:cs="Calibri"/>
                <w:iCs/>
                <w:color w:val="000000" w:themeColor="text1"/>
                <w:sz w:val="18"/>
                <w:szCs w:val="16"/>
              </w:rPr>
            </w:pPr>
            <w:r w:rsidRPr="00FC1DA4">
              <w:rPr>
                <w:rFonts w:ascii="Arial Narrow" w:eastAsia="Calibri" w:hAnsi="Arial Narrow" w:cs="Calibri"/>
                <w:iCs/>
                <w:color w:val="000000" w:themeColor="text1"/>
                <w:sz w:val="18"/>
                <w:szCs w:val="16"/>
              </w:rPr>
              <w:t>c.≥48h - &lt;7d</w:t>
            </w:r>
          </w:p>
          <w:p w14:paraId="6796FF74" w14:textId="77777777" w:rsidR="00CB5C64" w:rsidRPr="00FC1DA4" w:rsidRDefault="00E016EB">
            <w:pPr>
              <w:rPr>
                <w:rFonts w:ascii="Arial Narrow" w:hAnsi="Arial Narrow" w:cs="Calibri"/>
                <w:iCs/>
                <w:color w:val="000000" w:themeColor="text1"/>
                <w:sz w:val="18"/>
                <w:szCs w:val="16"/>
              </w:rPr>
            </w:pPr>
            <w:r w:rsidRPr="00FC1DA4">
              <w:rPr>
                <w:rFonts w:ascii="Arial Narrow" w:hAnsi="Arial Narrow" w:cs="Calibri"/>
                <w:iCs/>
                <w:color w:val="000000" w:themeColor="text1"/>
                <w:sz w:val="18"/>
                <w:szCs w:val="16"/>
              </w:rPr>
              <w:t>d.&gt; 7 días</w:t>
            </w:r>
          </w:p>
        </w:tc>
        <w:tc>
          <w:tcPr>
            <w:tcW w:w="1628" w:type="dxa"/>
            <w:tcBorders>
              <w:top w:val="single" w:sz="4" w:space="0" w:color="BFBFBF"/>
              <w:left w:val="single" w:sz="4" w:space="0" w:color="BFBFBF"/>
              <w:bottom w:val="single" w:sz="4" w:space="0" w:color="BFBFBF"/>
              <w:right w:val="single" w:sz="4" w:space="0" w:color="BFBFBF"/>
            </w:tcBorders>
            <w:shd w:val="clear" w:color="auto" w:fill="auto"/>
          </w:tcPr>
          <w:p w14:paraId="26D2FD1A" w14:textId="77777777" w:rsidR="00CB5C64" w:rsidRPr="00FC1DA4" w:rsidRDefault="00CB5C64">
            <w:pPr>
              <w:rPr>
                <w:rFonts w:ascii="Arial Narrow" w:hAnsi="Arial Narrow" w:cs="Calibri"/>
                <w:iCs/>
                <w:color w:val="000000" w:themeColor="text1"/>
                <w:sz w:val="18"/>
                <w:szCs w:val="16"/>
              </w:rPr>
            </w:pPr>
          </w:p>
        </w:tc>
      </w:tr>
    </w:tbl>
    <w:p w14:paraId="6EDC36FE" w14:textId="77777777" w:rsidR="00CB5C64" w:rsidRPr="00801CC3" w:rsidRDefault="00E016EB" w:rsidP="00BB1E09">
      <w:pPr>
        <w:pStyle w:val="Piedepgina"/>
        <w:tabs>
          <w:tab w:val="clear" w:pos="4252"/>
          <w:tab w:val="clear" w:pos="8504"/>
          <w:tab w:val="left" w:pos="993"/>
        </w:tabs>
        <w:spacing w:line="360" w:lineRule="auto"/>
        <w:jc w:val="both"/>
        <w:rPr>
          <w:rFonts w:ascii="Arial Narrow" w:hAnsi="Arial Narrow" w:cs="Calibri"/>
          <w:b/>
          <w:bCs/>
          <w:color w:val="000000" w:themeColor="text1"/>
        </w:rPr>
      </w:pPr>
      <w:r w:rsidRPr="00801CC3">
        <w:rPr>
          <w:rFonts w:ascii="Arial Narrow" w:hAnsi="Arial Narrow" w:cs="Calibri"/>
          <w:b/>
          <w:bCs/>
          <w:color w:val="000000" w:themeColor="text1"/>
        </w:rPr>
        <w:lastRenderedPageBreak/>
        <w:t>C</w:t>
      </w:r>
      <w:r w:rsidR="00BB1E09" w:rsidRPr="00801CC3">
        <w:rPr>
          <w:rFonts w:ascii="Arial Narrow" w:hAnsi="Arial Narrow" w:cs="Calibri"/>
          <w:b/>
          <w:bCs/>
          <w:color w:val="000000" w:themeColor="text1"/>
        </w:rPr>
        <w:t xml:space="preserve">riterios de inclusión </w:t>
      </w:r>
    </w:p>
    <w:p w14:paraId="1136A005" w14:textId="77777777" w:rsidR="00FC1DA4" w:rsidRPr="00801CC3" w:rsidRDefault="00FC1DA4" w:rsidP="00BB1E09">
      <w:pPr>
        <w:pStyle w:val="Piedepgina"/>
        <w:tabs>
          <w:tab w:val="clear" w:pos="4252"/>
          <w:tab w:val="clear" w:pos="8504"/>
          <w:tab w:val="left" w:pos="993"/>
        </w:tabs>
        <w:spacing w:line="360" w:lineRule="auto"/>
        <w:jc w:val="both"/>
        <w:rPr>
          <w:rFonts w:ascii="Arial Narrow" w:hAnsi="Arial Narrow" w:cs="Calibri"/>
          <w:b/>
          <w:bCs/>
          <w:color w:val="000000" w:themeColor="text1"/>
        </w:rPr>
      </w:pPr>
    </w:p>
    <w:p w14:paraId="77A58919" w14:textId="77777777" w:rsidR="00CB5C64" w:rsidRPr="00801CC3" w:rsidRDefault="00E016EB" w:rsidP="00851A70">
      <w:pPr>
        <w:pStyle w:val="Piedepgina"/>
        <w:numPr>
          <w:ilvl w:val="0"/>
          <w:numId w:val="10"/>
        </w:numPr>
        <w:tabs>
          <w:tab w:val="clear" w:pos="4252"/>
          <w:tab w:val="clear" w:pos="8504"/>
          <w:tab w:val="left" w:pos="993"/>
        </w:tabs>
        <w:spacing w:line="360" w:lineRule="auto"/>
        <w:jc w:val="both"/>
        <w:rPr>
          <w:rFonts w:ascii="Arial Narrow" w:hAnsi="Arial Narrow" w:cs="Calibri"/>
          <w:bCs/>
          <w:color w:val="000000" w:themeColor="text1"/>
        </w:rPr>
      </w:pPr>
      <w:r w:rsidRPr="00801CC3">
        <w:rPr>
          <w:rFonts w:ascii="Arial Narrow" w:hAnsi="Arial Narrow" w:cs="Calibri"/>
          <w:color w:val="000000" w:themeColor="text1"/>
          <w:lang w:eastAsia="es-ES_tradnl"/>
        </w:rPr>
        <w:t xml:space="preserve">Rango de edad gestacional (EG): Mujeres embarazadas entre 24+0 y 32+0 semanas de EG. </w:t>
      </w:r>
    </w:p>
    <w:p w14:paraId="24898782" w14:textId="77777777" w:rsidR="00CB5C64" w:rsidRPr="00801CC3" w:rsidRDefault="00E016EB" w:rsidP="00851A70">
      <w:pPr>
        <w:pStyle w:val="Piedepgina"/>
        <w:numPr>
          <w:ilvl w:val="0"/>
          <w:numId w:val="10"/>
        </w:numPr>
        <w:tabs>
          <w:tab w:val="clear" w:pos="4252"/>
          <w:tab w:val="clear" w:pos="8504"/>
          <w:tab w:val="left" w:pos="993"/>
        </w:tabs>
        <w:spacing w:line="360" w:lineRule="auto"/>
        <w:jc w:val="both"/>
        <w:rPr>
          <w:rFonts w:ascii="Arial Narrow" w:hAnsi="Arial Narrow" w:cs="Calibri"/>
          <w:bCs/>
          <w:color w:val="000000" w:themeColor="text1"/>
        </w:rPr>
      </w:pPr>
      <w:r w:rsidRPr="00801CC3">
        <w:rPr>
          <w:rFonts w:ascii="Arial Narrow" w:hAnsi="Arial Narrow" w:cs="Calibri"/>
          <w:color w:val="000000" w:themeColor="text1"/>
          <w:lang w:eastAsia="es-ES_tradnl"/>
        </w:rPr>
        <w:t xml:space="preserve">Etnia de los participantes: No aplica. </w:t>
      </w:r>
    </w:p>
    <w:p w14:paraId="4B2050C8" w14:textId="77777777" w:rsidR="00CB5C64" w:rsidRPr="00801CC3" w:rsidRDefault="00E016EB" w:rsidP="00851A70">
      <w:pPr>
        <w:pStyle w:val="Piedepgina"/>
        <w:numPr>
          <w:ilvl w:val="0"/>
          <w:numId w:val="10"/>
        </w:numPr>
        <w:tabs>
          <w:tab w:val="clear" w:pos="4252"/>
          <w:tab w:val="clear" w:pos="8504"/>
          <w:tab w:val="left" w:pos="993"/>
        </w:tabs>
        <w:spacing w:line="360" w:lineRule="auto"/>
        <w:jc w:val="both"/>
        <w:rPr>
          <w:rFonts w:ascii="Arial Narrow" w:hAnsi="Arial Narrow" w:cs="Calibri"/>
          <w:bCs/>
          <w:color w:val="000000" w:themeColor="text1"/>
        </w:rPr>
      </w:pPr>
      <w:r w:rsidRPr="00801CC3">
        <w:rPr>
          <w:rFonts w:ascii="Arial Narrow" w:hAnsi="Arial Narrow" w:cs="Calibri"/>
          <w:color w:val="000000" w:themeColor="text1"/>
          <w:lang w:eastAsia="es-ES_tradnl"/>
        </w:rPr>
        <w:t>Inclusión de grupos especiales o participantes vulnerables: Mujeres privadas de libertad.</w:t>
      </w:r>
    </w:p>
    <w:p w14:paraId="31C7D83B" w14:textId="77777777" w:rsidR="00CB5C64" w:rsidRPr="00801CC3" w:rsidRDefault="00E016EB" w:rsidP="00851A70">
      <w:pPr>
        <w:pStyle w:val="Piedepgina"/>
        <w:numPr>
          <w:ilvl w:val="0"/>
          <w:numId w:val="10"/>
        </w:numPr>
        <w:tabs>
          <w:tab w:val="clear" w:pos="4252"/>
          <w:tab w:val="clear" w:pos="8504"/>
          <w:tab w:val="left" w:pos="993"/>
        </w:tabs>
        <w:spacing w:line="360" w:lineRule="auto"/>
        <w:jc w:val="both"/>
        <w:rPr>
          <w:rFonts w:ascii="Arial Narrow" w:hAnsi="Arial Narrow" w:cs="Calibri"/>
          <w:bCs/>
          <w:color w:val="000000" w:themeColor="text1"/>
        </w:rPr>
      </w:pPr>
      <w:r w:rsidRPr="00801CC3">
        <w:rPr>
          <w:rFonts w:ascii="Arial Narrow" w:hAnsi="Arial Narrow" w:cs="Calibri"/>
          <w:color w:val="000000" w:themeColor="text1"/>
          <w:lang w:eastAsia="es-ES_tradnl"/>
        </w:rPr>
        <w:t xml:space="preserve">Pruebas de laboratorio y gabinete: </w:t>
      </w:r>
    </w:p>
    <w:p w14:paraId="5ABF2586" w14:textId="77777777" w:rsidR="00CB5C64" w:rsidRPr="00801CC3" w:rsidRDefault="00E016EB" w:rsidP="00851A70">
      <w:pPr>
        <w:pStyle w:val="Piedepgina"/>
        <w:numPr>
          <w:ilvl w:val="1"/>
          <w:numId w:val="10"/>
        </w:numPr>
        <w:tabs>
          <w:tab w:val="clear" w:pos="4252"/>
          <w:tab w:val="clear" w:pos="8504"/>
          <w:tab w:val="left" w:pos="993"/>
        </w:tabs>
        <w:spacing w:line="360" w:lineRule="auto"/>
        <w:jc w:val="both"/>
        <w:rPr>
          <w:rFonts w:ascii="Arial Narrow" w:hAnsi="Arial Narrow" w:cs="Calibri"/>
          <w:bCs/>
          <w:color w:val="000000" w:themeColor="text1"/>
        </w:rPr>
      </w:pPr>
      <w:r w:rsidRPr="00801CC3">
        <w:rPr>
          <w:rFonts w:ascii="Arial Narrow" w:hAnsi="Arial Narrow" w:cs="Calibri"/>
          <w:color w:val="000000" w:themeColor="text1"/>
          <w:lang w:eastAsia="es-ES_tradnl"/>
        </w:rPr>
        <w:t xml:space="preserve">Test Amniosure: con resultado positivo </w:t>
      </w:r>
    </w:p>
    <w:p w14:paraId="720F7A91" w14:textId="77777777" w:rsidR="00CB5C64" w:rsidRPr="00801CC3" w:rsidRDefault="00E016EB" w:rsidP="00851A70">
      <w:pPr>
        <w:pStyle w:val="Piedepgina"/>
        <w:numPr>
          <w:ilvl w:val="0"/>
          <w:numId w:val="10"/>
        </w:numPr>
        <w:tabs>
          <w:tab w:val="clear" w:pos="4252"/>
          <w:tab w:val="clear" w:pos="8504"/>
          <w:tab w:val="left" w:pos="993"/>
        </w:tabs>
        <w:spacing w:line="360" w:lineRule="auto"/>
        <w:jc w:val="both"/>
        <w:rPr>
          <w:rFonts w:ascii="Arial Narrow" w:hAnsi="Arial Narrow" w:cs="Calibri"/>
          <w:b/>
          <w:bCs/>
          <w:color w:val="000000" w:themeColor="text1"/>
        </w:rPr>
      </w:pPr>
      <w:r w:rsidRPr="00801CC3">
        <w:rPr>
          <w:rFonts w:ascii="Arial Narrow" w:hAnsi="Arial Narrow" w:cs="Calibri"/>
          <w:color w:val="000000" w:themeColor="text1"/>
          <w:lang w:eastAsia="es-ES_tradnl"/>
        </w:rPr>
        <w:t xml:space="preserve">Otros: No aplica. </w:t>
      </w:r>
    </w:p>
    <w:p w14:paraId="56DDF44D" w14:textId="77777777" w:rsidR="00851A70" w:rsidRPr="00801CC3" w:rsidRDefault="00851A70" w:rsidP="00851A70">
      <w:pPr>
        <w:pStyle w:val="Piedepgina"/>
        <w:tabs>
          <w:tab w:val="clear" w:pos="4252"/>
          <w:tab w:val="clear" w:pos="8504"/>
          <w:tab w:val="left" w:pos="993"/>
        </w:tabs>
        <w:spacing w:line="360" w:lineRule="auto"/>
        <w:jc w:val="both"/>
        <w:rPr>
          <w:rFonts w:ascii="Arial Narrow" w:hAnsi="Arial Narrow" w:cs="Calibri"/>
          <w:b/>
          <w:bCs/>
          <w:color w:val="000000" w:themeColor="text1"/>
        </w:rPr>
      </w:pPr>
    </w:p>
    <w:p w14:paraId="1BF20FE8" w14:textId="77777777" w:rsidR="00851A70" w:rsidRPr="00801CC3" w:rsidRDefault="00851A70" w:rsidP="00851A70">
      <w:pPr>
        <w:pStyle w:val="Piedepgina"/>
        <w:tabs>
          <w:tab w:val="clear" w:pos="4252"/>
          <w:tab w:val="clear" w:pos="8504"/>
          <w:tab w:val="left" w:pos="993"/>
        </w:tabs>
        <w:spacing w:line="360" w:lineRule="auto"/>
        <w:jc w:val="both"/>
        <w:rPr>
          <w:rFonts w:ascii="Arial Narrow" w:hAnsi="Arial Narrow" w:cs="Calibri"/>
          <w:b/>
          <w:bCs/>
          <w:color w:val="000000" w:themeColor="text1"/>
        </w:rPr>
      </w:pPr>
      <w:r w:rsidRPr="00801CC3">
        <w:rPr>
          <w:rFonts w:ascii="Arial Narrow" w:hAnsi="Arial Narrow" w:cs="Calibri"/>
          <w:b/>
          <w:bCs/>
          <w:color w:val="000000" w:themeColor="text1"/>
        </w:rPr>
        <w:t>Criterios de exclusión</w:t>
      </w:r>
    </w:p>
    <w:p w14:paraId="3058FA45" w14:textId="77777777" w:rsidR="00851A70" w:rsidRPr="00801CC3" w:rsidRDefault="00851A70" w:rsidP="00851A70">
      <w:pPr>
        <w:pStyle w:val="Prrafodelista"/>
        <w:spacing w:line="360" w:lineRule="auto"/>
        <w:ind w:left="1635"/>
        <w:rPr>
          <w:rFonts w:ascii="Arial Narrow" w:eastAsia="Times New Roman" w:hAnsi="Arial Narrow" w:cs="Calibri"/>
          <w:b/>
          <w:bCs/>
          <w:color w:val="000000" w:themeColor="text1"/>
          <w:lang w:val="es-ES" w:eastAsia="es-ES_tradnl"/>
        </w:rPr>
      </w:pPr>
    </w:p>
    <w:p w14:paraId="6085EB60" w14:textId="77777777" w:rsidR="00CB5C64" w:rsidRPr="00801CC3" w:rsidRDefault="00E016EB" w:rsidP="00851A70">
      <w:pPr>
        <w:pStyle w:val="Prrafodelista"/>
        <w:numPr>
          <w:ilvl w:val="0"/>
          <w:numId w:val="9"/>
        </w:numPr>
        <w:spacing w:line="360" w:lineRule="auto"/>
        <w:rPr>
          <w:rFonts w:ascii="Arial Narrow" w:eastAsia="Times New Roman" w:hAnsi="Arial Narrow" w:cs="Calibri"/>
          <w:color w:val="000000" w:themeColor="text1"/>
          <w:lang w:eastAsia="es-ES_tradnl"/>
        </w:rPr>
      </w:pPr>
      <w:r w:rsidRPr="00801CC3">
        <w:rPr>
          <w:rFonts w:ascii="Arial Narrow" w:eastAsia="Times New Roman" w:hAnsi="Arial Narrow" w:cs="Calibri"/>
          <w:color w:val="000000" w:themeColor="text1"/>
          <w:lang w:eastAsia="es-ES_tradnl"/>
        </w:rPr>
        <w:t xml:space="preserve">Pacientes con diagnóstico o sospecha de corioamnionitis previo al inicio de la antibioticoterapia. </w:t>
      </w:r>
    </w:p>
    <w:p w14:paraId="0CA3B891" w14:textId="77777777" w:rsidR="00CB5C64" w:rsidRPr="00801CC3" w:rsidRDefault="00E016EB" w:rsidP="00851A70">
      <w:pPr>
        <w:pStyle w:val="Prrafodelista"/>
        <w:numPr>
          <w:ilvl w:val="0"/>
          <w:numId w:val="9"/>
        </w:numPr>
        <w:spacing w:line="360" w:lineRule="auto"/>
        <w:rPr>
          <w:rFonts w:ascii="Arial Narrow" w:eastAsia="Times New Roman" w:hAnsi="Arial Narrow" w:cs="Calibri"/>
          <w:color w:val="000000" w:themeColor="text1"/>
          <w:lang w:eastAsia="es-ES_tradnl"/>
        </w:rPr>
      </w:pPr>
      <w:r w:rsidRPr="00801CC3">
        <w:rPr>
          <w:rFonts w:ascii="Arial Narrow" w:eastAsia="Times New Roman" w:hAnsi="Arial Narrow" w:cs="Calibri"/>
          <w:color w:val="000000" w:themeColor="text1"/>
          <w:lang w:eastAsia="es-ES_tradnl"/>
        </w:rPr>
        <w:t xml:space="preserve">Pacientes con diagnóstico de otra infección. </w:t>
      </w:r>
    </w:p>
    <w:p w14:paraId="7FEC3B5C" w14:textId="77777777" w:rsidR="00CB5C64" w:rsidRPr="00801CC3" w:rsidRDefault="00E016EB" w:rsidP="00851A70">
      <w:pPr>
        <w:pStyle w:val="Prrafodelista"/>
        <w:numPr>
          <w:ilvl w:val="0"/>
          <w:numId w:val="9"/>
        </w:numPr>
        <w:spacing w:line="360" w:lineRule="auto"/>
        <w:rPr>
          <w:rFonts w:ascii="Arial Narrow" w:eastAsia="Times New Roman" w:hAnsi="Arial Narrow" w:cs="Calibri"/>
          <w:color w:val="000000" w:themeColor="text1"/>
          <w:lang w:eastAsia="es-ES_tradnl"/>
        </w:rPr>
      </w:pPr>
      <w:r w:rsidRPr="00801CC3">
        <w:rPr>
          <w:rFonts w:ascii="Arial Narrow" w:eastAsia="Times New Roman" w:hAnsi="Arial Narrow" w:cs="Calibri"/>
          <w:color w:val="000000" w:themeColor="text1"/>
          <w:lang w:eastAsia="es-ES_tradnl"/>
        </w:rPr>
        <w:t xml:space="preserve">Pacientes en quienes se descartó́ la ruptura de membranas. </w:t>
      </w:r>
    </w:p>
    <w:p w14:paraId="24AE2A77" w14:textId="77777777" w:rsidR="00851A70" w:rsidRPr="00801CC3" w:rsidRDefault="00E016EB" w:rsidP="00851A70">
      <w:pPr>
        <w:pStyle w:val="Prrafodelista"/>
        <w:numPr>
          <w:ilvl w:val="0"/>
          <w:numId w:val="9"/>
        </w:numPr>
        <w:spacing w:afterAutospacing="1" w:line="360" w:lineRule="auto"/>
        <w:rPr>
          <w:rFonts w:ascii="Arial Narrow" w:hAnsi="Arial Narrow"/>
        </w:rPr>
      </w:pPr>
      <w:r w:rsidRPr="00801CC3">
        <w:rPr>
          <w:rFonts w:ascii="Arial Narrow" w:eastAsia="Times New Roman" w:hAnsi="Arial Narrow" w:cs="Calibri"/>
          <w:color w:val="000000" w:themeColor="text1"/>
          <w:lang w:eastAsia="es-ES_tradnl"/>
        </w:rPr>
        <w:t>Pacientes que ingresaron en fase activa de labor de parto.</w:t>
      </w:r>
    </w:p>
    <w:p w14:paraId="489FDC64" w14:textId="77777777" w:rsidR="00CB5C64" w:rsidRPr="00651A6E" w:rsidRDefault="003843F8" w:rsidP="00651A6E">
      <w:pPr>
        <w:pStyle w:val="Prrafodelista"/>
        <w:numPr>
          <w:ilvl w:val="0"/>
          <w:numId w:val="9"/>
        </w:numPr>
        <w:spacing w:afterAutospacing="1" w:line="360" w:lineRule="auto"/>
        <w:rPr>
          <w:rFonts w:ascii="Arial Narrow" w:hAnsi="Arial Narrow"/>
          <w:lang w:eastAsia="es-ES_tradnl"/>
        </w:rPr>
      </w:pPr>
      <w:r w:rsidRPr="00801CC3">
        <w:rPr>
          <w:rFonts w:ascii="Arial Narrow" w:hAnsi="Arial Narrow"/>
          <w:lang w:eastAsia="es-ES_tradnl"/>
        </w:rPr>
        <w:t>Edad gestacional</w:t>
      </w:r>
      <w:r w:rsidR="00E016EB" w:rsidRPr="00801CC3">
        <w:rPr>
          <w:rFonts w:ascii="Arial Narrow" w:hAnsi="Arial Narrow"/>
          <w:lang w:eastAsia="es-ES_tradnl"/>
        </w:rPr>
        <w:t xml:space="preserve"> difer</w:t>
      </w:r>
      <w:r w:rsidRPr="00801CC3">
        <w:rPr>
          <w:rFonts w:ascii="Arial Narrow" w:hAnsi="Arial Narrow"/>
          <w:lang w:eastAsia="es-ES_tradnl"/>
        </w:rPr>
        <w:t>ente de 24 + 0 a 32 + 0 semanas.</w:t>
      </w:r>
    </w:p>
    <w:p w14:paraId="37D6B4E8" w14:textId="77777777" w:rsidR="00CB5C64" w:rsidRPr="00801CC3" w:rsidRDefault="00851A70" w:rsidP="00851A70">
      <w:pPr>
        <w:pStyle w:val="Piedepgina"/>
        <w:tabs>
          <w:tab w:val="clear" w:pos="4252"/>
          <w:tab w:val="clear" w:pos="8504"/>
          <w:tab w:val="left" w:pos="993"/>
        </w:tabs>
        <w:spacing w:line="360" w:lineRule="auto"/>
        <w:jc w:val="both"/>
        <w:rPr>
          <w:rFonts w:ascii="Arial Narrow" w:hAnsi="Arial Narrow" w:cs="Calibri"/>
          <w:b/>
          <w:bCs/>
          <w:color w:val="000000" w:themeColor="text1"/>
          <w:lang w:val="es"/>
        </w:rPr>
      </w:pPr>
      <w:r w:rsidRPr="00801CC3">
        <w:rPr>
          <w:rFonts w:ascii="Arial Narrow" w:hAnsi="Arial Narrow" w:cs="Calibri"/>
          <w:b/>
          <w:bCs/>
          <w:color w:val="000000" w:themeColor="text1"/>
          <w:lang w:val="es"/>
        </w:rPr>
        <w:t>Método de recolección de información y de medición</w:t>
      </w:r>
    </w:p>
    <w:p w14:paraId="42E6F42F" w14:textId="77777777" w:rsidR="00CB5C64" w:rsidRPr="00801CC3" w:rsidRDefault="00CB5C64">
      <w:pPr>
        <w:pStyle w:val="Piedepgina"/>
        <w:tabs>
          <w:tab w:val="clear" w:pos="4252"/>
          <w:tab w:val="clear" w:pos="8504"/>
          <w:tab w:val="left" w:pos="993"/>
        </w:tabs>
        <w:spacing w:line="360" w:lineRule="auto"/>
        <w:ind w:left="643"/>
        <w:jc w:val="both"/>
        <w:rPr>
          <w:rFonts w:ascii="Arial Narrow" w:hAnsi="Arial Narrow" w:cs="Calibri"/>
          <w:b/>
          <w:bCs/>
          <w:color w:val="000000" w:themeColor="text1"/>
          <w:lang w:val="es"/>
        </w:rPr>
      </w:pPr>
    </w:p>
    <w:p w14:paraId="313288FD" w14:textId="77777777" w:rsidR="00CB5C64" w:rsidRPr="00801CC3" w:rsidRDefault="00E016EB" w:rsidP="00651A6E">
      <w:pPr>
        <w:pStyle w:val="Piedepgina"/>
        <w:tabs>
          <w:tab w:val="clear" w:pos="4252"/>
          <w:tab w:val="clear" w:pos="8504"/>
          <w:tab w:val="left" w:pos="426"/>
        </w:tabs>
        <w:spacing w:line="360" w:lineRule="auto"/>
        <w:jc w:val="both"/>
        <w:rPr>
          <w:rFonts w:ascii="Arial Narrow" w:hAnsi="Arial Narrow" w:cs="Calibri"/>
          <w:b/>
          <w:bCs/>
          <w:color w:val="000000" w:themeColor="text1"/>
        </w:rPr>
      </w:pPr>
      <w:r w:rsidRPr="00801CC3">
        <w:rPr>
          <w:rFonts w:ascii="Arial Narrow" w:hAnsi="Arial Narrow" w:cs="Calibri"/>
          <w:b/>
          <w:bCs/>
          <w:color w:val="000000" w:themeColor="text1"/>
        </w:rPr>
        <w:t>I</w:t>
      </w:r>
      <w:r w:rsidR="00851A70" w:rsidRPr="00801CC3">
        <w:rPr>
          <w:rFonts w:ascii="Arial Narrow" w:hAnsi="Arial Narrow" w:cs="Calibri"/>
          <w:b/>
          <w:bCs/>
          <w:color w:val="000000" w:themeColor="text1"/>
        </w:rPr>
        <w:t xml:space="preserve">dentificación de participantes, enrolamiento y consentimiento </w:t>
      </w:r>
    </w:p>
    <w:p w14:paraId="7ABE2A8C" w14:textId="77777777" w:rsidR="00CB5C64" w:rsidRPr="00801CC3" w:rsidRDefault="00E016EB">
      <w:pPr>
        <w:pStyle w:val="Piedepgina"/>
        <w:tabs>
          <w:tab w:val="clear" w:pos="4252"/>
          <w:tab w:val="clear" w:pos="8504"/>
          <w:tab w:val="left" w:pos="993"/>
        </w:tabs>
        <w:spacing w:line="360" w:lineRule="auto"/>
        <w:jc w:val="both"/>
        <w:rPr>
          <w:rFonts w:ascii="Arial Narrow" w:hAnsi="Arial Narrow" w:cs="Calibri"/>
          <w:color w:val="000000" w:themeColor="text1"/>
        </w:rPr>
      </w:pPr>
      <w:r w:rsidRPr="00801CC3">
        <w:rPr>
          <w:rFonts w:ascii="Arial Narrow" w:hAnsi="Arial Narrow" w:cs="Calibri"/>
          <w:color w:val="000000" w:themeColor="text1"/>
        </w:rPr>
        <w:t>Se identificó a los participantes por medio del departamento de estadística del Hospital de las Mujeres Adolfo Carit Eva. Se nos brindó un listado de todas las pacientes que fueron internadas y dadas de alta con el diagnóstico de RPM en el periodo de enero 2013 a enero 2018. Se incluyeron en el estudio todos los casos que cumplieron con los criterios de inclusión.</w:t>
      </w:r>
    </w:p>
    <w:p w14:paraId="6C73387D" w14:textId="77777777" w:rsidR="00CB5C64" w:rsidRPr="00801CC3" w:rsidRDefault="00CB5C64">
      <w:pPr>
        <w:pStyle w:val="Piedepgina"/>
        <w:tabs>
          <w:tab w:val="clear" w:pos="4252"/>
          <w:tab w:val="clear" w:pos="8504"/>
          <w:tab w:val="left" w:pos="993"/>
        </w:tabs>
        <w:spacing w:line="360" w:lineRule="auto"/>
        <w:jc w:val="both"/>
        <w:rPr>
          <w:rFonts w:ascii="Arial Narrow" w:hAnsi="Arial Narrow" w:cs="Calibri"/>
          <w:color w:val="000000" w:themeColor="text1"/>
        </w:rPr>
      </w:pPr>
    </w:p>
    <w:p w14:paraId="1B4B0887" w14:textId="77777777" w:rsidR="00801CC3" w:rsidRDefault="00E016EB" w:rsidP="00851A70">
      <w:pPr>
        <w:pStyle w:val="Piedepgina"/>
        <w:tabs>
          <w:tab w:val="clear" w:pos="4252"/>
          <w:tab w:val="clear" w:pos="8504"/>
          <w:tab w:val="left" w:pos="993"/>
        </w:tabs>
        <w:spacing w:line="360" w:lineRule="auto"/>
        <w:jc w:val="both"/>
        <w:rPr>
          <w:rFonts w:ascii="Arial Narrow" w:hAnsi="Arial Narrow" w:cs="Calibri"/>
          <w:b/>
          <w:bCs/>
          <w:color w:val="000000" w:themeColor="text1"/>
        </w:rPr>
      </w:pPr>
      <w:r w:rsidRPr="00801CC3">
        <w:rPr>
          <w:rFonts w:ascii="Arial Narrow" w:hAnsi="Arial Narrow" w:cs="Calibri"/>
          <w:b/>
          <w:bCs/>
          <w:color w:val="000000" w:themeColor="text1"/>
        </w:rPr>
        <w:t>P</w:t>
      </w:r>
      <w:r w:rsidR="00851A70" w:rsidRPr="00801CC3">
        <w:rPr>
          <w:rFonts w:ascii="Arial Narrow" w:hAnsi="Arial Narrow" w:cs="Calibri"/>
          <w:b/>
          <w:bCs/>
          <w:color w:val="000000" w:themeColor="text1"/>
        </w:rPr>
        <w:t>lan de análisis</w:t>
      </w:r>
    </w:p>
    <w:p w14:paraId="2892D2ED" w14:textId="77777777" w:rsidR="00651A6E" w:rsidRDefault="00851A70" w:rsidP="00651A6E">
      <w:pPr>
        <w:pStyle w:val="Piedepgina"/>
        <w:tabs>
          <w:tab w:val="clear" w:pos="4252"/>
          <w:tab w:val="clear" w:pos="8504"/>
          <w:tab w:val="left" w:pos="993"/>
        </w:tabs>
        <w:spacing w:line="360" w:lineRule="auto"/>
        <w:jc w:val="both"/>
        <w:rPr>
          <w:rFonts w:ascii="Arial Narrow" w:hAnsi="Arial Narrow" w:cs="Calibri"/>
          <w:b/>
          <w:bCs/>
          <w:color w:val="000000" w:themeColor="text1"/>
        </w:rPr>
      </w:pPr>
      <w:r w:rsidRPr="00801CC3">
        <w:rPr>
          <w:rFonts w:ascii="Arial Narrow" w:hAnsi="Arial Narrow" w:cs="Calibri"/>
          <w:b/>
          <w:bCs/>
          <w:color w:val="000000" w:themeColor="text1"/>
        </w:rPr>
        <w:t xml:space="preserve">Análisis estadístico </w:t>
      </w:r>
    </w:p>
    <w:p w14:paraId="23B28433" w14:textId="77777777" w:rsidR="00CB5C64" w:rsidRPr="00651A6E" w:rsidRDefault="00651A6E" w:rsidP="00651A6E">
      <w:pPr>
        <w:pStyle w:val="Piedepgina"/>
        <w:tabs>
          <w:tab w:val="clear" w:pos="4252"/>
          <w:tab w:val="clear" w:pos="8504"/>
          <w:tab w:val="left" w:pos="993"/>
        </w:tabs>
        <w:spacing w:line="360" w:lineRule="auto"/>
        <w:jc w:val="both"/>
        <w:rPr>
          <w:rFonts w:ascii="Arial Narrow" w:hAnsi="Arial Narrow" w:cs="Calibri"/>
          <w:b/>
          <w:bCs/>
          <w:color w:val="000000" w:themeColor="text1"/>
        </w:rPr>
      </w:pPr>
      <w:r>
        <w:rPr>
          <w:rFonts w:ascii="Arial Narrow" w:hAnsi="Arial Narrow" w:cs="Calibri"/>
          <w:color w:val="000000" w:themeColor="text1"/>
          <w:lang w:eastAsia="es-ES_tradnl"/>
        </w:rPr>
        <w:t>P</w:t>
      </w:r>
      <w:r w:rsidR="00E016EB" w:rsidRPr="00801CC3">
        <w:rPr>
          <w:rFonts w:ascii="Arial Narrow" w:hAnsi="Arial Narrow" w:cs="Calibri"/>
          <w:color w:val="000000" w:themeColor="text1"/>
          <w:lang w:eastAsia="es-ES_tradnl"/>
        </w:rPr>
        <w:t xml:space="preserve">ara el </w:t>
      </w:r>
      <w:proofErr w:type="spellStart"/>
      <w:r w:rsidR="00E016EB" w:rsidRPr="00801CC3">
        <w:rPr>
          <w:rFonts w:ascii="Arial Narrow" w:hAnsi="Arial Narrow" w:cs="Calibri"/>
          <w:color w:val="000000" w:themeColor="text1"/>
          <w:lang w:eastAsia="es-ES_tradnl"/>
        </w:rPr>
        <w:t>análisis</w:t>
      </w:r>
      <w:proofErr w:type="spellEnd"/>
      <w:r w:rsidR="00E016EB" w:rsidRPr="00801CC3">
        <w:rPr>
          <w:rFonts w:ascii="Arial Narrow" w:hAnsi="Arial Narrow" w:cs="Calibri"/>
          <w:color w:val="000000" w:themeColor="text1"/>
          <w:lang w:eastAsia="es-ES_tradnl"/>
        </w:rPr>
        <w:t xml:space="preserve"> de datos se realizará la </w:t>
      </w:r>
      <w:proofErr w:type="spellStart"/>
      <w:r w:rsidR="00E016EB" w:rsidRPr="00801CC3">
        <w:rPr>
          <w:rFonts w:ascii="Arial Narrow" w:hAnsi="Arial Narrow" w:cs="Calibri"/>
          <w:color w:val="000000" w:themeColor="text1"/>
          <w:lang w:eastAsia="es-ES_tradnl"/>
        </w:rPr>
        <w:t>descripción</w:t>
      </w:r>
      <w:proofErr w:type="spellEnd"/>
      <w:r w:rsidR="00E016EB" w:rsidRPr="00801CC3">
        <w:rPr>
          <w:rFonts w:ascii="Arial Narrow" w:hAnsi="Arial Narrow" w:cs="Calibri"/>
          <w:color w:val="000000" w:themeColor="text1"/>
          <w:lang w:eastAsia="es-ES_tradnl"/>
        </w:rPr>
        <w:t xml:space="preserve"> de las variables cualitativas por medio de la </w:t>
      </w:r>
      <w:proofErr w:type="spellStart"/>
      <w:r w:rsidR="00E016EB" w:rsidRPr="00801CC3">
        <w:rPr>
          <w:rFonts w:ascii="Arial Narrow" w:hAnsi="Arial Narrow" w:cs="Calibri"/>
          <w:color w:val="000000" w:themeColor="text1"/>
          <w:lang w:eastAsia="es-ES_tradnl"/>
        </w:rPr>
        <w:t>estimación</w:t>
      </w:r>
      <w:proofErr w:type="spellEnd"/>
      <w:r w:rsidR="00E016EB" w:rsidRPr="00801CC3">
        <w:rPr>
          <w:rFonts w:ascii="Arial Narrow" w:hAnsi="Arial Narrow" w:cs="Calibri"/>
          <w:color w:val="000000" w:themeColor="text1"/>
          <w:lang w:eastAsia="es-ES_tradnl"/>
        </w:rPr>
        <w:t xml:space="preserve"> de frecuencias y porcentaje y para la </w:t>
      </w:r>
      <w:proofErr w:type="spellStart"/>
      <w:r w:rsidR="00E016EB" w:rsidRPr="00801CC3">
        <w:rPr>
          <w:rFonts w:ascii="Arial Narrow" w:hAnsi="Arial Narrow" w:cs="Calibri"/>
          <w:color w:val="000000" w:themeColor="text1"/>
          <w:lang w:eastAsia="es-ES_tradnl"/>
        </w:rPr>
        <w:t>descripción</w:t>
      </w:r>
      <w:proofErr w:type="spellEnd"/>
      <w:r w:rsidR="00E016EB" w:rsidRPr="00801CC3">
        <w:rPr>
          <w:rFonts w:ascii="Arial Narrow" w:hAnsi="Arial Narrow" w:cs="Calibri"/>
          <w:color w:val="000000" w:themeColor="text1"/>
          <w:lang w:eastAsia="es-ES_tradnl"/>
        </w:rPr>
        <w:t xml:space="preserve"> de variables cuantitativas se realizará por medio de la </w:t>
      </w:r>
      <w:proofErr w:type="spellStart"/>
      <w:r w:rsidR="00E016EB" w:rsidRPr="00801CC3">
        <w:rPr>
          <w:rFonts w:ascii="Arial Narrow" w:hAnsi="Arial Narrow" w:cs="Calibri"/>
          <w:color w:val="000000" w:themeColor="text1"/>
          <w:lang w:eastAsia="es-ES_tradnl"/>
        </w:rPr>
        <w:t>determinación</w:t>
      </w:r>
      <w:proofErr w:type="spellEnd"/>
      <w:r w:rsidR="00E016EB" w:rsidRPr="00801CC3">
        <w:rPr>
          <w:rFonts w:ascii="Arial Narrow" w:hAnsi="Arial Narrow" w:cs="Calibri"/>
          <w:color w:val="000000" w:themeColor="text1"/>
          <w:lang w:eastAsia="es-ES_tradnl"/>
        </w:rPr>
        <w:t xml:space="preserve"> de la media y </w:t>
      </w:r>
      <w:proofErr w:type="spellStart"/>
      <w:r w:rsidR="00E016EB" w:rsidRPr="00801CC3">
        <w:rPr>
          <w:rFonts w:ascii="Arial Narrow" w:hAnsi="Arial Narrow" w:cs="Calibri"/>
          <w:color w:val="000000" w:themeColor="text1"/>
          <w:lang w:eastAsia="es-ES_tradnl"/>
        </w:rPr>
        <w:t>desviación</w:t>
      </w:r>
      <w:proofErr w:type="spellEnd"/>
      <w:r w:rsidR="00E016EB" w:rsidRPr="00801CC3">
        <w:rPr>
          <w:rFonts w:ascii="Arial Narrow" w:hAnsi="Arial Narrow" w:cs="Calibri"/>
          <w:color w:val="000000" w:themeColor="text1"/>
          <w:lang w:eastAsia="es-ES_tradnl"/>
        </w:rPr>
        <w:t xml:space="preserve"> </w:t>
      </w:r>
      <w:proofErr w:type="spellStart"/>
      <w:r w:rsidR="00E016EB" w:rsidRPr="00801CC3">
        <w:rPr>
          <w:rFonts w:ascii="Arial Narrow" w:hAnsi="Arial Narrow" w:cs="Calibri"/>
          <w:color w:val="000000" w:themeColor="text1"/>
          <w:lang w:eastAsia="es-ES_tradnl"/>
        </w:rPr>
        <w:t>estándar</w:t>
      </w:r>
      <w:proofErr w:type="spellEnd"/>
      <w:r w:rsidR="00E016EB" w:rsidRPr="00801CC3">
        <w:rPr>
          <w:rFonts w:ascii="Arial Narrow" w:hAnsi="Arial Narrow" w:cs="Calibri"/>
          <w:color w:val="000000" w:themeColor="text1"/>
          <w:lang w:eastAsia="es-ES_tradnl"/>
        </w:rPr>
        <w:t xml:space="preserve">. </w:t>
      </w:r>
    </w:p>
    <w:p w14:paraId="1286518D" w14:textId="77777777" w:rsidR="00CB5C64" w:rsidRPr="00801CC3" w:rsidRDefault="00E016EB">
      <w:pPr>
        <w:spacing w:beforeAutospacing="1" w:afterAutospacing="1" w:line="360" w:lineRule="auto"/>
        <w:jc w:val="both"/>
        <w:rPr>
          <w:rFonts w:ascii="Arial Narrow" w:eastAsia="Times New Roman" w:hAnsi="Arial Narrow" w:cs="Calibri"/>
          <w:color w:val="000000" w:themeColor="text1"/>
          <w:lang w:eastAsia="es-ES_tradnl"/>
        </w:rPr>
      </w:pPr>
      <w:r w:rsidRPr="00801CC3">
        <w:rPr>
          <w:rFonts w:ascii="Arial Narrow" w:eastAsia="Times New Roman" w:hAnsi="Arial Narrow" w:cs="Calibri"/>
          <w:color w:val="000000" w:themeColor="text1"/>
          <w:lang w:eastAsia="es-ES_tradnl"/>
        </w:rPr>
        <w:lastRenderedPageBreak/>
        <w:t xml:space="preserve">Para la </w:t>
      </w:r>
      <w:proofErr w:type="spellStart"/>
      <w:r w:rsidRPr="00801CC3">
        <w:rPr>
          <w:rFonts w:ascii="Arial Narrow" w:eastAsia="Times New Roman" w:hAnsi="Arial Narrow" w:cs="Calibri"/>
          <w:color w:val="000000" w:themeColor="text1"/>
          <w:lang w:eastAsia="es-ES_tradnl"/>
        </w:rPr>
        <w:t>evaluación</w:t>
      </w:r>
      <w:proofErr w:type="spellEnd"/>
      <w:r w:rsidRPr="00801CC3">
        <w:rPr>
          <w:rFonts w:ascii="Arial Narrow" w:eastAsia="Times New Roman" w:hAnsi="Arial Narrow" w:cs="Calibri"/>
          <w:color w:val="000000" w:themeColor="text1"/>
          <w:lang w:eastAsia="es-ES_tradnl"/>
        </w:rPr>
        <w:t xml:space="preserve"> de la homogeneidad del grupo expuesto con el grupo control, proveniente de la literatura, se realizará la </w:t>
      </w:r>
      <w:proofErr w:type="spellStart"/>
      <w:r w:rsidRPr="00801CC3">
        <w:rPr>
          <w:rFonts w:ascii="Arial Narrow" w:eastAsia="Times New Roman" w:hAnsi="Arial Narrow" w:cs="Calibri"/>
          <w:color w:val="000000" w:themeColor="text1"/>
          <w:lang w:eastAsia="es-ES_tradnl"/>
        </w:rPr>
        <w:t>comparación</w:t>
      </w:r>
      <w:proofErr w:type="spellEnd"/>
      <w:r w:rsidRPr="00801CC3">
        <w:rPr>
          <w:rFonts w:ascii="Arial Narrow" w:eastAsia="Times New Roman" w:hAnsi="Arial Narrow" w:cs="Calibri"/>
          <w:color w:val="000000" w:themeColor="text1"/>
          <w:lang w:eastAsia="es-ES_tradnl"/>
        </w:rPr>
        <w:t xml:space="preserve"> de las variables al </w:t>
      </w:r>
      <w:proofErr w:type="spellStart"/>
      <w:r w:rsidRPr="00801CC3">
        <w:rPr>
          <w:rFonts w:ascii="Arial Narrow" w:eastAsia="Times New Roman" w:hAnsi="Arial Narrow" w:cs="Calibri"/>
          <w:color w:val="000000" w:themeColor="text1"/>
          <w:lang w:eastAsia="es-ES_tradnl"/>
        </w:rPr>
        <w:t>diagnóstico</w:t>
      </w:r>
      <w:proofErr w:type="spellEnd"/>
      <w:r w:rsidRPr="00801CC3">
        <w:rPr>
          <w:rFonts w:ascii="Arial Narrow" w:eastAsia="Times New Roman" w:hAnsi="Arial Narrow" w:cs="Calibri"/>
          <w:color w:val="000000" w:themeColor="text1"/>
          <w:lang w:eastAsia="es-ES_tradnl"/>
        </w:rPr>
        <w:t xml:space="preserve"> por medio de la prueba de chi cuadrado</w:t>
      </w:r>
      <w:r w:rsidR="00E366BF">
        <w:rPr>
          <w:rFonts w:ascii="Arial Narrow" w:eastAsia="Times New Roman" w:hAnsi="Arial Narrow" w:cs="Calibri"/>
          <w:lang w:eastAsia="es-ES_tradnl"/>
        </w:rPr>
        <w:t xml:space="preserve"> </w:t>
      </w:r>
      <w:r w:rsidRPr="00801CC3">
        <w:rPr>
          <w:rFonts w:ascii="Arial Narrow" w:eastAsia="Times New Roman" w:hAnsi="Arial Narrow" w:cs="Calibri"/>
          <w:color w:val="000000" w:themeColor="text1"/>
          <w:lang w:eastAsia="es-ES_tradnl"/>
        </w:rPr>
        <w:t>para las variables cualitativas y la prueba de t-</w:t>
      </w:r>
      <w:proofErr w:type="spellStart"/>
      <w:r w:rsidRPr="00801CC3">
        <w:rPr>
          <w:rFonts w:ascii="Arial Narrow" w:eastAsia="Times New Roman" w:hAnsi="Arial Narrow" w:cs="Calibri"/>
          <w:color w:val="000000" w:themeColor="text1"/>
          <w:lang w:eastAsia="es-ES_tradnl"/>
        </w:rPr>
        <w:t>student</w:t>
      </w:r>
      <w:proofErr w:type="spellEnd"/>
      <w:r w:rsidRPr="00801CC3">
        <w:rPr>
          <w:rFonts w:ascii="Arial Narrow" w:eastAsia="Times New Roman" w:hAnsi="Arial Narrow" w:cs="Calibri"/>
          <w:color w:val="000000" w:themeColor="text1"/>
          <w:lang w:eastAsia="es-ES_tradnl"/>
        </w:rPr>
        <w:t xml:space="preserve"> para las variables cuantitativas. </w:t>
      </w:r>
    </w:p>
    <w:p w14:paraId="45F34A77" w14:textId="77777777" w:rsidR="00CB5C64" w:rsidRPr="00801CC3" w:rsidRDefault="00E016EB">
      <w:pPr>
        <w:spacing w:beforeAutospacing="1" w:afterAutospacing="1" w:line="360" w:lineRule="auto"/>
        <w:jc w:val="both"/>
        <w:rPr>
          <w:rFonts w:ascii="Arial Narrow" w:eastAsia="Times New Roman" w:hAnsi="Arial Narrow" w:cs="Calibri"/>
          <w:color w:val="000000" w:themeColor="text1"/>
          <w:lang w:eastAsia="es-ES_tradnl"/>
        </w:rPr>
      </w:pPr>
      <w:r w:rsidRPr="00801CC3">
        <w:rPr>
          <w:rFonts w:ascii="Arial Narrow" w:eastAsia="Times New Roman" w:hAnsi="Arial Narrow" w:cs="Calibri"/>
          <w:color w:val="000000" w:themeColor="text1"/>
          <w:lang w:eastAsia="es-ES_tradnl"/>
        </w:rPr>
        <w:t xml:space="preserve">En la </w:t>
      </w:r>
      <w:proofErr w:type="spellStart"/>
      <w:r w:rsidRPr="00801CC3">
        <w:rPr>
          <w:rFonts w:ascii="Arial Narrow" w:eastAsia="Times New Roman" w:hAnsi="Arial Narrow" w:cs="Calibri"/>
          <w:color w:val="000000" w:themeColor="text1"/>
          <w:lang w:eastAsia="es-ES_tradnl"/>
        </w:rPr>
        <w:t>última</w:t>
      </w:r>
      <w:proofErr w:type="spellEnd"/>
      <w:r w:rsidRPr="00801CC3">
        <w:rPr>
          <w:rFonts w:ascii="Arial Narrow" w:eastAsia="Times New Roman" w:hAnsi="Arial Narrow" w:cs="Calibri"/>
          <w:color w:val="000000" w:themeColor="text1"/>
          <w:lang w:eastAsia="es-ES_tradnl"/>
        </w:rPr>
        <w:t xml:space="preserve"> etapa del </w:t>
      </w:r>
      <w:proofErr w:type="spellStart"/>
      <w:r w:rsidRPr="00801CC3">
        <w:rPr>
          <w:rFonts w:ascii="Arial Narrow" w:eastAsia="Times New Roman" w:hAnsi="Arial Narrow" w:cs="Calibri"/>
          <w:color w:val="000000" w:themeColor="text1"/>
          <w:lang w:eastAsia="es-ES_tradnl"/>
        </w:rPr>
        <w:t>análisis</w:t>
      </w:r>
      <w:proofErr w:type="spellEnd"/>
      <w:r w:rsidRPr="00801CC3">
        <w:rPr>
          <w:rFonts w:ascii="Arial Narrow" w:eastAsia="Times New Roman" w:hAnsi="Arial Narrow" w:cs="Calibri"/>
          <w:color w:val="000000" w:themeColor="text1"/>
          <w:lang w:eastAsia="es-ES_tradnl"/>
        </w:rPr>
        <w:t xml:space="preserve"> se estimará como medida de riesgo la </w:t>
      </w:r>
      <w:proofErr w:type="spellStart"/>
      <w:r w:rsidRPr="00801CC3">
        <w:rPr>
          <w:rFonts w:ascii="Arial Narrow" w:eastAsia="Times New Roman" w:hAnsi="Arial Narrow" w:cs="Calibri"/>
          <w:color w:val="000000" w:themeColor="text1"/>
          <w:lang w:eastAsia="es-ES_tradnl"/>
        </w:rPr>
        <w:t>determinación</w:t>
      </w:r>
      <w:proofErr w:type="spellEnd"/>
      <w:r w:rsidRPr="00801CC3">
        <w:rPr>
          <w:rFonts w:ascii="Arial Narrow" w:eastAsia="Times New Roman" w:hAnsi="Arial Narrow" w:cs="Calibri"/>
          <w:color w:val="000000" w:themeColor="text1"/>
          <w:lang w:eastAsia="es-ES_tradnl"/>
        </w:rPr>
        <w:t xml:space="preserve"> del Riesgo Relativo (RR) entre el grupo expuesto al esquema </w:t>
      </w:r>
      <w:proofErr w:type="spellStart"/>
      <w:r w:rsidRPr="00801CC3">
        <w:rPr>
          <w:rFonts w:ascii="Arial Narrow" w:eastAsia="Times New Roman" w:hAnsi="Arial Narrow" w:cs="Calibri"/>
          <w:color w:val="000000" w:themeColor="text1"/>
          <w:lang w:eastAsia="es-ES_tradnl"/>
        </w:rPr>
        <w:t>antibiótico</w:t>
      </w:r>
      <w:proofErr w:type="spellEnd"/>
      <w:r w:rsidRPr="00801CC3">
        <w:rPr>
          <w:rFonts w:ascii="Arial Narrow" w:eastAsia="Times New Roman" w:hAnsi="Arial Narrow" w:cs="Calibri"/>
          <w:color w:val="000000" w:themeColor="text1"/>
          <w:lang w:eastAsia="es-ES_tradnl"/>
        </w:rPr>
        <w:t xml:space="preserve"> con </w:t>
      </w:r>
      <w:proofErr w:type="spellStart"/>
      <w:r w:rsidRPr="00801CC3">
        <w:rPr>
          <w:rFonts w:ascii="Arial Narrow" w:eastAsia="Times New Roman" w:hAnsi="Arial Narrow" w:cs="Calibri"/>
          <w:color w:val="000000" w:themeColor="text1"/>
          <w:lang w:eastAsia="es-ES_tradnl"/>
        </w:rPr>
        <w:t>claritromicina</w:t>
      </w:r>
      <w:proofErr w:type="spellEnd"/>
      <w:r w:rsidRPr="00801CC3">
        <w:rPr>
          <w:rFonts w:ascii="Arial Narrow" w:eastAsia="Times New Roman" w:hAnsi="Arial Narrow" w:cs="Calibri"/>
          <w:color w:val="000000" w:themeColor="text1"/>
          <w:lang w:eastAsia="es-ES_tradnl"/>
        </w:rPr>
        <w:t xml:space="preserve"> para el desarrollo de corioamnionitis, con la respectiva </w:t>
      </w:r>
      <w:proofErr w:type="spellStart"/>
      <w:r w:rsidRPr="00801CC3">
        <w:rPr>
          <w:rFonts w:ascii="Arial Narrow" w:eastAsia="Times New Roman" w:hAnsi="Arial Narrow" w:cs="Calibri"/>
          <w:color w:val="000000" w:themeColor="text1"/>
          <w:lang w:eastAsia="es-ES_tradnl"/>
        </w:rPr>
        <w:t>estimación</w:t>
      </w:r>
      <w:proofErr w:type="spellEnd"/>
      <w:r w:rsidRPr="00801CC3">
        <w:rPr>
          <w:rFonts w:ascii="Arial Narrow" w:eastAsia="Times New Roman" w:hAnsi="Arial Narrow" w:cs="Calibri"/>
          <w:color w:val="000000" w:themeColor="text1"/>
          <w:lang w:eastAsia="es-ES_tradnl"/>
        </w:rPr>
        <w:t xml:space="preserve"> del intervalo de confianza al 95% y la prueba de chi cuadrado de independencia. </w:t>
      </w:r>
    </w:p>
    <w:p w14:paraId="217C9292" w14:textId="77777777" w:rsidR="00CB5C64" w:rsidRPr="00801CC3" w:rsidRDefault="00E016EB">
      <w:pPr>
        <w:spacing w:beforeAutospacing="1" w:afterAutospacing="1" w:line="360" w:lineRule="auto"/>
        <w:jc w:val="both"/>
        <w:rPr>
          <w:rFonts w:ascii="Arial Narrow" w:eastAsia="Times New Roman" w:hAnsi="Arial Narrow" w:cs="Calibri"/>
          <w:color w:val="000000" w:themeColor="text1"/>
          <w:lang w:eastAsia="es-ES_tradnl"/>
        </w:rPr>
      </w:pPr>
      <w:r w:rsidRPr="00801CC3">
        <w:rPr>
          <w:rFonts w:ascii="Arial Narrow" w:eastAsia="Times New Roman" w:hAnsi="Arial Narrow" w:cs="Calibri"/>
          <w:color w:val="000000" w:themeColor="text1"/>
          <w:lang w:eastAsia="es-ES_tradnl"/>
        </w:rPr>
        <w:t xml:space="preserve">Se </w:t>
      </w:r>
      <w:proofErr w:type="spellStart"/>
      <w:r w:rsidRPr="00801CC3">
        <w:rPr>
          <w:rFonts w:ascii="Arial Narrow" w:eastAsia="Times New Roman" w:hAnsi="Arial Narrow" w:cs="Calibri"/>
          <w:color w:val="000000" w:themeColor="text1"/>
          <w:lang w:eastAsia="es-ES_tradnl"/>
        </w:rPr>
        <w:t>definira</w:t>
      </w:r>
      <w:proofErr w:type="spellEnd"/>
      <w:r w:rsidRPr="00801CC3">
        <w:rPr>
          <w:rFonts w:ascii="Arial Narrow" w:eastAsia="Times New Roman" w:hAnsi="Arial Narrow" w:cs="Calibri"/>
          <w:color w:val="000000" w:themeColor="text1"/>
          <w:lang w:eastAsia="es-ES_tradnl"/>
        </w:rPr>
        <w:t xml:space="preserve">́ como </w:t>
      </w:r>
      <w:proofErr w:type="spellStart"/>
      <w:r w:rsidRPr="00801CC3">
        <w:rPr>
          <w:rFonts w:ascii="Arial Narrow" w:eastAsia="Times New Roman" w:hAnsi="Arial Narrow" w:cs="Calibri"/>
          <w:color w:val="000000" w:themeColor="text1"/>
          <w:lang w:eastAsia="es-ES_tradnl"/>
        </w:rPr>
        <w:t>estadísticamente</w:t>
      </w:r>
      <w:proofErr w:type="spellEnd"/>
      <w:r w:rsidRPr="00801CC3">
        <w:rPr>
          <w:rFonts w:ascii="Arial Narrow" w:eastAsia="Times New Roman" w:hAnsi="Arial Narrow" w:cs="Calibri"/>
          <w:color w:val="000000" w:themeColor="text1"/>
          <w:lang w:eastAsia="es-ES_tradnl"/>
        </w:rPr>
        <w:t xml:space="preserve"> significativo un punto </w:t>
      </w:r>
      <w:proofErr w:type="spellStart"/>
      <w:r w:rsidRPr="00801CC3">
        <w:rPr>
          <w:rFonts w:ascii="Arial Narrow" w:eastAsia="Times New Roman" w:hAnsi="Arial Narrow" w:cs="Calibri"/>
          <w:color w:val="000000" w:themeColor="text1"/>
          <w:lang w:eastAsia="es-ES_tradnl"/>
        </w:rPr>
        <w:t>crítico</w:t>
      </w:r>
      <w:proofErr w:type="spellEnd"/>
      <w:r w:rsidRPr="00801CC3">
        <w:rPr>
          <w:rFonts w:ascii="Arial Narrow" w:eastAsia="Times New Roman" w:hAnsi="Arial Narrow" w:cs="Calibri"/>
          <w:color w:val="000000" w:themeColor="text1"/>
          <w:lang w:eastAsia="es-ES_tradnl"/>
        </w:rPr>
        <w:t xml:space="preserve"> de 0.05. Todos los </w:t>
      </w:r>
      <w:proofErr w:type="spellStart"/>
      <w:r w:rsidRPr="00801CC3">
        <w:rPr>
          <w:rFonts w:ascii="Arial Narrow" w:eastAsia="Times New Roman" w:hAnsi="Arial Narrow" w:cs="Calibri"/>
          <w:color w:val="000000" w:themeColor="text1"/>
          <w:lang w:eastAsia="es-ES_tradnl"/>
        </w:rPr>
        <w:t>análisis</w:t>
      </w:r>
      <w:proofErr w:type="spellEnd"/>
      <w:r w:rsidRPr="00801CC3">
        <w:rPr>
          <w:rFonts w:ascii="Arial Narrow" w:eastAsia="Times New Roman" w:hAnsi="Arial Narrow" w:cs="Calibri"/>
          <w:color w:val="000000" w:themeColor="text1"/>
          <w:lang w:eastAsia="es-ES_tradnl"/>
        </w:rPr>
        <w:t xml:space="preserve"> se </w:t>
      </w:r>
      <w:proofErr w:type="spellStart"/>
      <w:r w:rsidRPr="00801CC3">
        <w:rPr>
          <w:rFonts w:ascii="Arial Narrow" w:eastAsia="Times New Roman" w:hAnsi="Arial Narrow" w:cs="Calibri"/>
          <w:color w:val="000000" w:themeColor="text1"/>
          <w:lang w:eastAsia="es-ES_tradnl"/>
        </w:rPr>
        <w:t>realizarán</w:t>
      </w:r>
      <w:proofErr w:type="spellEnd"/>
      <w:r w:rsidRPr="00801CC3">
        <w:rPr>
          <w:rFonts w:ascii="Arial Narrow" w:eastAsia="Times New Roman" w:hAnsi="Arial Narrow" w:cs="Calibri"/>
          <w:color w:val="000000" w:themeColor="text1"/>
          <w:lang w:eastAsia="es-ES_tradnl"/>
        </w:rPr>
        <w:t xml:space="preserve"> por medio del software </w:t>
      </w:r>
      <w:proofErr w:type="spellStart"/>
      <w:r w:rsidRPr="00801CC3">
        <w:rPr>
          <w:rFonts w:ascii="Arial Narrow" w:eastAsia="Times New Roman" w:hAnsi="Arial Narrow" w:cs="Calibri"/>
          <w:color w:val="000000" w:themeColor="text1"/>
          <w:lang w:eastAsia="es-ES_tradnl"/>
        </w:rPr>
        <w:t>Stata</w:t>
      </w:r>
      <w:proofErr w:type="spellEnd"/>
      <w:r w:rsidRPr="00801CC3">
        <w:rPr>
          <w:rFonts w:ascii="Arial Narrow" w:eastAsia="Times New Roman" w:hAnsi="Arial Narrow" w:cs="Calibri"/>
          <w:color w:val="000000" w:themeColor="text1"/>
          <w:lang w:eastAsia="es-ES_tradnl"/>
        </w:rPr>
        <w:t xml:space="preserve"> 15.1. (</w:t>
      </w:r>
      <w:proofErr w:type="spellStart"/>
      <w:r w:rsidRPr="00801CC3">
        <w:rPr>
          <w:rFonts w:ascii="Arial Narrow" w:eastAsia="Times New Roman" w:hAnsi="Arial Narrow" w:cs="Calibri"/>
          <w:color w:val="000000" w:themeColor="text1"/>
          <w:lang w:eastAsia="es-ES_tradnl"/>
        </w:rPr>
        <w:t>Stata</w:t>
      </w:r>
      <w:proofErr w:type="spellEnd"/>
      <w:r w:rsidRPr="00801CC3">
        <w:rPr>
          <w:rFonts w:ascii="Arial Narrow" w:eastAsia="Times New Roman" w:hAnsi="Arial Narrow" w:cs="Calibri"/>
          <w:color w:val="000000" w:themeColor="text1"/>
          <w:lang w:eastAsia="es-ES_tradnl"/>
        </w:rPr>
        <w:t xml:space="preserve"> Corp. Texas, USA. 2019)</w:t>
      </w:r>
    </w:p>
    <w:p w14:paraId="430FAEA0" w14:textId="77777777" w:rsidR="00CB5C64" w:rsidRDefault="00E016EB">
      <w:pPr>
        <w:pStyle w:val="Piedepgina"/>
        <w:tabs>
          <w:tab w:val="clear" w:pos="4252"/>
          <w:tab w:val="clear" w:pos="8504"/>
          <w:tab w:val="left" w:pos="993"/>
        </w:tabs>
        <w:spacing w:line="360" w:lineRule="auto"/>
        <w:jc w:val="both"/>
        <w:rPr>
          <w:rFonts w:ascii="Arial Narrow" w:hAnsi="Arial Narrow" w:cs="Calibri"/>
          <w:b/>
          <w:bCs/>
          <w:color w:val="000000" w:themeColor="text1"/>
        </w:rPr>
      </w:pPr>
      <w:r w:rsidRPr="00801CC3">
        <w:rPr>
          <w:rFonts w:ascii="Arial Narrow" w:hAnsi="Arial Narrow" w:cs="Calibri"/>
          <w:b/>
          <w:bCs/>
          <w:color w:val="000000" w:themeColor="text1"/>
        </w:rPr>
        <w:t>E</w:t>
      </w:r>
      <w:r w:rsidR="00EC6245" w:rsidRPr="00801CC3">
        <w:rPr>
          <w:rFonts w:ascii="Arial Narrow" w:hAnsi="Arial Narrow" w:cs="Calibri"/>
          <w:b/>
          <w:bCs/>
          <w:color w:val="000000" w:themeColor="text1"/>
        </w:rPr>
        <w:t xml:space="preserve">xcepción al consentimiento informado </w:t>
      </w:r>
    </w:p>
    <w:p w14:paraId="4BAB03D2" w14:textId="77777777" w:rsidR="00801CC3" w:rsidRPr="00801CC3" w:rsidRDefault="00801CC3">
      <w:pPr>
        <w:pStyle w:val="Piedepgina"/>
        <w:tabs>
          <w:tab w:val="clear" w:pos="4252"/>
          <w:tab w:val="clear" w:pos="8504"/>
          <w:tab w:val="left" w:pos="993"/>
        </w:tabs>
        <w:spacing w:line="360" w:lineRule="auto"/>
        <w:jc w:val="both"/>
        <w:rPr>
          <w:rFonts w:ascii="Arial Narrow" w:hAnsi="Arial Narrow" w:cs="Calibri"/>
          <w:b/>
          <w:bCs/>
          <w:color w:val="000000" w:themeColor="text1"/>
        </w:rPr>
      </w:pPr>
    </w:p>
    <w:p w14:paraId="7ABE6501" w14:textId="77777777" w:rsidR="00CB5C64" w:rsidRPr="00801CC3" w:rsidRDefault="00E016EB">
      <w:pPr>
        <w:pStyle w:val="Piedepgina"/>
        <w:tabs>
          <w:tab w:val="clear" w:pos="4252"/>
          <w:tab w:val="clear" w:pos="8504"/>
          <w:tab w:val="left" w:pos="993"/>
        </w:tabs>
        <w:spacing w:line="360" w:lineRule="auto"/>
        <w:jc w:val="both"/>
        <w:rPr>
          <w:rFonts w:ascii="Arial Narrow" w:hAnsi="Arial Narrow" w:cs="Calibri"/>
          <w:color w:val="000000" w:themeColor="text1"/>
        </w:rPr>
      </w:pPr>
      <w:r w:rsidRPr="00801CC3">
        <w:rPr>
          <w:rFonts w:ascii="Arial Narrow" w:hAnsi="Arial Narrow" w:cs="Calibri"/>
          <w:color w:val="000000" w:themeColor="text1"/>
        </w:rPr>
        <w:t>Se solicita excepción para la obtención de un consentimiento informado debido a que:</w:t>
      </w:r>
    </w:p>
    <w:p w14:paraId="7535CFC5" w14:textId="77777777" w:rsidR="00CB5C64" w:rsidRPr="00801CC3" w:rsidRDefault="00E016EB" w:rsidP="00801CC3">
      <w:pPr>
        <w:pStyle w:val="Piedepgina"/>
        <w:numPr>
          <w:ilvl w:val="0"/>
          <w:numId w:val="11"/>
        </w:numPr>
        <w:tabs>
          <w:tab w:val="clear" w:pos="4252"/>
          <w:tab w:val="clear" w:pos="8504"/>
          <w:tab w:val="left" w:pos="993"/>
        </w:tabs>
        <w:spacing w:line="360" w:lineRule="auto"/>
        <w:jc w:val="both"/>
        <w:rPr>
          <w:rFonts w:ascii="Arial Narrow" w:hAnsi="Arial Narrow" w:cs="Calibri"/>
          <w:color w:val="000000" w:themeColor="text1"/>
        </w:rPr>
      </w:pPr>
      <w:r w:rsidRPr="00801CC3">
        <w:rPr>
          <w:rFonts w:ascii="Arial Narrow" w:hAnsi="Arial Narrow" w:cs="Calibri"/>
          <w:color w:val="000000" w:themeColor="text1"/>
        </w:rPr>
        <w:t>La investigación involucra un riesgo menor que el mínimo para los participantes, ya que será observacional retrospectivo.</w:t>
      </w:r>
    </w:p>
    <w:p w14:paraId="2C70B4E0" w14:textId="77777777" w:rsidR="00CB5C64" w:rsidRPr="00801CC3" w:rsidRDefault="00E016EB" w:rsidP="00801CC3">
      <w:pPr>
        <w:pStyle w:val="Piedepgina"/>
        <w:numPr>
          <w:ilvl w:val="0"/>
          <w:numId w:val="11"/>
        </w:numPr>
        <w:tabs>
          <w:tab w:val="clear" w:pos="4252"/>
          <w:tab w:val="clear" w:pos="8504"/>
          <w:tab w:val="left" w:pos="993"/>
        </w:tabs>
        <w:spacing w:line="360" w:lineRule="auto"/>
        <w:jc w:val="both"/>
        <w:rPr>
          <w:rFonts w:ascii="Arial Narrow" w:hAnsi="Arial Narrow" w:cs="Calibri"/>
          <w:color w:val="000000" w:themeColor="text1"/>
        </w:rPr>
      </w:pPr>
      <w:r w:rsidRPr="00801CC3">
        <w:rPr>
          <w:rFonts w:ascii="Arial Narrow" w:hAnsi="Arial Narrow" w:cs="Calibri"/>
          <w:color w:val="000000" w:themeColor="text1"/>
        </w:rPr>
        <w:t xml:space="preserve">La excepción o alteración no afectará los derechos y el bienestar de los participantes, ya que es un estudio retrospectivo, donde solo se analizará la información recolectada. </w:t>
      </w:r>
    </w:p>
    <w:p w14:paraId="7AD7B609" w14:textId="77777777" w:rsidR="00CB5C64" w:rsidRPr="00801CC3" w:rsidRDefault="00E016EB" w:rsidP="00801CC3">
      <w:pPr>
        <w:pStyle w:val="Piedepgina"/>
        <w:numPr>
          <w:ilvl w:val="0"/>
          <w:numId w:val="11"/>
        </w:numPr>
        <w:tabs>
          <w:tab w:val="clear" w:pos="4252"/>
          <w:tab w:val="clear" w:pos="8504"/>
          <w:tab w:val="left" w:pos="993"/>
        </w:tabs>
        <w:spacing w:line="360" w:lineRule="auto"/>
        <w:jc w:val="both"/>
        <w:rPr>
          <w:rFonts w:ascii="Arial Narrow" w:hAnsi="Arial Narrow" w:cs="Calibri"/>
          <w:color w:val="000000" w:themeColor="text1"/>
        </w:rPr>
      </w:pPr>
      <w:r w:rsidRPr="00801CC3">
        <w:rPr>
          <w:rFonts w:ascii="Arial Narrow" w:hAnsi="Arial Narrow" w:cs="Calibri"/>
          <w:color w:val="000000" w:themeColor="text1"/>
        </w:rPr>
        <w:t xml:space="preserve"> La investigación no sería posible sin una excepción para la obtención del consentimiento informado, por protocolo institucional, no se podría iniciar la misma. </w:t>
      </w:r>
    </w:p>
    <w:p w14:paraId="406F6E1B" w14:textId="77777777" w:rsidR="00CB5C64" w:rsidRPr="00801CC3" w:rsidRDefault="00E016EB" w:rsidP="00801CC3">
      <w:pPr>
        <w:pStyle w:val="Piedepgina"/>
        <w:numPr>
          <w:ilvl w:val="0"/>
          <w:numId w:val="11"/>
        </w:numPr>
        <w:tabs>
          <w:tab w:val="clear" w:pos="4252"/>
          <w:tab w:val="clear" w:pos="8504"/>
          <w:tab w:val="left" w:pos="993"/>
        </w:tabs>
        <w:spacing w:line="360" w:lineRule="auto"/>
        <w:jc w:val="both"/>
        <w:rPr>
          <w:rFonts w:ascii="Arial Narrow" w:hAnsi="Arial Narrow" w:cs="Calibri"/>
          <w:color w:val="000000" w:themeColor="text1"/>
        </w:rPr>
      </w:pPr>
      <w:r w:rsidRPr="00801CC3">
        <w:rPr>
          <w:rFonts w:ascii="Arial Narrow" w:hAnsi="Arial Narrow" w:cs="Calibri"/>
          <w:color w:val="000000" w:themeColor="text1"/>
        </w:rPr>
        <w:t xml:space="preserve">El único contacto entre el participante y el equipo investigador va a ser a través de un expediente clínico, ya sea físico o digital, para la obtención de la información a estudiar. Y el riesgo principal es la ruptura de la confidencialidad de la información, lo cual se protegerá con la asignación de un código alfanumérico a cada participante. </w:t>
      </w:r>
    </w:p>
    <w:p w14:paraId="0DDFDEF3" w14:textId="77777777" w:rsidR="00EC6245" w:rsidRPr="00801CC3" w:rsidRDefault="00EC6245" w:rsidP="00EC6245">
      <w:pPr>
        <w:pStyle w:val="Piedepgina"/>
        <w:tabs>
          <w:tab w:val="clear" w:pos="4252"/>
          <w:tab w:val="clear" w:pos="8504"/>
          <w:tab w:val="left" w:pos="993"/>
        </w:tabs>
        <w:spacing w:line="360" w:lineRule="auto"/>
        <w:ind w:left="360"/>
        <w:jc w:val="both"/>
        <w:rPr>
          <w:rFonts w:ascii="Arial Narrow" w:hAnsi="Arial Narrow" w:cs="Calibri"/>
          <w:color w:val="000000" w:themeColor="text1"/>
        </w:rPr>
      </w:pPr>
    </w:p>
    <w:p w14:paraId="6078BB49" w14:textId="77777777" w:rsidR="00EC6245" w:rsidRPr="00651A6E" w:rsidRDefault="00EC6245" w:rsidP="00651A6E">
      <w:pPr>
        <w:rPr>
          <w:rFonts w:ascii="Arial Narrow" w:eastAsia="Times New Roman" w:hAnsi="Arial Narrow" w:cs="Calibri"/>
          <w:b/>
          <w:color w:val="000000" w:themeColor="text1"/>
          <w:lang w:val="es-ES" w:eastAsia="es-ES"/>
        </w:rPr>
      </w:pPr>
      <w:r w:rsidRPr="00801CC3">
        <w:rPr>
          <w:rFonts w:ascii="Arial Narrow" w:hAnsi="Arial Narrow" w:cs="Calibri"/>
          <w:b/>
          <w:color w:val="000000" w:themeColor="text1"/>
        </w:rPr>
        <w:t xml:space="preserve">Consideraciones éticas </w:t>
      </w:r>
    </w:p>
    <w:p w14:paraId="12B5C367" w14:textId="77777777" w:rsidR="00EC6245" w:rsidRPr="00801CC3" w:rsidRDefault="00EC6245" w:rsidP="00EC6245">
      <w:pPr>
        <w:pStyle w:val="Piedepgina"/>
        <w:tabs>
          <w:tab w:val="clear" w:pos="4252"/>
          <w:tab w:val="clear" w:pos="8504"/>
          <w:tab w:val="left" w:pos="993"/>
        </w:tabs>
        <w:spacing w:line="360" w:lineRule="auto"/>
        <w:ind w:left="360"/>
        <w:jc w:val="both"/>
        <w:rPr>
          <w:rFonts w:ascii="Arial Narrow" w:hAnsi="Arial Narrow" w:cs="Calibri"/>
          <w:color w:val="000000" w:themeColor="text1"/>
        </w:rPr>
      </w:pPr>
    </w:p>
    <w:p w14:paraId="6215FEC3" w14:textId="77777777" w:rsidR="00EC6245" w:rsidRPr="00801CC3" w:rsidRDefault="00EC6245" w:rsidP="00651A6E">
      <w:pPr>
        <w:pStyle w:val="Piedepgina"/>
        <w:tabs>
          <w:tab w:val="clear" w:pos="4252"/>
          <w:tab w:val="clear" w:pos="8504"/>
          <w:tab w:val="left" w:pos="993"/>
        </w:tabs>
        <w:spacing w:line="360" w:lineRule="auto"/>
        <w:jc w:val="both"/>
        <w:rPr>
          <w:rFonts w:ascii="Arial Narrow" w:hAnsi="Arial Narrow" w:cs="Calibri"/>
          <w:color w:val="000000" w:themeColor="text1"/>
        </w:rPr>
      </w:pPr>
      <w:r w:rsidRPr="00801CC3">
        <w:rPr>
          <w:rFonts w:ascii="Arial Narrow" w:hAnsi="Arial Narrow" w:cs="Calibri"/>
          <w:color w:val="000000" w:themeColor="text1"/>
        </w:rPr>
        <w:t xml:space="preserve">Todo el protocolo de investigación fue aprobado </w:t>
      </w:r>
      <w:r w:rsidR="002A3E77" w:rsidRPr="00801CC3">
        <w:rPr>
          <w:rFonts w:ascii="Arial Narrow" w:hAnsi="Arial Narrow" w:cs="Calibri"/>
          <w:color w:val="000000" w:themeColor="text1"/>
        </w:rPr>
        <w:t>previamente por el Comité Ético Científico Central de la Caja Costarricense del Seguro Social</w:t>
      </w:r>
      <w:r w:rsidR="00BB5798">
        <w:rPr>
          <w:rFonts w:ascii="Arial Narrow" w:hAnsi="Arial Narrow" w:cs="Calibri"/>
          <w:color w:val="000000" w:themeColor="text1"/>
        </w:rPr>
        <w:t xml:space="preserve"> (CEC-CENTRAL-CCSS-1707-2020)</w:t>
      </w:r>
      <w:r w:rsidR="002A3E77" w:rsidRPr="00801CC3">
        <w:rPr>
          <w:rFonts w:ascii="Arial Narrow" w:hAnsi="Arial Narrow" w:cs="Calibri"/>
          <w:color w:val="000000" w:themeColor="text1"/>
        </w:rPr>
        <w:t xml:space="preserve"> siguiendo lo establecido por el Consejo Nacional de Investigación en Salud (CONIS) y la Ley Reguladora en Investigación Biomédica Nº 9234. </w:t>
      </w:r>
    </w:p>
    <w:p w14:paraId="00DB6F76" w14:textId="77777777" w:rsidR="00CB5C64" w:rsidRPr="00801CC3" w:rsidRDefault="008771B4" w:rsidP="008771B4">
      <w:pPr>
        <w:rPr>
          <w:rFonts w:ascii="Arial Narrow" w:eastAsia="Times New Roman" w:hAnsi="Arial Narrow" w:cs="Calibri"/>
          <w:color w:val="000000" w:themeColor="text1"/>
          <w:lang w:val="es-ES" w:eastAsia="es-ES"/>
        </w:rPr>
      </w:pPr>
      <w:r w:rsidRPr="00801CC3">
        <w:rPr>
          <w:rFonts w:ascii="Arial Narrow" w:hAnsi="Arial Narrow" w:cs="Calibri"/>
          <w:color w:val="000000" w:themeColor="text1"/>
        </w:rPr>
        <w:br w:type="page"/>
      </w:r>
    </w:p>
    <w:p w14:paraId="7D4FB590" w14:textId="77777777" w:rsidR="00EC6245" w:rsidRPr="00801CC3" w:rsidRDefault="00EC6245">
      <w:pPr>
        <w:spacing w:line="360" w:lineRule="auto"/>
        <w:ind w:left="283"/>
        <w:jc w:val="both"/>
        <w:rPr>
          <w:rFonts w:ascii="Arial Narrow" w:hAnsi="Arial Narrow" w:cs="Calibri"/>
          <w:b/>
          <w:color w:val="000000" w:themeColor="text1"/>
        </w:rPr>
      </w:pPr>
      <w:r w:rsidRPr="00801CC3">
        <w:rPr>
          <w:rFonts w:ascii="Arial Narrow" w:hAnsi="Arial Narrow" w:cs="Calibri"/>
          <w:b/>
          <w:color w:val="000000" w:themeColor="text1"/>
        </w:rPr>
        <w:lastRenderedPageBreak/>
        <w:t>Resultados</w:t>
      </w:r>
    </w:p>
    <w:p w14:paraId="75F56240" w14:textId="77777777" w:rsidR="00EC6245" w:rsidRPr="00801CC3" w:rsidRDefault="00EC6245">
      <w:pPr>
        <w:spacing w:line="360" w:lineRule="auto"/>
        <w:ind w:left="283"/>
        <w:jc w:val="both"/>
        <w:rPr>
          <w:rFonts w:ascii="Arial Narrow" w:hAnsi="Arial Narrow" w:cs="Calibri"/>
          <w:b/>
          <w:color w:val="000000" w:themeColor="text1"/>
        </w:rPr>
      </w:pPr>
    </w:p>
    <w:p w14:paraId="61C73040" w14:textId="77777777" w:rsidR="00CB5C64" w:rsidRPr="00801CC3" w:rsidRDefault="00E016EB">
      <w:pPr>
        <w:spacing w:line="360" w:lineRule="auto"/>
        <w:ind w:left="283"/>
        <w:jc w:val="both"/>
        <w:rPr>
          <w:rFonts w:ascii="Arial Narrow" w:hAnsi="Arial Narrow" w:cs="Calibri"/>
          <w:color w:val="000000" w:themeColor="text1"/>
        </w:rPr>
      </w:pPr>
      <w:r w:rsidRPr="00801CC3">
        <w:rPr>
          <w:rFonts w:ascii="Arial Narrow" w:hAnsi="Arial Narrow" w:cs="Calibri"/>
          <w:color w:val="000000" w:themeColor="text1"/>
        </w:rPr>
        <w:t>Un total de 2197 casos fueron clasificados, de los cuales 1344 fueron excluidos por no cumplir con los criterios de inclusión, 636 sin posibilidad de localizar el expediente de salud y 181 casos posterior a la verificación del diagnóstico incorrecto, obteniéndose un total de 36 pacientes que cumplieron con los criterios de inclusión y exclusión del estudio.</w:t>
      </w:r>
    </w:p>
    <w:p w14:paraId="319302F5" w14:textId="77777777" w:rsidR="00CB5C64" w:rsidRPr="00801CC3" w:rsidRDefault="00CB5C64">
      <w:pPr>
        <w:spacing w:line="360" w:lineRule="auto"/>
        <w:ind w:left="283"/>
        <w:jc w:val="both"/>
        <w:rPr>
          <w:rFonts w:ascii="Arial Narrow" w:hAnsi="Arial Narrow" w:cs="Calibri"/>
          <w:b/>
          <w:bCs/>
          <w:color w:val="000000" w:themeColor="text1"/>
        </w:rPr>
      </w:pPr>
    </w:p>
    <w:p w14:paraId="6FE54692" w14:textId="77777777" w:rsidR="00CB5C64" w:rsidRPr="00801CC3" w:rsidRDefault="00E016EB">
      <w:pPr>
        <w:spacing w:line="360" w:lineRule="auto"/>
        <w:ind w:left="283"/>
        <w:jc w:val="both"/>
        <w:rPr>
          <w:rFonts w:ascii="Arial Narrow" w:hAnsi="Arial Narrow" w:cs="Calibri"/>
          <w:color w:val="000000" w:themeColor="text1"/>
        </w:rPr>
      </w:pPr>
      <w:r w:rsidRPr="00801CC3">
        <w:rPr>
          <w:rFonts w:ascii="Arial Narrow" w:hAnsi="Arial Narrow" w:cs="Calibri"/>
          <w:color w:val="000000" w:themeColor="text1"/>
        </w:rPr>
        <w:t>Un total de 36 pacientes fueron evaluadas, las cuales presentaron una media de edad de 27.2 (DE:6.5) años al momento del diagnóstico.</w:t>
      </w:r>
    </w:p>
    <w:p w14:paraId="49D13983" w14:textId="77777777" w:rsidR="00CB5C64" w:rsidRPr="00801CC3" w:rsidRDefault="00CB5C64">
      <w:pPr>
        <w:spacing w:line="360" w:lineRule="auto"/>
        <w:ind w:left="283"/>
        <w:jc w:val="both"/>
        <w:rPr>
          <w:rFonts w:ascii="Arial Narrow" w:hAnsi="Arial Narrow" w:cs="Calibri"/>
          <w:color w:val="000000" w:themeColor="text1"/>
        </w:rPr>
      </w:pPr>
    </w:p>
    <w:p w14:paraId="7A9834C5" w14:textId="77777777" w:rsidR="00CB5C64" w:rsidRDefault="00E016EB">
      <w:pPr>
        <w:spacing w:line="360" w:lineRule="auto"/>
        <w:ind w:left="283"/>
        <w:jc w:val="both"/>
        <w:rPr>
          <w:rFonts w:ascii="Arial Narrow" w:hAnsi="Arial Narrow" w:cs="Calibri"/>
          <w:b/>
          <w:color w:val="000000" w:themeColor="text1"/>
        </w:rPr>
      </w:pPr>
      <w:r w:rsidRPr="00801CC3">
        <w:rPr>
          <w:rFonts w:ascii="Arial Narrow" w:hAnsi="Arial Narrow" w:cs="Calibri"/>
          <w:color w:val="000000" w:themeColor="text1"/>
        </w:rPr>
        <w:t xml:space="preserve">Con respecto a la presencia de antecedentes personales patológicos se evidenció que se presentaron en el 19.4% (7/36) de los casos. </w:t>
      </w:r>
      <w:r w:rsidR="002A3E77" w:rsidRPr="00801CC3">
        <w:rPr>
          <w:rFonts w:ascii="Arial Narrow" w:hAnsi="Arial Narrow" w:cs="Calibri"/>
          <w:b/>
          <w:color w:val="000000" w:themeColor="text1"/>
        </w:rPr>
        <w:t>Tabla</w:t>
      </w:r>
      <w:r w:rsidRPr="00801CC3">
        <w:rPr>
          <w:rFonts w:ascii="Arial Narrow" w:hAnsi="Arial Narrow" w:cs="Calibri"/>
          <w:b/>
          <w:color w:val="000000" w:themeColor="text1"/>
        </w:rPr>
        <w:t xml:space="preserve"> 1.</w:t>
      </w:r>
    </w:p>
    <w:p w14:paraId="3C2D7622" w14:textId="77777777" w:rsidR="00F2733F" w:rsidRPr="00801CC3" w:rsidRDefault="00F2733F">
      <w:pPr>
        <w:spacing w:line="360" w:lineRule="auto"/>
        <w:ind w:left="283"/>
        <w:jc w:val="both"/>
        <w:rPr>
          <w:rFonts w:ascii="Arial Narrow" w:hAnsi="Arial Narrow" w:cs="Calibri"/>
          <w:color w:val="000000" w:themeColor="text1"/>
        </w:rPr>
      </w:pPr>
    </w:p>
    <w:p w14:paraId="3719C6E6" w14:textId="77777777" w:rsidR="00CB5C64" w:rsidRPr="00801CC3" w:rsidRDefault="00CB5C64">
      <w:pPr>
        <w:jc w:val="both"/>
        <w:rPr>
          <w:rFonts w:ascii="Arial Narrow" w:hAnsi="Arial Narrow" w:cs="Calibri"/>
          <w:color w:val="000000" w:themeColor="text1"/>
        </w:rPr>
      </w:pPr>
    </w:p>
    <w:p w14:paraId="72F04982" w14:textId="77777777" w:rsidR="00CB5C64" w:rsidRPr="00801CC3" w:rsidRDefault="002A3E77">
      <w:pPr>
        <w:spacing w:line="360" w:lineRule="auto"/>
        <w:ind w:left="283"/>
        <w:jc w:val="center"/>
        <w:rPr>
          <w:rFonts w:ascii="Arial Narrow" w:hAnsi="Arial Narrow" w:cs="Calibri"/>
          <w:b/>
          <w:bCs/>
          <w:color w:val="000000" w:themeColor="text1"/>
          <w:lang w:val="es-ES"/>
        </w:rPr>
      </w:pPr>
      <w:r w:rsidRPr="00801CC3">
        <w:rPr>
          <w:rFonts w:ascii="Arial Narrow" w:hAnsi="Arial Narrow" w:cs="Calibri"/>
          <w:b/>
          <w:color w:val="000000" w:themeColor="text1"/>
        </w:rPr>
        <w:t>Tabla</w:t>
      </w:r>
      <w:r w:rsidR="00E016EB" w:rsidRPr="00801CC3">
        <w:rPr>
          <w:rFonts w:ascii="Arial Narrow" w:hAnsi="Arial Narrow" w:cs="Calibri"/>
          <w:b/>
          <w:color w:val="000000" w:themeColor="text1"/>
        </w:rPr>
        <w:t xml:space="preserve"> 1:</w:t>
      </w:r>
      <w:r w:rsidR="00E016EB" w:rsidRPr="00801CC3">
        <w:rPr>
          <w:rFonts w:ascii="Arial Narrow" w:hAnsi="Arial Narrow" w:cs="Calibri"/>
          <w:color w:val="000000" w:themeColor="text1"/>
        </w:rPr>
        <w:t xml:space="preserve"> Distribución de pacientes con indicación de </w:t>
      </w:r>
      <w:r w:rsidR="00E016EB" w:rsidRPr="00801CC3">
        <w:rPr>
          <w:rFonts w:ascii="Arial Narrow" w:hAnsi="Arial Narrow" w:cs="Calibri"/>
          <w:color w:val="000000" w:themeColor="text1"/>
          <w:lang w:val="es-ES"/>
        </w:rPr>
        <w:t>antibioticoterapia por ruptura prematura de membranas alejada de término, con esquema de claritromicina, según antec</w:t>
      </w:r>
      <w:r w:rsidR="002650AF">
        <w:rPr>
          <w:rFonts w:ascii="Arial Narrow" w:hAnsi="Arial Narrow" w:cs="Calibri"/>
          <w:color w:val="000000" w:themeColor="text1"/>
          <w:lang w:val="es-ES"/>
        </w:rPr>
        <w:t>edentes personales patológicos.</w:t>
      </w:r>
    </w:p>
    <w:tbl>
      <w:tblPr>
        <w:tblStyle w:val="DataAnalytic"/>
        <w:tblW w:w="8838" w:type="dxa"/>
        <w:tblLook w:val="04A0" w:firstRow="1" w:lastRow="0" w:firstColumn="1" w:lastColumn="0" w:noHBand="0" w:noVBand="1"/>
      </w:tblPr>
      <w:tblGrid>
        <w:gridCol w:w="3402"/>
        <w:gridCol w:w="1056"/>
        <w:gridCol w:w="2176"/>
        <w:gridCol w:w="2204"/>
      </w:tblGrid>
      <w:tr w:rsidR="00CB5C64" w:rsidRPr="00801CC3" w14:paraId="21346A28" w14:textId="77777777" w:rsidTr="00CB5C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01" w:type="dxa"/>
            <w:tcBorders>
              <w:top w:val="single" w:sz="6" w:space="0" w:color="000000"/>
              <w:bottom w:val="single" w:sz="6" w:space="0" w:color="000000"/>
            </w:tcBorders>
            <w:shd w:val="clear" w:color="auto" w:fill="auto"/>
          </w:tcPr>
          <w:p w14:paraId="0740E5E8" w14:textId="77777777" w:rsidR="00CB5C64" w:rsidRPr="00801CC3" w:rsidRDefault="00E016EB">
            <w:pPr>
              <w:rPr>
                <w:rFonts w:ascii="Arial Narrow" w:hAnsi="Arial Narrow" w:cs="Calibri"/>
                <w:color w:val="000000" w:themeColor="text1"/>
                <w:sz w:val="24"/>
                <w:szCs w:val="24"/>
              </w:rPr>
            </w:pPr>
            <w:proofErr w:type="spellStart"/>
            <w:r w:rsidRPr="00801CC3">
              <w:rPr>
                <w:rFonts w:ascii="Arial Narrow" w:hAnsi="Arial Narrow" w:cs="Calibri"/>
                <w:color w:val="000000" w:themeColor="text1"/>
                <w:sz w:val="24"/>
                <w:szCs w:val="24"/>
              </w:rPr>
              <w:t>Antecedentes</w:t>
            </w:r>
            <w:proofErr w:type="spellEnd"/>
            <w:r w:rsidRPr="00801CC3">
              <w:rPr>
                <w:rFonts w:ascii="Arial Narrow" w:hAnsi="Arial Narrow" w:cs="Calibri"/>
                <w:color w:val="000000" w:themeColor="text1"/>
                <w:sz w:val="24"/>
                <w:szCs w:val="24"/>
              </w:rPr>
              <w:t xml:space="preserve"> </w:t>
            </w:r>
            <w:proofErr w:type="spellStart"/>
            <w:r w:rsidRPr="00801CC3">
              <w:rPr>
                <w:rFonts w:ascii="Arial Narrow" w:hAnsi="Arial Narrow" w:cs="Calibri"/>
                <w:color w:val="000000" w:themeColor="text1"/>
                <w:sz w:val="24"/>
                <w:szCs w:val="24"/>
              </w:rPr>
              <w:t>personales</w:t>
            </w:r>
            <w:proofErr w:type="spellEnd"/>
            <w:r w:rsidRPr="00801CC3">
              <w:rPr>
                <w:rFonts w:ascii="Arial Narrow" w:hAnsi="Arial Narrow" w:cs="Calibri"/>
                <w:color w:val="000000" w:themeColor="text1"/>
                <w:sz w:val="24"/>
                <w:szCs w:val="24"/>
              </w:rPr>
              <w:t xml:space="preserve"> </w:t>
            </w:r>
            <w:proofErr w:type="spellStart"/>
            <w:r w:rsidRPr="00801CC3">
              <w:rPr>
                <w:rFonts w:ascii="Arial Narrow" w:hAnsi="Arial Narrow" w:cs="Calibri"/>
                <w:color w:val="000000" w:themeColor="text1"/>
                <w:sz w:val="24"/>
                <w:szCs w:val="24"/>
              </w:rPr>
              <w:t>patológicos</w:t>
            </w:r>
            <w:proofErr w:type="spellEnd"/>
          </w:p>
        </w:tc>
        <w:tc>
          <w:tcPr>
            <w:tcW w:w="1056" w:type="dxa"/>
            <w:tcBorders>
              <w:top w:val="single" w:sz="6" w:space="0" w:color="000000"/>
              <w:bottom w:val="single" w:sz="6" w:space="0" w:color="000000"/>
            </w:tcBorders>
            <w:shd w:val="clear" w:color="auto" w:fill="auto"/>
          </w:tcPr>
          <w:p w14:paraId="5FC0BB7D" w14:textId="77777777" w:rsidR="00CB5C64" w:rsidRPr="00801CC3" w:rsidRDefault="00E016EB">
            <w:pPr>
              <w:cnfStyle w:val="100000000000" w:firstRow="1" w:lastRow="0" w:firstColumn="0" w:lastColumn="0" w:oddVBand="0" w:evenVBand="0" w:oddHBand="0" w:evenHBand="0" w:firstRowFirstColumn="0" w:firstRowLastColumn="0" w:lastRowFirstColumn="0" w:lastRowLastColumn="0"/>
              <w:rPr>
                <w:rFonts w:ascii="Arial Narrow" w:hAnsi="Arial Narrow" w:cs="Calibri"/>
                <w:b/>
                <w:color w:val="000000" w:themeColor="text1"/>
                <w:sz w:val="24"/>
                <w:szCs w:val="24"/>
              </w:rPr>
            </w:pPr>
            <w:r w:rsidRPr="00801CC3">
              <w:rPr>
                <w:rFonts w:ascii="Arial Narrow" w:hAnsi="Arial Narrow" w:cs="Calibri"/>
                <w:b/>
                <w:color w:val="000000" w:themeColor="text1"/>
                <w:sz w:val="24"/>
                <w:szCs w:val="24"/>
              </w:rPr>
              <w:t>Casos</w:t>
            </w:r>
          </w:p>
        </w:tc>
        <w:tc>
          <w:tcPr>
            <w:tcW w:w="2176" w:type="dxa"/>
            <w:tcBorders>
              <w:top w:val="single" w:sz="6" w:space="0" w:color="000000"/>
              <w:bottom w:val="single" w:sz="6" w:space="0" w:color="000000"/>
            </w:tcBorders>
            <w:shd w:val="clear" w:color="auto" w:fill="auto"/>
          </w:tcPr>
          <w:p w14:paraId="7FE58BD0" w14:textId="77777777" w:rsidR="00CB5C64" w:rsidRPr="00801CC3" w:rsidRDefault="00CB5C64">
            <w:pPr>
              <w:cnfStyle w:val="100000000000" w:firstRow="1"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4" w:type="dxa"/>
            <w:tcBorders>
              <w:top w:val="single" w:sz="6" w:space="0" w:color="000000"/>
              <w:bottom w:val="single" w:sz="6" w:space="0" w:color="000000"/>
            </w:tcBorders>
            <w:shd w:val="clear" w:color="auto" w:fill="auto"/>
          </w:tcPr>
          <w:p w14:paraId="2431AFDD" w14:textId="77777777" w:rsidR="00CB5C64" w:rsidRPr="00801CC3" w:rsidRDefault="00E016EB">
            <w:pPr>
              <w:cnfStyle w:val="100000000000" w:firstRow="1"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w:t>
            </w:r>
          </w:p>
        </w:tc>
      </w:tr>
      <w:tr w:rsidR="00CB5C64" w:rsidRPr="00801CC3" w14:paraId="5F6FACAF" w14:textId="77777777" w:rsidTr="00CB5C64">
        <w:tc>
          <w:tcPr>
            <w:cnfStyle w:val="001000000000" w:firstRow="0" w:lastRow="0" w:firstColumn="1" w:lastColumn="0" w:oddVBand="0" w:evenVBand="0" w:oddHBand="0" w:evenHBand="0" w:firstRowFirstColumn="0" w:firstRowLastColumn="0" w:lastRowFirstColumn="0" w:lastRowLastColumn="0"/>
            <w:tcW w:w="3401" w:type="dxa"/>
            <w:tcBorders>
              <w:bottom w:val="nil"/>
            </w:tcBorders>
            <w:shd w:val="clear" w:color="auto" w:fill="auto"/>
          </w:tcPr>
          <w:p w14:paraId="72D95533" w14:textId="77777777" w:rsidR="00CB5C64" w:rsidRPr="00801CC3" w:rsidRDefault="00E016EB">
            <w:pPr>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Asma</w:t>
            </w:r>
          </w:p>
        </w:tc>
        <w:tc>
          <w:tcPr>
            <w:tcW w:w="1056" w:type="dxa"/>
            <w:tcBorders>
              <w:bottom w:val="nil"/>
            </w:tcBorders>
            <w:shd w:val="clear" w:color="auto" w:fill="auto"/>
          </w:tcPr>
          <w:p w14:paraId="16A6691C"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3</w:t>
            </w:r>
          </w:p>
        </w:tc>
        <w:tc>
          <w:tcPr>
            <w:tcW w:w="2176" w:type="dxa"/>
            <w:tcBorders>
              <w:bottom w:val="nil"/>
            </w:tcBorders>
            <w:shd w:val="clear" w:color="auto" w:fill="auto"/>
          </w:tcPr>
          <w:p w14:paraId="091B1A16"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4" w:type="dxa"/>
            <w:tcBorders>
              <w:bottom w:val="nil"/>
            </w:tcBorders>
            <w:shd w:val="clear" w:color="auto" w:fill="auto"/>
          </w:tcPr>
          <w:p w14:paraId="6FC47955"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42.8</w:t>
            </w:r>
          </w:p>
        </w:tc>
      </w:tr>
      <w:tr w:rsidR="00CB5C64" w:rsidRPr="00801CC3" w14:paraId="47B2246C" w14:textId="77777777" w:rsidTr="00CB5C64">
        <w:tc>
          <w:tcPr>
            <w:cnfStyle w:val="001000000000" w:firstRow="0" w:lastRow="0" w:firstColumn="1" w:lastColumn="0" w:oddVBand="0" w:evenVBand="0" w:oddHBand="0" w:evenHBand="0" w:firstRowFirstColumn="0" w:firstRowLastColumn="0" w:lastRowFirstColumn="0" w:lastRowLastColumn="0"/>
            <w:tcW w:w="3401" w:type="dxa"/>
            <w:tcBorders>
              <w:bottom w:val="nil"/>
            </w:tcBorders>
            <w:shd w:val="clear" w:color="auto" w:fill="auto"/>
          </w:tcPr>
          <w:p w14:paraId="5A40AAB0" w14:textId="77777777" w:rsidR="00CB5C64" w:rsidRPr="00801CC3" w:rsidRDefault="00E016EB">
            <w:pPr>
              <w:rPr>
                <w:rFonts w:ascii="Arial Narrow" w:hAnsi="Arial Narrow" w:cs="Calibri"/>
                <w:color w:val="000000" w:themeColor="text1"/>
                <w:sz w:val="24"/>
                <w:szCs w:val="24"/>
              </w:rPr>
            </w:pPr>
            <w:proofErr w:type="spellStart"/>
            <w:r w:rsidRPr="00801CC3">
              <w:rPr>
                <w:rFonts w:ascii="Arial Narrow" w:hAnsi="Arial Narrow" w:cs="Calibri"/>
                <w:color w:val="000000" w:themeColor="text1"/>
                <w:sz w:val="24"/>
                <w:szCs w:val="24"/>
              </w:rPr>
              <w:t>Hipotiroidismo</w:t>
            </w:r>
            <w:proofErr w:type="spellEnd"/>
          </w:p>
        </w:tc>
        <w:tc>
          <w:tcPr>
            <w:tcW w:w="1056" w:type="dxa"/>
            <w:tcBorders>
              <w:bottom w:val="nil"/>
            </w:tcBorders>
            <w:shd w:val="clear" w:color="auto" w:fill="auto"/>
          </w:tcPr>
          <w:p w14:paraId="7DE0F81A"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2</w:t>
            </w:r>
          </w:p>
        </w:tc>
        <w:tc>
          <w:tcPr>
            <w:tcW w:w="2176" w:type="dxa"/>
            <w:tcBorders>
              <w:bottom w:val="nil"/>
            </w:tcBorders>
            <w:shd w:val="clear" w:color="auto" w:fill="auto"/>
          </w:tcPr>
          <w:p w14:paraId="3A9AF94D"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4" w:type="dxa"/>
            <w:tcBorders>
              <w:bottom w:val="nil"/>
            </w:tcBorders>
            <w:shd w:val="clear" w:color="auto" w:fill="auto"/>
          </w:tcPr>
          <w:p w14:paraId="665AE28D"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28.6</w:t>
            </w:r>
          </w:p>
        </w:tc>
      </w:tr>
      <w:tr w:rsidR="00CB5C64" w:rsidRPr="00801CC3" w14:paraId="5F77A882" w14:textId="77777777" w:rsidTr="00CB5C64">
        <w:tc>
          <w:tcPr>
            <w:cnfStyle w:val="001000000000" w:firstRow="0" w:lastRow="0" w:firstColumn="1" w:lastColumn="0" w:oddVBand="0" w:evenVBand="0" w:oddHBand="0" w:evenHBand="0" w:firstRowFirstColumn="0" w:firstRowLastColumn="0" w:lastRowFirstColumn="0" w:lastRowLastColumn="0"/>
            <w:tcW w:w="3401" w:type="dxa"/>
            <w:tcBorders>
              <w:bottom w:val="nil"/>
            </w:tcBorders>
            <w:shd w:val="clear" w:color="auto" w:fill="auto"/>
          </w:tcPr>
          <w:p w14:paraId="182C1DFA" w14:textId="77777777" w:rsidR="00CB5C64" w:rsidRPr="00801CC3" w:rsidRDefault="00E016EB">
            <w:pPr>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 xml:space="preserve">Diabetes </w:t>
            </w:r>
            <w:proofErr w:type="spellStart"/>
            <w:r w:rsidRPr="00801CC3">
              <w:rPr>
                <w:rFonts w:ascii="Arial Narrow" w:hAnsi="Arial Narrow" w:cs="Calibri"/>
                <w:color w:val="000000" w:themeColor="text1"/>
                <w:sz w:val="24"/>
                <w:szCs w:val="24"/>
              </w:rPr>
              <w:t>gestacional</w:t>
            </w:r>
            <w:proofErr w:type="spellEnd"/>
            <w:r w:rsidRPr="00801CC3">
              <w:rPr>
                <w:rFonts w:ascii="Arial Narrow" w:hAnsi="Arial Narrow" w:cs="Calibri"/>
                <w:color w:val="000000" w:themeColor="text1"/>
                <w:sz w:val="24"/>
                <w:szCs w:val="24"/>
              </w:rPr>
              <w:t xml:space="preserve"> A2</w:t>
            </w:r>
          </w:p>
        </w:tc>
        <w:tc>
          <w:tcPr>
            <w:tcW w:w="1056" w:type="dxa"/>
            <w:tcBorders>
              <w:bottom w:val="nil"/>
            </w:tcBorders>
            <w:shd w:val="clear" w:color="auto" w:fill="auto"/>
          </w:tcPr>
          <w:p w14:paraId="6F86B205"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1</w:t>
            </w:r>
          </w:p>
        </w:tc>
        <w:tc>
          <w:tcPr>
            <w:tcW w:w="2176" w:type="dxa"/>
            <w:tcBorders>
              <w:bottom w:val="nil"/>
            </w:tcBorders>
            <w:shd w:val="clear" w:color="auto" w:fill="auto"/>
          </w:tcPr>
          <w:p w14:paraId="1D685E7B"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4" w:type="dxa"/>
            <w:tcBorders>
              <w:bottom w:val="nil"/>
            </w:tcBorders>
            <w:shd w:val="clear" w:color="auto" w:fill="auto"/>
          </w:tcPr>
          <w:p w14:paraId="47FD677B"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14.3</w:t>
            </w:r>
          </w:p>
        </w:tc>
      </w:tr>
      <w:tr w:rsidR="00CB5C64" w:rsidRPr="00801CC3" w14:paraId="1F5F24D1" w14:textId="77777777" w:rsidTr="00CB5C64">
        <w:tc>
          <w:tcPr>
            <w:cnfStyle w:val="001000000000" w:firstRow="0" w:lastRow="0" w:firstColumn="1" w:lastColumn="0" w:oddVBand="0" w:evenVBand="0" w:oddHBand="0" w:evenHBand="0" w:firstRowFirstColumn="0" w:firstRowLastColumn="0" w:lastRowFirstColumn="0" w:lastRowLastColumn="0"/>
            <w:tcW w:w="3401" w:type="dxa"/>
            <w:shd w:val="clear" w:color="auto" w:fill="auto"/>
          </w:tcPr>
          <w:p w14:paraId="0C88605E" w14:textId="77777777" w:rsidR="00CB5C64" w:rsidRPr="00801CC3" w:rsidRDefault="00E016EB">
            <w:pPr>
              <w:rPr>
                <w:rFonts w:ascii="Arial Narrow" w:hAnsi="Arial Narrow" w:cs="Calibri"/>
                <w:color w:val="000000" w:themeColor="text1"/>
                <w:sz w:val="24"/>
                <w:szCs w:val="24"/>
              </w:rPr>
            </w:pPr>
            <w:proofErr w:type="spellStart"/>
            <w:r w:rsidRPr="00801CC3">
              <w:rPr>
                <w:rFonts w:ascii="Arial Narrow" w:hAnsi="Arial Narrow" w:cs="Calibri"/>
                <w:color w:val="000000" w:themeColor="text1"/>
                <w:sz w:val="24"/>
                <w:szCs w:val="24"/>
              </w:rPr>
              <w:t>Hipertensión</w:t>
            </w:r>
            <w:proofErr w:type="spellEnd"/>
            <w:r w:rsidRPr="00801CC3">
              <w:rPr>
                <w:rFonts w:ascii="Arial Narrow" w:hAnsi="Arial Narrow" w:cs="Calibri"/>
                <w:color w:val="000000" w:themeColor="text1"/>
                <w:sz w:val="24"/>
                <w:szCs w:val="24"/>
              </w:rPr>
              <w:t xml:space="preserve"> arterial</w:t>
            </w:r>
          </w:p>
        </w:tc>
        <w:tc>
          <w:tcPr>
            <w:tcW w:w="1056" w:type="dxa"/>
            <w:shd w:val="clear" w:color="auto" w:fill="auto"/>
          </w:tcPr>
          <w:p w14:paraId="66E5A128"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1</w:t>
            </w:r>
          </w:p>
        </w:tc>
        <w:tc>
          <w:tcPr>
            <w:tcW w:w="2176" w:type="dxa"/>
            <w:shd w:val="clear" w:color="auto" w:fill="auto"/>
          </w:tcPr>
          <w:p w14:paraId="12645F6A"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4" w:type="dxa"/>
            <w:shd w:val="clear" w:color="auto" w:fill="auto"/>
          </w:tcPr>
          <w:p w14:paraId="2FAD1DDB"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14.3</w:t>
            </w:r>
          </w:p>
        </w:tc>
      </w:tr>
      <w:tr w:rsidR="00CB5C64" w:rsidRPr="00801CC3" w14:paraId="033802E6" w14:textId="77777777" w:rsidTr="00CB5C64">
        <w:tc>
          <w:tcPr>
            <w:cnfStyle w:val="001000000000" w:firstRow="0" w:lastRow="0" w:firstColumn="1" w:lastColumn="0" w:oddVBand="0" w:evenVBand="0" w:oddHBand="0" w:evenHBand="0" w:firstRowFirstColumn="0" w:firstRowLastColumn="0" w:lastRowFirstColumn="0" w:lastRowLastColumn="0"/>
            <w:tcW w:w="3401" w:type="dxa"/>
            <w:tcBorders>
              <w:top w:val="single" w:sz="4" w:space="0" w:color="000000"/>
            </w:tcBorders>
            <w:shd w:val="clear" w:color="auto" w:fill="auto"/>
          </w:tcPr>
          <w:p w14:paraId="201419A1" w14:textId="77777777" w:rsidR="00CB5C64" w:rsidRPr="00801CC3" w:rsidRDefault="00E016EB">
            <w:pPr>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 xml:space="preserve">Total </w:t>
            </w:r>
          </w:p>
        </w:tc>
        <w:tc>
          <w:tcPr>
            <w:tcW w:w="1056" w:type="dxa"/>
            <w:tcBorders>
              <w:top w:val="single" w:sz="4" w:space="0" w:color="000000"/>
            </w:tcBorders>
            <w:shd w:val="clear" w:color="auto" w:fill="auto"/>
          </w:tcPr>
          <w:p w14:paraId="3E27F5B4"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b/>
                <w:color w:val="000000" w:themeColor="text1"/>
                <w:sz w:val="24"/>
                <w:szCs w:val="24"/>
              </w:rPr>
            </w:pPr>
            <w:r w:rsidRPr="00801CC3">
              <w:rPr>
                <w:rFonts w:ascii="Arial Narrow" w:hAnsi="Arial Narrow" w:cs="Calibri"/>
                <w:b/>
                <w:color w:val="000000" w:themeColor="text1"/>
                <w:sz w:val="24"/>
                <w:szCs w:val="24"/>
              </w:rPr>
              <w:t>7</w:t>
            </w:r>
          </w:p>
        </w:tc>
        <w:tc>
          <w:tcPr>
            <w:tcW w:w="2176" w:type="dxa"/>
            <w:tcBorders>
              <w:top w:val="single" w:sz="4" w:space="0" w:color="000000"/>
            </w:tcBorders>
            <w:shd w:val="clear" w:color="auto" w:fill="auto"/>
          </w:tcPr>
          <w:p w14:paraId="1E09C76B"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b/>
                <w:color w:val="000000" w:themeColor="text1"/>
                <w:sz w:val="24"/>
                <w:szCs w:val="24"/>
              </w:rPr>
            </w:pPr>
          </w:p>
        </w:tc>
        <w:tc>
          <w:tcPr>
            <w:tcW w:w="2204" w:type="dxa"/>
            <w:tcBorders>
              <w:top w:val="single" w:sz="4" w:space="0" w:color="000000"/>
            </w:tcBorders>
            <w:shd w:val="clear" w:color="auto" w:fill="auto"/>
          </w:tcPr>
          <w:p w14:paraId="78342338"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b/>
                <w:color w:val="000000" w:themeColor="text1"/>
                <w:sz w:val="24"/>
                <w:szCs w:val="24"/>
              </w:rPr>
            </w:pPr>
            <w:r w:rsidRPr="00801CC3">
              <w:rPr>
                <w:rFonts w:ascii="Arial Narrow" w:hAnsi="Arial Narrow" w:cs="Calibri"/>
                <w:b/>
                <w:color w:val="000000" w:themeColor="text1"/>
                <w:sz w:val="24"/>
                <w:szCs w:val="24"/>
              </w:rPr>
              <w:t>100</w:t>
            </w:r>
          </w:p>
        </w:tc>
      </w:tr>
    </w:tbl>
    <w:p w14:paraId="16D3E63B" w14:textId="77777777" w:rsidR="00F2733F" w:rsidRDefault="00F2733F" w:rsidP="00801CC3">
      <w:pPr>
        <w:spacing w:line="360" w:lineRule="auto"/>
        <w:ind w:left="283"/>
        <w:jc w:val="both"/>
        <w:rPr>
          <w:rFonts w:ascii="Arial Narrow" w:hAnsi="Arial Narrow" w:cs="Calibri"/>
          <w:color w:val="000000" w:themeColor="text1"/>
        </w:rPr>
      </w:pPr>
    </w:p>
    <w:p w14:paraId="5A343383" w14:textId="77777777" w:rsidR="00CB5C64" w:rsidRPr="00801CC3" w:rsidRDefault="00E016EB" w:rsidP="00801CC3">
      <w:pPr>
        <w:spacing w:line="360" w:lineRule="auto"/>
        <w:ind w:left="283"/>
        <w:jc w:val="both"/>
        <w:rPr>
          <w:rFonts w:ascii="Arial Narrow" w:hAnsi="Arial Narrow" w:cs="Calibri"/>
          <w:color w:val="000000" w:themeColor="text1"/>
        </w:rPr>
      </w:pPr>
      <w:r w:rsidRPr="00801CC3">
        <w:rPr>
          <w:rFonts w:ascii="Arial Narrow" w:hAnsi="Arial Narrow" w:cs="Calibri"/>
          <w:color w:val="000000" w:themeColor="text1"/>
        </w:rPr>
        <w:t xml:space="preserve">*Denominador: Número de casos con antecedentes personales positivos                                                                                 </w:t>
      </w:r>
    </w:p>
    <w:p w14:paraId="1FA8FD69" w14:textId="77777777" w:rsidR="00CB5C64" w:rsidRPr="00801CC3" w:rsidRDefault="00E016EB" w:rsidP="00801CC3">
      <w:pPr>
        <w:spacing w:line="360" w:lineRule="auto"/>
        <w:ind w:left="283"/>
        <w:jc w:val="both"/>
        <w:rPr>
          <w:rFonts w:ascii="Arial Narrow" w:hAnsi="Arial Narrow" w:cs="Calibri"/>
          <w:iCs/>
          <w:color w:val="000000" w:themeColor="text1"/>
        </w:rPr>
      </w:pPr>
      <w:r w:rsidRPr="00801CC3">
        <w:rPr>
          <w:rFonts w:ascii="Arial Narrow" w:hAnsi="Arial Narrow" w:cs="Calibri"/>
          <w:iCs/>
          <w:color w:val="000000" w:themeColor="text1"/>
        </w:rPr>
        <w:t>Fuente: Estudio de uso de la claritromicina en la ruptura prematura de membranas alejada de término en el Servicio de Obstetricia del Hospital De La Mujer Adolfo Carit Eva</w:t>
      </w:r>
    </w:p>
    <w:p w14:paraId="310E704D" w14:textId="77777777" w:rsidR="00CB5C64" w:rsidRPr="00801CC3" w:rsidRDefault="00CB5C64">
      <w:pPr>
        <w:rPr>
          <w:rFonts w:ascii="Arial Narrow" w:hAnsi="Arial Narrow" w:cs="Calibri"/>
          <w:i/>
          <w:iCs/>
          <w:color w:val="000000" w:themeColor="text1"/>
        </w:rPr>
      </w:pPr>
    </w:p>
    <w:p w14:paraId="11F6F492" w14:textId="77777777" w:rsidR="00CB5C64" w:rsidRPr="00801CC3" w:rsidRDefault="00CB5C64">
      <w:pPr>
        <w:rPr>
          <w:rFonts w:ascii="Arial Narrow" w:hAnsi="Arial Narrow" w:cs="Calibri"/>
          <w:i/>
          <w:iCs/>
          <w:color w:val="000000" w:themeColor="text1"/>
        </w:rPr>
      </w:pPr>
    </w:p>
    <w:p w14:paraId="4A113A2A" w14:textId="77777777" w:rsidR="00CB5C64" w:rsidRPr="00801CC3" w:rsidRDefault="00E016EB">
      <w:pPr>
        <w:spacing w:line="360" w:lineRule="auto"/>
        <w:ind w:left="283"/>
        <w:jc w:val="both"/>
        <w:rPr>
          <w:rFonts w:ascii="Arial Narrow" w:hAnsi="Arial Narrow" w:cs="Calibri"/>
          <w:b/>
          <w:color w:val="000000" w:themeColor="text1"/>
        </w:rPr>
      </w:pPr>
      <w:r w:rsidRPr="00801CC3">
        <w:rPr>
          <w:rFonts w:ascii="Arial Narrow" w:hAnsi="Arial Narrow" w:cs="Calibri"/>
          <w:color w:val="000000" w:themeColor="text1"/>
        </w:rPr>
        <w:t xml:space="preserve">La edad gestacional al momento de la presencia de ruptura prematura de membranas evidenció que entre la 31+0 y la 32+0 semanas, fue la EG más frecuente. </w:t>
      </w:r>
      <w:r w:rsidR="001A7D38" w:rsidRPr="00801CC3">
        <w:rPr>
          <w:rFonts w:ascii="Arial Narrow" w:hAnsi="Arial Narrow" w:cs="Calibri"/>
          <w:b/>
          <w:color w:val="000000" w:themeColor="text1"/>
        </w:rPr>
        <w:t>Tabla</w:t>
      </w:r>
      <w:r w:rsidRPr="00801CC3">
        <w:rPr>
          <w:rFonts w:ascii="Arial Narrow" w:hAnsi="Arial Narrow" w:cs="Calibri"/>
          <w:b/>
          <w:color w:val="000000" w:themeColor="text1"/>
        </w:rPr>
        <w:t xml:space="preserve"> 2.</w:t>
      </w:r>
    </w:p>
    <w:p w14:paraId="11F12EC8" w14:textId="77777777" w:rsidR="00CB5C64" w:rsidRDefault="00CB5C64">
      <w:pPr>
        <w:spacing w:line="360" w:lineRule="auto"/>
        <w:ind w:left="283"/>
        <w:jc w:val="center"/>
        <w:rPr>
          <w:rFonts w:ascii="Arial Narrow" w:hAnsi="Arial Narrow" w:cs="Calibri"/>
          <w:color w:val="000000" w:themeColor="text1"/>
        </w:rPr>
      </w:pPr>
    </w:p>
    <w:p w14:paraId="6C9C7A1B" w14:textId="77777777" w:rsidR="00F2733F" w:rsidRPr="00801CC3" w:rsidRDefault="00F2733F">
      <w:pPr>
        <w:spacing w:line="360" w:lineRule="auto"/>
        <w:ind w:left="283"/>
        <w:jc w:val="center"/>
        <w:rPr>
          <w:rFonts w:ascii="Arial Narrow" w:hAnsi="Arial Narrow" w:cs="Calibri"/>
          <w:color w:val="000000" w:themeColor="text1"/>
        </w:rPr>
      </w:pPr>
    </w:p>
    <w:p w14:paraId="4A055AA4" w14:textId="77777777" w:rsidR="00CB5C64" w:rsidRPr="00801CC3" w:rsidRDefault="001A7D38">
      <w:pPr>
        <w:spacing w:line="360" w:lineRule="auto"/>
        <w:ind w:left="283"/>
        <w:jc w:val="center"/>
        <w:rPr>
          <w:rFonts w:ascii="Arial Narrow" w:hAnsi="Arial Narrow" w:cs="Calibri"/>
          <w:color w:val="000000" w:themeColor="text1"/>
        </w:rPr>
      </w:pPr>
      <w:r w:rsidRPr="00801CC3">
        <w:rPr>
          <w:rFonts w:ascii="Arial Narrow" w:hAnsi="Arial Narrow" w:cs="Calibri"/>
          <w:b/>
          <w:color w:val="000000" w:themeColor="text1"/>
        </w:rPr>
        <w:lastRenderedPageBreak/>
        <w:t>Tabla</w:t>
      </w:r>
      <w:r w:rsidR="00E016EB" w:rsidRPr="00801CC3">
        <w:rPr>
          <w:rFonts w:ascii="Arial Narrow" w:hAnsi="Arial Narrow" w:cs="Calibri"/>
          <w:b/>
          <w:color w:val="000000" w:themeColor="text1"/>
        </w:rPr>
        <w:t xml:space="preserve"> 2:</w:t>
      </w:r>
      <w:r w:rsidR="00E016EB" w:rsidRPr="00801CC3">
        <w:rPr>
          <w:rFonts w:ascii="Arial Narrow" w:hAnsi="Arial Narrow" w:cs="Calibri"/>
          <w:color w:val="000000" w:themeColor="text1"/>
        </w:rPr>
        <w:t xml:space="preserve"> Distribución de pacientes con indicación de </w:t>
      </w:r>
      <w:r w:rsidR="00E016EB" w:rsidRPr="00801CC3">
        <w:rPr>
          <w:rFonts w:ascii="Arial Narrow" w:hAnsi="Arial Narrow" w:cs="Calibri"/>
          <w:color w:val="000000" w:themeColor="text1"/>
          <w:lang w:val="es-ES"/>
        </w:rPr>
        <w:t>antibioticoterapia por ruptura prematura de membranas alejada de término, según edad gestacional al momento del evento</w:t>
      </w:r>
      <w:r w:rsidR="00F2733F">
        <w:rPr>
          <w:rFonts w:ascii="Arial Narrow" w:hAnsi="Arial Narrow" w:cs="Calibri"/>
          <w:color w:val="000000" w:themeColor="text1"/>
          <w:lang w:val="es-ES"/>
        </w:rPr>
        <w:t>.</w:t>
      </w:r>
    </w:p>
    <w:tbl>
      <w:tblPr>
        <w:tblW w:w="9356" w:type="dxa"/>
        <w:tblCellMar>
          <w:top w:w="15" w:type="dxa"/>
          <w:left w:w="70" w:type="dxa"/>
          <w:bottom w:w="15" w:type="dxa"/>
          <w:right w:w="70" w:type="dxa"/>
        </w:tblCellMar>
        <w:tblLook w:val="04A0" w:firstRow="1" w:lastRow="0" w:firstColumn="1" w:lastColumn="0" w:noHBand="0" w:noVBand="1"/>
      </w:tblPr>
      <w:tblGrid>
        <w:gridCol w:w="2551"/>
        <w:gridCol w:w="1984"/>
        <w:gridCol w:w="695"/>
        <w:gridCol w:w="4126"/>
      </w:tblGrid>
      <w:tr w:rsidR="00CB5C64" w:rsidRPr="00801CC3" w14:paraId="51B01DBB" w14:textId="77777777">
        <w:trPr>
          <w:trHeight w:val="312"/>
        </w:trPr>
        <w:tc>
          <w:tcPr>
            <w:tcW w:w="2550" w:type="dxa"/>
            <w:tcBorders>
              <w:top w:val="single" w:sz="4" w:space="0" w:color="000000"/>
              <w:bottom w:val="single" w:sz="4" w:space="0" w:color="000000"/>
            </w:tcBorders>
            <w:shd w:val="clear" w:color="auto" w:fill="auto"/>
            <w:vAlign w:val="bottom"/>
          </w:tcPr>
          <w:p w14:paraId="4A7310BB"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Edad Gestacional</w:t>
            </w:r>
          </w:p>
        </w:tc>
        <w:tc>
          <w:tcPr>
            <w:tcW w:w="1984" w:type="dxa"/>
            <w:tcBorders>
              <w:top w:val="single" w:sz="4" w:space="0" w:color="000000"/>
              <w:bottom w:val="single" w:sz="4" w:space="0" w:color="000000"/>
            </w:tcBorders>
            <w:shd w:val="clear" w:color="auto" w:fill="auto"/>
            <w:vAlign w:val="bottom"/>
          </w:tcPr>
          <w:p w14:paraId="3B55B6E4"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Casos</w:t>
            </w:r>
          </w:p>
        </w:tc>
        <w:tc>
          <w:tcPr>
            <w:tcW w:w="695" w:type="dxa"/>
            <w:tcBorders>
              <w:top w:val="single" w:sz="4" w:space="0" w:color="000000"/>
              <w:bottom w:val="single" w:sz="4" w:space="0" w:color="000000"/>
            </w:tcBorders>
            <w:shd w:val="clear" w:color="auto" w:fill="auto"/>
            <w:vAlign w:val="bottom"/>
          </w:tcPr>
          <w:p w14:paraId="62562450"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 </w:t>
            </w:r>
          </w:p>
        </w:tc>
        <w:tc>
          <w:tcPr>
            <w:tcW w:w="4126" w:type="dxa"/>
            <w:tcBorders>
              <w:top w:val="single" w:sz="4" w:space="0" w:color="000000"/>
              <w:bottom w:val="single" w:sz="4" w:space="0" w:color="000000"/>
            </w:tcBorders>
            <w:shd w:val="clear" w:color="auto" w:fill="auto"/>
            <w:vAlign w:val="bottom"/>
          </w:tcPr>
          <w:p w14:paraId="1DBC08F3"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w:t>
            </w:r>
          </w:p>
        </w:tc>
      </w:tr>
      <w:tr w:rsidR="00CB5C64" w:rsidRPr="00801CC3" w14:paraId="19D310A3" w14:textId="77777777">
        <w:trPr>
          <w:trHeight w:val="312"/>
        </w:trPr>
        <w:tc>
          <w:tcPr>
            <w:tcW w:w="2550" w:type="dxa"/>
            <w:shd w:val="clear" w:color="auto" w:fill="auto"/>
            <w:vAlign w:val="bottom"/>
          </w:tcPr>
          <w:p w14:paraId="6C716566"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24+0 a 24+6</w:t>
            </w:r>
          </w:p>
        </w:tc>
        <w:tc>
          <w:tcPr>
            <w:tcW w:w="1984" w:type="dxa"/>
            <w:shd w:val="clear" w:color="auto" w:fill="auto"/>
            <w:vAlign w:val="bottom"/>
          </w:tcPr>
          <w:p w14:paraId="554BEB6C"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5</w:t>
            </w:r>
          </w:p>
        </w:tc>
        <w:tc>
          <w:tcPr>
            <w:tcW w:w="695" w:type="dxa"/>
            <w:shd w:val="clear" w:color="auto" w:fill="auto"/>
            <w:vAlign w:val="bottom"/>
          </w:tcPr>
          <w:p w14:paraId="5C936154"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 </w:t>
            </w:r>
          </w:p>
        </w:tc>
        <w:tc>
          <w:tcPr>
            <w:tcW w:w="4126" w:type="dxa"/>
            <w:shd w:val="clear" w:color="auto" w:fill="auto"/>
            <w:vAlign w:val="bottom"/>
          </w:tcPr>
          <w:p w14:paraId="1D09BE37"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13.9</w:t>
            </w:r>
          </w:p>
        </w:tc>
      </w:tr>
      <w:tr w:rsidR="00CB5C64" w:rsidRPr="00801CC3" w14:paraId="2022DFE4" w14:textId="77777777">
        <w:trPr>
          <w:trHeight w:val="312"/>
        </w:trPr>
        <w:tc>
          <w:tcPr>
            <w:tcW w:w="2550" w:type="dxa"/>
            <w:shd w:val="clear" w:color="auto" w:fill="auto"/>
            <w:vAlign w:val="bottom"/>
          </w:tcPr>
          <w:p w14:paraId="5131E9B9"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25+0 a 25+6</w:t>
            </w:r>
          </w:p>
        </w:tc>
        <w:tc>
          <w:tcPr>
            <w:tcW w:w="1984" w:type="dxa"/>
            <w:shd w:val="clear" w:color="auto" w:fill="auto"/>
            <w:vAlign w:val="bottom"/>
          </w:tcPr>
          <w:p w14:paraId="02E03401"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4</w:t>
            </w:r>
          </w:p>
        </w:tc>
        <w:tc>
          <w:tcPr>
            <w:tcW w:w="695" w:type="dxa"/>
            <w:shd w:val="clear" w:color="auto" w:fill="auto"/>
            <w:vAlign w:val="bottom"/>
          </w:tcPr>
          <w:p w14:paraId="6E37BD03"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 </w:t>
            </w:r>
          </w:p>
        </w:tc>
        <w:tc>
          <w:tcPr>
            <w:tcW w:w="4126" w:type="dxa"/>
            <w:shd w:val="clear" w:color="auto" w:fill="auto"/>
            <w:vAlign w:val="bottom"/>
          </w:tcPr>
          <w:p w14:paraId="6B5B1433"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11.1</w:t>
            </w:r>
          </w:p>
        </w:tc>
      </w:tr>
      <w:tr w:rsidR="00CB5C64" w:rsidRPr="00801CC3" w14:paraId="122EBE8A" w14:textId="77777777">
        <w:trPr>
          <w:trHeight w:val="312"/>
        </w:trPr>
        <w:tc>
          <w:tcPr>
            <w:tcW w:w="2550" w:type="dxa"/>
            <w:shd w:val="clear" w:color="auto" w:fill="auto"/>
            <w:vAlign w:val="bottom"/>
          </w:tcPr>
          <w:p w14:paraId="74F3EEF0"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26+0 a 26+6</w:t>
            </w:r>
          </w:p>
        </w:tc>
        <w:tc>
          <w:tcPr>
            <w:tcW w:w="1984" w:type="dxa"/>
            <w:shd w:val="clear" w:color="auto" w:fill="auto"/>
            <w:vAlign w:val="bottom"/>
          </w:tcPr>
          <w:p w14:paraId="4D226778"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2</w:t>
            </w:r>
          </w:p>
        </w:tc>
        <w:tc>
          <w:tcPr>
            <w:tcW w:w="695" w:type="dxa"/>
            <w:shd w:val="clear" w:color="auto" w:fill="auto"/>
            <w:vAlign w:val="bottom"/>
          </w:tcPr>
          <w:p w14:paraId="3BE85138"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 </w:t>
            </w:r>
          </w:p>
        </w:tc>
        <w:tc>
          <w:tcPr>
            <w:tcW w:w="4126" w:type="dxa"/>
            <w:shd w:val="clear" w:color="auto" w:fill="auto"/>
            <w:vAlign w:val="bottom"/>
          </w:tcPr>
          <w:p w14:paraId="5A809707"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5.6</w:t>
            </w:r>
          </w:p>
        </w:tc>
      </w:tr>
      <w:tr w:rsidR="00CB5C64" w:rsidRPr="00801CC3" w14:paraId="1C1CC608" w14:textId="77777777">
        <w:trPr>
          <w:trHeight w:val="312"/>
        </w:trPr>
        <w:tc>
          <w:tcPr>
            <w:tcW w:w="2550" w:type="dxa"/>
            <w:shd w:val="clear" w:color="auto" w:fill="auto"/>
            <w:vAlign w:val="bottom"/>
          </w:tcPr>
          <w:p w14:paraId="26506331"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27+0 a 27+6</w:t>
            </w:r>
          </w:p>
        </w:tc>
        <w:tc>
          <w:tcPr>
            <w:tcW w:w="1984" w:type="dxa"/>
            <w:shd w:val="clear" w:color="auto" w:fill="auto"/>
            <w:vAlign w:val="bottom"/>
          </w:tcPr>
          <w:p w14:paraId="74FA04F9"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4</w:t>
            </w:r>
          </w:p>
        </w:tc>
        <w:tc>
          <w:tcPr>
            <w:tcW w:w="695" w:type="dxa"/>
            <w:shd w:val="clear" w:color="auto" w:fill="auto"/>
            <w:vAlign w:val="bottom"/>
          </w:tcPr>
          <w:p w14:paraId="369DAACF"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 </w:t>
            </w:r>
          </w:p>
        </w:tc>
        <w:tc>
          <w:tcPr>
            <w:tcW w:w="4126" w:type="dxa"/>
            <w:shd w:val="clear" w:color="auto" w:fill="auto"/>
            <w:vAlign w:val="bottom"/>
          </w:tcPr>
          <w:p w14:paraId="59AEA5D5"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11.1</w:t>
            </w:r>
          </w:p>
        </w:tc>
      </w:tr>
      <w:tr w:rsidR="00CB5C64" w:rsidRPr="00801CC3" w14:paraId="381AEC1C" w14:textId="77777777">
        <w:trPr>
          <w:trHeight w:val="312"/>
        </w:trPr>
        <w:tc>
          <w:tcPr>
            <w:tcW w:w="2550" w:type="dxa"/>
            <w:shd w:val="clear" w:color="auto" w:fill="auto"/>
            <w:vAlign w:val="bottom"/>
          </w:tcPr>
          <w:p w14:paraId="16E5D8BB"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28+0 a 28+6</w:t>
            </w:r>
          </w:p>
        </w:tc>
        <w:tc>
          <w:tcPr>
            <w:tcW w:w="1984" w:type="dxa"/>
            <w:shd w:val="clear" w:color="auto" w:fill="auto"/>
            <w:vAlign w:val="bottom"/>
          </w:tcPr>
          <w:p w14:paraId="0AB83DC7"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4</w:t>
            </w:r>
          </w:p>
        </w:tc>
        <w:tc>
          <w:tcPr>
            <w:tcW w:w="695" w:type="dxa"/>
            <w:shd w:val="clear" w:color="auto" w:fill="auto"/>
            <w:vAlign w:val="bottom"/>
          </w:tcPr>
          <w:p w14:paraId="5926A57A"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 </w:t>
            </w:r>
          </w:p>
        </w:tc>
        <w:tc>
          <w:tcPr>
            <w:tcW w:w="4126" w:type="dxa"/>
            <w:shd w:val="clear" w:color="auto" w:fill="auto"/>
            <w:vAlign w:val="bottom"/>
          </w:tcPr>
          <w:p w14:paraId="3AA71D46"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11.1</w:t>
            </w:r>
          </w:p>
        </w:tc>
      </w:tr>
      <w:tr w:rsidR="00CB5C64" w:rsidRPr="00801CC3" w14:paraId="1C3CD5DD" w14:textId="77777777">
        <w:trPr>
          <w:trHeight w:val="312"/>
        </w:trPr>
        <w:tc>
          <w:tcPr>
            <w:tcW w:w="2550" w:type="dxa"/>
            <w:shd w:val="clear" w:color="auto" w:fill="auto"/>
            <w:vAlign w:val="bottom"/>
          </w:tcPr>
          <w:p w14:paraId="7BE0B44D"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29+0 a 29+6</w:t>
            </w:r>
          </w:p>
        </w:tc>
        <w:tc>
          <w:tcPr>
            <w:tcW w:w="1984" w:type="dxa"/>
            <w:shd w:val="clear" w:color="auto" w:fill="auto"/>
            <w:vAlign w:val="bottom"/>
          </w:tcPr>
          <w:p w14:paraId="7671EEC5"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2</w:t>
            </w:r>
          </w:p>
        </w:tc>
        <w:tc>
          <w:tcPr>
            <w:tcW w:w="695" w:type="dxa"/>
            <w:shd w:val="clear" w:color="auto" w:fill="auto"/>
            <w:vAlign w:val="bottom"/>
          </w:tcPr>
          <w:p w14:paraId="0BE20510"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 </w:t>
            </w:r>
          </w:p>
        </w:tc>
        <w:tc>
          <w:tcPr>
            <w:tcW w:w="4126" w:type="dxa"/>
            <w:shd w:val="clear" w:color="auto" w:fill="auto"/>
            <w:vAlign w:val="bottom"/>
          </w:tcPr>
          <w:p w14:paraId="78E8F646"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5.6</w:t>
            </w:r>
          </w:p>
        </w:tc>
      </w:tr>
      <w:tr w:rsidR="00CB5C64" w:rsidRPr="00801CC3" w14:paraId="6399D0EC" w14:textId="77777777">
        <w:trPr>
          <w:trHeight w:val="312"/>
        </w:trPr>
        <w:tc>
          <w:tcPr>
            <w:tcW w:w="2550" w:type="dxa"/>
            <w:shd w:val="clear" w:color="auto" w:fill="auto"/>
            <w:vAlign w:val="bottom"/>
          </w:tcPr>
          <w:p w14:paraId="64E551A1"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30+0 a 30+6</w:t>
            </w:r>
          </w:p>
        </w:tc>
        <w:tc>
          <w:tcPr>
            <w:tcW w:w="1984" w:type="dxa"/>
            <w:shd w:val="clear" w:color="auto" w:fill="auto"/>
            <w:vAlign w:val="bottom"/>
          </w:tcPr>
          <w:p w14:paraId="4C797F3B"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4</w:t>
            </w:r>
          </w:p>
        </w:tc>
        <w:tc>
          <w:tcPr>
            <w:tcW w:w="695" w:type="dxa"/>
            <w:shd w:val="clear" w:color="auto" w:fill="auto"/>
            <w:vAlign w:val="bottom"/>
          </w:tcPr>
          <w:p w14:paraId="6C12C9EE"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 </w:t>
            </w:r>
          </w:p>
        </w:tc>
        <w:tc>
          <w:tcPr>
            <w:tcW w:w="4126" w:type="dxa"/>
            <w:shd w:val="clear" w:color="auto" w:fill="auto"/>
            <w:vAlign w:val="bottom"/>
          </w:tcPr>
          <w:p w14:paraId="27D9A4F3"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11.1</w:t>
            </w:r>
          </w:p>
        </w:tc>
      </w:tr>
      <w:tr w:rsidR="00CB5C64" w:rsidRPr="00801CC3" w14:paraId="6989F9C2" w14:textId="77777777">
        <w:trPr>
          <w:trHeight w:val="312"/>
        </w:trPr>
        <w:tc>
          <w:tcPr>
            <w:tcW w:w="2550" w:type="dxa"/>
            <w:tcBorders>
              <w:bottom w:val="single" w:sz="4" w:space="0" w:color="000000"/>
            </w:tcBorders>
            <w:shd w:val="clear" w:color="auto" w:fill="auto"/>
            <w:vAlign w:val="bottom"/>
          </w:tcPr>
          <w:p w14:paraId="1EF0D4FD" w14:textId="77777777" w:rsidR="00CB5C64" w:rsidRPr="00801CC3" w:rsidRDefault="00E016EB">
            <w:pPr>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31+0 a 32+0</w:t>
            </w:r>
          </w:p>
        </w:tc>
        <w:tc>
          <w:tcPr>
            <w:tcW w:w="1984" w:type="dxa"/>
            <w:tcBorders>
              <w:bottom w:val="single" w:sz="4" w:space="0" w:color="000000"/>
            </w:tcBorders>
            <w:shd w:val="clear" w:color="auto" w:fill="auto"/>
            <w:vAlign w:val="bottom"/>
          </w:tcPr>
          <w:p w14:paraId="1827ACED"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11</w:t>
            </w:r>
          </w:p>
        </w:tc>
        <w:tc>
          <w:tcPr>
            <w:tcW w:w="695" w:type="dxa"/>
            <w:tcBorders>
              <w:bottom w:val="single" w:sz="4" w:space="0" w:color="000000"/>
            </w:tcBorders>
            <w:shd w:val="clear" w:color="auto" w:fill="auto"/>
            <w:vAlign w:val="bottom"/>
          </w:tcPr>
          <w:p w14:paraId="4521D0B8"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 </w:t>
            </w:r>
          </w:p>
        </w:tc>
        <w:tc>
          <w:tcPr>
            <w:tcW w:w="4126" w:type="dxa"/>
            <w:tcBorders>
              <w:bottom w:val="single" w:sz="4" w:space="0" w:color="000000"/>
            </w:tcBorders>
            <w:shd w:val="clear" w:color="auto" w:fill="auto"/>
            <w:vAlign w:val="bottom"/>
          </w:tcPr>
          <w:p w14:paraId="3D510DC4" w14:textId="77777777" w:rsidR="00CB5C64" w:rsidRPr="00801CC3" w:rsidRDefault="00E016EB">
            <w:pPr>
              <w:jc w:val="center"/>
              <w:rPr>
                <w:rFonts w:ascii="Arial Narrow" w:eastAsia="Times New Roman" w:hAnsi="Arial Narrow" w:cs="Calibri"/>
                <w:color w:val="000000" w:themeColor="text1"/>
                <w:lang w:eastAsia="es-CR"/>
              </w:rPr>
            </w:pPr>
            <w:r w:rsidRPr="00801CC3">
              <w:rPr>
                <w:rFonts w:ascii="Arial Narrow" w:eastAsia="Times New Roman" w:hAnsi="Arial Narrow" w:cs="Calibri"/>
                <w:color w:val="000000" w:themeColor="text1"/>
                <w:lang w:eastAsia="es-CR"/>
              </w:rPr>
              <w:t>30.6</w:t>
            </w:r>
          </w:p>
        </w:tc>
      </w:tr>
      <w:tr w:rsidR="00CB5C64" w:rsidRPr="00801CC3" w14:paraId="4F70088E" w14:textId="77777777">
        <w:trPr>
          <w:trHeight w:val="312"/>
        </w:trPr>
        <w:tc>
          <w:tcPr>
            <w:tcW w:w="2550" w:type="dxa"/>
            <w:tcBorders>
              <w:top w:val="single" w:sz="4" w:space="0" w:color="000000"/>
              <w:bottom w:val="single" w:sz="4" w:space="0" w:color="000000"/>
            </w:tcBorders>
            <w:shd w:val="clear" w:color="auto" w:fill="auto"/>
            <w:vAlign w:val="bottom"/>
          </w:tcPr>
          <w:p w14:paraId="6D3F7458" w14:textId="77777777" w:rsidR="00CB5C64" w:rsidRPr="00801CC3" w:rsidRDefault="00E016EB" w:rsidP="004D60B4">
            <w:pPr>
              <w:spacing w:line="360" w:lineRule="auto"/>
              <w:jc w:val="center"/>
              <w:rPr>
                <w:rFonts w:ascii="Arial Narrow" w:eastAsia="Times New Roman" w:hAnsi="Arial Narrow" w:cs="Calibri"/>
                <w:b/>
                <w:bCs/>
                <w:color w:val="000000" w:themeColor="text1"/>
                <w:lang w:eastAsia="es-CR"/>
              </w:rPr>
            </w:pPr>
            <w:r w:rsidRPr="00801CC3">
              <w:rPr>
                <w:rFonts w:ascii="Arial Narrow" w:eastAsia="Times New Roman" w:hAnsi="Arial Narrow" w:cs="Calibri"/>
                <w:b/>
                <w:bCs/>
                <w:color w:val="000000" w:themeColor="text1"/>
                <w:lang w:eastAsia="es-CR"/>
              </w:rPr>
              <w:t xml:space="preserve">Total </w:t>
            </w:r>
          </w:p>
        </w:tc>
        <w:tc>
          <w:tcPr>
            <w:tcW w:w="1984" w:type="dxa"/>
            <w:tcBorders>
              <w:top w:val="single" w:sz="4" w:space="0" w:color="000000"/>
              <w:bottom w:val="single" w:sz="4" w:space="0" w:color="000000"/>
            </w:tcBorders>
            <w:shd w:val="clear" w:color="auto" w:fill="auto"/>
            <w:vAlign w:val="bottom"/>
          </w:tcPr>
          <w:p w14:paraId="365F5140" w14:textId="77777777" w:rsidR="00CB5C64" w:rsidRPr="00801CC3" w:rsidRDefault="00E016EB" w:rsidP="004D60B4">
            <w:pPr>
              <w:spacing w:line="360" w:lineRule="auto"/>
              <w:jc w:val="center"/>
              <w:rPr>
                <w:rFonts w:ascii="Arial Narrow" w:eastAsia="Times New Roman" w:hAnsi="Arial Narrow" w:cs="Calibri"/>
                <w:b/>
                <w:color w:val="000000" w:themeColor="text1"/>
                <w:lang w:eastAsia="es-CR"/>
              </w:rPr>
            </w:pPr>
            <w:r w:rsidRPr="00801CC3">
              <w:rPr>
                <w:rFonts w:ascii="Arial Narrow" w:eastAsia="Times New Roman" w:hAnsi="Arial Narrow" w:cs="Calibri"/>
                <w:b/>
                <w:color w:val="000000" w:themeColor="text1"/>
                <w:lang w:eastAsia="es-CR"/>
              </w:rPr>
              <w:t>36</w:t>
            </w:r>
          </w:p>
        </w:tc>
        <w:tc>
          <w:tcPr>
            <w:tcW w:w="695" w:type="dxa"/>
            <w:tcBorders>
              <w:top w:val="single" w:sz="4" w:space="0" w:color="000000"/>
              <w:bottom w:val="single" w:sz="4" w:space="0" w:color="000000"/>
            </w:tcBorders>
            <w:shd w:val="clear" w:color="auto" w:fill="auto"/>
            <w:vAlign w:val="bottom"/>
          </w:tcPr>
          <w:p w14:paraId="01BCD2B4" w14:textId="77777777" w:rsidR="00CB5C64" w:rsidRPr="00801CC3" w:rsidRDefault="00CB5C64" w:rsidP="004D60B4">
            <w:pPr>
              <w:spacing w:line="360" w:lineRule="auto"/>
              <w:jc w:val="center"/>
              <w:rPr>
                <w:rFonts w:ascii="Arial Narrow" w:eastAsia="Times New Roman" w:hAnsi="Arial Narrow" w:cs="Calibri"/>
                <w:b/>
                <w:color w:val="000000" w:themeColor="text1"/>
                <w:lang w:eastAsia="es-CR"/>
              </w:rPr>
            </w:pPr>
          </w:p>
        </w:tc>
        <w:tc>
          <w:tcPr>
            <w:tcW w:w="4126" w:type="dxa"/>
            <w:tcBorders>
              <w:top w:val="single" w:sz="4" w:space="0" w:color="000000"/>
              <w:bottom w:val="single" w:sz="4" w:space="0" w:color="000000"/>
            </w:tcBorders>
            <w:shd w:val="clear" w:color="auto" w:fill="auto"/>
            <w:vAlign w:val="bottom"/>
          </w:tcPr>
          <w:p w14:paraId="43EBFDAF" w14:textId="77777777" w:rsidR="00CB5C64" w:rsidRPr="00801CC3" w:rsidRDefault="00E016EB" w:rsidP="004D60B4">
            <w:pPr>
              <w:spacing w:line="360" w:lineRule="auto"/>
              <w:jc w:val="center"/>
              <w:rPr>
                <w:rFonts w:ascii="Arial Narrow" w:eastAsia="Times New Roman" w:hAnsi="Arial Narrow" w:cs="Calibri"/>
                <w:b/>
                <w:color w:val="000000" w:themeColor="text1"/>
                <w:lang w:eastAsia="es-CR"/>
              </w:rPr>
            </w:pPr>
            <w:r w:rsidRPr="00801CC3">
              <w:rPr>
                <w:rFonts w:ascii="Arial Narrow" w:eastAsia="Times New Roman" w:hAnsi="Arial Narrow" w:cs="Calibri"/>
                <w:b/>
                <w:color w:val="000000" w:themeColor="text1"/>
                <w:lang w:eastAsia="es-CR"/>
              </w:rPr>
              <w:t>100</w:t>
            </w:r>
          </w:p>
        </w:tc>
      </w:tr>
    </w:tbl>
    <w:p w14:paraId="1805023C" w14:textId="77777777" w:rsidR="00F2733F" w:rsidRDefault="00F2733F" w:rsidP="004D60B4">
      <w:pPr>
        <w:spacing w:line="360" w:lineRule="auto"/>
        <w:ind w:left="283"/>
        <w:jc w:val="both"/>
        <w:rPr>
          <w:rFonts w:ascii="Arial Narrow" w:hAnsi="Arial Narrow" w:cs="Calibri"/>
          <w:iCs/>
          <w:color w:val="000000" w:themeColor="text1"/>
        </w:rPr>
      </w:pPr>
    </w:p>
    <w:p w14:paraId="133378B0" w14:textId="77777777" w:rsidR="00CB5C64" w:rsidRPr="004D60B4" w:rsidRDefault="00E016EB" w:rsidP="004D60B4">
      <w:pPr>
        <w:spacing w:line="360" w:lineRule="auto"/>
        <w:ind w:left="283"/>
        <w:jc w:val="both"/>
        <w:rPr>
          <w:rFonts w:ascii="Arial Narrow" w:hAnsi="Arial Narrow" w:cs="Calibri"/>
          <w:iCs/>
          <w:color w:val="000000" w:themeColor="text1"/>
        </w:rPr>
      </w:pPr>
      <w:r w:rsidRPr="004D60B4">
        <w:rPr>
          <w:rFonts w:ascii="Arial Narrow" w:hAnsi="Arial Narrow" w:cs="Calibri"/>
          <w:iCs/>
          <w:color w:val="000000" w:themeColor="text1"/>
        </w:rPr>
        <w:t>Fuente: Estudio de uso de la claritromicina en la ruptura prematura de membranas alejada de término en el Servicio de Obstetricia del Hospital De La Mujer Adolfo Carit Eva</w:t>
      </w:r>
    </w:p>
    <w:p w14:paraId="38A9B6F4" w14:textId="77777777" w:rsidR="00CB5C64" w:rsidRPr="00801CC3" w:rsidRDefault="00CB5C64">
      <w:pPr>
        <w:ind w:left="283"/>
        <w:jc w:val="both"/>
        <w:rPr>
          <w:rFonts w:ascii="Arial Narrow" w:hAnsi="Arial Narrow" w:cs="Calibri"/>
          <w:color w:val="000000" w:themeColor="text1"/>
        </w:rPr>
      </w:pPr>
    </w:p>
    <w:p w14:paraId="61DC7F43" w14:textId="77777777" w:rsidR="00CB5C64" w:rsidRPr="00801CC3" w:rsidRDefault="00E016EB">
      <w:pPr>
        <w:spacing w:line="360" w:lineRule="auto"/>
        <w:ind w:left="283"/>
        <w:jc w:val="both"/>
        <w:rPr>
          <w:rFonts w:ascii="Arial Narrow" w:hAnsi="Arial Narrow" w:cs="Calibri"/>
          <w:color w:val="000000" w:themeColor="text1"/>
        </w:rPr>
      </w:pPr>
      <w:r w:rsidRPr="00801CC3">
        <w:rPr>
          <w:rFonts w:ascii="Arial Narrow" w:hAnsi="Arial Narrow" w:cs="Calibri"/>
          <w:color w:val="000000" w:themeColor="text1"/>
        </w:rPr>
        <w:t xml:space="preserve">A la totalidad de las pacientes se les documentó amniorrea franca al examen físico. No fueron necesarias otras intervenciones para verificar el diagnóstico, como, por ejemplo, la realización de Amniosure. </w:t>
      </w:r>
    </w:p>
    <w:p w14:paraId="630B1843" w14:textId="77777777" w:rsidR="00CB5C64" w:rsidRPr="00801CC3" w:rsidRDefault="00CB5C64">
      <w:pPr>
        <w:spacing w:line="360" w:lineRule="auto"/>
        <w:ind w:left="283"/>
        <w:jc w:val="both"/>
        <w:rPr>
          <w:rFonts w:ascii="Arial Narrow" w:hAnsi="Arial Narrow" w:cs="Calibri"/>
          <w:color w:val="000000" w:themeColor="text1"/>
        </w:rPr>
      </w:pPr>
    </w:p>
    <w:p w14:paraId="3BAEA3E6" w14:textId="77777777" w:rsidR="00CB5C64" w:rsidRPr="00801CC3" w:rsidRDefault="00E016EB">
      <w:pPr>
        <w:spacing w:line="360" w:lineRule="auto"/>
        <w:ind w:left="283"/>
        <w:jc w:val="both"/>
        <w:rPr>
          <w:rFonts w:ascii="Arial Narrow" w:hAnsi="Arial Narrow" w:cs="Calibri"/>
          <w:b/>
          <w:color w:val="000000" w:themeColor="text1"/>
        </w:rPr>
      </w:pPr>
      <w:r w:rsidRPr="00801CC3">
        <w:rPr>
          <w:rFonts w:ascii="Arial Narrow" w:hAnsi="Arial Narrow" w:cs="Calibri"/>
          <w:color w:val="000000" w:themeColor="text1"/>
        </w:rPr>
        <w:t xml:space="preserve">Al evaluar la presentación clínica de las pacientes, se evidenció que la leucocitosis fue la condición más frecuente que se desarrolló, presente en el 8.3% (3/36) de los casos, seguido de taquicardia fetal y fiebre materna en el 5.6% (2/36). </w:t>
      </w:r>
      <w:r w:rsidR="001A7D38" w:rsidRPr="00801CC3">
        <w:rPr>
          <w:rFonts w:ascii="Arial Narrow" w:hAnsi="Arial Narrow" w:cs="Calibri"/>
          <w:b/>
          <w:color w:val="000000" w:themeColor="text1"/>
        </w:rPr>
        <w:t>Tabla</w:t>
      </w:r>
      <w:r w:rsidRPr="00801CC3">
        <w:rPr>
          <w:rFonts w:ascii="Arial Narrow" w:hAnsi="Arial Narrow" w:cs="Calibri"/>
          <w:b/>
          <w:color w:val="000000" w:themeColor="text1"/>
        </w:rPr>
        <w:t xml:space="preserve"> 3.</w:t>
      </w:r>
    </w:p>
    <w:p w14:paraId="35D27510" w14:textId="77777777" w:rsidR="00CB5C64" w:rsidRPr="00801CC3" w:rsidRDefault="00CB5C64">
      <w:pPr>
        <w:spacing w:line="360" w:lineRule="auto"/>
        <w:ind w:left="283"/>
        <w:jc w:val="both"/>
        <w:rPr>
          <w:rFonts w:ascii="Arial Narrow" w:hAnsi="Arial Narrow" w:cs="Calibri"/>
          <w:color w:val="000000" w:themeColor="text1"/>
        </w:rPr>
      </w:pPr>
    </w:p>
    <w:p w14:paraId="65E1BDBA" w14:textId="77777777" w:rsidR="00CB5C64" w:rsidRPr="00801CC3" w:rsidRDefault="001A7D38">
      <w:pPr>
        <w:spacing w:line="360" w:lineRule="auto"/>
        <w:ind w:left="283"/>
        <w:jc w:val="center"/>
        <w:rPr>
          <w:rFonts w:ascii="Arial Narrow" w:hAnsi="Arial Narrow" w:cs="Calibri"/>
          <w:b/>
          <w:bCs/>
          <w:color w:val="000000" w:themeColor="text1"/>
          <w:lang w:val="es-ES"/>
        </w:rPr>
      </w:pPr>
      <w:r w:rsidRPr="00801CC3">
        <w:rPr>
          <w:rFonts w:ascii="Arial Narrow" w:hAnsi="Arial Narrow" w:cs="Calibri"/>
          <w:b/>
          <w:color w:val="000000" w:themeColor="text1"/>
        </w:rPr>
        <w:t>Tabla</w:t>
      </w:r>
      <w:r w:rsidR="00E016EB" w:rsidRPr="00801CC3">
        <w:rPr>
          <w:rFonts w:ascii="Arial Narrow" w:hAnsi="Arial Narrow" w:cs="Calibri"/>
          <w:b/>
          <w:color w:val="000000" w:themeColor="text1"/>
        </w:rPr>
        <w:t xml:space="preserve"> 3:</w:t>
      </w:r>
      <w:r w:rsidR="00E016EB" w:rsidRPr="00801CC3">
        <w:rPr>
          <w:rFonts w:ascii="Arial Narrow" w:hAnsi="Arial Narrow" w:cs="Calibri"/>
          <w:color w:val="000000" w:themeColor="text1"/>
        </w:rPr>
        <w:t xml:space="preserve"> Distribución de pacientes con indicación de </w:t>
      </w:r>
      <w:r w:rsidR="00E016EB" w:rsidRPr="00801CC3">
        <w:rPr>
          <w:rFonts w:ascii="Arial Narrow" w:hAnsi="Arial Narrow" w:cs="Calibri"/>
          <w:color w:val="000000" w:themeColor="text1"/>
          <w:lang w:val="es-ES"/>
        </w:rPr>
        <w:t>antibioticoterapia por ruptura prematura de membranas alejada de térmi</w:t>
      </w:r>
      <w:r w:rsidR="00F2733F">
        <w:rPr>
          <w:rFonts w:ascii="Arial Narrow" w:hAnsi="Arial Narrow" w:cs="Calibri"/>
          <w:color w:val="000000" w:themeColor="text1"/>
          <w:lang w:val="es-ES"/>
        </w:rPr>
        <w:t>no, según presentación clínica.</w:t>
      </w:r>
    </w:p>
    <w:tbl>
      <w:tblPr>
        <w:tblStyle w:val="DataAnalytic"/>
        <w:tblW w:w="8838" w:type="dxa"/>
        <w:tblLook w:val="04A0" w:firstRow="1" w:lastRow="0" w:firstColumn="1" w:lastColumn="0" w:noHBand="0" w:noVBand="1"/>
      </w:tblPr>
      <w:tblGrid>
        <w:gridCol w:w="2464"/>
        <w:gridCol w:w="1992"/>
        <w:gridCol w:w="2173"/>
        <w:gridCol w:w="2209"/>
      </w:tblGrid>
      <w:tr w:rsidR="00CB5C64" w:rsidRPr="00801CC3" w14:paraId="49C3C242" w14:textId="77777777" w:rsidTr="00CB5C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3" w:type="dxa"/>
            <w:tcBorders>
              <w:top w:val="single" w:sz="6" w:space="0" w:color="000000"/>
              <w:bottom w:val="single" w:sz="6" w:space="0" w:color="000000"/>
            </w:tcBorders>
            <w:shd w:val="clear" w:color="auto" w:fill="auto"/>
          </w:tcPr>
          <w:p w14:paraId="20387D63" w14:textId="77777777" w:rsidR="00CB5C64" w:rsidRPr="00801CC3" w:rsidRDefault="00E016EB">
            <w:pPr>
              <w:rPr>
                <w:rFonts w:ascii="Arial Narrow" w:hAnsi="Arial Narrow" w:cs="Calibri"/>
                <w:color w:val="000000" w:themeColor="text1"/>
                <w:sz w:val="24"/>
                <w:szCs w:val="24"/>
              </w:rPr>
            </w:pPr>
            <w:proofErr w:type="spellStart"/>
            <w:r w:rsidRPr="00801CC3">
              <w:rPr>
                <w:rFonts w:ascii="Arial Narrow" w:hAnsi="Arial Narrow" w:cs="Calibri"/>
                <w:color w:val="000000" w:themeColor="text1"/>
                <w:sz w:val="24"/>
                <w:szCs w:val="24"/>
              </w:rPr>
              <w:t>Presentación</w:t>
            </w:r>
            <w:proofErr w:type="spellEnd"/>
            <w:r w:rsidRPr="00801CC3">
              <w:rPr>
                <w:rFonts w:ascii="Arial Narrow" w:hAnsi="Arial Narrow" w:cs="Calibri"/>
                <w:color w:val="000000" w:themeColor="text1"/>
                <w:sz w:val="24"/>
                <w:szCs w:val="24"/>
              </w:rPr>
              <w:t xml:space="preserve"> </w:t>
            </w:r>
            <w:proofErr w:type="spellStart"/>
            <w:r w:rsidRPr="00801CC3">
              <w:rPr>
                <w:rFonts w:ascii="Arial Narrow" w:hAnsi="Arial Narrow" w:cs="Calibri"/>
                <w:color w:val="000000" w:themeColor="text1"/>
                <w:sz w:val="24"/>
                <w:szCs w:val="24"/>
              </w:rPr>
              <w:t>Clínica</w:t>
            </w:r>
            <w:proofErr w:type="spellEnd"/>
          </w:p>
        </w:tc>
        <w:tc>
          <w:tcPr>
            <w:tcW w:w="1992" w:type="dxa"/>
            <w:tcBorders>
              <w:top w:val="single" w:sz="6" w:space="0" w:color="000000"/>
              <w:bottom w:val="single" w:sz="6" w:space="0" w:color="000000"/>
            </w:tcBorders>
            <w:shd w:val="clear" w:color="auto" w:fill="auto"/>
          </w:tcPr>
          <w:p w14:paraId="322EF943" w14:textId="77777777" w:rsidR="00CB5C64" w:rsidRPr="00801CC3" w:rsidRDefault="00E016EB">
            <w:pPr>
              <w:cnfStyle w:val="100000000000" w:firstRow="1"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Casos</w:t>
            </w:r>
          </w:p>
        </w:tc>
        <w:tc>
          <w:tcPr>
            <w:tcW w:w="2173" w:type="dxa"/>
            <w:tcBorders>
              <w:top w:val="single" w:sz="6" w:space="0" w:color="000000"/>
              <w:bottom w:val="single" w:sz="6" w:space="0" w:color="000000"/>
            </w:tcBorders>
            <w:shd w:val="clear" w:color="auto" w:fill="auto"/>
          </w:tcPr>
          <w:p w14:paraId="4F1D3EF4" w14:textId="77777777" w:rsidR="00CB5C64" w:rsidRPr="00801CC3" w:rsidRDefault="00CB5C64">
            <w:pPr>
              <w:cnfStyle w:val="100000000000" w:firstRow="1"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9" w:type="dxa"/>
            <w:tcBorders>
              <w:top w:val="single" w:sz="6" w:space="0" w:color="000000"/>
              <w:bottom w:val="single" w:sz="6" w:space="0" w:color="000000"/>
            </w:tcBorders>
            <w:shd w:val="clear" w:color="auto" w:fill="auto"/>
          </w:tcPr>
          <w:p w14:paraId="3004F8A6" w14:textId="77777777" w:rsidR="00CB5C64" w:rsidRPr="00801CC3" w:rsidRDefault="00E016EB">
            <w:pPr>
              <w:cnfStyle w:val="100000000000" w:firstRow="1"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w:t>
            </w:r>
          </w:p>
        </w:tc>
      </w:tr>
      <w:tr w:rsidR="00CB5C64" w:rsidRPr="00801CC3" w14:paraId="29B5C610" w14:textId="77777777" w:rsidTr="00CB5C64">
        <w:tc>
          <w:tcPr>
            <w:cnfStyle w:val="001000000000" w:firstRow="0" w:lastRow="0" w:firstColumn="1" w:lastColumn="0" w:oddVBand="0" w:evenVBand="0" w:oddHBand="0" w:evenHBand="0" w:firstRowFirstColumn="0" w:firstRowLastColumn="0" w:lastRowFirstColumn="0" w:lastRowLastColumn="0"/>
            <w:tcW w:w="2463" w:type="dxa"/>
            <w:tcBorders>
              <w:bottom w:val="nil"/>
            </w:tcBorders>
            <w:shd w:val="clear" w:color="auto" w:fill="auto"/>
          </w:tcPr>
          <w:p w14:paraId="76004287" w14:textId="77777777" w:rsidR="00CB5C64" w:rsidRPr="00801CC3" w:rsidRDefault="00E016EB">
            <w:pPr>
              <w:rPr>
                <w:rFonts w:ascii="Arial Narrow" w:hAnsi="Arial Narrow" w:cs="Calibri"/>
                <w:color w:val="000000" w:themeColor="text1"/>
                <w:sz w:val="24"/>
                <w:szCs w:val="24"/>
              </w:rPr>
            </w:pPr>
            <w:proofErr w:type="spellStart"/>
            <w:r w:rsidRPr="00801CC3">
              <w:rPr>
                <w:rFonts w:ascii="Arial Narrow" w:hAnsi="Arial Narrow" w:cs="Calibri"/>
                <w:color w:val="000000" w:themeColor="text1"/>
                <w:sz w:val="24"/>
                <w:szCs w:val="24"/>
              </w:rPr>
              <w:t>Leucocitosis</w:t>
            </w:r>
            <w:proofErr w:type="spellEnd"/>
          </w:p>
        </w:tc>
        <w:tc>
          <w:tcPr>
            <w:tcW w:w="1992" w:type="dxa"/>
            <w:tcBorders>
              <w:bottom w:val="nil"/>
            </w:tcBorders>
            <w:shd w:val="clear" w:color="auto" w:fill="auto"/>
          </w:tcPr>
          <w:p w14:paraId="03052C1C"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3</w:t>
            </w:r>
          </w:p>
        </w:tc>
        <w:tc>
          <w:tcPr>
            <w:tcW w:w="2173" w:type="dxa"/>
            <w:tcBorders>
              <w:bottom w:val="nil"/>
            </w:tcBorders>
            <w:shd w:val="clear" w:color="auto" w:fill="auto"/>
          </w:tcPr>
          <w:p w14:paraId="7879D368"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9" w:type="dxa"/>
            <w:tcBorders>
              <w:bottom w:val="nil"/>
            </w:tcBorders>
            <w:shd w:val="clear" w:color="auto" w:fill="auto"/>
          </w:tcPr>
          <w:p w14:paraId="74B0478C"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8.3</w:t>
            </w:r>
          </w:p>
        </w:tc>
      </w:tr>
      <w:tr w:rsidR="00CB5C64" w:rsidRPr="00801CC3" w14:paraId="2D98E930" w14:textId="77777777" w:rsidTr="00CB5C64">
        <w:tc>
          <w:tcPr>
            <w:cnfStyle w:val="001000000000" w:firstRow="0" w:lastRow="0" w:firstColumn="1" w:lastColumn="0" w:oddVBand="0" w:evenVBand="0" w:oddHBand="0" w:evenHBand="0" w:firstRowFirstColumn="0" w:firstRowLastColumn="0" w:lastRowFirstColumn="0" w:lastRowLastColumn="0"/>
            <w:tcW w:w="2463" w:type="dxa"/>
            <w:tcBorders>
              <w:bottom w:val="nil"/>
            </w:tcBorders>
            <w:shd w:val="clear" w:color="auto" w:fill="auto"/>
          </w:tcPr>
          <w:p w14:paraId="3D7C258F" w14:textId="77777777" w:rsidR="00CB5C64" w:rsidRPr="00801CC3" w:rsidRDefault="00E016EB">
            <w:pPr>
              <w:rPr>
                <w:rFonts w:ascii="Arial Narrow" w:hAnsi="Arial Narrow" w:cs="Calibri"/>
                <w:color w:val="000000" w:themeColor="text1"/>
                <w:sz w:val="24"/>
                <w:szCs w:val="24"/>
              </w:rPr>
            </w:pPr>
            <w:proofErr w:type="spellStart"/>
            <w:r w:rsidRPr="00801CC3">
              <w:rPr>
                <w:rFonts w:ascii="Arial Narrow" w:hAnsi="Arial Narrow" w:cs="Calibri"/>
                <w:color w:val="000000" w:themeColor="text1"/>
                <w:sz w:val="24"/>
                <w:szCs w:val="24"/>
              </w:rPr>
              <w:t>Taquicardia</w:t>
            </w:r>
            <w:proofErr w:type="spellEnd"/>
            <w:r w:rsidRPr="00801CC3">
              <w:rPr>
                <w:rFonts w:ascii="Arial Narrow" w:hAnsi="Arial Narrow" w:cs="Calibri"/>
                <w:color w:val="000000" w:themeColor="text1"/>
                <w:sz w:val="24"/>
                <w:szCs w:val="24"/>
              </w:rPr>
              <w:t xml:space="preserve"> fetal</w:t>
            </w:r>
          </w:p>
        </w:tc>
        <w:tc>
          <w:tcPr>
            <w:tcW w:w="1992" w:type="dxa"/>
            <w:tcBorders>
              <w:bottom w:val="nil"/>
            </w:tcBorders>
            <w:shd w:val="clear" w:color="auto" w:fill="auto"/>
          </w:tcPr>
          <w:p w14:paraId="5EB9BF4E"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2</w:t>
            </w:r>
          </w:p>
        </w:tc>
        <w:tc>
          <w:tcPr>
            <w:tcW w:w="2173" w:type="dxa"/>
            <w:tcBorders>
              <w:bottom w:val="nil"/>
            </w:tcBorders>
            <w:shd w:val="clear" w:color="auto" w:fill="auto"/>
          </w:tcPr>
          <w:p w14:paraId="16ED03CE"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9" w:type="dxa"/>
            <w:tcBorders>
              <w:bottom w:val="nil"/>
            </w:tcBorders>
            <w:shd w:val="clear" w:color="auto" w:fill="auto"/>
          </w:tcPr>
          <w:p w14:paraId="1DB7C1F7"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5.6</w:t>
            </w:r>
          </w:p>
        </w:tc>
      </w:tr>
      <w:tr w:rsidR="00CB5C64" w:rsidRPr="00801CC3" w14:paraId="308E83E0" w14:textId="77777777" w:rsidTr="00CB5C64">
        <w:tc>
          <w:tcPr>
            <w:cnfStyle w:val="001000000000" w:firstRow="0" w:lastRow="0" w:firstColumn="1" w:lastColumn="0" w:oddVBand="0" w:evenVBand="0" w:oddHBand="0" w:evenHBand="0" w:firstRowFirstColumn="0" w:firstRowLastColumn="0" w:lastRowFirstColumn="0" w:lastRowLastColumn="0"/>
            <w:tcW w:w="2463" w:type="dxa"/>
            <w:tcBorders>
              <w:bottom w:val="nil"/>
            </w:tcBorders>
            <w:shd w:val="clear" w:color="auto" w:fill="auto"/>
          </w:tcPr>
          <w:p w14:paraId="5E36A2B7" w14:textId="77777777" w:rsidR="00CB5C64" w:rsidRPr="00801CC3" w:rsidRDefault="00E016EB">
            <w:pPr>
              <w:rPr>
                <w:rFonts w:ascii="Arial Narrow" w:hAnsi="Arial Narrow" w:cs="Calibri"/>
                <w:color w:val="000000" w:themeColor="text1"/>
                <w:sz w:val="24"/>
                <w:szCs w:val="24"/>
              </w:rPr>
            </w:pPr>
            <w:proofErr w:type="spellStart"/>
            <w:r w:rsidRPr="00801CC3">
              <w:rPr>
                <w:rFonts w:ascii="Arial Narrow" w:hAnsi="Arial Narrow" w:cs="Calibri"/>
                <w:color w:val="000000" w:themeColor="text1"/>
                <w:sz w:val="24"/>
                <w:szCs w:val="24"/>
              </w:rPr>
              <w:t>Fiebre</w:t>
            </w:r>
            <w:proofErr w:type="spellEnd"/>
            <w:r w:rsidRPr="00801CC3">
              <w:rPr>
                <w:rFonts w:ascii="Arial Narrow" w:hAnsi="Arial Narrow" w:cs="Calibri"/>
                <w:color w:val="000000" w:themeColor="text1"/>
                <w:sz w:val="24"/>
                <w:szCs w:val="24"/>
              </w:rPr>
              <w:t xml:space="preserve"> </w:t>
            </w:r>
            <w:proofErr w:type="spellStart"/>
            <w:r w:rsidRPr="00801CC3">
              <w:rPr>
                <w:rFonts w:ascii="Arial Narrow" w:hAnsi="Arial Narrow" w:cs="Calibri"/>
                <w:color w:val="000000" w:themeColor="text1"/>
                <w:sz w:val="24"/>
                <w:szCs w:val="24"/>
              </w:rPr>
              <w:t>materna</w:t>
            </w:r>
            <w:proofErr w:type="spellEnd"/>
            <w:r w:rsidRPr="00801CC3">
              <w:rPr>
                <w:rFonts w:ascii="Arial Narrow" w:hAnsi="Arial Narrow" w:cs="Calibri"/>
                <w:color w:val="000000" w:themeColor="text1"/>
                <w:sz w:val="24"/>
                <w:szCs w:val="24"/>
              </w:rPr>
              <w:t xml:space="preserve"> (T 38ºC)</w:t>
            </w:r>
          </w:p>
        </w:tc>
        <w:tc>
          <w:tcPr>
            <w:tcW w:w="1992" w:type="dxa"/>
            <w:tcBorders>
              <w:bottom w:val="nil"/>
            </w:tcBorders>
            <w:shd w:val="clear" w:color="auto" w:fill="auto"/>
          </w:tcPr>
          <w:p w14:paraId="710D1CDF"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2</w:t>
            </w:r>
          </w:p>
        </w:tc>
        <w:tc>
          <w:tcPr>
            <w:tcW w:w="2173" w:type="dxa"/>
            <w:tcBorders>
              <w:bottom w:val="nil"/>
            </w:tcBorders>
            <w:shd w:val="clear" w:color="auto" w:fill="auto"/>
          </w:tcPr>
          <w:p w14:paraId="1F19816A"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9" w:type="dxa"/>
            <w:tcBorders>
              <w:bottom w:val="nil"/>
            </w:tcBorders>
            <w:shd w:val="clear" w:color="auto" w:fill="auto"/>
          </w:tcPr>
          <w:p w14:paraId="3086704A"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5.6</w:t>
            </w:r>
          </w:p>
        </w:tc>
      </w:tr>
      <w:tr w:rsidR="00CB5C64" w:rsidRPr="00801CC3" w14:paraId="6464DD2A" w14:textId="77777777" w:rsidTr="00CB5C64">
        <w:tc>
          <w:tcPr>
            <w:cnfStyle w:val="001000000000" w:firstRow="0" w:lastRow="0" w:firstColumn="1" w:lastColumn="0" w:oddVBand="0" w:evenVBand="0" w:oddHBand="0" w:evenHBand="0" w:firstRowFirstColumn="0" w:firstRowLastColumn="0" w:lastRowFirstColumn="0" w:lastRowLastColumn="0"/>
            <w:tcW w:w="2463" w:type="dxa"/>
            <w:tcBorders>
              <w:bottom w:val="nil"/>
            </w:tcBorders>
            <w:shd w:val="clear" w:color="auto" w:fill="auto"/>
          </w:tcPr>
          <w:p w14:paraId="6665FCAB" w14:textId="77777777" w:rsidR="00CB5C64" w:rsidRPr="00801CC3" w:rsidRDefault="00E016EB">
            <w:pPr>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Amniorrea franca</w:t>
            </w:r>
          </w:p>
        </w:tc>
        <w:tc>
          <w:tcPr>
            <w:tcW w:w="1992" w:type="dxa"/>
            <w:tcBorders>
              <w:bottom w:val="nil"/>
            </w:tcBorders>
            <w:shd w:val="clear" w:color="auto" w:fill="auto"/>
          </w:tcPr>
          <w:p w14:paraId="719B1338"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36</w:t>
            </w:r>
          </w:p>
        </w:tc>
        <w:tc>
          <w:tcPr>
            <w:tcW w:w="2173" w:type="dxa"/>
            <w:tcBorders>
              <w:bottom w:val="nil"/>
            </w:tcBorders>
            <w:shd w:val="clear" w:color="auto" w:fill="auto"/>
          </w:tcPr>
          <w:p w14:paraId="653D4925"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9" w:type="dxa"/>
            <w:tcBorders>
              <w:bottom w:val="nil"/>
            </w:tcBorders>
            <w:shd w:val="clear" w:color="auto" w:fill="auto"/>
          </w:tcPr>
          <w:p w14:paraId="7B2C0FBE"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100.0</w:t>
            </w:r>
          </w:p>
        </w:tc>
      </w:tr>
      <w:tr w:rsidR="00CB5C64" w:rsidRPr="00801CC3" w14:paraId="6AAB451D" w14:textId="77777777" w:rsidTr="00CB5C64">
        <w:tc>
          <w:tcPr>
            <w:cnfStyle w:val="001000000000" w:firstRow="0" w:lastRow="0" w:firstColumn="1" w:lastColumn="0" w:oddVBand="0" w:evenVBand="0" w:oddHBand="0" w:evenHBand="0" w:firstRowFirstColumn="0" w:firstRowLastColumn="0" w:lastRowFirstColumn="0" w:lastRowLastColumn="0"/>
            <w:tcW w:w="2463" w:type="dxa"/>
            <w:shd w:val="clear" w:color="auto" w:fill="auto"/>
          </w:tcPr>
          <w:p w14:paraId="0C8578E4" w14:textId="77777777" w:rsidR="00CB5C64" w:rsidRPr="00801CC3" w:rsidRDefault="00E016EB">
            <w:pPr>
              <w:rPr>
                <w:rFonts w:ascii="Arial Narrow" w:hAnsi="Arial Narrow" w:cs="Calibri"/>
                <w:color w:val="000000" w:themeColor="text1"/>
                <w:sz w:val="24"/>
                <w:szCs w:val="24"/>
              </w:rPr>
            </w:pPr>
            <w:proofErr w:type="spellStart"/>
            <w:r w:rsidRPr="00801CC3">
              <w:rPr>
                <w:rFonts w:ascii="Arial Narrow" w:hAnsi="Arial Narrow" w:cs="Calibri"/>
                <w:color w:val="000000" w:themeColor="text1"/>
                <w:sz w:val="24"/>
                <w:szCs w:val="24"/>
              </w:rPr>
              <w:t>Leucorrea</w:t>
            </w:r>
            <w:proofErr w:type="spellEnd"/>
            <w:r w:rsidRPr="00801CC3">
              <w:rPr>
                <w:rFonts w:ascii="Arial Narrow" w:hAnsi="Arial Narrow" w:cs="Calibri"/>
                <w:color w:val="000000" w:themeColor="text1"/>
                <w:sz w:val="24"/>
                <w:szCs w:val="24"/>
              </w:rPr>
              <w:t xml:space="preserve"> </w:t>
            </w:r>
            <w:proofErr w:type="spellStart"/>
            <w:r w:rsidRPr="00801CC3">
              <w:rPr>
                <w:rFonts w:ascii="Arial Narrow" w:hAnsi="Arial Narrow" w:cs="Calibri"/>
                <w:color w:val="000000" w:themeColor="text1"/>
                <w:sz w:val="24"/>
                <w:szCs w:val="24"/>
              </w:rPr>
              <w:t>purulenta</w:t>
            </w:r>
            <w:proofErr w:type="spellEnd"/>
          </w:p>
        </w:tc>
        <w:tc>
          <w:tcPr>
            <w:tcW w:w="1992" w:type="dxa"/>
            <w:shd w:val="clear" w:color="auto" w:fill="auto"/>
          </w:tcPr>
          <w:p w14:paraId="777B7421"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0</w:t>
            </w:r>
          </w:p>
        </w:tc>
        <w:tc>
          <w:tcPr>
            <w:tcW w:w="2173" w:type="dxa"/>
            <w:shd w:val="clear" w:color="auto" w:fill="auto"/>
          </w:tcPr>
          <w:p w14:paraId="562303C2" w14:textId="77777777" w:rsidR="00CB5C64" w:rsidRPr="00801CC3" w:rsidRDefault="00CB5C64">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p>
        </w:tc>
        <w:tc>
          <w:tcPr>
            <w:tcW w:w="2209" w:type="dxa"/>
            <w:shd w:val="clear" w:color="auto" w:fill="auto"/>
          </w:tcPr>
          <w:p w14:paraId="1854075D" w14:textId="77777777" w:rsidR="00CB5C64" w:rsidRPr="00801CC3" w:rsidRDefault="00E016EB">
            <w:pPr>
              <w:cnfStyle w:val="000000000000" w:firstRow="0" w:lastRow="0" w:firstColumn="0" w:lastColumn="0" w:oddVBand="0" w:evenVBand="0" w:oddHBand="0" w:evenHBand="0" w:firstRowFirstColumn="0" w:firstRowLastColumn="0" w:lastRowFirstColumn="0" w:lastRowLastColumn="0"/>
              <w:rPr>
                <w:rFonts w:ascii="Arial Narrow" w:hAnsi="Arial Narrow" w:cs="Calibri"/>
                <w:color w:val="000000" w:themeColor="text1"/>
                <w:sz w:val="24"/>
                <w:szCs w:val="24"/>
              </w:rPr>
            </w:pPr>
            <w:r w:rsidRPr="00801CC3">
              <w:rPr>
                <w:rFonts w:ascii="Arial Narrow" w:hAnsi="Arial Narrow" w:cs="Calibri"/>
                <w:color w:val="000000" w:themeColor="text1"/>
                <w:sz w:val="24"/>
                <w:szCs w:val="24"/>
              </w:rPr>
              <w:t>0.0</w:t>
            </w:r>
          </w:p>
        </w:tc>
      </w:tr>
    </w:tbl>
    <w:p w14:paraId="47874A91" w14:textId="77777777" w:rsidR="00CB5C64" w:rsidRPr="004D60B4" w:rsidRDefault="00E016EB" w:rsidP="004D60B4">
      <w:pPr>
        <w:spacing w:line="360" w:lineRule="auto"/>
        <w:ind w:left="283"/>
        <w:jc w:val="both"/>
        <w:rPr>
          <w:rFonts w:ascii="Arial Narrow" w:hAnsi="Arial Narrow" w:cs="Calibri"/>
          <w:iCs/>
          <w:color w:val="000000" w:themeColor="text1"/>
        </w:rPr>
      </w:pPr>
      <w:r w:rsidRPr="004D60B4">
        <w:rPr>
          <w:rFonts w:ascii="Arial Narrow" w:hAnsi="Arial Narrow" w:cs="Calibri"/>
          <w:iCs/>
          <w:color w:val="000000" w:themeColor="text1"/>
        </w:rPr>
        <w:t>Fuente: Estudio de uso de la claritromicina en la ruptura prematura de membranas alejada de término en el Servicio de Obstetricia del Hospital De La Mujer Adolfo Carit Eva</w:t>
      </w:r>
    </w:p>
    <w:p w14:paraId="2C447F22" w14:textId="77777777" w:rsidR="00CB5C64" w:rsidRPr="00801CC3" w:rsidRDefault="00CB5C64" w:rsidP="000D53E0">
      <w:pPr>
        <w:spacing w:line="360" w:lineRule="auto"/>
        <w:jc w:val="both"/>
        <w:rPr>
          <w:rFonts w:ascii="Arial Narrow" w:hAnsi="Arial Narrow" w:cs="Calibri"/>
          <w:color w:val="000000" w:themeColor="text1"/>
        </w:rPr>
      </w:pPr>
    </w:p>
    <w:p w14:paraId="5ACE08C0" w14:textId="77777777" w:rsidR="00CB5C64" w:rsidRPr="00801CC3" w:rsidRDefault="00E016EB">
      <w:pPr>
        <w:spacing w:line="360" w:lineRule="auto"/>
        <w:ind w:left="283"/>
        <w:jc w:val="both"/>
        <w:rPr>
          <w:rFonts w:ascii="Arial Narrow" w:hAnsi="Arial Narrow" w:cs="Calibri"/>
          <w:color w:val="000000" w:themeColor="text1"/>
        </w:rPr>
      </w:pPr>
      <w:r w:rsidRPr="00801CC3">
        <w:rPr>
          <w:rFonts w:ascii="Arial Narrow" w:hAnsi="Arial Narrow" w:cs="Calibri"/>
          <w:color w:val="000000" w:themeColor="text1"/>
        </w:rPr>
        <w:lastRenderedPageBreak/>
        <w:t xml:space="preserve">La prolongación del embarazo se documentó en el 72.0% (26/36) de los casos y la presencia de corioamnionitis se presentó en el 8.3% (3/36). No se pudo describir la latencia en estos casos de corioamnionitis, porque su presencia fue indicación de interrupción inmediata, sin importar la edad gestacional. </w:t>
      </w:r>
    </w:p>
    <w:p w14:paraId="2D329FF1" w14:textId="77777777" w:rsidR="00CB5C64" w:rsidRPr="00801CC3" w:rsidRDefault="00CB5C64">
      <w:pPr>
        <w:spacing w:line="360" w:lineRule="auto"/>
        <w:ind w:left="283"/>
        <w:jc w:val="both"/>
        <w:rPr>
          <w:rFonts w:ascii="Arial Narrow" w:hAnsi="Arial Narrow" w:cs="Calibri"/>
          <w:color w:val="000000" w:themeColor="text1"/>
        </w:rPr>
      </w:pPr>
    </w:p>
    <w:p w14:paraId="0A2EB380" w14:textId="77777777" w:rsidR="00CB5C64" w:rsidRPr="00801CC3" w:rsidRDefault="00E016EB">
      <w:pPr>
        <w:spacing w:line="360" w:lineRule="auto"/>
        <w:ind w:left="283"/>
        <w:jc w:val="both"/>
        <w:rPr>
          <w:rFonts w:ascii="Arial Narrow" w:hAnsi="Arial Narrow" w:cs="Calibri"/>
          <w:color w:val="000000" w:themeColor="text1"/>
        </w:rPr>
      </w:pPr>
      <w:r w:rsidRPr="00801CC3">
        <w:rPr>
          <w:rFonts w:ascii="Arial Narrow" w:hAnsi="Arial Narrow" w:cs="Calibri"/>
          <w:color w:val="000000" w:themeColor="text1"/>
        </w:rPr>
        <w:t xml:space="preserve">La distribución de pacientes según días de latencia (días que se prolongó el embarazo) evidenció que lo más frecuente fue un periodo de latencia mayor o igual a 7 días en el 63.9% (23/36), seguido del rango entre 48 horas a 7 días en el 22.2% (8/36) de los casos. </w:t>
      </w:r>
      <w:r w:rsidR="001A7D38" w:rsidRPr="00801CC3">
        <w:rPr>
          <w:rFonts w:ascii="Arial Narrow" w:hAnsi="Arial Narrow" w:cs="Calibri"/>
          <w:b/>
          <w:color w:val="000000" w:themeColor="text1"/>
        </w:rPr>
        <w:t>Gráfico</w:t>
      </w:r>
      <w:r w:rsidRPr="00801CC3">
        <w:rPr>
          <w:rFonts w:ascii="Arial Narrow" w:hAnsi="Arial Narrow" w:cs="Calibri"/>
          <w:b/>
          <w:color w:val="000000" w:themeColor="text1"/>
        </w:rPr>
        <w:t xml:space="preserve"> 1.</w:t>
      </w:r>
    </w:p>
    <w:p w14:paraId="3CA8EBE6" w14:textId="77777777" w:rsidR="00CB5C64" w:rsidRPr="00801CC3" w:rsidRDefault="00CB5C64">
      <w:pPr>
        <w:spacing w:line="360" w:lineRule="auto"/>
        <w:ind w:left="283"/>
        <w:jc w:val="both"/>
        <w:rPr>
          <w:rFonts w:ascii="Arial Narrow" w:hAnsi="Arial Narrow" w:cs="Calibri"/>
          <w:color w:val="000000" w:themeColor="text1"/>
        </w:rPr>
      </w:pPr>
    </w:p>
    <w:p w14:paraId="376EAB73" w14:textId="77777777" w:rsidR="001A7D38" w:rsidRPr="00801CC3" w:rsidRDefault="00E016EB" w:rsidP="001A7D38">
      <w:pPr>
        <w:ind w:left="283"/>
        <w:rPr>
          <w:rFonts w:ascii="Arial Narrow" w:hAnsi="Arial Narrow" w:cs="Calibri"/>
          <w:color w:val="000000" w:themeColor="text1"/>
        </w:rPr>
      </w:pPr>
      <w:r w:rsidRPr="00801CC3">
        <w:rPr>
          <w:rFonts w:ascii="Arial Narrow" w:hAnsi="Arial Narrow"/>
          <w:noProof/>
        </w:rPr>
        <w:drawing>
          <wp:inline distT="0" distB="0" distL="0" distR="0" wp14:anchorId="74A75A11" wp14:editId="53372B7F">
            <wp:extent cx="5943600" cy="428879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noChangeArrowheads="1"/>
                    </pic:cNvPicPr>
                  </pic:nvPicPr>
                  <pic:blipFill>
                    <a:blip r:embed="rId12"/>
                    <a:stretch>
                      <a:fillRect/>
                    </a:stretch>
                  </pic:blipFill>
                  <pic:spPr bwMode="auto">
                    <a:xfrm>
                      <a:off x="0" y="0"/>
                      <a:ext cx="5943600" cy="4288790"/>
                    </a:xfrm>
                    <a:prstGeom prst="rect">
                      <a:avLst/>
                    </a:prstGeom>
                  </pic:spPr>
                </pic:pic>
              </a:graphicData>
            </a:graphic>
          </wp:inline>
        </w:drawing>
      </w:r>
    </w:p>
    <w:p w14:paraId="2BB42CE6" w14:textId="77777777" w:rsidR="001A7D38" w:rsidRPr="00801CC3" w:rsidRDefault="001A7D38" w:rsidP="001A7D38">
      <w:pPr>
        <w:spacing w:line="360" w:lineRule="auto"/>
        <w:ind w:left="283"/>
        <w:jc w:val="both"/>
        <w:rPr>
          <w:rFonts w:ascii="Arial Narrow" w:hAnsi="Arial Narrow" w:cs="Calibri"/>
          <w:color w:val="000000" w:themeColor="text1"/>
          <w:lang w:val="es-ES"/>
        </w:rPr>
      </w:pPr>
      <w:r w:rsidRPr="00801CC3">
        <w:rPr>
          <w:rFonts w:ascii="Arial Narrow" w:hAnsi="Arial Narrow" w:cs="Calibri"/>
          <w:b/>
          <w:color w:val="000000" w:themeColor="text1"/>
        </w:rPr>
        <w:t>Gráfico 1</w:t>
      </w:r>
      <w:r w:rsidRPr="00801CC3">
        <w:rPr>
          <w:rFonts w:ascii="Arial Narrow" w:hAnsi="Arial Narrow" w:cs="Calibri"/>
          <w:color w:val="000000" w:themeColor="text1"/>
        </w:rPr>
        <w:t xml:space="preserve">: Distribución de pacientes con indicación de </w:t>
      </w:r>
      <w:r w:rsidRPr="00801CC3">
        <w:rPr>
          <w:rFonts w:ascii="Arial Narrow" w:hAnsi="Arial Narrow" w:cs="Calibri"/>
          <w:color w:val="000000" w:themeColor="text1"/>
          <w:lang w:val="es-ES"/>
        </w:rPr>
        <w:t>antibioticoterapia por ruptura prematura de membranas alejada de t</w:t>
      </w:r>
      <w:r w:rsidR="00F2733F">
        <w:rPr>
          <w:rFonts w:ascii="Arial Narrow" w:hAnsi="Arial Narrow" w:cs="Calibri"/>
          <w:color w:val="000000" w:themeColor="text1"/>
          <w:lang w:val="es-ES"/>
        </w:rPr>
        <w:t>érmino, según días de latencia.</w:t>
      </w:r>
    </w:p>
    <w:p w14:paraId="3A2B5064" w14:textId="77777777" w:rsidR="001A7D38" w:rsidRPr="004D60B4" w:rsidRDefault="001A7D38" w:rsidP="004D60B4">
      <w:pPr>
        <w:spacing w:line="360" w:lineRule="auto"/>
        <w:ind w:left="283"/>
        <w:rPr>
          <w:rFonts w:ascii="Arial Narrow" w:hAnsi="Arial Narrow" w:cs="Calibri"/>
          <w:iCs/>
          <w:color w:val="000000" w:themeColor="text1"/>
        </w:rPr>
      </w:pPr>
      <w:r w:rsidRPr="004D60B4">
        <w:rPr>
          <w:rFonts w:ascii="Arial Narrow" w:hAnsi="Arial Narrow" w:cs="Calibri"/>
          <w:iCs/>
          <w:color w:val="000000" w:themeColor="text1"/>
        </w:rPr>
        <w:t>Fuente: Estudio de uso de la claritromicina en la ruptura prematura de membranas alejada de término en el Servicio de Obstetricia del Hospital De La Mujer Adolfo Carit Eva</w:t>
      </w:r>
    </w:p>
    <w:p w14:paraId="2AB7E831" w14:textId="77777777" w:rsidR="001A7D38" w:rsidRPr="00801CC3" w:rsidRDefault="001A7D38" w:rsidP="001A7D38">
      <w:pPr>
        <w:spacing w:line="360" w:lineRule="auto"/>
        <w:ind w:left="283"/>
        <w:jc w:val="both"/>
        <w:rPr>
          <w:rFonts w:ascii="Arial Narrow" w:hAnsi="Arial Narrow" w:cs="Calibri"/>
          <w:color w:val="000000" w:themeColor="text1"/>
        </w:rPr>
      </w:pPr>
    </w:p>
    <w:p w14:paraId="6C536DCC" w14:textId="77777777" w:rsidR="00CB5C64" w:rsidRPr="00801CC3" w:rsidRDefault="00CB5C64">
      <w:pPr>
        <w:pStyle w:val="Piedepgina"/>
        <w:tabs>
          <w:tab w:val="clear" w:pos="4252"/>
          <w:tab w:val="clear" w:pos="8504"/>
          <w:tab w:val="left" w:pos="993"/>
        </w:tabs>
        <w:spacing w:line="360" w:lineRule="auto"/>
        <w:jc w:val="both"/>
        <w:rPr>
          <w:rFonts w:ascii="Arial Narrow" w:hAnsi="Arial Narrow" w:cs="Calibri"/>
          <w:b/>
          <w:color w:val="000000" w:themeColor="text1"/>
          <w:lang w:val="es-CR"/>
        </w:rPr>
      </w:pPr>
    </w:p>
    <w:p w14:paraId="57A82EAF" w14:textId="77777777" w:rsidR="00CB5C64" w:rsidRPr="000D53E0" w:rsidRDefault="00E12A40" w:rsidP="000D53E0">
      <w:pPr>
        <w:rPr>
          <w:rFonts w:ascii="Arial Narrow" w:eastAsia="Times New Roman" w:hAnsi="Arial Narrow" w:cs="Calibri"/>
          <w:b/>
          <w:color w:val="000000" w:themeColor="text1"/>
          <w:lang w:val="es-ES" w:eastAsia="es-ES"/>
        </w:rPr>
      </w:pPr>
      <w:r w:rsidRPr="00801CC3">
        <w:rPr>
          <w:rFonts w:ascii="Arial Narrow" w:hAnsi="Arial Narrow" w:cs="Calibri"/>
          <w:b/>
          <w:color w:val="000000" w:themeColor="text1"/>
        </w:rPr>
        <w:br w:type="page"/>
      </w:r>
      <w:r w:rsidR="001A7D38" w:rsidRPr="00801CC3">
        <w:rPr>
          <w:rFonts w:ascii="Arial Narrow" w:hAnsi="Arial Narrow" w:cs="Calibri"/>
          <w:b/>
          <w:color w:val="000000" w:themeColor="text1"/>
        </w:rPr>
        <w:lastRenderedPageBreak/>
        <w:t>Discusión</w:t>
      </w:r>
    </w:p>
    <w:p w14:paraId="6A13C7EA" w14:textId="77777777" w:rsidR="00CB5C64" w:rsidRPr="00801CC3" w:rsidRDefault="00CB5C64">
      <w:pPr>
        <w:pStyle w:val="Piedepgina"/>
        <w:tabs>
          <w:tab w:val="clear" w:pos="4252"/>
          <w:tab w:val="clear" w:pos="8504"/>
          <w:tab w:val="left" w:pos="993"/>
        </w:tabs>
        <w:spacing w:line="360" w:lineRule="auto"/>
        <w:ind w:left="283"/>
        <w:jc w:val="both"/>
        <w:rPr>
          <w:rFonts w:ascii="Arial Narrow" w:hAnsi="Arial Narrow" w:cs="Calibri"/>
          <w:b/>
          <w:color w:val="000000" w:themeColor="text1"/>
        </w:rPr>
      </w:pPr>
    </w:p>
    <w:p w14:paraId="13E93BC5" w14:textId="77777777" w:rsidR="00CB5C64" w:rsidRPr="00801CC3" w:rsidRDefault="00E016EB">
      <w:pPr>
        <w:pStyle w:val="Piedepgina"/>
        <w:tabs>
          <w:tab w:val="left" w:pos="993"/>
        </w:tabs>
        <w:spacing w:line="360" w:lineRule="auto"/>
        <w:jc w:val="both"/>
        <w:rPr>
          <w:rFonts w:ascii="Arial Narrow" w:hAnsi="Arial Narrow"/>
        </w:rPr>
      </w:pPr>
      <w:r w:rsidRPr="00801CC3">
        <w:rPr>
          <w:rFonts w:ascii="Arial Narrow" w:hAnsi="Arial Narrow" w:cstheme="minorHAnsi"/>
          <w:color w:val="000000" w:themeColor="text1"/>
        </w:rPr>
        <w:t>En los casos revisados</w:t>
      </w:r>
      <w:r w:rsidRPr="00801CC3">
        <w:rPr>
          <w:rFonts w:ascii="Arial Narrow" w:hAnsi="Arial Narrow" w:cstheme="minorHAnsi"/>
          <w:color w:val="FF0000"/>
        </w:rPr>
        <w:t>,</w:t>
      </w:r>
      <w:r w:rsidRPr="00801CC3">
        <w:rPr>
          <w:rFonts w:ascii="Arial Narrow" w:hAnsi="Arial Narrow" w:cstheme="minorHAnsi"/>
          <w:color w:val="000000" w:themeColor="text1"/>
        </w:rPr>
        <w:t xml:space="preserve"> se pudo observar c</w:t>
      </w:r>
      <w:r w:rsidRPr="00801CC3">
        <w:rPr>
          <w:rFonts w:ascii="Arial Narrow" w:hAnsi="Arial Narrow" w:cstheme="minorHAnsi"/>
        </w:rPr>
        <w:t>óm</w:t>
      </w:r>
      <w:r w:rsidRPr="00801CC3">
        <w:rPr>
          <w:rFonts w:ascii="Arial Narrow" w:hAnsi="Arial Narrow" w:cstheme="minorHAnsi"/>
          <w:color w:val="000000" w:themeColor="text1"/>
        </w:rPr>
        <w:t>o a la totalidad de las pacientes, de 36 mujeres con el diagnóstico de RPM alejada de término, se les indicó la terapia antibiótica descrita como de rutina en el manejo de este tipo de casos en el Hospital Adolfo Carit Eva, incluyendo el uso de claritromicina.</w:t>
      </w:r>
    </w:p>
    <w:p w14:paraId="75A6AD49" w14:textId="77777777" w:rsidR="00CB5C64" w:rsidRPr="00801CC3" w:rsidRDefault="00CB5C64">
      <w:pPr>
        <w:pStyle w:val="Piedepgina"/>
        <w:tabs>
          <w:tab w:val="left" w:pos="993"/>
        </w:tabs>
        <w:spacing w:line="360" w:lineRule="auto"/>
        <w:jc w:val="both"/>
        <w:rPr>
          <w:rFonts w:ascii="Arial Narrow" w:hAnsi="Arial Narrow" w:cstheme="minorHAnsi"/>
          <w:color w:val="000000" w:themeColor="text1"/>
        </w:rPr>
      </w:pPr>
    </w:p>
    <w:p w14:paraId="1652B69E" w14:textId="77777777" w:rsidR="00CB5C64" w:rsidRPr="00801CC3" w:rsidRDefault="00E016EB">
      <w:pPr>
        <w:spacing w:line="360" w:lineRule="auto"/>
        <w:jc w:val="both"/>
        <w:rPr>
          <w:rFonts w:ascii="Arial Narrow" w:hAnsi="Arial Narrow" w:cs="Arial"/>
          <w:color w:val="000000" w:themeColor="text1"/>
          <w:highlight w:val="white"/>
        </w:rPr>
      </w:pPr>
      <w:r w:rsidRPr="00801CC3">
        <w:rPr>
          <w:rFonts w:ascii="Arial Narrow" w:hAnsi="Arial Narrow" w:cstheme="minorHAnsi"/>
          <w:color w:val="000000" w:themeColor="text1"/>
        </w:rPr>
        <w:t xml:space="preserve">En cuanto al número de pacientes estudiados, el porcentaje que desarrolló corioamnionitis posterior al inicio de la antibioticoterapia fue del 8.3%, constituido por tres pacientes. Esto en comparación con el estudio de </w:t>
      </w:r>
      <w:r w:rsidRPr="00801CC3">
        <w:rPr>
          <w:rFonts w:ascii="Arial Narrow" w:hAnsi="Arial Narrow" w:cs="Arial"/>
          <w:color w:val="000000" w:themeColor="text1"/>
          <w:shd w:val="clear" w:color="auto" w:fill="FFFFFF"/>
        </w:rPr>
        <w:t>Mercer y colaboradores (1997), que demostró una incidencia de corioamnionitis del 23% en el total de la población tratada con antibioticoterapia eritromicina/ampicilina/amoxacilina, es significativamente menor.</w:t>
      </w:r>
    </w:p>
    <w:p w14:paraId="7E3490DA" w14:textId="77777777" w:rsidR="00CB5C64" w:rsidRPr="00801CC3" w:rsidRDefault="00E016EB">
      <w:pPr>
        <w:spacing w:line="360" w:lineRule="auto"/>
        <w:jc w:val="both"/>
        <w:rPr>
          <w:rFonts w:ascii="Arial Narrow" w:hAnsi="Arial Narrow"/>
        </w:rPr>
      </w:pPr>
      <w:proofErr w:type="spellStart"/>
      <w:r w:rsidRPr="00801CC3">
        <w:rPr>
          <w:rFonts w:ascii="Arial Narrow" w:hAnsi="Arial Narrow" w:cs="Arial"/>
          <w:color w:val="000000" w:themeColor="text1"/>
          <w:shd w:val="clear" w:color="auto" w:fill="FFFFFF"/>
        </w:rPr>
        <w:t>Kenyon</w:t>
      </w:r>
      <w:proofErr w:type="spellEnd"/>
      <w:r w:rsidRPr="00801CC3">
        <w:rPr>
          <w:rFonts w:ascii="Arial Narrow" w:hAnsi="Arial Narrow" w:cs="Arial"/>
          <w:color w:val="000000" w:themeColor="text1"/>
          <w:shd w:val="clear" w:color="auto" w:fill="FFFFFF"/>
        </w:rPr>
        <w:t>, en el estudio ORACLE (2012), diagnostica la presencia de corioamnionitis si el neonato presentaba un cultivo positivo, con un resultado de 4.7%.</w:t>
      </w:r>
      <w:r w:rsidRPr="00801CC3">
        <w:rPr>
          <w:rFonts w:ascii="Arial Narrow" w:hAnsi="Arial Narrow"/>
        </w:rPr>
        <w:fldChar w:fldCharType="begin"/>
      </w:r>
      <w:r w:rsidRPr="00801CC3">
        <w:rPr>
          <w:rFonts w:ascii="Arial Narrow" w:hAnsi="Arial Narrow"/>
        </w:rPr>
        <w:instrText>ADDIN CSL_CITATION {"citationItems":[{"id":"ITEM-1","itemData":{"abstract":"Tarnow-Mordi WO. ORACLE-antibiotics for preterm prelabour rupture of the membranes: short-term and long-term outcomes. Acta Paediatr 2002; Suppl 437: 12-15. Stockholm. ISSN 0803-5326 Preterm prelabour rupture of the foetal membranes (pPROM) is the most common antecedent of preterm birth and can lead to death, neonatal disease and long-term disability. Previous small trials of antibiotics for pPROM suggested some health bene ts for the neonate, but the results were inconclusive. A large, randomized, multicentre trial was undertaken to try to resolve this issue. In total, 4826 women with pPROM were randomized to one of four treatments: 325 mg co-amoxiclav plus 250 mg erythromycin, co-amoxiclav plus erythromycin placebo, erythromycin plus co-amoxiclav placebo, or co-amoxiclav placebo plus erythromycin placebo, four times daily for 10 d or until delivery. The primary outcome measure was a composite of neonatal death, chronic lung disease or major cerebral abnormality on ultrasonography before discharge from hospital. The analysis was undertaken by intention to treat. Indications of short-term respiratory function, chronic lung disease and major neonatal cerebral abnormality were reduced with the prescription of erythromycin. In contrast, the use of co-amoxiclav was associated with a signi cant increase in the occurrence of neonatal necrotizing enterocolitis. Conclusion: Prophylactic antibiotics can play a role in preterm prelabour rupture of the membranes in reducing infant morbidity. Preterm prelabour rupture of the foetal membranes (pPROM) is the most common antecedent of preterm birth and can lead to death, neonatal disease and long-term disability. Previous small trials of antibiotics for pPROM suggested health bene ts for the neonate, but the results were inconclusive. A large, randomized, multicentre trial was undertaken to resolve this issue. Women at less than 37 wk of gestation who had pPROM and in whom there was substantial uncertainty as to whether antibiotics should be prescribed were randomized. The diagnosis was left to the clinician caring for the woman. Women were randomly assigned to one of four possible treatments: 325 mg co-amoxi-clav (250 mg amoxicillin and 125 mg clavulanic acid) plus 250 mg erythromycin, co-amoxiclav plus erythro-mycin placebo, erythromycin plus co-amoxiclav placebo , or co-amoxiclav placebo plus erythromycin placebo. Reasons for the exclusion of patients, method of randomization, data collection, compliance, compariso…","author":[{"dropping-particle":"","family":"Kenyon S","given":"","non-dropping-particle":"","parse-names":false,"suffix":""},{"dropping-particle":"","family":"Taylor D","given":"","non-dropping-particle":"","parse-names":false,"suffix":""}],"id":"ITEM-1","issued":{"date-parts":[["0"]]},"title":"ORACLE - antibiotics for preterm prelabour rupture of the membranes: short- term and long- term outcomes","type":"report"},"uris":["http://www.mendeley.com/documents/?uuid=d54e9264-6e38-4b0b-9197-ee81d5c6ee3e"]}],"mendeley":{"formattedCitation":"(9)","plainTextFormattedCitation":"(9)","previouslyFormattedCitation":"(9)"},"properties":{"noteIndex":0},"schema":"https://github.com/citation-style-language/schema/raw/master/csl-citation.json"}</w:instrText>
      </w:r>
      <w:r w:rsidRPr="00801CC3">
        <w:rPr>
          <w:rFonts w:ascii="Arial Narrow" w:hAnsi="Arial Narrow"/>
        </w:rPr>
        <w:fldChar w:fldCharType="separate"/>
      </w:r>
      <w:bookmarkStart w:id="16" w:name="Bookmark10"/>
      <w:r w:rsidRPr="00801CC3">
        <w:rPr>
          <w:rFonts w:ascii="Arial Narrow" w:hAnsi="Arial Narrow" w:cs="Arial"/>
          <w:color w:val="000000" w:themeColor="text1"/>
          <w:shd w:val="clear" w:color="auto" w:fill="FFFFFF"/>
        </w:rPr>
        <w:t>(9)</w:t>
      </w:r>
      <w:r w:rsidRPr="00801CC3">
        <w:rPr>
          <w:rFonts w:ascii="Arial Narrow" w:hAnsi="Arial Narrow"/>
        </w:rPr>
        <w:fldChar w:fldCharType="end"/>
      </w:r>
      <w:bookmarkEnd w:id="16"/>
      <w:r w:rsidRPr="00801CC3">
        <w:rPr>
          <w:rFonts w:ascii="Arial Narrow" w:hAnsi="Arial Narrow" w:cs="Arial"/>
          <w:color w:val="000000" w:themeColor="text1"/>
          <w:shd w:val="clear" w:color="auto" w:fill="FFFFFF"/>
        </w:rPr>
        <w:t xml:space="preserve"> En nuestro estudio, el diagnóstico de corioamnionitis </w:t>
      </w:r>
      <w:r w:rsidRPr="00801CC3">
        <w:rPr>
          <w:rFonts w:ascii="Arial Narrow" w:hAnsi="Arial Narrow" w:cs="Calibri"/>
          <w:color w:val="000000" w:themeColor="text1"/>
          <w:shd w:val="clear" w:color="auto" w:fill="FFFFFF"/>
        </w:rPr>
        <w:t xml:space="preserve">se determinó por clínica según la presencia de fiebre sin una fuente clara acompañada de uno o más de los siguientes criterios: 1) Frecuencia cardiaca fetal basal mayor a 160 </w:t>
      </w:r>
      <w:proofErr w:type="spellStart"/>
      <w:r w:rsidRPr="00801CC3">
        <w:rPr>
          <w:rFonts w:ascii="Arial Narrow" w:hAnsi="Arial Narrow" w:cs="Calibri"/>
          <w:color w:val="000000" w:themeColor="text1"/>
          <w:shd w:val="clear" w:color="auto" w:fill="FFFFFF"/>
        </w:rPr>
        <w:t>lpm</w:t>
      </w:r>
      <w:proofErr w:type="spellEnd"/>
      <w:r w:rsidRPr="00801CC3">
        <w:rPr>
          <w:rFonts w:ascii="Arial Narrow" w:hAnsi="Arial Narrow" w:cs="Calibri"/>
          <w:color w:val="000000" w:themeColor="text1"/>
          <w:shd w:val="clear" w:color="auto" w:fill="FFFFFF"/>
        </w:rPr>
        <w:t xml:space="preserve"> (latidos por minuto) por 10 minutos ó más, 2) Leucocitosis materna mayor a 15 mil/mm3 en ausencia de uso de corticoesteroides, 3) Secreción purulenta a través del orifico cervical externo; o por amniocentesis, extraídos del resumen ejecutivo de la Evaluación y Manejo de Mujeres y Neonatos con Diagnóstico Materno de Corioamnionitis, del Colegio Americano de Obstetricia  y Ginecología del 2016 </w:t>
      </w:r>
      <w:r w:rsidRPr="00801CC3">
        <w:rPr>
          <w:rFonts w:ascii="Arial Narrow" w:hAnsi="Arial Narrow"/>
        </w:rPr>
        <w:fldChar w:fldCharType="begin"/>
      </w:r>
      <w:r w:rsidRPr="00801CC3">
        <w:rPr>
          <w:rFonts w:ascii="Arial Narrow" w:hAnsi="Arial Narrow"/>
        </w:rPr>
        <w:instrText>ADDIN CSL_CITATION {"citationItems":[{"id":"ITEM-1","itemData":{"ISBN":"0000000000","ISSN":"1873233X","PMID":"28742677","abstract":"Intraamniotic infection, also known as chorioamnionitis, is an infection with resultant inflammation of any combination of the amniotic fluid, placenta, fetus, fetal membranes, or decidua. Intraamniotic infection is a common condition noted among preterm and term parturients. However, most cases of intraamniotic infection detected and managed by obstetrician-gynecologists or other obstetric care providers will be noted among term patients in labor. Intraamniotic infection can be associated with acute neonatal morbidity, including neonatal pneumonia, meningitis, sepsis, and death. Maternal morbidity from intraamniotic infection also can be significant, and may include dysfunctional labor requiring increased intervention, postpartum uterine atony with hemorrhage, endometritis, peritonitis, sepsis, adult respiratory distress syndrome and, rarely, death. Recognition of intrapartum intraamniotic infection and implementation of treatment recommendations are essential steps that effectively can minimize morbidity and mortality for women and newborns. Timely maternal management together with notification of the neonatal health care providers will facilitate appropriate evaluation and empiric antibiotic treatment when indicated. Intraamniotic infection alone is rarely, if ever, an indication for cesarean delivery.","author":[{"dropping-particle":"","family":"The American College of Obstetricians and Gynecologists","given":"","non-dropping-particle":"","parse-names":false,"suffix":""}],"container-title":"Obstetrics and gynecology","id":"ITEM-1","issue":"2","issued":{"date-parts":[["2017"]]},"page":"e95-e101","title":"Intrapartum Management of Intraamniotic Infection","type":"article-journal","volume":"130"},"uris":["http://www.mendeley.com/documents/?uuid=5a92a21c-026f-4e67-8394-cb82f353631f"]}],"mendeley":{"formattedCitation":"(10)","plainTextFormattedCitation":"(10)","previouslyFormattedCitation":"(10)"},"properties":{"noteIndex":0},"schema":"https://github.com/citation-style-language/schema/raw/master/csl-citation.json"}</w:instrText>
      </w:r>
      <w:r w:rsidRPr="00801CC3">
        <w:rPr>
          <w:rFonts w:ascii="Arial Narrow" w:hAnsi="Arial Narrow"/>
        </w:rPr>
        <w:fldChar w:fldCharType="separate"/>
      </w:r>
      <w:bookmarkStart w:id="17" w:name="Bookmark11"/>
      <w:r w:rsidRPr="00801CC3">
        <w:rPr>
          <w:rFonts w:ascii="Arial Narrow" w:hAnsi="Arial Narrow" w:cs="Calibri"/>
          <w:color w:val="000000" w:themeColor="text1"/>
          <w:shd w:val="clear" w:color="auto" w:fill="FFFFFF"/>
        </w:rPr>
        <w:t>(10)</w:t>
      </w:r>
      <w:r w:rsidRPr="00801CC3">
        <w:rPr>
          <w:rFonts w:ascii="Arial Narrow" w:hAnsi="Arial Narrow"/>
        </w:rPr>
        <w:fldChar w:fldCharType="end"/>
      </w:r>
      <w:bookmarkEnd w:id="17"/>
      <w:r w:rsidRPr="00801CC3">
        <w:rPr>
          <w:rFonts w:ascii="Arial Narrow" w:hAnsi="Arial Narrow" w:cs="Calibri"/>
          <w:color w:val="000000" w:themeColor="text1"/>
          <w:shd w:val="clear" w:color="auto" w:fill="FFFFFF"/>
        </w:rPr>
        <w:t xml:space="preserve">, que es el que se utiliza en el Hospital de las Mujeres </w:t>
      </w:r>
      <w:r w:rsidRPr="00801CC3">
        <w:rPr>
          <w:rFonts w:ascii="Arial Narrow" w:hAnsi="Arial Narrow"/>
        </w:rPr>
        <w:fldChar w:fldCharType="begin"/>
      </w:r>
      <w:r w:rsidRPr="00801CC3">
        <w:rPr>
          <w:rFonts w:ascii="Arial Narrow" w:hAnsi="Arial Narrow"/>
        </w:rPr>
        <w:instrText>ADDIN CSL_CITATION {"citationItems":[{"id":"ITEM-1","itemData":{"id":"ITEM-1","issued":{"date-parts":[["0"]]},"title":"normas tecnico-medicas Actualizadas","type":"article"},"uris":["http://www.mendeley.com/documents/?uuid=ba28ad36-858c-45dd-906e-d7be1ce445ea"]}],"mendeley":{"formattedCitation":"(11)","plainTextFormattedCitation":"(11)","previouslyFormattedCitation":"(11)"},"properties":{"noteIndex":0},"schema":"https://github.com/citation-style-language/schema/raw/master/csl-citation.json"}</w:instrText>
      </w:r>
      <w:r w:rsidRPr="00801CC3">
        <w:rPr>
          <w:rFonts w:ascii="Arial Narrow" w:hAnsi="Arial Narrow"/>
        </w:rPr>
        <w:fldChar w:fldCharType="separate"/>
      </w:r>
      <w:bookmarkStart w:id="18" w:name="Bookmark12"/>
      <w:r w:rsidRPr="00801CC3">
        <w:rPr>
          <w:rFonts w:ascii="Arial Narrow" w:hAnsi="Arial Narrow" w:cs="Calibri"/>
          <w:color w:val="000000" w:themeColor="text1"/>
          <w:shd w:val="clear" w:color="auto" w:fill="FFFFFF"/>
        </w:rPr>
        <w:t>(11)</w:t>
      </w:r>
      <w:r w:rsidRPr="00801CC3">
        <w:rPr>
          <w:rFonts w:ascii="Arial Narrow" w:hAnsi="Arial Narrow"/>
        </w:rPr>
        <w:fldChar w:fldCharType="end"/>
      </w:r>
      <w:bookmarkEnd w:id="18"/>
      <w:r w:rsidRPr="00801CC3">
        <w:rPr>
          <w:rFonts w:ascii="Arial Narrow" w:hAnsi="Arial Narrow" w:cs="Calibri"/>
          <w:color w:val="000000" w:themeColor="text1"/>
          <w:shd w:val="clear" w:color="auto" w:fill="FFFFFF"/>
        </w:rPr>
        <w:t xml:space="preserve">.  </w:t>
      </w:r>
    </w:p>
    <w:p w14:paraId="41A60A02" w14:textId="77777777" w:rsidR="00CB5C64" w:rsidRPr="00801CC3" w:rsidRDefault="00CB5C64">
      <w:pPr>
        <w:spacing w:line="360" w:lineRule="auto"/>
        <w:jc w:val="both"/>
        <w:rPr>
          <w:rFonts w:ascii="Arial Narrow" w:hAnsi="Arial Narrow" w:cs="Arial"/>
          <w:color w:val="000000" w:themeColor="text1"/>
          <w:highlight w:val="white"/>
        </w:rPr>
      </w:pPr>
    </w:p>
    <w:p w14:paraId="19DAD0A9" w14:textId="77777777" w:rsidR="00CB5C64" w:rsidRPr="00801CC3" w:rsidRDefault="00E016EB">
      <w:pPr>
        <w:spacing w:line="360" w:lineRule="auto"/>
        <w:jc w:val="both"/>
        <w:rPr>
          <w:rFonts w:ascii="Arial Narrow" w:hAnsi="Arial Narrow" w:cs="Arial"/>
          <w:color w:val="000000" w:themeColor="text1"/>
          <w:highlight w:val="white"/>
        </w:rPr>
      </w:pPr>
      <w:r w:rsidRPr="00801CC3">
        <w:rPr>
          <w:rFonts w:ascii="Arial Narrow" w:hAnsi="Arial Narrow" w:cs="Arial"/>
          <w:color w:val="000000" w:themeColor="text1"/>
          <w:shd w:val="clear" w:color="auto" w:fill="FFFFFF"/>
        </w:rPr>
        <w:t xml:space="preserve">Por otro lado, </w:t>
      </w:r>
      <w:proofErr w:type="spellStart"/>
      <w:r w:rsidRPr="00801CC3">
        <w:rPr>
          <w:rFonts w:ascii="Arial Narrow" w:hAnsi="Arial Narrow" w:cs="Arial"/>
          <w:color w:val="000000" w:themeColor="text1"/>
          <w:shd w:val="clear" w:color="auto" w:fill="FFFFFF"/>
        </w:rPr>
        <w:t>Kenyon</w:t>
      </w:r>
      <w:proofErr w:type="spellEnd"/>
      <w:r w:rsidRPr="00801CC3">
        <w:rPr>
          <w:rFonts w:ascii="Arial Narrow" w:hAnsi="Arial Narrow" w:cs="Arial"/>
          <w:color w:val="FF0000"/>
          <w:shd w:val="clear" w:color="auto" w:fill="FFFFFF"/>
        </w:rPr>
        <w:t>,</w:t>
      </w:r>
      <w:r w:rsidRPr="00801CC3">
        <w:rPr>
          <w:rFonts w:ascii="Arial Narrow" w:hAnsi="Arial Narrow" w:cs="Arial"/>
          <w:color w:val="000000" w:themeColor="text1"/>
          <w:shd w:val="clear" w:color="auto" w:fill="FFFFFF"/>
        </w:rPr>
        <w:t xml:space="preserve"> en una revisión sistemática de Cochrane (2013), describe incidencia de 34%, mientras que </w:t>
      </w:r>
      <w:proofErr w:type="spellStart"/>
      <w:r w:rsidRPr="00801CC3">
        <w:rPr>
          <w:rFonts w:ascii="Arial Narrow" w:hAnsi="Arial Narrow" w:cstheme="minorHAnsi"/>
          <w:color w:val="000000" w:themeColor="text1"/>
        </w:rPr>
        <w:t>Ehsanipoor</w:t>
      </w:r>
      <w:proofErr w:type="spellEnd"/>
      <w:r w:rsidRPr="00801CC3">
        <w:rPr>
          <w:rFonts w:ascii="Arial Narrow" w:hAnsi="Arial Narrow" w:cs="Arial"/>
          <w:color w:val="000000" w:themeColor="text1"/>
          <w:shd w:val="clear" w:color="auto" w:fill="FFFFFF"/>
        </w:rPr>
        <w:t xml:space="preserve"> y </w:t>
      </w:r>
      <w:proofErr w:type="spellStart"/>
      <w:r w:rsidRPr="00801CC3">
        <w:rPr>
          <w:rFonts w:ascii="Arial Narrow" w:hAnsi="Arial Narrow" w:cs="Arial"/>
          <w:color w:val="000000" w:themeColor="text1"/>
          <w:shd w:val="clear" w:color="auto" w:fill="FFFFFF"/>
        </w:rPr>
        <w:t>Pettker</w:t>
      </w:r>
      <w:proofErr w:type="spellEnd"/>
      <w:r w:rsidRPr="00801CC3">
        <w:rPr>
          <w:rFonts w:ascii="Arial Narrow" w:hAnsi="Arial Narrow" w:cs="Arial"/>
          <w:color w:val="000000" w:themeColor="text1"/>
          <w:shd w:val="clear" w:color="auto" w:fill="FFFFFF"/>
        </w:rPr>
        <w:t xml:space="preserve"> (ACOG, Boletín Práctico, 2020) establecen una incidencia de 15 a 35%. Y, por último, Cobo y Del Río, en el protocolo de Medicina Fetal de Barcelona (2021) menciona un 38% de incidencia.</w:t>
      </w:r>
    </w:p>
    <w:p w14:paraId="7A83A661" w14:textId="77777777" w:rsidR="00CB5C64" w:rsidRPr="00801CC3" w:rsidRDefault="00E016EB">
      <w:pPr>
        <w:spacing w:line="360" w:lineRule="auto"/>
        <w:jc w:val="both"/>
        <w:rPr>
          <w:rFonts w:ascii="Arial Narrow" w:hAnsi="Arial Narrow"/>
        </w:rPr>
      </w:pPr>
      <w:r w:rsidRPr="00801CC3">
        <w:rPr>
          <w:rFonts w:ascii="Arial Narrow" w:hAnsi="Arial Narrow" w:cs="Arial"/>
          <w:color w:val="000000" w:themeColor="text1"/>
          <w:shd w:val="clear" w:color="auto" w:fill="FFFFFF"/>
        </w:rPr>
        <w:t>En nuestra muestra, encontramos una presencia muy baja de corioamnionitis en comparación con la literatura internacional, donde a pesar de ser poblaciones muy distintas, entre países, e inclusive continentes, hay una incidencia más constante. Esto podría deberse al hecho de que la muestra extraída es muy baja para que tenga significancia estadística, aunque también podría corresponder a múltiples variables, como, por ejemplo,</w:t>
      </w:r>
      <w:r w:rsidR="00F536F4">
        <w:rPr>
          <w:rFonts w:ascii="Arial Narrow" w:hAnsi="Arial Narrow" w:cs="Arial"/>
          <w:color w:val="000000" w:themeColor="text1"/>
          <w:shd w:val="clear" w:color="auto" w:fill="FFFFFF"/>
        </w:rPr>
        <w:t xml:space="preserve"> que en todos los lugares se hace el diagnóstico de corioamnionitis de forma diferente,</w:t>
      </w:r>
      <w:r w:rsidRPr="00801CC3">
        <w:rPr>
          <w:rFonts w:ascii="Arial Narrow" w:hAnsi="Arial Narrow" w:cs="Arial"/>
          <w:color w:val="000000" w:themeColor="text1"/>
          <w:shd w:val="clear" w:color="auto" w:fill="FFFFFF"/>
        </w:rPr>
        <w:t xml:space="preserve"> que a pesar de que se revisaron más casos que en el estudio comparativo, fueron menores los registros que cumplieron con criterios de </w:t>
      </w:r>
      <w:r w:rsidRPr="00801CC3">
        <w:rPr>
          <w:rFonts w:ascii="Arial Narrow" w:hAnsi="Arial Narrow" w:cs="Arial"/>
          <w:shd w:val="clear" w:color="auto" w:fill="FFFFFF"/>
        </w:rPr>
        <w:t xml:space="preserve">inclusión, </w:t>
      </w:r>
      <w:r w:rsidRPr="00801CC3">
        <w:rPr>
          <w:rFonts w:ascii="Arial Narrow" w:hAnsi="Arial Narrow" w:cs="Arial"/>
          <w:color w:val="000000" w:themeColor="text1"/>
          <w:shd w:val="clear" w:color="auto" w:fill="FFFFFF"/>
        </w:rPr>
        <w:t xml:space="preserve">además que hay </w:t>
      </w:r>
      <w:r w:rsidRPr="00801CC3">
        <w:rPr>
          <w:rFonts w:ascii="Arial Narrow" w:hAnsi="Arial Narrow" w:cs="Arial"/>
          <w:color w:val="000000" w:themeColor="text1"/>
          <w:shd w:val="clear" w:color="auto" w:fill="FFFFFF"/>
        </w:rPr>
        <w:lastRenderedPageBreak/>
        <w:t>un número importante de expedientes extraviados que no se pudieron analizar, lo cual está sesgando el resultado final. La reciente implementac</w:t>
      </w:r>
      <w:r w:rsidRPr="00801CC3">
        <w:rPr>
          <w:rFonts w:ascii="Arial Narrow" w:hAnsi="Arial Narrow" w:cs="Arial"/>
          <w:shd w:val="clear" w:color="auto" w:fill="FFFFFF"/>
        </w:rPr>
        <w:t>ión</w:t>
      </w:r>
      <w:r w:rsidRPr="00801CC3">
        <w:rPr>
          <w:rFonts w:ascii="Arial Narrow" w:hAnsi="Arial Narrow" w:cs="Arial"/>
          <w:color w:val="000000" w:themeColor="text1"/>
          <w:shd w:val="clear" w:color="auto" w:fill="FFFFFF"/>
        </w:rPr>
        <w:t xml:space="preserve"> del expediente electrónico</w:t>
      </w:r>
      <w:bookmarkStart w:id="19" w:name="_Hlk78790069"/>
      <w:r w:rsidRPr="00801CC3">
        <w:rPr>
          <w:rFonts w:ascii="Arial Narrow" w:hAnsi="Arial Narrow" w:cs="Arial"/>
          <w:color w:val="000000" w:themeColor="text1"/>
          <w:shd w:val="clear" w:color="auto" w:fill="FFFFFF"/>
        </w:rPr>
        <w:t xml:space="preserve"> </w:t>
      </w:r>
      <w:r w:rsidRPr="00801CC3">
        <w:rPr>
          <w:rFonts w:ascii="Arial Narrow" w:hAnsi="Arial Narrow" w:cs="Arial"/>
          <w:shd w:val="clear" w:color="auto" w:fill="FFFFFF"/>
        </w:rPr>
        <w:t>EDUS</w:t>
      </w:r>
      <w:r w:rsidR="00E12A40" w:rsidRPr="00801CC3">
        <w:rPr>
          <w:rFonts w:ascii="Arial Narrow" w:hAnsi="Arial Narrow" w:cs="Arial"/>
          <w:shd w:val="clear" w:color="auto" w:fill="FFFFFF"/>
        </w:rPr>
        <w:t xml:space="preserve"> (Expediente Digital Único en Salud, </w:t>
      </w:r>
      <w:bookmarkEnd w:id="19"/>
      <w:r w:rsidR="00E12A40" w:rsidRPr="00801CC3">
        <w:rPr>
          <w:rFonts w:ascii="Arial Narrow" w:hAnsi="Arial Narrow" w:cs="Arial"/>
          <w:shd w:val="clear" w:color="auto" w:fill="FFFFFF"/>
        </w:rPr>
        <w:t>utilizado en la CCSS</w:t>
      </w:r>
      <w:r w:rsidRPr="00801CC3">
        <w:rPr>
          <w:rFonts w:ascii="Arial Narrow" w:hAnsi="Arial Narrow" w:cs="Arial"/>
          <w:shd w:val="clear" w:color="auto" w:fill="FFFFFF"/>
        </w:rPr>
        <w:t>)</w:t>
      </w:r>
      <w:r w:rsidR="00E12A40" w:rsidRPr="00801CC3">
        <w:rPr>
          <w:rFonts w:ascii="Arial Narrow" w:hAnsi="Arial Narrow" w:cs="Arial"/>
          <w:shd w:val="clear" w:color="auto" w:fill="FFFFFF"/>
        </w:rPr>
        <w:t xml:space="preserve"> </w:t>
      </w:r>
      <w:r w:rsidRPr="00801CC3">
        <w:rPr>
          <w:rFonts w:ascii="Arial Narrow" w:hAnsi="Arial Narrow" w:cs="Arial"/>
          <w:shd w:val="clear" w:color="auto" w:fill="FFFFFF"/>
        </w:rPr>
        <w:t xml:space="preserve">y </w:t>
      </w:r>
      <w:r w:rsidRPr="00801CC3">
        <w:rPr>
          <w:rFonts w:ascii="Arial Narrow" w:hAnsi="Arial Narrow" w:cs="Arial"/>
          <w:color w:val="000000" w:themeColor="text1"/>
          <w:shd w:val="clear" w:color="auto" w:fill="FFFFFF"/>
        </w:rPr>
        <w:t>una exigencia de diagnósticos más codificados</w:t>
      </w:r>
      <w:r w:rsidRPr="00801CC3">
        <w:rPr>
          <w:rFonts w:ascii="Arial Narrow" w:hAnsi="Arial Narrow" w:cs="Arial"/>
          <w:color w:val="FF0000"/>
          <w:shd w:val="clear" w:color="auto" w:fill="FFFFFF"/>
        </w:rPr>
        <w:t>,</w:t>
      </w:r>
      <w:r w:rsidRPr="00801CC3">
        <w:rPr>
          <w:rFonts w:ascii="Arial Narrow" w:hAnsi="Arial Narrow" w:cs="Arial"/>
          <w:color w:val="000000" w:themeColor="text1"/>
          <w:shd w:val="clear" w:color="auto" w:fill="FFFFFF"/>
        </w:rPr>
        <w:t xml:space="preserve"> podría disminuir este factor distractor de futuros estudios similares.</w:t>
      </w:r>
    </w:p>
    <w:p w14:paraId="2792BFEA" w14:textId="77777777" w:rsidR="00CB5C64" w:rsidRPr="00801CC3" w:rsidRDefault="00E016EB">
      <w:pPr>
        <w:spacing w:line="360" w:lineRule="auto"/>
        <w:jc w:val="both"/>
        <w:rPr>
          <w:rFonts w:ascii="Arial Narrow" w:hAnsi="Arial Narrow" w:cs="Arial"/>
          <w:color w:val="000000" w:themeColor="text1"/>
          <w:highlight w:val="white"/>
        </w:rPr>
      </w:pPr>
      <w:r w:rsidRPr="00801CC3">
        <w:rPr>
          <w:rFonts w:ascii="Arial Narrow" w:hAnsi="Arial Narrow" w:cs="Arial"/>
          <w:color w:val="000000" w:themeColor="text1"/>
          <w:shd w:val="clear" w:color="auto" w:fill="FFFFFF"/>
        </w:rPr>
        <w:t>Sin embargo, el presente queda de precedente para futuras comparaciones y análisis en otros centros o el mismo Hospital, ya que durante la creación de este estudio se protocolizó el esquema de antibioticoterapia en RPM en el Hospital de la</w:t>
      </w:r>
      <w:r w:rsidR="0066610F">
        <w:rPr>
          <w:rFonts w:ascii="Arial Narrow" w:hAnsi="Arial Narrow" w:cs="Arial"/>
          <w:color w:val="000000" w:themeColor="text1"/>
          <w:shd w:val="clear" w:color="auto" w:fill="FFFFFF"/>
        </w:rPr>
        <w:t>s</w:t>
      </w:r>
      <w:r w:rsidRPr="00801CC3">
        <w:rPr>
          <w:rFonts w:ascii="Arial Narrow" w:hAnsi="Arial Narrow" w:cs="Arial"/>
          <w:color w:val="000000" w:themeColor="text1"/>
          <w:shd w:val="clear" w:color="auto" w:fill="FFFFFF"/>
        </w:rPr>
        <w:t xml:space="preserve"> Mujer</w:t>
      </w:r>
      <w:r w:rsidR="0066610F">
        <w:rPr>
          <w:rFonts w:ascii="Arial Narrow" w:hAnsi="Arial Narrow" w:cs="Arial"/>
          <w:color w:val="000000" w:themeColor="text1"/>
          <w:shd w:val="clear" w:color="auto" w:fill="FFFFFF"/>
        </w:rPr>
        <w:t>es</w:t>
      </w:r>
      <w:r w:rsidRPr="00801CC3">
        <w:rPr>
          <w:rFonts w:ascii="Arial Narrow" w:hAnsi="Arial Narrow" w:cs="Arial"/>
          <w:color w:val="000000" w:themeColor="text1"/>
          <w:shd w:val="clear" w:color="auto" w:fill="FFFFFF"/>
        </w:rPr>
        <w:t xml:space="preserve"> Dr. Adolfo Carit Eva con el agente en cuestión. También, al ser menor el número de pacientes diagnosticadas con corioamnionitis en nuestra muestra, se podría inferir que son menores las complicaciones neonatales infecciosas, al usar la claritromicina. Para futuros estudios, se recomienda valorar el impacto de las complicaciones neonatales asociadas a este cambio en la cobertura antibiótica del cuadro, comparado a las recomendaciones internacionales, debido a que no se ha descrito su uso en este contexto. Otra recomendación podría ser la unificación de poblaciones nacionales con búsqueda a través del expediente electrónico para poder describir el comportamiento y la enfermedad a nivel nacional y comparar nuestros manejos y resultados con otros publicados por países del subconti</w:t>
      </w:r>
      <w:r w:rsidR="00E12A40" w:rsidRPr="00801CC3">
        <w:rPr>
          <w:rFonts w:ascii="Arial Narrow" w:hAnsi="Arial Narrow" w:cs="Arial"/>
          <w:color w:val="000000" w:themeColor="text1"/>
          <w:shd w:val="clear" w:color="auto" w:fill="FFFFFF"/>
        </w:rPr>
        <w:t>n</w:t>
      </w:r>
      <w:r w:rsidRPr="00801CC3">
        <w:rPr>
          <w:rFonts w:ascii="Arial Narrow" w:hAnsi="Arial Narrow" w:cs="Arial"/>
          <w:color w:val="000000" w:themeColor="text1"/>
          <w:shd w:val="clear" w:color="auto" w:fill="FFFFFF"/>
        </w:rPr>
        <w:t>ente.</w:t>
      </w:r>
    </w:p>
    <w:p w14:paraId="43D94468" w14:textId="77777777" w:rsidR="00CB5C64" w:rsidRPr="00801CC3" w:rsidRDefault="00CB5C64">
      <w:pPr>
        <w:spacing w:line="360" w:lineRule="auto"/>
        <w:jc w:val="both"/>
        <w:rPr>
          <w:rFonts w:ascii="Arial Narrow" w:hAnsi="Arial Narrow" w:cstheme="minorHAnsi"/>
          <w:color w:val="000000" w:themeColor="text1"/>
        </w:rPr>
      </w:pPr>
    </w:p>
    <w:p w14:paraId="01221FCE" w14:textId="77777777" w:rsidR="00CB5C64" w:rsidRPr="00801CC3" w:rsidRDefault="00E016EB">
      <w:pPr>
        <w:pStyle w:val="Piedepgina"/>
        <w:tabs>
          <w:tab w:val="left" w:pos="993"/>
        </w:tabs>
        <w:spacing w:line="360" w:lineRule="auto"/>
        <w:jc w:val="both"/>
        <w:rPr>
          <w:rFonts w:ascii="Arial Narrow" w:hAnsi="Arial Narrow" w:cstheme="minorHAnsi"/>
          <w:color w:val="000000" w:themeColor="text1"/>
        </w:rPr>
      </w:pPr>
      <w:r w:rsidRPr="00801CC3">
        <w:rPr>
          <w:rFonts w:ascii="Arial Narrow" w:hAnsi="Arial Narrow" w:cstheme="minorHAnsi"/>
          <w:color w:val="000000" w:themeColor="text1"/>
          <w:lang w:val="es-CR"/>
        </w:rPr>
        <w:t xml:space="preserve">En la evaluación de los días de latencia, </w:t>
      </w:r>
      <w:r w:rsidRPr="00801CC3">
        <w:rPr>
          <w:rFonts w:ascii="Arial Narrow" w:hAnsi="Arial Narrow" w:cs="Calibri"/>
          <w:color w:val="000000" w:themeColor="text1"/>
        </w:rPr>
        <w:t xml:space="preserve">se evidenció que lo más frecuente fue un periodo mayor o igual a 7 días, en el 63.9%(23/36), seguido del rango entre 48 horas a 7 días en el 22.2%(8/36) de los casos. </w:t>
      </w:r>
    </w:p>
    <w:p w14:paraId="152AC308" w14:textId="77777777" w:rsidR="00CB5C64" w:rsidRPr="00801CC3"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hAnsi="Arial Narrow"/>
        </w:rPr>
      </w:pPr>
      <w:r w:rsidRPr="00801CC3">
        <w:rPr>
          <w:rFonts w:ascii="Arial Narrow" w:eastAsia="Times New Roman" w:hAnsi="Arial Narrow" w:cstheme="minorHAnsi"/>
          <w:color w:val="000000" w:themeColor="text1"/>
          <w:lang w:val="es-ES" w:eastAsia="es-ES_tradnl"/>
        </w:rPr>
        <w:t xml:space="preserve">Mercer (1997) establece que un número significativo mayor de mujeres asignadas a antibioticoterapia en comparación con placebo permanecieron embarazadas, el efecto antibiótico es duradero, con el doble o más de las mujeres permaneciendo embarazadas por 2 y 3 semanas posterior a ser </w:t>
      </w:r>
      <w:proofErr w:type="spellStart"/>
      <w:r w:rsidRPr="00801CC3">
        <w:rPr>
          <w:rFonts w:ascii="Arial Narrow" w:eastAsia="Times New Roman" w:hAnsi="Arial Narrow" w:cstheme="minorHAnsi"/>
          <w:color w:val="000000" w:themeColor="text1"/>
          <w:lang w:val="es-ES" w:eastAsia="es-ES_tradnl"/>
        </w:rPr>
        <w:t>randomizadas</w:t>
      </w:r>
      <w:proofErr w:type="spellEnd"/>
      <w:r w:rsidRPr="00801CC3">
        <w:rPr>
          <w:rFonts w:ascii="Arial Narrow" w:eastAsia="Times New Roman" w:hAnsi="Arial Narrow" w:cstheme="minorHAnsi"/>
          <w:color w:val="000000" w:themeColor="text1"/>
          <w:lang w:val="es-ES" w:eastAsia="es-ES_tradnl"/>
        </w:rPr>
        <w:t xml:space="preserve">. </w:t>
      </w:r>
      <w:r w:rsidRPr="00801CC3">
        <w:rPr>
          <w:rFonts w:ascii="Arial Narrow" w:eastAsia="Times New Roman" w:hAnsi="Arial Narrow" w:cstheme="minorHAnsi"/>
          <w:lang w:val="es-ES" w:eastAsia="es-ES_tradnl"/>
        </w:rPr>
        <w:t xml:space="preserve">La población en general </w:t>
      </w:r>
      <w:r w:rsidR="00E12A40" w:rsidRPr="00801CC3">
        <w:rPr>
          <w:rFonts w:ascii="Arial Narrow" w:eastAsia="Times New Roman" w:hAnsi="Arial Narrow" w:cstheme="minorHAnsi"/>
          <w:lang w:val="es-ES" w:eastAsia="es-ES_tradnl"/>
        </w:rPr>
        <w:t xml:space="preserve">del estudio mencionado </w:t>
      </w:r>
      <w:r w:rsidRPr="00801CC3">
        <w:rPr>
          <w:rFonts w:ascii="Arial Narrow" w:eastAsia="Times New Roman" w:hAnsi="Arial Narrow" w:cstheme="minorHAnsi"/>
          <w:lang w:val="es-ES" w:eastAsia="es-ES_tradnl"/>
        </w:rPr>
        <w:t xml:space="preserve">tuvo un mayor periodo de latencia al utilizar antibioticoterapia </w:t>
      </w:r>
      <w:r w:rsidRPr="00801CC3">
        <w:rPr>
          <w:rFonts w:ascii="Arial Narrow" w:eastAsia="Times New Roman" w:hAnsi="Arial Narrow" w:cstheme="minorHAnsi"/>
          <w:i/>
          <w:iCs/>
          <w:lang w:val="es-ES" w:eastAsia="es-ES_tradnl"/>
        </w:rPr>
        <w:t xml:space="preserve">P=&lt;.001.  </w:t>
      </w:r>
    </w:p>
    <w:p w14:paraId="2488CF4B" w14:textId="77777777" w:rsidR="00CB5C64" w:rsidRPr="00801CC3"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i/>
          <w:iCs/>
          <w:color w:val="000000" w:themeColor="text1"/>
          <w:lang w:val="es-ES" w:eastAsia="es-ES_tradnl"/>
        </w:rPr>
      </w:pPr>
      <w:r w:rsidRPr="00801CC3">
        <w:rPr>
          <w:rFonts w:ascii="Arial Narrow" w:eastAsia="Times New Roman" w:hAnsi="Arial Narrow" w:cstheme="minorHAnsi"/>
          <w:iCs/>
          <w:color w:val="000000" w:themeColor="text1"/>
          <w:lang w:val="es-ES" w:eastAsia="es-ES_tradnl"/>
        </w:rPr>
        <w:t>En la literatura internacional se documentaron los días de latencia de la siguiente forma:</w:t>
      </w:r>
    </w:p>
    <w:p w14:paraId="2F8536DE" w14:textId="77777777" w:rsidR="00CB5C64" w:rsidRPr="00801CC3" w:rsidRDefault="00E016EB">
      <w:pPr>
        <w:spacing w:line="360" w:lineRule="auto"/>
        <w:jc w:val="both"/>
        <w:rPr>
          <w:rFonts w:ascii="Arial Narrow" w:hAnsi="Arial Narrow" w:cs="Arial"/>
          <w:color w:val="000000" w:themeColor="text1"/>
          <w:highlight w:val="white"/>
        </w:rPr>
      </w:pPr>
      <w:r w:rsidRPr="00801CC3">
        <w:rPr>
          <w:rFonts w:ascii="Arial Narrow" w:hAnsi="Arial Narrow" w:cs="Arial"/>
          <w:color w:val="000000" w:themeColor="text1"/>
          <w:shd w:val="clear" w:color="auto" w:fill="FFFFFF"/>
        </w:rPr>
        <w:t xml:space="preserve">El Estudio ORACLE (2012), encontró un 65 a 99% de las participantes tuvo parto a las 48 horas y un 40% a los 7 días posterior al inicio de la antibioticoterapia. </w:t>
      </w:r>
    </w:p>
    <w:p w14:paraId="2496B0D7" w14:textId="77777777" w:rsidR="00CB5C64" w:rsidRPr="00801CC3" w:rsidRDefault="00E016EB">
      <w:pPr>
        <w:spacing w:line="360" w:lineRule="auto"/>
        <w:jc w:val="both"/>
        <w:rPr>
          <w:rFonts w:ascii="Arial Narrow" w:hAnsi="Arial Narrow" w:cs="Arial"/>
          <w:color w:val="000000" w:themeColor="text1"/>
          <w:highlight w:val="white"/>
        </w:rPr>
      </w:pPr>
      <w:r w:rsidRPr="00801CC3">
        <w:rPr>
          <w:rFonts w:ascii="Arial Narrow" w:hAnsi="Arial Narrow" w:cs="Arial"/>
          <w:color w:val="000000" w:themeColor="text1"/>
          <w:shd w:val="clear" w:color="auto" w:fill="FFFFFF"/>
        </w:rPr>
        <w:t>En la revisión de COCHCRANE (</w:t>
      </w:r>
      <w:proofErr w:type="spellStart"/>
      <w:r w:rsidRPr="00801CC3">
        <w:rPr>
          <w:rFonts w:ascii="Arial Narrow" w:hAnsi="Arial Narrow" w:cs="Arial"/>
          <w:color w:val="000000" w:themeColor="text1"/>
          <w:shd w:val="clear" w:color="auto" w:fill="FFFFFF"/>
        </w:rPr>
        <w:t>Kenyon</w:t>
      </w:r>
      <w:proofErr w:type="spellEnd"/>
      <w:r w:rsidRPr="00801CC3">
        <w:rPr>
          <w:rFonts w:ascii="Arial Narrow" w:hAnsi="Arial Narrow" w:cs="Arial"/>
          <w:color w:val="000000" w:themeColor="text1"/>
          <w:shd w:val="clear" w:color="auto" w:fill="FFFFFF"/>
        </w:rPr>
        <w:t xml:space="preserve">, 2013), un 29% parió a las 48 horas y un 21% a los 7 días.  </w:t>
      </w:r>
    </w:p>
    <w:p w14:paraId="440ADD31" w14:textId="77777777" w:rsidR="00CB5C64" w:rsidRPr="00801CC3" w:rsidRDefault="00E016EB">
      <w:pPr>
        <w:spacing w:line="360" w:lineRule="auto"/>
        <w:jc w:val="both"/>
        <w:rPr>
          <w:rFonts w:ascii="Arial Narrow" w:hAnsi="Arial Narrow" w:cs="Arial"/>
          <w:color w:val="000000" w:themeColor="text1"/>
          <w:highlight w:val="white"/>
        </w:rPr>
      </w:pPr>
      <w:r w:rsidRPr="00801CC3">
        <w:rPr>
          <w:rFonts w:ascii="Arial Narrow" w:hAnsi="Arial Narrow" w:cs="Arial"/>
          <w:color w:val="000000" w:themeColor="text1"/>
          <w:shd w:val="clear" w:color="auto" w:fill="FFFFFF"/>
        </w:rPr>
        <w:t>El boletín práctico de ACOG (</w:t>
      </w:r>
      <w:proofErr w:type="spellStart"/>
      <w:r w:rsidRPr="00801CC3">
        <w:rPr>
          <w:rFonts w:ascii="Arial Narrow" w:hAnsi="Arial Narrow" w:cstheme="minorHAnsi"/>
          <w:color w:val="000000" w:themeColor="text1"/>
        </w:rPr>
        <w:t>Ehsanipoor</w:t>
      </w:r>
      <w:proofErr w:type="spellEnd"/>
      <w:r w:rsidRPr="00801CC3">
        <w:rPr>
          <w:rFonts w:ascii="Arial Narrow" w:hAnsi="Arial Narrow" w:cs="Arial"/>
          <w:color w:val="000000" w:themeColor="text1"/>
          <w:shd w:val="clear" w:color="auto" w:fill="FFFFFF"/>
        </w:rPr>
        <w:t xml:space="preserve">, 2020), menciona que un 50% de las pacientes que presenten ruptura de membranas ovulares, sin importar el tiempo de gestación, parirá en una semana. </w:t>
      </w:r>
    </w:p>
    <w:p w14:paraId="6FD48205" w14:textId="77777777" w:rsidR="00CB5C64" w:rsidRPr="00801CC3" w:rsidRDefault="00E016EB">
      <w:pPr>
        <w:spacing w:line="360" w:lineRule="auto"/>
        <w:jc w:val="both"/>
        <w:rPr>
          <w:rFonts w:ascii="Arial Narrow" w:hAnsi="Arial Narrow" w:cs="Arial"/>
          <w:color w:val="000000" w:themeColor="text1"/>
          <w:highlight w:val="white"/>
        </w:rPr>
      </w:pPr>
      <w:r w:rsidRPr="00801CC3">
        <w:rPr>
          <w:rFonts w:ascii="Arial Narrow" w:hAnsi="Arial Narrow" w:cs="Arial"/>
          <w:color w:val="000000" w:themeColor="text1"/>
          <w:shd w:val="clear" w:color="auto" w:fill="FFFFFF"/>
        </w:rPr>
        <w:lastRenderedPageBreak/>
        <w:t xml:space="preserve">El protocolo de Medicina Fetal de Barcelona (Cobo, 2021) menciona que un 72-95% de las pacientes, tendrá parto en las próximas 24 horas. </w:t>
      </w:r>
    </w:p>
    <w:p w14:paraId="468CDA79" w14:textId="77777777" w:rsidR="00CB5C64" w:rsidRPr="00801CC3" w:rsidRDefault="00E01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iCs/>
          <w:color w:val="000000" w:themeColor="text1"/>
          <w:lang w:eastAsia="es-ES_tradnl"/>
        </w:rPr>
      </w:pPr>
      <w:r w:rsidRPr="00801CC3">
        <w:rPr>
          <w:rFonts w:ascii="Arial Narrow" w:eastAsia="Times New Roman" w:hAnsi="Arial Narrow" w:cstheme="minorHAnsi"/>
          <w:iCs/>
          <w:color w:val="000000" w:themeColor="text1"/>
          <w:lang w:eastAsia="es-ES_tradnl"/>
        </w:rPr>
        <w:t xml:space="preserve">A pesar de que los resultados son muy diferentes entre sí, la tendencia internacional orienta a que la mayoría de partos sucederán en las primeras 48 horas, y un porcentaje menor, tendrá un parto después de 7 días; contrario a nuestros resultados donde lo más frecuente será una latencia de más o igual a 7 días. Esta diferencia internacional se puede deber a que, dependiendo el país, la resistencia antibiótica y los fármacos estudiados y administrados son diferentes. Sin embargo, se puede decir con seguridad que el uso de la terapia antibiótica aumenta el periodo de latencia en términos generales, evento descrito y observado tanto en la literatura internacional como en nuestro estudio, al menos en 48 horas, un tiempo prudencial para realizar medidas que tengan impacto en la </w:t>
      </w:r>
      <w:proofErr w:type="spellStart"/>
      <w:r w:rsidRPr="00801CC3">
        <w:rPr>
          <w:rFonts w:ascii="Arial Narrow" w:eastAsia="Times New Roman" w:hAnsi="Arial Narrow" w:cstheme="minorHAnsi"/>
          <w:iCs/>
          <w:color w:val="000000" w:themeColor="text1"/>
          <w:lang w:eastAsia="es-ES_tradnl"/>
        </w:rPr>
        <w:t>morbi</w:t>
      </w:r>
      <w:proofErr w:type="spellEnd"/>
      <w:r w:rsidRPr="00801CC3">
        <w:rPr>
          <w:rFonts w:ascii="Arial Narrow" w:eastAsia="Times New Roman" w:hAnsi="Arial Narrow" w:cstheme="minorHAnsi"/>
          <w:iCs/>
          <w:color w:val="000000" w:themeColor="text1"/>
          <w:lang w:eastAsia="es-ES_tradnl"/>
        </w:rPr>
        <w:t xml:space="preserve">-mortalidad neonatal, como traslado a un hospital clase A, completar maduración pulmonar fetal, entre otras. </w:t>
      </w:r>
    </w:p>
    <w:p w14:paraId="24A63A16" w14:textId="77777777" w:rsidR="00CB5C64" w:rsidRPr="00801CC3" w:rsidRDefault="00E016EB" w:rsidP="001A7D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Narrow" w:eastAsia="Times New Roman" w:hAnsi="Arial Narrow" w:cstheme="minorHAnsi"/>
          <w:iCs/>
          <w:color w:val="000000" w:themeColor="text1"/>
          <w:lang w:val="es-ES" w:eastAsia="es-ES_tradnl"/>
        </w:rPr>
      </w:pPr>
      <w:r w:rsidRPr="00801CC3">
        <w:rPr>
          <w:rFonts w:ascii="Arial Narrow" w:eastAsia="Times New Roman" w:hAnsi="Arial Narrow" w:cstheme="minorHAnsi"/>
          <w:iCs/>
          <w:color w:val="000000" w:themeColor="text1"/>
          <w:lang w:val="es-ES" w:eastAsia="es-ES_tradnl"/>
        </w:rPr>
        <w:t xml:space="preserve">El hecho de que más de la mitad de las pacientes hayan alcanzado como mínimo 7 días de latencia confirma que es realmente beneficioso el uso de claritromicina, porque al aumentar la edad gestacional al momento del parto, aumenta la madurez fetal y van disminuyendo las comorbilidades neonatales relacionadas a la prematuridad. </w:t>
      </w:r>
    </w:p>
    <w:p w14:paraId="180F2793" w14:textId="77777777" w:rsidR="00DA7E54" w:rsidRDefault="00DA7E54">
      <w:pPr>
        <w:rPr>
          <w:rFonts w:ascii="Arial Narrow" w:eastAsia="Times New Roman" w:hAnsi="Arial Narrow" w:cs="Calibri"/>
          <w:b/>
          <w:color w:val="000000" w:themeColor="text1"/>
          <w:lang w:val="es-ES" w:eastAsia="es-ES"/>
        </w:rPr>
      </w:pPr>
      <w:r>
        <w:rPr>
          <w:rFonts w:ascii="Arial Narrow" w:hAnsi="Arial Narrow" w:cs="Calibri"/>
          <w:b/>
          <w:color w:val="000000" w:themeColor="text1"/>
        </w:rPr>
        <w:br w:type="page"/>
      </w:r>
    </w:p>
    <w:p w14:paraId="186DF41E" w14:textId="77777777" w:rsidR="00CB5C64" w:rsidRPr="00801CC3" w:rsidRDefault="001A7D38" w:rsidP="001A7D38">
      <w:pPr>
        <w:pStyle w:val="Piedepgina"/>
        <w:tabs>
          <w:tab w:val="clear" w:pos="4252"/>
          <w:tab w:val="clear" w:pos="8504"/>
          <w:tab w:val="left" w:pos="993"/>
        </w:tabs>
        <w:spacing w:line="360" w:lineRule="auto"/>
        <w:jc w:val="both"/>
        <w:rPr>
          <w:rFonts w:ascii="Arial Narrow" w:hAnsi="Arial Narrow" w:cs="Calibri"/>
          <w:b/>
          <w:color w:val="000000" w:themeColor="text1"/>
        </w:rPr>
      </w:pPr>
      <w:r w:rsidRPr="00801CC3">
        <w:rPr>
          <w:rFonts w:ascii="Arial Narrow" w:hAnsi="Arial Narrow" w:cs="Calibri"/>
          <w:b/>
          <w:color w:val="000000" w:themeColor="text1"/>
        </w:rPr>
        <w:lastRenderedPageBreak/>
        <w:t xml:space="preserve">Conclusiones </w:t>
      </w:r>
    </w:p>
    <w:p w14:paraId="4D3AE1D6" w14:textId="77777777" w:rsidR="00CB5C64" w:rsidRPr="00801CC3" w:rsidRDefault="00CB5C64">
      <w:pPr>
        <w:pStyle w:val="Piedepgina"/>
        <w:tabs>
          <w:tab w:val="clear" w:pos="4252"/>
          <w:tab w:val="clear" w:pos="8504"/>
          <w:tab w:val="left" w:pos="993"/>
        </w:tabs>
        <w:spacing w:line="360" w:lineRule="auto"/>
        <w:jc w:val="both"/>
        <w:rPr>
          <w:rFonts w:ascii="Arial Narrow" w:hAnsi="Arial Narrow" w:cs="Calibri"/>
          <w:b/>
          <w:color w:val="000000" w:themeColor="text1"/>
        </w:rPr>
      </w:pPr>
    </w:p>
    <w:p w14:paraId="66F6BEC2" w14:textId="77777777" w:rsidR="00CB5C64" w:rsidRPr="00801CC3" w:rsidRDefault="00E016EB">
      <w:pPr>
        <w:pStyle w:val="Piedepgina"/>
        <w:tabs>
          <w:tab w:val="clear" w:pos="4252"/>
          <w:tab w:val="clear" w:pos="8504"/>
          <w:tab w:val="left" w:pos="993"/>
        </w:tabs>
        <w:spacing w:line="360" w:lineRule="auto"/>
        <w:jc w:val="both"/>
        <w:rPr>
          <w:rFonts w:ascii="Arial Narrow" w:hAnsi="Arial Narrow" w:cs="Calibri"/>
          <w:b/>
          <w:color w:val="000000" w:themeColor="text1"/>
        </w:rPr>
      </w:pPr>
      <w:r w:rsidRPr="00801CC3">
        <w:rPr>
          <w:rFonts w:ascii="Arial Narrow" w:hAnsi="Arial Narrow" w:cs="Calibri"/>
          <w:bCs/>
          <w:color w:val="000000" w:themeColor="text1"/>
        </w:rPr>
        <w:t>1.</w:t>
      </w:r>
      <w:r w:rsidRPr="00801CC3">
        <w:rPr>
          <w:rFonts w:ascii="Arial Narrow" w:hAnsi="Arial Narrow" w:cs="Calibri"/>
          <w:b/>
          <w:color w:val="000000" w:themeColor="text1"/>
        </w:rPr>
        <w:t xml:space="preserve"> </w:t>
      </w:r>
      <w:r w:rsidRPr="00801CC3">
        <w:rPr>
          <w:rFonts w:ascii="Arial Narrow" w:hAnsi="Arial Narrow" w:cs="Calibri"/>
          <w:color w:val="000000" w:themeColor="text1"/>
        </w:rPr>
        <w:t>L</w:t>
      </w:r>
      <w:r w:rsidRPr="00801CC3">
        <w:rPr>
          <w:rFonts w:ascii="Arial Narrow" w:hAnsi="Arial Narrow" w:cs="Calibri"/>
          <w:color w:val="000000" w:themeColor="text1"/>
          <w:lang w:val="es"/>
        </w:rPr>
        <w:t xml:space="preserve">a antibioticoterapia utilizada para la ruptura prematura de membranas alejada de término en el Servicio de Obstetricia del Hospital De Las Mujeres Dr. Adolfo Carit Eva en el período de enero del 2013 a enero del 2018 logró tener un impacto positivo en el curso clínico obstétrico, aumentando la posibilidad de prolongar el embarazo en la mayoría de las pacientes y disminuyendo el riesgo de las complicaciones asociadas a esta condición. </w:t>
      </w:r>
    </w:p>
    <w:p w14:paraId="23010786" w14:textId="77777777" w:rsidR="00CB5C64" w:rsidRPr="00801CC3" w:rsidRDefault="00E016EB">
      <w:pPr>
        <w:spacing w:line="360" w:lineRule="auto"/>
        <w:jc w:val="both"/>
        <w:rPr>
          <w:rFonts w:ascii="Arial Narrow" w:hAnsi="Arial Narrow" w:cs="Calibri"/>
          <w:color w:val="000000" w:themeColor="text1"/>
        </w:rPr>
      </w:pPr>
      <w:r w:rsidRPr="00801CC3">
        <w:rPr>
          <w:rFonts w:ascii="Arial Narrow" w:hAnsi="Arial Narrow" w:cs="Calibri"/>
          <w:color w:val="000000" w:themeColor="text1"/>
        </w:rPr>
        <w:t xml:space="preserve">2. Se documentó la presencia de corioamnionitis en el 8.3% (3/36) de las pacientes con ruptura prematura de membranas a las que se le inició esquema de antibióticos. </w:t>
      </w:r>
    </w:p>
    <w:p w14:paraId="798A5A7F" w14:textId="77777777" w:rsidR="00CB5C64" w:rsidRPr="00801CC3" w:rsidRDefault="00E016EB">
      <w:pPr>
        <w:spacing w:line="360" w:lineRule="auto"/>
        <w:jc w:val="both"/>
        <w:rPr>
          <w:rFonts w:ascii="Arial Narrow" w:hAnsi="Arial Narrow" w:cstheme="minorHAnsi"/>
          <w:color w:val="000000" w:themeColor="text1"/>
        </w:rPr>
      </w:pPr>
      <w:r w:rsidRPr="00801CC3">
        <w:rPr>
          <w:rFonts w:ascii="Arial Narrow" w:hAnsi="Arial Narrow" w:cstheme="minorHAnsi"/>
          <w:color w:val="000000" w:themeColor="text1"/>
        </w:rPr>
        <w:t>3. El embarazo se prolongó un periodo mayor o igual a 7 días en el 63.9% (23/36), de los casos en los que se inició a la paciente el esquema de antibióticos que incluía claritromicina, seguido del rango entre 48 horas a 7 días en el 22.2% (8/36) de los casos.</w:t>
      </w:r>
    </w:p>
    <w:p w14:paraId="4BBEAA87" w14:textId="77777777" w:rsidR="00CB5C64" w:rsidRPr="00801CC3" w:rsidRDefault="00CB5C64">
      <w:pPr>
        <w:spacing w:line="360" w:lineRule="auto"/>
        <w:jc w:val="both"/>
        <w:rPr>
          <w:rFonts w:ascii="Arial Narrow" w:hAnsi="Arial Narrow" w:cstheme="minorHAnsi"/>
          <w:color w:val="000000" w:themeColor="text1"/>
        </w:rPr>
      </w:pPr>
    </w:p>
    <w:p w14:paraId="6CA0E890" w14:textId="77777777" w:rsidR="00CB5C64" w:rsidRPr="00801CC3" w:rsidRDefault="00E12A40" w:rsidP="00E12A40">
      <w:pPr>
        <w:rPr>
          <w:rFonts w:ascii="Arial Narrow" w:eastAsia="Times New Roman" w:hAnsi="Arial Narrow" w:cstheme="minorHAnsi"/>
          <w:b/>
          <w:color w:val="000000" w:themeColor="text1"/>
          <w:lang w:eastAsia="es-ES"/>
        </w:rPr>
      </w:pPr>
      <w:r w:rsidRPr="00801CC3">
        <w:rPr>
          <w:rFonts w:ascii="Arial Narrow" w:hAnsi="Arial Narrow" w:cstheme="minorHAnsi"/>
          <w:b/>
          <w:color w:val="000000" w:themeColor="text1"/>
        </w:rPr>
        <w:br w:type="page"/>
      </w:r>
    </w:p>
    <w:p w14:paraId="7406CF40" w14:textId="77777777" w:rsidR="00CB5C64" w:rsidRPr="00801CC3" w:rsidRDefault="001A7D38" w:rsidP="001A7D38">
      <w:pPr>
        <w:pStyle w:val="Piedepgina"/>
        <w:tabs>
          <w:tab w:val="clear" w:pos="4252"/>
          <w:tab w:val="clear" w:pos="8504"/>
          <w:tab w:val="left" w:pos="993"/>
        </w:tabs>
        <w:spacing w:line="360" w:lineRule="auto"/>
        <w:jc w:val="both"/>
        <w:rPr>
          <w:rFonts w:ascii="Arial Narrow" w:hAnsi="Arial Narrow" w:cstheme="minorHAnsi"/>
          <w:b/>
          <w:color w:val="000000" w:themeColor="text1"/>
        </w:rPr>
      </w:pPr>
      <w:r w:rsidRPr="00801CC3">
        <w:rPr>
          <w:rFonts w:ascii="Arial Narrow" w:hAnsi="Arial Narrow" w:cstheme="minorHAnsi"/>
          <w:b/>
          <w:color w:val="000000" w:themeColor="text1"/>
        </w:rPr>
        <w:lastRenderedPageBreak/>
        <w:t>Referencias</w:t>
      </w:r>
    </w:p>
    <w:p w14:paraId="4449BCAA" w14:textId="77777777" w:rsidR="001A7D38" w:rsidRPr="00801CC3" w:rsidRDefault="001A7D38" w:rsidP="001A7D38">
      <w:pPr>
        <w:pStyle w:val="Piedepgina"/>
        <w:tabs>
          <w:tab w:val="clear" w:pos="4252"/>
          <w:tab w:val="clear" w:pos="8504"/>
          <w:tab w:val="left" w:pos="993"/>
        </w:tabs>
        <w:spacing w:line="360" w:lineRule="auto"/>
        <w:jc w:val="both"/>
        <w:rPr>
          <w:rFonts w:ascii="Arial Narrow" w:hAnsi="Arial Narrow" w:cstheme="minorHAnsi"/>
          <w:b/>
          <w:color w:val="000000" w:themeColor="text1"/>
        </w:rPr>
      </w:pPr>
    </w:p>
    <w:p w14:paraId="5BD7ADAF" w14:textId="77777777" w:rsidR="00CB5C64" w:rsidRPr="00801CC3" w:rsidRDefault="00E016EB">
      <w:pPr>
        <w:pStyle w:val="Prrafodelista"/>
        <w:numPr>
          <w:ilvl w:val="0"/>
          <w:numId w:val="5"/>
        </w:numPr>
        <w:spacing w:after="160" w:line="360" w:lineRule="auto"/>
        <w:jc w:val="both"/>
        <w:rPr>
          <w:rFonts w:ascii="Arial Narrow" w:hAnsi="Arial Narrow" w:cstheme="minorHAnsi"/>
          <w:lang w:val="en-US"/>
        </w:rPr>
      </w:pPr>
      <w:proofErr w:type="spellStart"/>
      <w:r w:rsidRPr="00801CC3">
        <w:rPr>
          <w:rFonts w:ascii="Arial Narrow" w:hAnsi="Arial Narrow" w:cstheme="minorHAnsi"/>
        </w:rPr>
        <w:t>Ehsanipoor</w:t>
      </w:r>
      <w:proofErr w:type="spellEnd"/>
      <w:r w:rsidRPr="00801CC3">
        <w:rPr>
          <w:rFonts w:ascii="Arial Narrow" w:hAnsi="Arial Narrow" w:cstheme="minorHAnsi"/>
        </w:rPr>
        <w:t xml:space="preserve">, R y </w:t>
      </w:r>
      <w:proofErr w:type="spellStart"/>
      <w:r w:rsidRPr="00801CC3">
        <w:rPr>
          <w:rFonts w:ascii="Arial Narrow" w:hAnsi="Arial Narrow" w:cstheme="minorHAnsi"/>
        </w:rPr>
        <w:t>Pettker</w:t>
      </w:r>
      <w:proofErr w:type="spellEnd"/>
      <w:r w:rsidRPr="00801CC3">
        <w:rPr>
          <w:rFonts w:ascii="Arial Narrow" w:hAnsi="Arial Narrow" w:cstheme="minorHAnsi"/>
        </w:rPr>
        <w:t xml:space="preserve">, C. (2020). </w:t>
      </w:r>
      <w:r w:rsidRPr="00801CC3">
        <w:rPr>
          <w:rFonts w:ascii="Arial Narrow" w:hAnsi="Arial Narrow" w:cstheme="minorHAnsi"/>
          <w:lang w:val="en-US"/>
        </w:rPr>
        <w:t xml:space="preserve">Practice bulletin </w:t>
      </w:r>
      <w:proofErr w:type="spellStart"/>
      <w:r w:rsidRPr="00801CC3">
        <w:rPr>
          <w:rFonts w:ascii="Arial Narrow" w:hAnsi="Arial Narrow" w:cstheme="minorHAnsi"/>
          <w:lang w:val="en-US"/>
        </w:rPr>
        <w:t>Prelabor</w:t>
      </w:r>
      <w:proofErr w:type="spellEnd"/>
      <w:r w:rsidRPr="00801CC3">
        <w:rPr>
          <w:rFonts w:ascii="Arial Narrow" w:hAnsi="Arial Narrow" w:cstheme="minorHAnsi"/>
          <w:lang w:val="en-US"/>
        </w:rPr>
        <w:t xml:space="preserve"> Rupture of Membranes. The American College of Obstetricians and Gynecologists. 135, e80-e97.</w:t>
      </w:r>
    </w:p>
    <w:p w14:paraId="7C2EE9F0" w14:textId="77777777" w:rsidR="00CB5C64" w:rsidRPr="00801CC3" w:rsidRDefault="00E016EB">
      <w:pPr>
        <w:pStyle w:val="Prrafodelista"/>
        <w:numPr>
          <w:ilvl w:val="0"/>
          <w:numId w:val="5"/>
        </w:numPr>
        <w:spacing w:after="160" w:line="360" w:lineRule="auto"/>
        <w:jc w:val="both"/>
        <w:rPr>
          <w:rFonts w:ascii="Arial Narrow" w:hAnsi="Arial Narrow" w:cstheme="minorHAnsi"/>
          <w:lang w:val="en-US"/>
        </w:rPr>
      </w:pPr>
      <w:r w:rsidRPr="00801CC3">
        <w:rPr>
          <w:rFonts w:ascii="Arial Narrow" w:hAnsi="Arial Narrow" w:cstheme="minorHAnsi"/>
          <w:lang w:val="en-US"/>
        </w:rPr>
        <w:t xml:space="preserve"> Mercer, B. (2010). Premature Rupture of the Membranes. The </w:t>
      </w:r>
      <w:bookmarkStart w:id="20" w:name="_Hlk78790111"/>
      <w:r w:rsidRPr="00801CC3">
        <w:rPr>
          <w:rFonts w:ascii="Arial Narrow" w:hAnsi="Arial Narrow" w:cstheme="minorHAnsi"/>
          <w:lang w:val="en-US"/>
        </w:rPr>
        <w:t>American College of Obstetricians and Gynecologists</w:t>
      </w:r>
      <w:bookmarkEnd w:id="20"/>
      <w:r w:rsidRPr="00801CC3">
        <w:rPr>
          <w:rFonts w:ascii="Arial Narrow" w:hAnsi="Arial Narrow" w:cstheme="minorHAnsi"/>
          <w:lang w:val="en-US"/>
        </w:rPr>
        <w:t>. 101, 178-193.</w:t>
      </w:r>
    </w:p>
    <w:p w14:paraId="2ED19473" w14:textId="77777777" w:rsidR="00CB5C64" w:rsidRPr="00801CC3" w:rsidRDefault="00E016EB">
      <w:pPr>
        <w:pStyle w:val="Prrafodelista"/>
        <w:numPr>
          <w:ilvl w:val="0"/>
          <w:numId w:val="5"/>
        </w:numPr>
        <w:spacing w:after="160" w:line="360" w:lineRule="auto"/>
        <w:jc w:val="both"/>
        <w:rPr>
          <w:rFonts w:ascii="Arial Narrow" w:hAnsi="Arial Narrow" w:cstheme="minorHAnsi"/>
          <w:lang w:val="en-US"/>
        </w:rPr>
      </w:pPr>
      <w:proofErr w:type="spellStart"/>
      <w:r w:rsidRPr="00801CC3">
        <w:rPr>
          <w:rFonts w:ascii="Arial Narrow" w:hAnsi="Arial Narrow" w:cstheme="minorHAnsi"/>
          <w:lang w:val="en-US"/>
        </w:rPr>
        <w:t>Peaceman</w:t>
      </w:r>
      <w:proofErr w:type="spellEnd"/>
      <w:r w:rsidRPr="00801CC3">
        <w:rPr>
          <w:rFonts w:ascii="Arial Narrow" w:hAnsi="Arial Narrow" w:cstheme="minorHAnsi"/>
          <w:lang w:val="en-US"/>
        </w:rPr>
        <w:t xml:space="preserve">, A., Lai. Y., Rouse, D., </w:t>
      </w:r>
      <w:proofErr w:type="spellStart"/>
      <w:r w:rsidRPr="00801CC3">
        <w:rPr>
          <w:rFonts w:ascii="Arial Narrow" w:hAnsi="Arial Narrow" w:cstheme="minorHAnsi"/>
          <w:lang w:val="en-US"/>
        </w:rPr>
        <w:t>Spong</w:t>
      </w:r>
      <w:proofErr w:type="spellEnd"/>
      <w:r w:rsidRPr="00801CC3">
        <w:rPr>
          <w:rFonts w:ascii="Arial Narrow" w:hAnsi="Arial Narrow" w:cstheme="minorHAnsi"/>
          <w:lang w:val="en-US"/>
        </w:rPr>
        <w:t xml:space="preserve">, C., Mercer, B., Varner, M., Thorp, J., </w:t>
      </w:r>
      <w:proofErr w:type="spellStart"/>
      <w:r w:rsidRPr="00801CC3">
        <w:rPr>
          <w:rFonts w:ascii="Arial Narrow" w:hAnsi="Arial Narrow" w:cstheme="minorHAnsi"/>
          <w:lang w:val="en-US"/>
        </w:rPr>
        <w:t>Ramin</w:t>
      </w:r>
      <w:proofErr w:type="spellEnd"/>
      <w:r w:rsidRPr="00801CC3">
        <w:rPr>
          <w:rFonts w:ascii="Arial Narrow" w:hAnsi="Arial Narrow" w:cstheme="minorHAnsi"/>
          <w:lang w:val="en-US"/>
        </w:rPr>
        <w:t>, S., Malone, F., O’Sullivan, M. y Hankins, G. (2015). Length of Latency with Preterm Premature Rupture of Membranes before 32 Weeks’ Gestation. American Journal of Perinatology. 32, 57-61</w:t>
      </w:r>
    </w:p>
    <w:p w14:paraId="3938C7C9" w14:textId="77777777" w:rsidR="00CB5C64" w:rsidRPr="00801CC3" w:rsidRDefault="00E016EB">
      <w:pPr>
        <w:pStyle w:val="Prrafodelista"/>
        <w:numPr>
          <w:ilvl w:val="0"/>
          <w:numId w:val="5"/>
        </w:numPr>
        <w:spacing w:after="160" w:line="360" w:lineRule="auto"/>
        <w:jc w:val="both"/>
        <w:rPr>
          <w:rFonts w:ascii="Arial Narrow" w:hAnsi="Arial Narrow" w:cstheme="minorHAnsi"/>
        </w:rPr>
      </w:pPr>
      <w:r w:rsidRPr="00801CC3">
        <w:rPr>
          <w:rFonts w:ascii="Arial Narrow" w:hAnsi="Arial Narrow" w:cstheme="minorHAnsi"/>
        </w:rPr>
        <w:t xml:space="preserve">Cobo, T., Ferrero, S., </w:t>
      </w:r>
      <w:proofErr w:type="spellStart"/>
      <w:r w:rsidRPr="00801CC3">
        <w:rPr>
          <w:rFonts w:ascii="Arial Narrow" w:hAnsi="Arial Narrow" w:cstheme="minorHAnsi"/>
        </w:rPr>
        <w:t>Mig</w:t>
      </w:r>
      <w:r w:rsidR="009308A1">
        <w:rPr>
          <w:rFonts w:ascii="Arial Narrow" w:hAnsi="Arial Narrow" w:cstheme="minorHAnsi"/>
        </w:rPr>
        <w:t>de</w:t>
      </w:r>
      <w:r w:rsidRPr="00801CC3">
        <w:rPr>
          <w:rFonts w:ascii="Arial Narrow" w:hAnsi="Arial Narrow" w:cstheme="minorHAnsi"/>
        </w:rPr>
        <w:t>liorelli</w:t>
      </w:r>
      <w:proofErr w:type="spellEnd"/>
      <w:r w:rsidRPr="00801CC3">
        <w:rPr>
          <w:rFonts w:ascii="Arial Narrow" w:hAnsi="Arial Narrow" w:cstheme="minorHAnsi"/>
        </w:rPr>
        <w:t xml:space="preserve">, F., Rodríguez, A., Lorente, A., Baños, N. y Palacio, M. (2016). Protocolo Rotura Prematura de Membranas a Término y Pretérmino. Hospital </w:t>
      </w:r>
      <w:proofErr w:type="spellStart"/>
      <w:r w:rsidRPr="00801CC3">
        <w:rPr>
          <w:rFonts w:ascii="Arial Narrow" w:hAnsi="Arial Narrow" w:cstheme="minorHAnsi"/>
        </w:rPr>
        <w:t>Clinic</w:t>
      </w:r>
      <w:proofErr w:type="spellEnd"/>
      <w:r w:rsidRPr="00801CC3">
        <w:rPr>
          <w:rFonts w:ascii="Arial Narrow" w:hAnsi="Arial Narrow" w:cstheme="minorHAnsi"/>
        </w:rPr>
        <w:t xml:space="preserve">- Hospital </w:t>
      </w:r>
      <w:proofErr w:type="spellStart"/>
      <w:r w:rsidRPr="00801CC3">
        <w:rPr>
          <w:rFonts w:ascii="Arial Narrow" w:hAnsi="Arial Narrow" w:cstheme="minorHAnsi"/>
        </w:rPr>
        <w:t>Sant</w:t>
      </w:r>
      <w:proofErr w:type="spellEnd"/>
      <w:r w:rsidRPr="00801CC3">
        <w:rPr>
          <w:rFonts w:ascii="Arial Narrow" w:hAnsi="Arial Narrow" w:cstheme="minorHAnsi"/>
        </w:rPr>
        <w:t xml:space="preserve"> Joan de </w:t>
      </w:r>
      <w:proofErr w:type="spellStart"/>
      <w:r w:rsidRPr="00801CC3">
        <w:rPr>
          <w:rFonts w:ascii="Arial Narrow" w:hAnsi="Arial Narrow" w:cstheme="minorHAnsi"/>
        </w:rPr>
        <w:t>Déu-Universitat</w:t>
      </w:r>
      <w:proofErr w:type="spellEnd"/>
      <w:r w:rsidRPr="00801CC3">
        <w:rPr>
          <w:rFonts w:ascii="Arial Narrow" w:hAnsi="Arial Narrow" w:cstheme="minorHAnsi"/>
        </w:rPr>
        <w:t xml:space="preserve"> de Barcelona. </w:t>
      </w:r>
    </w:p>
    <w:p w14:paraId="525532D9" w14:textId="77777777" w:rsidR="00CB5C64" w:rsidRPr="00801CC3" w:rsidRDefault="005200D6">
      <w:pPr>
        <w:pStyle w:val="Prrafodelista"/>
        <w:spacing w:after="160" w:line="360" w:lineRule="auto"/>
        <w:jc w:val="both"/>
        <w:rPr>
          <w:rFonts w:ascii="Arial Narrow" w:hAnsi="Arial Narrow"/>
        </w:rPr>
      </w:pPr>
      <w:hyperlink r:id="rId13">
        <w:r w:rsidR="00E016EB" w:rsidRPr="00801CC3">
          <w:rPr>
            <w:rStyle w:val="EnlacedeInternet"/>
            <w:rFonts w:ascii="Arial Narrow" w:hAnsi="Arial Narrow" w:cstheme="minorHAnsi"/>
          </w:rPr>
          <w:t>www.medicinafetalbarcelona.org</w:t>
        </w:r>
      </w:hyperlink>
    </w:p>
    <w:p w14:paraId="298C9DF4" w14:textId="77777777" w:rsidR="00CB5C64" w:rsidRPr="00801CC3" w:rsidRDefault="00E016EB">
      <w:pPr>
        <w:pStyle w:val="Prrafodelista"/>
        <w:numPr>
          <w:ilvl w:val="0"/>
          <w:numId w:val="5"/>
        </w:numPr>
        <w:spacing w:after="160" w:line="360" w:lineRule="auto"/>
        <w:jc w:val="both"/>
        <w:rPr>
          <w:rFonts w:ascii="Arial Narrow" w:hAnsi="Arial Narrow" w:cstheme="minorHAnsi"/>
          <w:lang w:val="en-US"/>
        </w:rPr>
      </w:pPr>
      <w:proofErr w:type="spellStart"/>
      <w:r w:rsidRPr="00801CC3">
        <w:rPr>
          <w:rFonts w:ascii="Arial Narrow" w:hAnsi="Arial Narrow" w:cstheme="minorHAnsi"/>
        </w:rPr>
        <w:t>Yudin</w:t>
      </w:r>
      <w:proofErr w:type="spellEnd"/>
      <w:r w:rsidRPr="00801CC3">
        <w:rPr>
          <w:rFonts w:ascii="Arial Narrow" w:hAnsi="Arial Narrow" w:cstheme="minorHAnsi"/>
        </w:rPr>
        <w:t xml:space="preserve">, M., Van </w:t>
      </w:r>
      <w:proofErr w:type="spellStart"/>
      <w:r w:rsidRPr="00801CC3">
        <w:rPr>
          <w:rFonts w:ascii="Arial Narrow" w:hAnsi="Arial Narrow" w:cstheme="minorHAnsi"/>
        </w:rPr>
        <w:t>Schalkwyk</w:t>
      </w:r>
      <w:proofErr w:type="spellEnd"/>
      <w:r w:rsidRPr="00801CC3">
        <w:rPr>
          <w:rFonts w:ascii="Arial Narrow" w:hAnsi="Arial Narrow" w:cstheme="minorHAnsi"/>
        </w:rPr>
        <w:t xml:space="preserve">, J. y Van </w:t>
      </w:r>
      <w:proofErr w:type="spellStart"/>
      <w:r w:rsidRPr="00801CC3">
        <w:rPr>
          <w:rFonts w:ascii="Arial Narrow" w:hAnsi="Arial Narrow" w:cstheme="minorHAnsi"/>
        </w:rPr>
        <w:t>Eyk</w:t>
      </w:r>
      <w:proofErr w:type="spellEnd"/>
      <w:r w:rsidRPr="00801CC3">
        <w:rPr>
          <w:rFonts w:ascii="Arial Narrow" w:hAnsi="Arial Narrow" w:cstheme="minorHAnsi"/>
        </w:rPr>
        <w:t xml:space="preserve">, N. (2017). </w:t>
      </w:r>
      <w:r w:rsidRPr="00801CC3">
        <w:rPr>
          <w:rFonts w:ascii="Arial Narrow" w:hAnsi="Arial Narrow" w:cstheme="minorHAnsi"/>
          <w:lang w:val="en-US"/>
        </w:rPr>
        <w:t xml:space="preserve">Antibiotic Therapy in Preterm Premature Rupture of the Membranes. Journal of Obstetrics and </w:t>
      </w:r>
      <w:proofErr w:type="spellStart"/>
      <w:r w:rsidRPr="00801CC3">
        <w:rPr>
          <w:rFonts w:ascii="Arial Narrow" w:hAnsi="Arial Narrow" w:cstheme="minorHAnsi"/>
          <w:lang w:val="en-US"/>
        </w:rPr>
        <w:t>Gynaecology</w:t>
      </w:r>
      <w:proofErr w:type="spellEnd"/>
      <w:r w:rsidRPr="00801CC3">
        <w:rPr>
          <w:rFonts w:ascii="Arial Narrow" w:hAnsi="Arial Narrow" w:cstheme="minorHAnsi"/>
          <w:lang w:val="en-US"/>
        </w:rPr>
        <w:t xml:space="preserve"> Canada. 233, e207-e212.</w:t>
      </w:r>
    </w:p>
    <w:p w14:paraId="12945B6E" w14:textId="77777777" w:rsidR="00CB5C64" w:rsidRPr="00801CC3" w:rsidRDefault="00E016EB">
      <w:pPr>
        <w:pStyle w:val="Prrafodelista"/>
        <w:numPr>
          <w:ilvl w:val="0"/>
          <w:numId w:val="5"/>
        </w:numPr>
        <w:spacing w:after="160" w:line="360" w:lineRule="auto"/>
        <w:jc w:val="both"/>
        <w:rPr>
          <w:rFonts w:ascii="Arial Narrow" w:hAnsi="Arial Narrow" w:cstheme="minorHAnsi"/>
          <w:lang w:val="en-US"/>
        </w:rPr>
      </w:pPr>
      <w:r w:rsidRPr="00801CC3">
        <w:rPr>
          <w:rFonts w:ascii="Arial Narrow" w:hAnsi="Arial Narrow" w:cstheme="minorHAnsi"/>
          <w:lang w:val="en-US"/>
        </w:rPr>
        <w:t xml:space="preserve">Kenyon, S., </w:t>
      </w:r>
      <w:proofErr w:type="spellStart"/>
      <w:r w:rsidRPr="00801CC3">
        <w:rPr>
          <w:rFonts w:ascii="Arial Narrow" w:hAnsi="Arial Narrow" w:cstheme="minorHAnsi"/>
          <w:lang w:val="en-US"/>
        </w:rPr>
        <w:t>Boulvain</w:t>
      </w:r>
      <w:proofErr w:type="spellEnd"/>
      <w:r w:rsidRPr="00801CC3">
        <w:rPr>
          <w:rFonts w:ascii="Arial Narrow" w:hAnsi="Arial Narrow" w:cstheme="minorHAnsi"/>
          <w:lang w:val="en-US"/>
        </w:rPr>
        <w:t>, M. y Neilson, JP. (2009). Antibiotics for preterm rupture of membranes. Cochrane Database of Systematic Reviews 2003, Issue 2. Art. No.: CD001058. DOI: 10.1002/14651858.CD001058.</w:t>
      </w:r>
    </w:p>
    <w:p w14:paraId="608450DE" w14:textId="77777777" w:rsidR="00CB5C64" w:rsidRPr="00801CC3" w:rsidRDefault="00E016EB">
      <w:pPr>
        <w:pStyle w:val="Prrafodelista"/>
        <w:numPr>
          <w:ilvl w:val="0"/>
          <w:numId w:val="5"/>
        </w:numPr>
        <w:spacing w:after="160" w:line="360" w:lineRule="auto"/>
        <w:jc w:val="both"/>
        <w:rPr>
          <w:rFonts w:ascii="Arial Narrow" w:hAnsi="Arial Narrow" w:cstheme="minorHAnsi"/>
          <w:lang w:val="en-US"/>
        </w:rPr>
      </w:pPr>
      <w:proofErr w:type="spellStart"/>
      <w:r w:rsidRPr="00801CC3">
        <w:rPr>
          <w:rFonts w:ascii="Arial Narrow" w:hAnsi="Arial Narrow" w:cstheme="minorHAnsi"/>
        </w:rPr>
        <w:t>Pierson</w:t>
      </w:r>
      <w:proofErr w:type="spellEnd"/>
      <w:r w:rsidRPr="00801CC3">
        <w:rPr>
          <w:rFonts w:ascii="Arial Narrow" w:hAnsi="Arial Narrow" w:cstheme="minorHAnsi"/>
        </w:rPr>
        <w:t xml:space="preserve">, R., Gordon, S. y Haas, D. (2014). </w:t>
      </w:r>
      <w:r w:rsidRPr="00801CC3">
        <w:rPr>
          <w:rFonts w:ascii="Arial Narrow" w:hAnsi="Arial Narrow" w:cstheme="minorHAnsi"/>
          <w:lang w:val="en-US"/>
        </w:rPr>
        <w:t>A Retrospective Comparison of Antibiotic Regimens for Preterm Premature Rupture of Membranes. The American College of Obstetricians and Gynecologists. 104, 515-519.</w:t>
      </w:r>
    </w:p>
    <w:p w14:paraId="4F1F408B" w14:textId="77777777" w:rsidR="00CB5C64" w:rsidRPr="00801CC3" w:rsidRDefault="00E016EB">
      <w:pPr>
        <w:pStyle w:val="Prrafodelista"/>
        <w:numPr>
          <w:ilvl w:val="0"/>
          <w:numId w:val="5"/>
        </w:numPr>
        <w:spacing w:after="160" w:line="360" w:lineRule="auto"/>
        <w:jc w:val="both"/>
        <w:rPr>
          <w:rFonts w:ascii="Arial Narrow" w:hAnsi="Arial Narrow" w:cstheme="minorHAnsi"/>
          <w:lang w:val="en-US"/>
        </w:rPr>
      </w:pPr>
      <w:r w:rsidRPr="00801CC3">
        <w:rPr>
          <w:rFonts w:ascii="Arial Narrow" w:hAnsi="Arial Narrow" w:cstheme="minorHAnsi"/>
          <w:lang w:val="en-US"/>
        </w:rPr>
        <w:t xml:space="preserve">Finneran, M., </w:t>
      </w:r>
      <w:proofErr w:type="spellStart"/>
      <w:r w:rsidRPr="00801CC3">
        <w:rPr>
          <w:rFonts w:ascii="Arial Narrow" w:hAnsi="Arial Narrow" w:cstheme="minorHAnsi"/>
          <w:lang w:val="en-US"/>
        </w:rPr>
        <w:t>Appiagyei</w:t>
      </w:r>
      <w:proofErr w:type="spellEnd"/>
      <w:r w:rsidRPr="00801CC3">
        <w:rPr>
          <w:rFonts w:ascii="Arial Narrow" w:hAnsi="Arial Narrow" w:cstheme="minorHAnsi"/>
          <w:lang w:val="en-US"/>
        </w:rPr>
        <w:t xml:space="preserve">, A., Templin, M. y Mertz, H. (2017). </w:t>
      </w:r>
      <w:r w:rsidRPr="00801CC3">
        <w:rPr>
          <w:rFonts w:ascii="Arial Narrow" w:hAnsi="Arial Narrow" w:cstheme="minorHAnsi"/>
          <w:color w:val="231F20"/>
          <w:lang w:val="en-US"/>
        </w:rPr>
        <w:t xml:space="preserve">Comparison of Azithromycin versus Erythromycin for Prolongation of Latency in Pregnancies Complicated by Preterm Premature Rupture of Membranes. </w:t>
      </w:r>
      <w:r w:rsidRPr="00801CC3">
        <w:rPr>
          <w:rFonts w:ascii="Arial Narrow" w:hAnsi="Arial Narrow" w:cstheme="minorHAnsi"/>
          <w:lang w:val="en-US"/>
        </w:rPr>
        <w:t>American Journal of Perinatology. 34, 1102-1107.</w:t>
      </w:r>
    </w:p>
    <w:p w14:paraId="7CFC03E9" w14:textId="77777777" w:rsidR="00CB5C64" w:rsidRPr="00801CC3" w:rsidRDefault="00E016EB">
      <w:pPr>
        <w:pStyle w:val="Prrafodelista"/>
        <w:numPr>
          <w:ilvl w:val="0"/>
          <w:numId w:val="5"/>
        </w:numPr>
        <w:spacing w:after="160" w:line="360" w:lineRule="auto"/>
        <w:jc w:val="both"/>
        <w:rPr>
          <w:rFonts w:ascii="Arial Narrow" w:hAnsi="Arial Narrow" w:cstheme="minorHAnsi"/>
          <w:lang w:val="en-US"/>
        </w:rPr>
      </w:pPr>
      <w:r w:rsidRPr="00801CC3">
        <w:rPr>
          <w:rFonts w:ascii="Arial Narrow" w:hAnsi="Arial Narrow" w:cstheme="minorHAnsi"/>
          <w:lang w:val="en-US"/>
        </w:rPr>
        <w:t xml:space="preserve">Kenyon, S., </w:t>
      </w:r>
      <w:proofErr w:type="spellStart"/>
      <w:r w:rsidRPr="00801CC3">
        <w:rPr>
          <w:rFonts w:ascii="Arial Narrow" w:hAnsi="Arial Narrow" w:cstheme="minorHAnsi"/>
          <w:lang w:val="en-US"/>
        </w:rPr>
        <w:t>Taylon</w:t>
      </w:r>
      <w:proofErr w:type="spellEnd"/>
      <w:r w:rsidRPr="00801CC3">
        <w:rPr>
          <w:rFonts w:ascii="Arial Narrow" w:hAnsi="Arial Narrow" w:cstheme="minorHAnsi"/>
          <w:lang w:val="en-US"/>
        </w:rPr>
        <w:t>, DJ. y Tarnow-</w:t>
      </w:r>
      <w:proofErr w:type="spellStart"/>
      <w:r w:rsidRPr="00801CC3">
        <w:rPr>
          <w:rFonts w:ascii="Arial Narrow" w:hAnsi="Arial Narrow" w:cstheme="minorHAnsi"/>
          <w:lang w:val="en-US"/>
        </w:rPr>
        <w:t>Mordi</w:t>
      </w:r>
      <w:proofErr w:type="spellEnd"/>
      <w:r w:rsidRPr="00801CC3">
        <w:rPr>
          <w:rFonts w:ascii="Arial Narrow" w:hAnsi="Arial Narrow" w:cstheme="minorHAnsi"/>
          <w:lang w:val="en-US"/>
        </w:rPr>
        <w:t xml:space="preserve">, WO. (2002). ORACLE-antibiotics for preterm </w:t>
      </w:r>
      <w:proofErr w:type="spellStart"/>
      <w:r w:rsidRPr="00801CC3">
        <w:rPr>
          <w:rFonts w:ascii="Arial Narrow" w:hAnsi="Arial Narrow" w:cstheme="minorHAnsi"/>
          <w:lang w:val="en-US"/>
        </w:rPr>
        <w:t>prelabour</w:t>
      </w:r>
      <w:proofErr w:type="spellEnd"/>
      <w:r w:rsidRPr="00801CC3">
        <w:rPr>
          <w:rFonts w:ascii="Arial Narrow" w:hAnsi="Arial Narrow" w:cstheme="minorHAnsi"/>
          <w:lang w:val="en-US"/>
        </w:rPr>
        <w:t xml:space="preserve"> of the membranes: short-term and long-term outcomes. Acta </w:t>
      </w:r>
      <w:proofErr w:type="spellStart"/>
      <w:r w:rsidRPr="00801CC3">
        <w:rPr>
          <w:rFonts w:ascii="Arial Narrow" w:hAnsi="Arial Narrow" w:cstheme="minorHAnsi"/>
          <w:lang w:val="en-US"/>
        </w:rPr>
        <w:t>Paediatrica</w:t>
      </w:r>
      <w:proofErr w:type="spellEnd"/>
      <w:r w:rsidRPr="00801CC3">
        <w:rPr>
          <w:rFonts w:ascii="Arial Narrow" w:hAnsi="Arial Narrow" w:cstheme="minorHAnsi"/>
          <w:lang w:val="en-US"/>
        </w:rPr>
        <w:t xml:space="preserve"> Supplement. 437, 12-15. </w:t>
      </w:r>
    </w:p>
    <w:p w14:paraId="6B2F05AA" w14:textId="77777777" w:rsidR="00CB5C64" w:rsidRPr="00801CC3" w:rsidRDefault="00E016EB">
      <w:pPr>
        <w:pStyle w:val="Prrafodelista"/>
        <w:numPr>
          <w:ilvl w:val="0"/>
          <w:numId w:val="5"/>
        </w:numPr>
        <w:spacing w:after="160" w:line="360" w:lineRule="auto"/>
        <w:jc w:val="both"/>
        <w:rPr>
          <w:rFonts w:ascii="Arial Narrow" w:hAnsi="Arial Narrow" w:cstheme="minorHAnsi"/>
          <w:lang w:val="en-US"/>
        </w:rPr>
      </w:pPr>
      <w:r w:rsidRPr="00801CC3">
        <w:rPr>
          <w:rFonts w:ascii="Arial Narrow" w:hAnsi="Arial Narrow" w:cstheme="minorHAnsi"/>
        </w:rPr>
        <w:t xml:space="preserve">Heine, P., </w:t>
      </w:r>
      <w:proofErr w:type="spellStart"/>
      <w:r w:rsidRPr="00801CC3">
        <w:rPr>
          <w:rFonts w:ascii="Arial Narrow" w:hAnsi="Arial Narrow" w:cstheme="minorHAnsi"/>
        </w:rPr>
        <w:t>Puopolo</w:t>
      </w:r>
      <w:proofErr w:type="spellEnd"/>
      <w:r w:rsidRPr="00801CC3">
        <w:rPr>
          <w:rFonts w:ascii="Arial Narrow" w:hAnsi="Arial Narrow" w:cstheme="minorHAnsi"/>
        </w:rPr>
        <w:t xml:space="preserve">, K., </w:t>
      </w:r>
      <w:proofErr w:type="spellStart"/>
      <w:r w:rsidRPr="00801CC3">
        <w:rPr>
          <w:rFonts w:ascii="Arial Narrow" w:hAnsi="Arial Narrow" w:cstheme="minorHAnsi"/>
        </w:rPr>
        <w:t>Beigi</w:t>
      </w:r>
      <w:proofErr w:type="spellEnd"/>
      <w:r w:rsidRPr="00801CC3">
        <w:rPr>
          <w:rFonts w:ascii="Arial Narrow" w:hAnsi="Arial Narrow" w:cstheme="minorHAnsi"/>
        </w:rPr>
        <w:t xml:space="preserve">, R., </w:t>
      </w:r>
      <w:proofErr w:type="spellStart"/>
      <w:r w:rsidRPr="00801CC3">
        <w:rPr>
          <w:rFonts w:ascii="Arial Narrow" w:hAnsi="Arial Narrow" w:cstheme="minorHAnsi"/>
        </w:rPr>
        <w:t>Silverman</w:t>
      </w:r>
      <w:proofErr w:type="spellEnd"/>
      <w:r w:rsidRPr="00801CC3">
        <w:rPr>
          <w:rFonts w:ascii="Arial Narrow" w:hAnsi="Arial Narrow" w:cstheme="minorHAnsi"/>
        </w:rPr>
        <w:t>, N y El-</w:t>
      </w:r>
      <w:proofErr w:type="spellStart"/>
      <w:r w:rsidRPr="00801CC3">
        <w:rPr>
          <w:rFonts w:ascii="Arial Narrow" w:hAnsi="Arial Narrow" w:cstheme="minorHAnsi"/>
        </w:rPr>
        <w:t>Sayed</w:t>
      </w:r>
      <w:proofErr w:type="spellEnd"/>
      <w:r w:rsidRPr="00801CC3">
        <w:rPr>
          <w:rFonts w:ascii="Arial Narrow" w:hAnsi="Arial Narrow" w:cstheme="minorHAnsi"/>
        </w:rPr>
        <w:t xml:space="preserve">, Y. (2017). </w:t>
      </w:r>
      <w:r w:rsidRPr="00801CC3">
        <w:rPr>
          <w:rFonts w:ascii="Arial Narrow" w:hAnsi="Arial Narrow" w:cstheme="minorHAnsi"/>
          <w:lang w:val="en-US"/>
        </w:rPr>
        <w:t xml:space="preserve">Committee </w:t>
      </w:r>
      <w:proofErr w:type="spellStart"/>
      <w:r w:rsidRPr="00801CC3">
        <w:rPr>
          <w:rFonts w:ascii="Arial Narrow" w:hAnsi="Arial Narrow" w:cstheme="minorHAnsi"/>
          <w:lang w:val="en-US"/>
        </w:rPr>
        <w:t>opinión</w:t>
      </w:r>
      <w:proofErr w:type="spellEnd"/>
      <w:r w:rsidRPr="00801CC3">
        <w:rPr>
          <w:rFonts w:ascii="Arial Narrow" w:hAnsi="Arial Narrow" w:cstheme="minorHAnsi"/>
          <w:lang w:val="en-US"/>
        </w:rPr>
        <w:t xml:space="preserve"> Intrapartum Management of Intraamniotic Infection. The American College of Obstetricians and Gynecologists. 130, e95-e101.</w:t>
      </w:r>
    </w:p>
    <w:p w14:paraId="05F94D10" w14:textId="77777777" w:rsidR="00CB5C64" w:rsidRPr="00801CC3" w:rsidRDefault="00DA7E54">
      <w:pPr>
        <w:pStyle w:val="Prrafodelista"/>
        <w:numPr>
          <w:ilvl w:val="0"/>
          <w:numId w:val="5"/>
        </w:numPr>
        <w:spacing w:after="160" w:line="360" w:lineRule="auto"/>
        <w:jc w:val="both"/>
        <w:rPr>
          <w:rFonts w:ascii="Arial Narrow" w:hAnsi="Arial Narrow" w:cstheme="minorHAnsi"/>
        </w:rPr>
      </w:pPr>
      <w:proofErr w:type="spellStart"/>
      <w:r>
        <w:rPr>
          <w:rFonts w:ascii="Arial Narrow" w:hAnsi="Arial Narrow" w:cstheme="minorHAnsi"/>
        </w:rPr>
        <w:lastRenderedPageBreak/>
        <w:t>Naverrete</w:t>
      </w:r>
      <w:proofErr w:type="spellEnd"/>
      <w:r>
        <w:rPr>
          <w:rFonts w:ascii="Arial Narrow" w:hAnsi="Arial Narrow" w:cstheme="minorHAnsi"/>
        </w:rPr>
        <w:t>, A. y Vásquez</w:t>
      </w:r>
      <w:r w:rsidR="00E016EB" w:rsidRPr="00801CC3">
        <w:rPr>
          <w:rFonts w:ascii="Arial Narrow" w:hAnsi="Arial Narrow" w:cstheme="minorHAnsi"/>
        </w:rPr>
        <w:t xml:space="preserve">, A. (2019). Norma Técnica 16 -RUPTURA PREMATURA DE LAS MEMBRANAS OVULARES. Servicio de Obstetricia del Hospital de las Mujeres Adolfo Carit Eva. </w:t>
      </w:r>
    </w:p>
    <w:p w14:paraId="480E0D7E" w14:textId="77777777" w:rsidR="00CB5C64" w:rsidRDefault="00CB5C64">
      <w:pPr>
        <w:pStyle w:val="Piedepgina"/>
        <w:tabs>
          <w:tab w:val="clear" w:pos="4252"/>
          <w:tab w:val="clear" w:pos="8504"/>
          <w:tab w:val="left" w:pos="993"/>
        </w:tabs>
        <w:spacing w:line="360" w:lineRule="auto"/>
        <w:jc w:val="both"/>
      </w:pPr>
    </w:p>
    <w:sectPr w:rsidR="00CB5C64" w:rsidSect="00126889">
      <w:footerReference w:type="default" r:id="rId14"/>
      <w:pgSz w:w="12240" w:h="15840"/>
      <w:pgMar w:top="1417" w:right="1701" w:bottom="1417" w:left="1701" w:header="708" w:footer="0" w:gutter="0"/>
      <w:pgNumType w:start="1" w:chapStyle="1"/>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384965" w14:textId="77777777" w:rsidR="005200D6" w:rsidRDefault="005200D6">
      <w:r>
        <w:separator/>
      </w:r>
    </w:p>
  </w:endnote>
  <w:endnote w:type="continuationSeparator" w:id="0">
    <w:p w14:paraId="0CDE2F2D" w14:textId="77777777" w:rsidR="005200D6" w:rsidRDefault="005200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egoe UI">
    <w:panose1 w:val="020B0604020202020204"/>
    <w:charset w:val="00"/>
    <w:family w:val="swiss"/>
    <w:pitch w:val="variable"/>
    <w:sig w:usb0="E4002EFF" w:usb1="C000E47F" w:usb2="00000009" w:usb3="00000000" w:csb0="000001FF" w:csb1="00000000"/>
  </w:font>
  <w:font w:name="Liberation Sans">
    <w:altName w:val="Arial"/>
    <w:panose1 w:val="020B0604020202020204"/>
    <w:charset w:val="00"/>
    <w:family w:val="swiss"/>
    <w:pitch w:val="variable"/>
  </w:font>
  <w:font w:name="Microsoft YaHei">
    <w:panose1 w:val="020B0503020204020204"/>
    <w:charset w:val="86"/>
    <w:family w:val="swiss"/>
    <w:pitch w:val="variable"/>
    <w:sig w:usb0="80000287" w:usb1="2AC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Arial Narrow">
    <w:altName w:val="Arial Narrow"/>
    <w:panose1 w:val="020B0606020202030204"/>
    <w:charset w:val="00"/>
    <w:family w:val="swiss"/>
    <w:pitch w:val="variable"/>
    <w:sig w:usb0="00000287" w:usb1="000008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5FEEC" w14:textId="77777777" w:rsidR="000D53E0" w:rsidRDefault="000D53E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7F4BEC" w14:textId="77777777" w:rsidR="005200D6" w:rsidRDefault="005200D6">
      <w:r>
        <w:separator/>
      </w:r>
    </w:p>
  </w:footnote>
  <w:footnote w:type="continuationSeparator" w:id="0">
    <w:p w14:paraId="6C1C59D1" w14:textId="77777777" w:rsidR="005200D6" w:rsidRDefault="005200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0C1706" w14:textId="77777777" w:rsidR="000D53E0" w:rsidRDefault="000D53E0" w:rsidP="00126889">
    <w:pPr>
      <w:pStyle w:val="Encabezado"/>
      <w:jc w:val="right"/>
    </w:pPr>
  </w:p>
  <w:p w14:paraId="5FDC3EDF" w14:textId="77777777" w:rsidR="000D53E0" w:rsidRDefault="000D53E0">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2949821"/>
      <w:docPartObj>
        <w:docPartGallery w:val="Page Numbers (Top of Page)"/>
        <w:docPartUnique/>
      </w:docPartObj>
    </w:sdtPr>
    <w:sdtEndPr/>
    <w:sdtContent>
      <w:p w14:paraId="79F1D16A" w14:textId="77777777" w:rsidR="000D53E0" w:rsidRDefault="000D53E0">
        <w:pPr>
          <w:pStyle w:val="Encabezado"/>
          <w:jc w:val="right"/>
        </w:pPr>
        <w:r>
          <w:fldChar w:fldCharType="begin"/>
        </w:r>
        <w:r>
          <w:instrText>PAGE   \* MERGEFORMAT</w:instrText>
        </w:r>
        <w:r>
          <w:fldChar w:fldCharType="separate"/>
        </w:r>
        <w:r w:rsidR="00C0273F" w:rsidRPr="00C0273F">
          <w:rPr>
            <w:noProof/>
            <w:lang w:val="es-ES"/>
          </w:rPr>
          <w:t>11</w:t>
        </w:r>
        <w:r>
          <w:fldChar w:fldCharType="end"/>
        </w:r>
      </w:p>
    </w:sdtContent>
  </w:sdt>
  <w:p w14:paraId="4CFBC8AB" w14:textId="77777777" w:rsidR="000D53E0" w:rsidRDefault="000D53E0">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0D6"/>
    <w:multiLevelType w:val="multilevel"/>
    <w:tmpl w:val="1BD41A9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19353B7E"/>
    <w:multiLevelType w:val="hybridMultilevel"/>
    <w:tmpl w:val="1CBE09F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CA81D93"/>
    <w:multiLevelType w:val="multilevel"/>
    <w:tmpl w:val="82300A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9986159"/>
    <w:multiLevelType w:val="multilevel"/>
    <w:tmpl w:val="B9FED34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50F43CD"/>
    <w:multiLevelType w:val="multilevel"/>
    <w:tmpl w:val="9976D45C"/>
    <w:lvl w:ilvl="0">
      <w:start w:val="1"/>
      <w:numFmt w:val="decimal"/>
      <w:lvlText w:val="%1."/>
      <w:lvlJc w:val="left"/>
      <w:pPr>
        <w:ind w:left="643" w:hanging="360"/>
      </w:pPr>
    </w:lvl>
    <w:lvl w:ilvl="1">
      <w:start w:val="1"/>
      <w:numFmt w:val="decimal"/>
      <w:lvlText w:val="%1.%2"/>
      <w:lvlJc w:val="left"/>
      <w:pPr>
        <w:ind w:left="643" w:hanging="360"/>
      </w:pPr>
      <w:rPr>
        <w:b w:val="0"/>
      </w:rPr>
    </w:lvl>
    <w:lvl w:ilvl="2">
      <w:start w:val="1"/>
      <w:numFmt w:val="decimal"/>
      <w:lvlText w:val="%1.%2.%3"/>
      <w:lvlJc w:val="left"/>
      <w:pPr>
        <w:ind w:left="1003" w:hanging="720"/>
      </w:pPr>
    </w:lvl>
    <w:lvl w:ilvl="3">
      <w:start w:val="1"/>
      <w:numFmt w:val="decimal"/>
      <w:lvlText w:val="%1.%2.%3.%4"/>
      <w:lvlJc w:val="left"/>
      <w:pPr>
        <w:ind w:left="1003" w:hanging="720"/>
      </w:pPr>
    </w:lvl>
    <w:lvl w:ilvl="4">
      <w:start w:val="1"/>
      <w:numFmt w:val="decimal"/>
      <w:lvlText w:val="%1.%2.%3.%4.%5"/>
      <w:lvlJc w:val="left"/>
      <w:pPr>
        <w:ind w:left="1363" w:hanging="1080"/>
      </w:pPr>
    </w:lvl>
    <w:lvl w:ilvl="5">
      <w:start w:val="1"/>
      <w:numFmt w:val="decimal"/>
      <w:lvlText w:val="%1.%2.%3.%4.%5.%6"/>
      <w:lvlJc w:val="left"/>
      <w:pPr>
        <w:ind w:left="1363" w:hanging="1080"/>
      </w:pPr>
    </w:lvl>
    <w:lvl w:ilvl="6">
      <w:start w:val="1"/>
      <w:numFmt w:val="decimal"/>
      <w:lvlText w:val="%1.%2.%3.%4.%5.%6.%7"/>
      <w:lvlJc w:val="left"/>
      <w:pPr>
        <w:ind w:left="1723" w:hanging="1440"/>
      </w:pPr>
    </w:lvl>
    <w:lvl w:ilvl="7">
      <w:start w:val="1"/>
      <w:numFmt w:val="decimal"/>
      <w:lvlText w:val="%1.%2.%3.%4.%5.%6.%7.%8"/>
      <w:lvlJc w:val="left"/>
      <w:pPr>
        <w:ind w:left="1723" w:hanging="1440"/>
      </w:pPr>
    </w:lvl>
    <w:lvl w:ilvl="8">
      <w:start w:val="1"/>
      <w:numFmt w:val="decimal"/>
      <w:lvlText w:val="%1.%2.%3.%4.%5.%6.%7.%8.%9"/>
      <w:lvlJc w:val="left"/>
      <w:pPr>
        <w:ind w:left="2083" w:hanging="1800"/>
      </w:pPr>
    </w:lvl>
  </w:abstractNum>
  <w:abstractNum w:abstractNumId="5" w15:restartNumberingAfterBreak="0">
    <w:nsid w:val="662F72B2"/>
    <w:multiLevelType w:val="hybridMultilevel"/>
    <w:tmpl w:val="D95EA4F2"/>
    <w:lvl w:ilvl="0" w:tplc="140A0019">
      <w:start w:val="1"/>
      <w:numFmt w:val="lowerLetter"/>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6EB6121E"/>
    <w:multiLevelType w:val="hybridMultilevel"/>
    <w:tmpl w:val="5694C188"/>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726901B5"/>
    <w:multiLevelType w:val="hybridMultilevel"/>
    <w:tmpl w:val="45624812"/>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73961245"/>
    <w:multiLevelType w:val="multilevel"/>
    <w:tmpl w:val="4AECD8A6"/>
    <w:lvl w:ilvl="0">
      <w:start w:val="1"/>
      <w:numFmt w:val="lowerLetter"/>
      <w:lvlText w:val="%1)"/>
      <w:lvlJc w:val="left"/>
      <w:pPr>
        <w:ind w:left="2355" w:hanging="360"/>
      </w:pPr>
    </w:lvl>
    <w:lvl w:ilvl="1">
      <w:start w:val="1"/>
      <w:numFmt w:val="lowerLetter"/>
      <w:lvlText w:val="%2."/>
      <w:lvlJc w:val="left"/>
      <w:pPr>
        <w:ind w:left="3075" w:hanging="360"/>
      </w:pPr>
    </w:lvl>
    <w:lvl w:ilvl="2">
      <w:start w:val="1"/>
      <w:numFmt w:val="lowerRoman"/>
      <w:lvlText w:val="%3."/>
      <w:lvlJc w:val="right"/>
      <w:pPr>
        <w:ind w:left="3795" w:hanging="180"/>
      </w:pPr>
    </w:lvl>
    <w:lvl w:ilvl="3">
      <w:start w:val="1"/>
      <w:numFmt w:val="decimal"/>
      <w:lvlText w:val="%4."/>
      <w:lvlJc w:val="left"/>
      <w:pPr>
        <w:ind w:left="4515" w:hanging="360"/>
      </w:pPr>
    </w:lvl>
    <w:lvl w:ilvl="4">
      <w:start w:val="1"/>
      <w:numFmt w:val="lowerLetter"/>
      <w:lvlText w:val="%5."/>
      <w:lvlJc w:val="left"/>
      <w:pPr>
        <w:ind w:left="5235" w:hanging="360"/>
      </w:pPr>
    </w:lvl>
    <w:lvl w:ilvl="5">
      <w:start w:val="1"/>
      <w:numFmt w:val="lowerRoman"/>
      <w:lvlText w:val="%6."/>
      <w:lvlJc w:val="right"/>
      <w:pPr>
        <w:ind w:left="5955" w:hanging="180"/>
      </w:pPr>
    </w:lvl>
    <w:lvl w:ilvl="6">
      <w:start w:val="1"/>
      <w:numFmt w:val="decimal"/>
      <w:lvlText w:val="%7."/>
      <w:lvlJc w:val="left"/>
      <w:pPr>
        <w:ind w:left="6675" w:hanging="360"/>
      </w:pPr>
    </w:lvl>
    <w:lvl w:ilvl="7">
      <w:start w:val="1"/>
      <w:numFmt w:val="lowerLetter"/>
      <w:lvlText w:val="%8."/>
      <w:lvlJc w:val="left"/>
      <w:pPr>
        <w:ind w:left="7395" w:hanging="360"/>
      </w:pPr>
    </w:lvl>
    <w:lvl w:ilvl="8">
      <w:start w:val="1"/>
      <w:numFmt w:val="lowerRoman"/>
      <w:lvlText w:val="%9."/>
      <w:lvlJc w:val="right"/>
      <w:pPr>
        <w:ind w:left="8115" w:hanging="180"/>
      </w:pPr>
    </w:lvl>
  </w:abstractNum>
  <w:abstractNum w:abstractNumId="9" w15:restartNumberingAfterBreak="0">
    <w:nsid w:val="7C036201"/>
    <w:multiLevelType w:val="multilevel"/>
    <w:tmpl w:val="114285CE"/>
    <w:lvl w:ilvl="0">
      <w:start w:val="1"/>
      <w:numFmt w:val="decimal"/>
      <w:lvlText w:val="%1."/>
      <w:lvlJc w:val="left"/>
      <w:pPr>
        <w:ind w:left="643" w:hanging="360"/>
      </w:pPr>
      <w:rPr>
        <w:rFonts w:ascii="Calibri" w:hAnsi="Calibri" w:cs="Calibri"/>
        <w:b/>
        <w:sz w:val="18"/>
      </w:rPr>
    </w:lvl>
    <w:lvl w:ilvl="1">
      <w:start w:val="1"/>
      <w:numFmt w:val="decimal"/>
      <w:lvlText w:val="%1.%2"/>
      <w:lvlJc w:val="left"/>
      <w:pPr>
        <w:ind w:left="643" w:hanging="360"/>
      </w:pPr>
    </w:lvl>
    <w:lvl w:ilvl="2">
      <w:start w:val="1"/>
      <w:numFmt w:val="decimal"/>
      <w:lvlText w:val="%1.%2.%3"/>
      <w:lvlJc w:val="left"/>
      <w:pPr>
        <w:ind w:left="1635" w:hanging="720"/>
      </w:pPr>
    </w:lvl>
    <w:lvl w:ilvl="3">
      <w:start w:val="1"/>
      <w:numFmt w:val="decimal"/>
      <w:lvlText w:val="%1.%2.%3.%4"/>
      <w:lvlJc w:val="left"/>
      <w:pPr>
        <w:ind w:left="1003" w:hanging="720"/>
      </w:pPr>
    </w:lvl>
    <w:lvl w:ilvl="4">
      <w:start w:val="1"/>
      <w:numFmt w:val="decimal"/>
      <w:lvlText w:val="%1.%2.%3.%4.%5"/>
      <w:lvlJc w:val="left"/>
      <w:pPr>
        <w:ind w:left="1003" w:hanging="720"/>
      </w:pPr>
    </w:lvl>
    <w:lvl w:ilvl="5">
      <w:start w:val="1"/>
      <w:numFmt w:val="decimal"/>
      <w:lvlText w:val="%1.%2.%3.%4.%5.%6"/>
      <w:lvlJc w:val="left"/>
      <w:pPr>
        <w:ind w:left="1363" w:hanging="1080"/>
      </w:pPr>
    </w:lvl>
    <w:lvl w:ilvl="6">
      <w:start w:val="1"/>
      <w:numFmt w:val="decimal"/>
      <w:lvlText w:val="%1.%2.%3.%4.%5.%6.%7"/>
      <w:lvlJc w:val="left"/>
      <w:pPr>
        <w:ind w:left="1363" w:hanging="1080"/>
      </w:pPr>
    </w:lvl>
    <w:lvl w:ilvl="7">
      <w:start w:val="1"/>
      <w:numFmt w:val="decimal"/>
      <w:lvlText w:val="%1.%2.%3.%4.%5.%6.%7.%8"/>
      <w:lvlJc w:val="left"/>
      <w:pPr>
        <w:ind w:left="1723" w:hanging="1440"/>
      </w:pPr>
    </w:lvl>
    <w:lvl w:ilvl="8">
      <w:start w:val="1"/>
      <w:numFmt w:val="decimal"/>
      <w:lvlText w:val="%1.%2.%3.%4.%5.%6.%7.%8.%9"/>
      <w:lvlJc w:val="left"/>
      <w:pPr>
        <w:ind w:left="1723" w:hanging="1440"/>
      </w:pPr>
    </w:lvl>
  </w:abstractNum>
  <w:abstractNum w:abstractNumId="10" w15:restartNumberingAfterBreak="0">
    <w:nsid w:val="7F082440"/>
    <w:multiLevelType w:val="multilevel"/>
    <w:tmpl w:val="E34EECC0"/>
    <w:lvl w:ilvl="0">
      <w:start w:val="1"/>
      <w:numFmt w:val="decimal"/>
      <w:lvlText w:val="%1."/>
      <w:lvlJc w:val="left"/>
      <w:pPr>
        <w:ind w:left="643" w:hanging="360"/>
      </w:pPr>
    </w:lvl>
    <w:lvl w:ilvl="1">
      <w:start w:val="1"/>
      <w:numFmt w:val="lowerLetter"/>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num w:numId="1">
    <w:abstractNumId w:val="9"/>
  </w:num>
  <w:num w:numId="2">
    <w:abstractNumId w:val="4"/>
  </w:num>
  <w:num w:numId="3">
    <w:abstractNumId w:val="3"/>
  </w:num>
  <w:num w:numId="4">
    <w:abstractNumId w:val="8"/>
  </w:num>
  <w:num w:numId="5">
    <w:abstractNumId w:val="10"/>
  </w:num>
  <w:num w:numId="6">
    <w:abstractNumId w:val="0"/>
  </w:num>
  <w:num w:numId="7">
    <w:abstractNumId w:val="6"/>
  </w:num>
  <w:num w:numId="8">
    <w:abstractNumId w:val="1"/>
  </w:num>
  <w:num w:numId="9">
    <w:abstractNumId w:val="7"/>
  </w:num>
  <w:num w:numId="10">
    <w:abstractNumId w:val="5"/>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5C64"/>
    <w:rsid w:val="00060AF5"/>
    <w:rsid w:val="00086677"/>
    <w:rsid w:val="000B789C"/>
    <w:rsid w:val="000D53E0"/>
    <w:rsid w:val="000E2475"/>
    <w:rsid w:val="00126889"/>
    <w:rsid w:val="00136620"/>
    <w:rsid w:val="0015751D"/>
    <w:rsid w:val="001769FD"/>
    <w:rsid w:val="001A7D38"/>
    <w:rsid w:val="001B35D8"/>
    <w:rsid w:val="001B79F9"/>
    <w:rsid w:val="002650AF"/>
    <w:rsid w:val="002728BB"/>
    <w:rsid w:val="002A3E77"/>
    <w:rsid w:val="003127EC"/>
    <w:rsid w:val="003843F8"/>
    <w:rsid w:val="0039565D"/>
    <w:rsid w:val="003C2B91"/>
    <w:rsid w:val="004D60B4"/>
    <w:rsid w:val="0050204C"/>
    <w:rsid w:val="00517509"/>
    <w:rsid w:val="005200D6"/>
    <w:rsid w:val="0052270B"/>
    <w:rsid w:val="00546B02"/>
    <w:rsid w:val="005C0FD4"/>
    <w:rsid w:val="0063403A"/>
    <w:rsid w:val="00651A6E"/>
    <w:rsid w:val="0066610F"/>
    <w:rsid w:val="007226B6"/>
    <w:rsid w:val="007247D2"/>
    <w:rsid w:val="007E3E11"/>
    <w:rsid w:val="00801CC3"/>
    <w:rsid w:val="008233F6"/>
    <w:rsid w:val="00851A70"/>
    <w:rsid w:val="008771B4"/>
    <w:rsid w:val="009308A1"/>
    <w:rsid w:val="009525F3"/>
    <w:rsid w:val="00A91ECC"/>
    <w:rsid w:val="00AA29CD"/>
    <w:rsid w:val="00AB73C3"/>
    <w:rsid w:val="00AC61D7"/>
    <w:rsid w:val="00AD0BE0"/>
    <w:rsid w:val="00B219DA"/>
    <w:rsid w:val="00BB1E09"/>
    <w:rsid w:val="00BB5798"/>
    <w:rsid w:val="00C0273F"/>
    <w:rsid w:val="00C06409"/>
    <w:rsid w:val="00C317A3"/>
    <w:rsid w:val="00C31A47"/>
    <w:rsid w:val="00C634DE"/>
    <w:rsid w:val="00CA3CE5"/>
    <w:rsid w:val="00CB5C64"/>
    <w:rsid w:val="00D25FFA"/>
    <w:rsid w:val="00D803D7"/>
    <w:rsid w:val="00DA7E54"/>
    <w:rsid w:val="00DC5DE2"/>
    <w:rsid w:val="00E016EB"/>
    <w:rsid w:val="00E01C62"/>
    <w:rsid w:val="00E12A40"/>
    <w:rsid w:val="00E1415B"/>
    <w:rsid w:val="00E364EE"/>
    <w:rsid w:val="00E366BF"/>
    <w:rsid w:val="00EC6245"/>
    <w:rsid w:val="00EE62C1"/>
    <w:rsid w:val="00F028EA"/>
    <w:rsid w:val="00F2733F"/>
    <w:rsid w:val="00F536F4"/>
    <w:rsid w:val="00F94FF3"/>
    <w:rsid w:val="00FC1DA4"/>
  </w:rsids>
  <m:mathPr>
    <m:mathFont m:val="Cambria Math"/>
    <m:brkBin m:val="before"/>
    <m:brkBinSub m:val="--"/>
    <m:smallFrac m:val="0"/>
    <m:dispDef/>
    <m:lMargin m:val="0"/>
    <m:rMargin m:val="0"/>
    <m:defJc m:val="centerGroup"/>
    <m:wrapIndent m:val="1440"/>
    <m:intLim m:val="subSup"/>
    <m:naryLim m:val="undOvr"/>
  </m:mathPr>
  <w:themeFontLang w:val="es-CR" w:eastAsia="ja-JP"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83E568"/>
  <w15:docId w15:val="{D740F985-09B2-4E2B-B62F-CDEA30EDB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C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512BB6"/>
  </w:style>
  <w:style w:type="character" w:styleId="Nmerodepgina">
    <w:name w:val="page number"/>
    <w:basedOn w:val="Fuentedeprrafopredeter"/>
    <w:uiPriority w:val="99"/>
    <w:semiHidden/>
    <w:unhideWhenUsed/>
    <w:qFormat/>
    <w:rsid w:val="00512BB6"/>
  </w:style>
  <w:style w:type="character" w:customStyle="1" w:styleId="Textoindependiente2Car">
    <w:name w:val="Texto independiente 2 Car"/>
    <w:basedOn w:val="Fuentedeprrafopredeter"/>
    <w:link w:val="Textoindependiente2"/>
    <w:qFormat/>
    <w:rsid w:val="00BB725B"/>
    <w:rPr>
      <w:rFonts w:ascii="Times New Roman" w:eastAsia="Times New Roman" w:hAnsi="Times New Roman" w:cs="Times New Roman"/>
      <w:b/>
      <w:bCs/>
      <w:szCs w:val="32"/>
      <w:lang w:val="es-ES" w:eastAsia="es-ES"/>
    </w:rPr>
  </w:style>
  <w:style w:type="character" w:customStyle="1" w:styleId="PiedepginaCar">
    <w:name w:val="Pie de página Car"/>
    <w:basedOn w:val="Fuentedeprrafopredeter"/>
    <w:link w:val="Piedepgina"/>
    <w:uiPriority w:val="99"/>
    <w:qFormat/>
    <w:rsid w:val="00BF1A16"/>
    <w:rPr>
      <w:rFonts w:ascii="Arial" w:eastAsia="Times New Roman" w:hAnsi="Arial" w:cs="Times New Roman"/>
      <w:lang w:val="es-ES" w:eastAsia="es-ES"/>
    </w:rPr>
  </w:style>
  <w:style w:type="character" w:customStyle="1" w:styleId="HTMLconformatoprevioCar">
    <w:name w:val="HTML con formato previo Car"/>
    <w:basedOn w:val="Fuentedeprrafopredeter"/>
    <w:link w:val="HTMLconformatoprevio"/>
    <w:uiPriority w:val="99"/>
    <w:qFormat/>
    <w:rsid w:val="005C7FC6"/>
    <w:rPr>
      <w:rFonts w:ascii="Courier New" w:eastAsia="Times New Roman" w:hAnsi="Courier New" w:cs="Courier New"/>
      <w:sz w:val="20"/>
      <w:szCs w:val="20"/>
      <w:lang w:eastAsia="es-ES_tradnl"/>
    </w:rPr>
  </w:style>
  <w:style w:type="character" w:styleId="Refdecomentario">
    <w:name w:val="annotation reference"/>
    <w:basedOn w:val="Fuentedeprrafopredeter"/>
    <w:uiPriority w:val="99"/>
    <w:semiHidden/>
    <w:unhideWhenUsed/>
    <w:qFormat/>
    <w:rsid w:val="00CF1FA0"/>
    <w:rPr>
      <w:sz w:val="16"/>
      <w:szCs w:val="16"/>
    </w:rPr>
  </w:style>
  <w:style w:type="character" w:customStyle="1" w:styleId="TextocomentarioCar">
    <w:name w:val="Texto comentario Car"/>
    <w:basedOn w:val="Fuentedeprrafopredeter"/>
    <w:link w:val="Textocomentario"/>
    <w:uiPriority w:val="99"/>
    <w:semiHidden/>
    <w:qFormat/>
    <w:rsid w:val="00CF1FA0"/>
    <w:rPr>
      <w:sz w:val="20"/>
      <w:szCs w:val="20"/>
    </w:rPr>
  </w:style>
  <w:style w:type="character" w:customStyle="1" w:styleId="AsuntodelcomentarioCar">
    <w:name w:val="Asunto del comentario Car"/>
    <w:basedOn w:val="TextocomentarioCar"/>
    <w:link w:val="Asuntodelcomentario"/>
    <w:uiPriority w:val="99"/>
    <w:semiHidden/>
    <w:qFormat/>
    <w:rsid w:val="00CF1FA0"/>
    <w:rPr>
      <w:b/>
      <w:bCs/>
      <w:sz w:val="20"/>
      <w:szCs w:val="20"/>
    </w:rPr>
  </w:style>
  <w:style w:type="character" w:customStyle="1" w:styleId="TextodegloboCar">
    <w:name w:val="Texto de globo Car"/>
    <w:basedOn w:val="Fuentedeprrafopredeter"/>
    <w:link w:val="Textodeglobo"/>
    <w:uiPriority w:val="99"/>
    <w:semiHidden/>
    <w:qFormat/>
    <w:rsid w:val="00472240"/>
    <w:rPr>
      <w:rFonts w:ascii="Segoe UI" w:hAnsi="Segoe UI" w:cs="Segoe UI"/>
      <w:sz w:val="18"/>
      <w:szCs w:val="18"/>
    </w:rPr>
  </w:style>
  <w:style w:type="character" w:customStyle="1" w:styleId="y2iqfc">
    <w:name w:val="y2iqfc"/>
    <w:basedOn w:val="Fuentedeprrafopredeter"/>
    <w:qFormat/>
    <w:rsid w:val="00895597"/>
  </w:style>
  <w:style w:type="character" w:customStyle="1" w:styleId="EnlacedeInternet">
    <w:name w:val="Enlace de Internet"/>
    <w:basedOn w:val="Fuentedeprrafopredeter"/>
    <w:uiPriority w:val="99"/>
    <w:unhideWhenUsed/>
    <w:rsid w:val="000424E0"/>
    <w:rPr>
      <w:color w:val="0563C1" w:themeColor="hyperlink"/>
      <w:u w:val="single"/>
    </w:rPr>
  </w:style>
  <w:style w:type="paragraph" w:styleId="Ttulo">
    <w:name w:val="Title"/>
    <w:basedOn w:val="Normal"/>
    <w:next w:val="Textoindependiente"/>
    <w:qFormat/>
    <w:pPr>
      <w:keepNext/>
      <w:spacing w:before="240" w:after="120"/>
    </w:pPr>
    <w:rPr>
      <w:rFonts w:ascii="Liberation Sans" w:eastAsia="Microsoft YaHei" w:hAnsi="Liberation Sans" w:cs="Mangal"/>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rPr>
  </w:style>
  <w:style w:type="paragraph" w:customStyle="1" w:styleId="ndice">
    <w:name w:val="Índice"/>
    <w:basedOn w:val="Normal"/>
    <w:qFormat/>
    <w:pPr>
      <w:suppressLineNumbers/>
    </w:pPr>
    <w:rPr>
      <w:rFonts w:cs="Mangal"/>
    </w:rPr>
  </w:style>
  <w:style w:type="paragraph" w:customStyle="1" w:styleId="Cabeceraypie">
    <w:name w:val="Cabecera y pie"/>
    <w:basedOn w:val="Normal"/>
    <w:qFormat/>
  </w:style>
  <w:style w:type="paragraph" w:styleId="Encabezado">
    <w:name w:val="header"/>
    <w:basedOn w:val="Normal"/>
    <w:link w:val="EncabezadoCar"/>
    <w:uiPriority w:val="99"/>
    <w:unhideWhenUsed/>
    <w:rsid w:val="00512BB6"/>
    <w:pPr>
      <w:tabs>
        <w:tab w:val="center" w:pos="4419"/>
        <w:tab w:val="right" w:pos="8838"/>
      </w:tabs>
    </w:pPr>
  </w:style>
  <w:style w:type="paragraph" w:styleId="Prrafodelista">
    <w:name w:val="List Paragraph"/>
    <w:basedOn w:val="Normal"/>
    <w:uiPriority w:val="34"/>
    <w:qFormat/>
    <w:rsid w:val="001F05BC"/>
    <w:pPr>
      <w:ind w:left="720"/>
      <w:contextualSpacing/>
    </w:pPr>
  </w:style>
  <w:style w:type="paragraph" w:styleId="NormalWeb">
    <w:name w:val="Normal (Web)"/>
    <w:basedOn w:val="Normal"/>
    <w:uiPriority w:val="99"/>
    <w:unhideWhenUsed/>
    <w:qFormat/>
    <w:rsid w:val="00442AD3"/>
    <w:pPr>
      <w:spacing w:beforeAutospacing="1" w:afterAutospacing="1"/>
    </w:pPr>
    <w:rPr>
      <w:rFonts w:ascii="Times New Roman" w:eastAsia="Calibri" w:hAnsi="Times New Roman" w:cs="Times New Roman"/>
      <w:lang w:val="es-ES_tradnl" w:eastAsia="es-ES_tradnl"/>
    </w:rPr>
  </w:style>
  <w:style w:type="paragraph" w:styleId="Textoindependiente2">
    <w:name w:val="Body Text 2"/>
    <w:basedOn w:val="Normal"/>
    <w:link w:val="Textoindependiente2Car"/>
    <w:qFormat/>
    <w:rsid w:val="00BB725B"/>
    <w:pPr>
      <w:jc w:val="both"/>
    </w:pPr>
    <w:rPr>
      <w:rFonts w:ascii="Times New Roman" w:eastAsia="Times New Roman" w:hAnsi="Times New Roman" w:cs="Times New Roman"/>
      <w:b/>
      <w:bCs/>
      <w:szCs w:val="32"/>
      <w:lang w:val="es-ES" w:eastAsia="es-ES"/>
    </w:rPr>
  </w:style>
  <w:style w:type="paragraph" w:styleId="Piedepgina">
    <w:name w:val="footer"/>
    <w:basedOn w:val="Normal"/>
    <w:link w:val="PiedepginaCar"/>
    <w:uiPriority w:val="99"/>
    <w:rsid w:val="00BF1A16"/>
    <w:pPr>
      <w:tabs>
        <w:tab w:val="center" w:pos="4252"/>
        <w:tab w:val="right" w:pos="8504"/>
      </w:tabs>
    </w:pPr>
    <w:rPr>
      <w:rFonts w:ascii="Arial" w:eastAsia="Times New Roman" w:hAnsi="Arial" w:cs="Times New Roman"/>
      <w:lang w:val="es-ES" w:eastAsia="es-ES"/>
    </w:rPr>
  </w:style>
  <w:style w:type="paragraph" w:styleId="HTMLconformatoprevio">
    <w:name w:val="HTML Preformatted"/>
    <w:basedOn w:val="Normal"/>
    <w:link w:val="HTMLconformatoprevioCar"/>
    <w:uiPriority w:val="99"/>
    <w:unhideWhenUsed/>
    <w:qFormat/>
    <w:rsid w:val="005C7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s-ES_tradnl"/>
    </w:rPr>
  </w:style>
  <w:style w:type="paragraph" w:styleId="Textocomentario">
    <w:name w:val="annotation text"/>
    <w:basedOn w:val="Normal"/>
    <w:link w:val="TextocomentarioCar"/>
    <w:uiPriority w:val="99"/>
    <w:semiHidden/>
    <w:unhideWhenUsed/>
    <w:qFormat/>
    <w:rsid w:val="00CF1FA0"/>
    <w:rPr>
      <w:sz w:val="20"/>
      <w:szCs w:val="20"/>
    </w:rPr>
  </w:style>
  <w:style w:type="paragraph" w:styleId="Asuntodelcomentario">
    <w:name w:val="annotation subject"/>
    <w:basedOn w:val="Textocomentario"/>
    <w:next w:val="Textocomentario"/>
    <w:link w:val="AsuntodelcomentarioCar"/>
    <w:uiPriority w:val="99"/>
    <w:semiHidden/>
    <w:unhideWhenUsed/>
    <w:qFormat/>
    <w:rsid w:val="00CF1FA0"/>
    <w:rPr>
      <w:b/>
      <w:bCs/>
    </w:rPr>
  </w:style>
  <w:style w:type="paragraph" w:styleId="Textodeglobo">
    <w:name w:val="Balloon Text"/>
    <w:basedOn w:val="Normal"/>
    <w:link w:val="TextodegloboCar"/>
    <w:uiPriority w:val="99"/>
    <w:semiHidden/>
    <w:unhideWhenUsed/>
    <w:qFormat/>
    <w:rsid w:val="00472240"/>
    <w:rPr>
      <w:rFonts w:ascii="Segoe UI" w:hAnsi="Segoe UI" w:cs="Segoe UI"/>
      <w:sz w:val="18"/>
      <w:szCs w:val="18"/>
    </w:rPr>
  </w:style>
  <w:style w:type="numbering" w:customStyle="1" w:styleId="Estilo1">
    <w:name w:val="Estilo1"/>
    <w:uiPriority w:val="99"/>
    <w:qFormat/>
    <w:rsid w:val="006E1B08"/>
  </w:style>
  <w:style w:type="numbering" w:customStyle="1" w:styleId="Estilo2">
    <w:name w:val="Estilo2"/>
    <w:uiPriority w:val="99"/>
    <w:qFormat/>
    <w:rsid w:val="00D329DF"/>
  </w:style>
  <w:style w:type="table" w:customStyle="1" w:styleId="Tabladelista6concolores1">
    <w:name w:val="Tabla de lista 6 con colores1"/>
    <w:basedOn w:val="Tablanormal"/>
    <w:uiPriority w:val="51"/>
    <w:rsid w:val="00CD25DE"/>
    <w:rPr>
      <w:color w:val="000000" w:themeColor="text1"/>
      <w:sz w:val="22"/>
      <w:szCs w:val="22"/>
      <w:lang w:val="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DataAnalytic">
    <w:name w:val="DataAnalytic"/>
    <w:basedOn w:val="Tablanormal"/>
    <w:uiPriority w:val="99"/>
    <w:rsid w:val="008648E4"/>
    <w:pPr>
      <w:jc w:val="center"/>
    </w:pPr>
    <w:rPr>
      <w:sz w:val="22"/>
      <w:szCs w:val="22"/>
      <w:lang w:val="en-US"/>
    </w:rPr>
    <w:tblPr>
      <w:tblBorders>
        <w:bottom w:val="single" w:sz="4" w:space="0" w:color="auto"/>
      </w:tblBorders>
    </w:tblPr>
    <w:tcPr>
      <w:vAlign w:val="center"/>
    </w:tcPr>
    <w:tblStylePr w:type="firstRow">
      <w:pPr>
        <w:jc w:val="center"/>
      </w:pPr>
      <w:tblPr/>
      <w:tcPr>
        <w:tcBorders>
          <w:top w:val="single" w:sz="6" w:space="0" w:color="auto"/>
          <w:bottom w:val="single" w:sz="6" w:space="0" w:color="auto"/>
        </w:tcBorders>
      </w:tcPr>
    </w:tblStylePr>
    <w:tblStylePr w:type="lastRow">
      <w:tblPr/>
      <w:tcPr>
        <w:tcBorders>
          <w:top w:val="nil"/>
          <w:left w:val="nil"/>
          <w:bottom w:val="single" w:sz="4" w:space="0" w:color="auto"/>
          <w:right w:val="nil"/>
          <w:insideH w:val="nil"/>
          <w:insideV w:val="nil"/>
          <w:tl2br w:val="nil"/>
          <w:tr2bl w:val="nil"/>
        </w:tcBorders>
      </w:tcPr>
    </w:tblStylePr>
    <w:tblStylePr w:type="firstCol">
      <w:pPr>
        <w:jc w:val="left"/>
      </w:pPr>
      <w:rPr>
        <w:b/>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5429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edicinafetalbarcelona.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F0BEF5-48A4-4A56-A31E-3F1C1BA11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11376</Words>
  <Characters>62572</Characters>
  <Application>Microsoft Office Word</Application>
  <DocSecurity>0</DocSecurity>
  <Lines>521</Lines>
  <Paragraphs>147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Paniagua Briceño</dc:creator>
  <cp:keywords/>
  <dc:description/>
  <cp:lastModifiedBy>Adriana Paniagua Briceño</cp:lastModifiedBy>
  <cp:revision>3</cp:revision>
  <cp:lastPrinted>2021-08-04T00:43:00Z</cp:lastPrinted>
  <dcterms:created xsi:type="dcterms:W3CDTF">2021-08-13T12:53:00Z</dcterms:created>
  <dcterms:modified xsi:type="dcterms:W3CDTF">2021-08-13T12:56:00Z</dcterms:modified>
  <dc:language>es-CR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Mendeley Citation Style_1">
    <vt:lpwstr>http://www.zotero.org/styles/vancouver</vt:lpwstr>
  </property>
  <property fmtid="{D5CDD505-2E9C-101B-9397-08002B2CF9AE}" pid="7" name="Mendeley Document_1">
    <vt:lpwstr>True</vt:lpwstr>
  </property>
  <property fmtid="{D5CDD505-2E9C-101B-9397-08002B2CF9AE}" pid="8" name="Mendeley Recent Style Id 0_1">
    <vt:lpwstr>http://www.zotero.org/styles/american-medical-association</vt:lpwstr>
  </property>
  <property fmtid="{D5CDD505-2E9C-101B-9397-08002B2CF9AE}" pid="9" name="Mendeley Recent Style Id 1_1">
    <vt:lpwstr>http://www.zotero.org/styles/american-political-science-association</vt:lpwstr>
  </property>
  <property fmtid="{D5CDD505-2E9C-101B-9397-08002B2CF9AE}" pid="10" name="Mendeley Recent Style Id 2_1">
    <vt:lpwstr>http://www.zotero.org/styles/apa</vt:lpwstr>
  </property>
  <property fmtid="{D5CDD505-2E9C-101B-9397-08002B2CF9AE}" pid="11" name="Mendeley Recent Style Id 3_1">
    <vt:lpwstr>http://www.zotero.org/styles/american-sociological-association</vt:lpwstr>
  </property>
  <property fmtid="{D5CDD505-2E9C-101B-9397-08002B2CF9AE}" pid="12" name="Mendeley Recent Style Id 4_1">
    <vt:lpwstr>http://www.zotero.org/styles/chicago-author-date</vt:lpwstr>
  </property>
  <property fmtid="{D5CDD505-2E9C-101B-9397-08002B2CF9AE}" pid="13" name="Mendeley Recent Style Id 5_1">
    <vt:lpwstr>http://www.zotero.org/styles/harvard-cite-them-right</vt:lpwstr>
  </property>
  <property fmtid="{D5CDD505-2E9C-101B-9397-08002B2CF9AE}" pid="14" name="Mendeley Recent Style Id 6_1">
    <vt:lpwstr>http://www.zotero.org/styles/ieee</vt:lpwstr>
  </property>
  <property fmtid="{D5CDD505-2E9C-101B-9397-08002B2CF9AE}" pid="15" name="Mendeley Recent Style Id 7_1">
    <vt:lpwstr>http://www.zotero.org/styles/modern-humanities-research-association</vt:lpwstr>
  </property>
  <property fmtid="{D5CDD505-2E9C-101B-9397-08002B2CF9AE}" pid="16" name="Mendeley Recent Style Id 8_1">
    <vt:lpwstr>http://www.zotero.org/styles/modern-language-association</vt:lpwstr>
  </property>
  <property fmtid="{D5CDD505-2E9C-101B-9397-08002B2CF9AE}" pid="17" name="Mendeley Recent Style Id 9_1">
    <vt:lpwstr>http://www.zotero.org/styles/vancouver</vt:lpwstr>
  </property>
  <property fmtid="{D5CDD505-2E9C-101B-9397-08002B2CF9AE}" pid="18" name="Mendeley Recent Style Name 0_1">
    <vt:lpwstr>American Medical Association</vt:lpwstr>
  </property>
  <property fmtid="{D5CDD505-2E9C-101B-9397-08002B2CF9AE}" pid="19" name="Mendeley Recent Style Name 1_1">
    <vt:lpwstr>American Political Science Association</vt:lpwstr>
  </property>
  <property fmtid="{D5CDD505-2E9C-101B-9397-08002B2CF9AE}" pid="20" name="Mendeley Recent Style Name 2_1">
    <vt:lpwstr>American Psychological Association 6th edition</vt:lpwstr>
  </property>
  <property fmtid="{D5CDD505-2E9C-101B-9397-08002B2CF9AE}" pid="21" name="Mendeley Recent Style Name 3_1">
    <vt:lpwstr>American Sociological Association</vt:lpwstr>
  </property>
  <property fmtid="{D5CDD505-2E9C-101B-9397-08002B2CF9AE}" pid="22" name="Mendeley Recent Style Name 4_1">
    <vt:lpwstr>Chicago Manual of Style 17th edition (author-date)</vt:lpwstr>
  </property>
  <property fmtid="{D5CDD505-2E9C-101B-9397-08002B2CF9AE}" pid="23" name="Mendeley Recent Style Name 5_1">
    <vt:lpwstr>Cite Them Right 10th edition - Harvard</vt:lpwstr>
  </property>
  <property fmtid="{D5CDD505-2E9C-101B-9397-08002B2CF9AE}" pid="24" name="Mendeley Recent Style Name 6_1">
    <vt:lpwstr>IEEE</vt:lpwstr>
  </property>
  <property fmtid="{D5CDD505-2E9C-101B-9397-08002B2CF9AE}" pid="25" name="Mendeley Recent Style Name 7_1">
    <vt:lpwstr>Modern Humanities Research Association 3rd edition (note with bibliography)</vt:lpwstr>
  </property>
  <property fmtid="{D5CDD505-2E9C-101B-9397-08002B2CF9AE}" pid="26" name="Mendeley Recent Style Name 8_1">
    <vt:lpwstr>Modern Language Association 8th edition</vt:lpwstr>
  </property>
  <property fmtid="{D5CDD505-2E9C-101B-9397-08002B2CF9AE}" pid="27" name="Mendeley Recent Style Name 9_1">
    <vt:lpwstr>Vancouver</vt:lpwstr>
  </property>
  <property fmtid="{D5CDD505-2E9C-101B-9397-08002B2CF9AE}" pid="28" name="Mendeley Unique User Id_1">
    <vt:lpwstr>d62b8c16-f4a4-3ca1-81cd-cdbc85f3d028</vt:lpwstr>
  </property>
  <property fmtid="{D5CDD505-2E9C-101B-9397-08002B2CF9AE}" pid="29" name="ScaleCrop">
    <vt:bool>false</vt:bool>
  </property>
  <property fmtid="{D5CDD505-2E9C-101B-9397-08002B2CF9AE}" pid="30" name="ShareDoc">
    <vt:bool>false</vt:bool>
  </property>
</Properties>
</file>