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0003AA" w14:textId="57BCAEA8" w:rsidR="005874E8" w:rsidRPr="00283C74" w:rsidRDefault="00A62963" w:rsidP="006D37AA">
      <w:pPr>
        <w:widowControl w:val="0"/>
        <w:tabs>
          <w:tab w:val="left" w:pos="480"/>
        </w:tabs>
        <w:suppressAutoHyphens/>
        <w:adjustRightInd w:val="0"/>
        <w:spacing w:after="0" w:line="240" w:lineRule="auto"/>
        <w:jc w:val="center"/>
        <w:textAlignment w:val="center"/>
        <w:rPr>
          <w:rFonts w:ascii="Times New Roman" w:hAnsi="Times New Roman" w:cs="Times New Roman"/>
          <w:sz w:val="24"/>
          <w:szCs w:val="24"/>
        </w:rPr>
      </w:pPr>
      <w:r w:rsidRPr="00283C74">
        <w:rPr>
          <w:rFonts w:ascii="Times New Roman" w:hAnsi="Times New Roman" w:cs="Times New Roman"/>
          <w:sz w:val="24"/>
          <w:szCs w:val="24"/>
        </w:rPr>
        <w:t xml:space="preserve"> </w:t>
      </w:r>
    </w:p>
    <w:p w14:paraId="58D7ADFA" w14:textId="24B22C9D" w:rsidR="005874E8" w:rsidRPr="00283C74" w:rsidRDefault="008B434F" w:rsidP="006D37AA">
      <w:pPr>
        <w:widowControl w:val="0"/>
        <w:tabs>
          <w:tab w:val="left" w:pos="480"/>
        </w:tabs>
        <w:suppressAutoHyphens/>
        <w:adjustRightInd w:val="0"/>
        <w:spacing w:after="0" w:line="240" w:lineRule="auto"/>
        <w:jc w:val="center"/>
        <w:textAlignment w:val="center"/>
        <w:rPr>
          <w:rFonts w:ascii="Times New Roman" w:hAnsi="Times New Roman" w:cs="Times New Roman"/>
          <w:b/>
          <w:bCs/>
          <w:sz w:val="24"/>
          <w:szCs w:val="24"/>
        </w:rPr>
      </w:pPr>
      <w:r>
        <w:rPr>
          <w:rFonts w:ascii="Times New Roman" w:hAnsi="Times New Roman" w:cs="Times New Roman"/>
          <w:b/>
          <w:bCs/>
          <w:sz w:val="24"/>
          <w:szCs w:val="24"/>
        </w:rPr>
        <w:t>Participación ciudadana y gestión de políticas públicas</w:t>
      </w:r>
    </w:p>
    <w:p w14:paraId="1DBF5139" w14:textId="77777777" w:rsidR="00A62963" w:rsidRPr="00283C74" w:rsidRDefault="00A62963" w:rsidP="006D37AA">
      <w:pPr>
        <w:spacing w:after="0"/>
        <w:rPr>
          <w:rFonts w:ascii="Times New Roman" w:hAnsi="Times New Roman" w:cs="Times New Roman"/>
          <w:sz w:val="24"/>
          <w:szCs w:val="24"/>
        </w:rPr>
      </w:pPr>
    </w:p>
    <w:p w14:paraId="65EFD514" w14:textId="5E22B98D" w:rsidR="005874E8" w:rsidRPr="00283C74" w:rsidRDefault="00A2797D" w:rsidP="006D37AA">
      <w:pPr>
        <w:spacing w:after="0"/>
        <w:rPr>
          <w:rFonts w:ascii="Times New Roman" w:hAnsi="Times New Roman" w:cs="Times New Roman"/>
          <w:sz w:val="24"/>
          <w:szCs w:val="24"/>
        </w:rPr>
      </w:pPr>
      <w:r w:rsidRPr="00283C74">
        <w:rPr>
          <w:rFonts w:ascii="Times New Roman" w:hAnsi="Times New Roman" w:cs="Times New Roman"/>
          <w:sz w:val="24"/>
          <w:szCs w:val="24"/>
        </w:rPr>
        <w:t xml:space="preserve">Dr. </w:t>
      </w:r>
      <w:r w:rsidR="005874E8" w:rsidRPr="00283C74">
        <w:rPr>
          <w:rFonts w:ascii="Times New Roman" w:hAnsi="Times New Roman" w:cs="Times New Roman"/>
          <w:sz w:val="24"/>
          <w:szCs w:val="24"/>
        </w:rPr>
        <w:t>Harold Hütt Herrera</w:t>
      </w:r>
      <w:r w:rsidRPr="00283C74">
        <w:rPr>
          <w:rFonts w:ascii="Times New Roman" w:hAnsi="Times New Roman" w:cs="Times New Roman"/>
          <w:sz w:val="24"/>
          <w:szCs w:val="24"/>
        </w:rPr>
        <w:t xml:space="preserve"> </w:t>
      </w:r>
    </w:p>
    <w:p w14:paraId="777B4E56" w14:textId="45FB8660" w:rsidR="005874E8" w:rsidRPr="00283C74" w:rsidRDefault="005874E8" w:rsidP="006D37AA">
      <w:pPr>
        <w:spacing w:after="0"/>
        <w:rPr>
          <w:rFonts w:ascii="Times New Roman" w:hAnsi="Times New Roman" w:cs="Times New Roman"/>
          <w:sz w:val="24"/>
          <w:szCs w:val="24"/>
        </w:rPr>
      </w:pPr>
    </w:p>
    <w:p w14:paraId="3EDBEF83" w14:textId="62663FCD" w:rsidR="006D37AA" w:rsidRPr="00283C74" w:rsidRDefault="006D37AA" w:rsidP="006D37AA">
      <w:pPr>
        <w:spacing w:after="0"/>
        <w:rPr>
          <w:rFonts w:ascii="Times New Roman" w:hAnsi="Times New Roman" w:cs="Times New Roman"/>
          <w:sz w:val="24"/>
          <w:szCs w:val="24"/>
        </w:rPr>
      </w:pPr>
    </w:p>
    <w:p w14:paraId="57BE9864" w14:textId="65D4F06E" w:rsidR="005874E8" w:rsidRPr="008979CB" w:rsidRDefault="00907682" w:rsidP="006D37AA">
      <w:pPr>
        <w:spacing w:after="0" w:line="360" w:lineRule="auto"/>
        <w:ind w:left="450" w:right="990"/>
        <w:jc w:val="both"/>
        <w:rPr>
          <w:rFonts w:ascii="Times New Roman" w:hAnsi="Times New Roman" w:cs="Times New Roman"/>
          <w:b/>
          <w:bCs/>
          <w:sz w:val="24"/>
          <w:szCs w:val="24"/>
        </w:rPr>
      </w:pPr>
      <w:r w:rsidRPr="008979CB">
        <w:rPr>
          <w:rFonts w:ascii="Times New Roman" w:hAnsi="Times New Roman" w:cs="Times New Roman"/>
          <w:b/>
          <w:bCs/>
          <w:sz w:val="24"/>
          <w:szCs w:val="24"/>
        </w:rPr>
        <w:t>Resumen</w:t>
      </w:r>
    </w:p>
    <w:p w14:paraId="6713F51F" w14:textId="4A6FF832" w:rsidR="008979CB" w:rsidRDefault="00A62963" w:rsidP="006D37AA">
      <w:pPr>
        <w:spacing w:after="0" w:line="360" w:lineRule="auto"/>
        <w:ind w:left="450" w:right="990"/>
        <w:jc w:val="both"/>
        <w:rPr>
          <w:rFonts w:ascii="Times New Roman" w:hAnsi="Times New Roman" w:cs="Times New Roman"/>
          <w:sz w:val="24"/>
          <w:szCs w:val="24"/>
        </w:rPr>
      </w:pPr>
      <w:r w:rsidRPr="008979CB">
        <w:rPr>
          <w:rFonts w:ascii="Times New Roman" w:hAnsi="Times New Roman" w:cs="Times New Roman"/>
          <w:sz w:val="24"/>
          <w:szCs w:val="24"/>
        </w:rPr>
        <w:t xml:space="preserve">El presente artículo ofrece un análisis </w:t>
      </w:r>
      <w:r w:rsidR="008979CB">
        <w:rPr>
          <w:rFonts w:ascii="Times New Roman" w:hAnsi="Times New Roman" w:cs="Times New Roman"/>
          <w:sz w:val="24"/>
          <w:szCs w:val="24"/>
        </w:rPr>
        <w:t>sobre la incidencia de la participación ciudadana en la gestión de políticas públicas en Costa Rica, durante el período 2014-2019, en el marco de la Estrategia Nacional para un Gobierno abierto.  Para esto se realizó un sondeo con 28 personas representantes de los 24 Ministerios de Gobierno, y a partir de lo cual se procuró identificar cuáles han sido los aportes de la ciudadanía en la construcción de políticas públicas.  En este sentido, se valoraron tanto los aspectos metodológicos como procedimentales, en términos de la articulación de esfuerzos con las personas ciudadanas y con los grupos organizados de la sociedad civil.  Asimismo, se tomó en consideración la normativa y políticas vigentes, por parte del Ministerio de Planificación Nacional y Políticas Económica (MIDEPLAN), como ente rector en esta materia.</w:t>
      </w:r>
    </w:p>
    <w:p w14:paraId="048F1509" w14:textId="77777777" w:rsidR="008979CB" w:rsidRDefault="008979CB" w:rsidP="006D37AA">
      <w:pPr>
        <w:spacing w:after="0" w:line="360" w:lineRule="auto"/>
        <w:ind w:left="450" w:right="990"/>
        <w:jc w:val="both"/>
        <w:rPr>
          <w:rFonts w:ascii="Times New Roman" w:hAnsi="Times New Roman" w:cs="Times New Roman"/>
          <w:sz w:val="24"/>
          <w:szCs w:val="24"/>
        </w:rPr>
      </w:pPr>
    </w:p>
    <w:p w14:paraId="1BE4F5DC" w14:textId="2134E92E" w:rsidR="005874E8" w:rsidRPr="00283C74" w:rsidRDefault="005874E8" w:rsidP="006D37AA">
      <w:pPr>
        <w:spacing w:after="0" w:line="360" w:lineRule="auto"/>
        <w:ind w:left="450" w:right="990"/>
        <w:jc w:val="both"/>
        <w:rPr>
          <w:rFonts w:ascii="Times New Roman" w:hAnsi="Times New Roman" w:cs="Times New Roman"/>
          <w:sz w:val="24"/>
          <w:szCs w:val="24"/>
        </w:rPr>
      </w:pPr>
      <w:r w:rsidRPr="008979CB">
        <w:rPr>
          <w:rFonts w:ascii="Times New Roman" w:hAnsi="Times New Roman" w:cs="Times New Roman"/>
          <w:b/>
          <w:bCs/>
          <w:sz w:val="24"/>
          <w:szCs w:val="24"/>
        </w:rPr>
        <w:t>Palabras clave:</w:t>
      </w:r>
      <w:r w:rsidRPr="008979CB">
        <w:rPr>
          <w:rFonts w:ascii="Times New Roman" w:hAnsi="Times New Roman" w:cs="Times New Roman"/>
          <w:sz w:val="24"/>
          <w:szCs w:val="24"/>
        </w:rPr>
        <w:t xml:space="preserve">  Co-creación, procesos colaborativos, Gobernanza, Políticas Públicas, </w:t>
      </w:r>
      <w:r w:rsidR="008979CB">
        <w:rPr>
          <w:rFonts w:ascii="Times New Roman" w:hAnsi="Times New Roman" w:cs="Times New Roman"/>
          <w:sz w:val="24"/>
          <w:szCs w:val="24"/>
        </w:rPr>
        <w:t>Gobierno abierto</w:t>
      </w:r>
      <w:r w:rsidRPr="008979CB">
        <w:rPr>
          <w:rFonts w:ascii="Times New Roman" w:hAnsi="Times New Roman" w:cs="Times New Roman"/>
          <w:sz w:val="24"/>
          <w:szCs w:val="24"/>
        </w:rPr>
        <w:t>.</w:t>
      </w:r>
    </w:p>
    <w:p w14:paraId="54478B7A" w14:textId="39B8C1AE" w:rsidR="005874E8" w:rsidRPr="00283C74" w:rsidRDefault="005874E8" w:rsidP="006D37AA">
      <w:pPr>
        <w:spacing w:after="0"/>
        <w:rPr>
          <w:rFonts w:ascii="Times New Roman" w:hAnsi="Times New Roman" w:cs="Times New Roman"/>
          <w:sz w:val="24"/>
          <w:szCs w:val="24"/>
        </w:rPr>
      </w:pPr>
    </w:p>
    <w:p w14:paraId="269351FC" w14:textId="16804DC2" w:rsidR="00427BAE" w:rsidRDefault="00427BAE" w:rsidP="006D37AA">
      <w:pPr>
        <w:spacing w:after="0"/>
        <w:rPr>
          <w:rFonts w:ascii="Times New Roman" w:hAnsi="Times New Roman" w:cs="Times New Roman"/>
          <w:sz w:val="24"/>
          <w:szCs w:val="24"/>
        </w:rPr>
      </w:pPr>
    </w:p>
    <w:p w14:paraId="5333C4CC" w14:textId="04119E3B" w:rsidR="006D37AA" w:rsidRDefault="006D37AA" w:rsidP="006D37AA">
      <w:pPr>
        <w:spacing w:after="0"/>
        <w:rPr>
          <w:rFonts w:ascii="Times New Roman" w:hAnsi="Times New Roman" w:cs="Times New Roman"/>
          <w:sz w:val="24"/>
          <w:szCs w:val="24"/>
        </w:rPr>
      </w:pPr>
    </w:p>
    <w:p w14:paraId="32EFE1ED" w14:textId="37BB062F" w:rsidR="006D37AA" w:rsidRDefault="006D37AA" w:rsidP="006D37AA">
      <w:pPr>
        <w:spacing w:after="0"/>
        <w:rPr>
          <w:rFonts w:ascii="Times New Roman" w:hAnsi="Times New Roman" w:cs="Times New Roman"/>
          <w:sz w:val="24"/>
          <w:szCs w:val="24"/>
        </w:rPr>
      </w:pPr>
    </w:p>
    <w:p w14:paraId="7C1D7A1E" w14:textId="11E2D36D" w:rsidR="006D37AA" w:rsidRDefault="006D37AA" w:rsidP="006D37AA">
      <w:pPr>
        <w:spacing w:after="0"/>
        <w:rPr>
          <w:rFonts w:ascii="Times New Roman" w:hAnsi="Times New Roman" w:cs="Times New Roman"/>
          <w:sz w:val="24"/>
          <w:szCs w:val="24"/>
        </w:rPr>
      </w:pPr>
    </w:p>
    <w:p w14:paraId="45D5C042" w14:textId="46E49CC9" w:rsidR="006D37AA" w:rsidRDefault="006D37AA" w:rsidP="006D37AA">
      <w:pPr>
        <w:spacing w:after="0"/>
        <w:rPr>
          <w:rFonts w:ascii="Times New Roman" w:hAnsi="Times New Roman" w:cs="Times New Roman"/>
          <w:sz w:val="24"/>
          <w:szCs w:val="24"/>
        </w:rPr>
      </w:pPr>
    </w:p>
    <w:p w14:paraId="4B5FA11D" w14:textId="2EB4A410" w:rsidR="00857C7D" w:rsidRDefault="00857C7D" w:rsidP="006D37AA">
      <w:pPr>
        <w:spacing w:after="0"/>
        <w:rPr>
          <w:rFonts w:ascii="Times New Roman" w:hAnsi="Times New Roman" w:cs="Times New Roman"/>
          <w:sz w:val="24"/>
          <w:szCs w:val="24"/>
        </w:rPr>
      </w:pPr>
    </w:p>
    <w:p w14:paraId="6306BB13" w14:textId="77777777" w:rsidR="00857C7D" w:rsidRDefault="00857C7D" w:rsidP="006D37AA">
      <w:pPr>
        <w:spacing w:after="0"/>
        <w:rPr>
          <w:rFonts w:ascii="Times New Roman" w:hAnsi="Times New Roman" w:cs="Times New Roman"/>
          <w:sz w:val="24"/>
          <w:szCs w:val="24"/>
        </w:rPr>
      </w:pPr>
    </w:p>
    <w:p w14:paraId="36302B2D" w14:textId="70F52FC4" w:rsidR="006D37AA" w:rsidRDefault="006D37AA" w:rsidP="006D37AA">
      <w:pPr>
        <w:spacing w:after="0"/>
        <w:rPr>
          <w:rFonts w:ascii="Times New Roman" w:hAnsi="Times New Roman" w:cs="Times New Roman"/>
          <w:sz w:val="24"/>
          <w:szCs w:val="24"/>
        </w:rPr>
      </w:pPr>
    </w:p>
    <w:p w14:paraId="09366AEB" w14:textId="77777777" w:rsidR="006D37AA" w:rsidRPr="00283C74" w:rsidRDefault="006D37AA" w:rsidP="006D37AA">
      <w:pPr>
        <w:spacing w:after="0"/>
        <w:rPr>
          <w:rFonts w:ascii="Times New Roman" w:hAnsi="Times New Roman" w:cs="Times New Roman"/>
          <w:sz w:val="24"/>
          <w:szCs w:val="24"/>
        </w:rPr>
      </w:pPr>
    </w:p>
    <w:p w14:paraId="46334341" w14:textId="37A7E4B6" w:rsidR="005874E8" w:rsidRPr="00283C74" w:rsidRDefault="005874E8" w:rsidP="006D37AA">
      <w:pPr>
        <w:spacing w:after="0"/>
        <w:rPr>
          <w:rFonts w:ascii="Times New Roman" w:hAnsi="Times New Roman" w:cs="Times New Roman"/>
          <w:sz w:val="24"/>
          <w:szCs w:val="24"/>
        </w:rPr>
      </w:pPr>
    </w:p>
    <w:p w14:paraId="3EFDFAA0" w14:textId="3084A42B" w:rsidR="005874E8" w:rsidRPr="00283C74" w:rsidRDefault="005874E8" w:rsidP="006D37AA">
      <w:pPr>
        <w:spacing w:after="0"/>
        <w:rPr>
          <w:rFonts w:ascii="Times New Roman" w:hAnsi="Times New Roman" w:cs="Times New Roman"/>
          <w:sz w:val="24"/>
          <w:szCs w:val="24"/>
        </w:rPr>
      </w:pPr>
    </w:p>
    <w:p w14:paraId="6B9AC981" w14:textId="0A2446E1" w:rsidR="005874E8" w:rsidRDefault="005874E8" w:rsidP="006D37AA">
      <w:pPr>
        <w:spacing w:after="0"/>
        <w:rPr>
          <w:rFonts w:ascii="Times New Roman" w:hAnsi="Times New Roman" w:cs="Times New Roman"/>
          <w:sz w:val="24"/>
          <w:szCs w:val="24"/>
        </w:rPr>
      </w:pPr>
    </w:p>
    <w:p w14:paraId="2CBFE701" w14:textId="590DCCDB" w:rsidR="00277A5D" w:rsidRDefault="00277A5D" w:rsidP="006D37AA">
      <w:pPr>
        <w:spacing w:after="0"/>
        <w:rPr>
          <w:rFonts w:ascii="Times New Roman" w:hAnsi="Times New Roman" w:cs="Times New Roman"/>
          <w:sz w:val="24"/>
          <w:szCs w:val="24"/>
        </w:rPr>
      </w:pPr>
    </w:p>
    <w:p w14:paraId="0178CFF2" w14:textId="12CE16FD" w:rsidR="00277A5D" w:rsidRDefault="00277A5D" w:rsidP="006D37AA">
      <w:pPr>
        <w:spacing w:after="0"/>
        <w:rPr>
          <w:rFonts w:ascii="Times New Roman" w:hAnsi="Times New Roman" w:cs="Times New Roman"/>
          <w:sz w:val="24"/>
          <w:szCs w:val="24"/>
        </w:rPr>
      </w:pPr>
    </w:p>
    <w:p w14:paraId="07549180" w14:textId="77777777" w:rsidR="00277A5D" w:rsidRPr="00283C74" w:rsidRDefault="00277A5D" w:rsidP="006D37AA">
      <w:pPr>
        <w:spacing w:after="0"/>
        <w:rPr>
          <w:rFonts w:ascii="Times New Roman" w:hAnsi="Times New Roman" w:cs="Times New Roman"/>
          <w:sz w:val="24"/>
          <w:szCs w:val="24"/>
        </w:rPr>
      </w:pPr>
    </w:p>
    <w:p w14:paraId="79DAECA1" w14:textId="5EB4DD5D" w:rsidR="005874E8" w:rsidRPr="00283C74" w:rsidRDefault="005874E8" w:rsidP="006D37AA">
      <w:pPr>
        <w:spacing w:after="0"/>
        <w:rPr>
          <w:rFonts w:ascii="Times New Roman" w:hAnsi="Times New Roman" w:cs="Times New Roman"/>
          <w:sz w:val="24"/>
          <w:szCs w:val="24"/>
        </w:rPr>
      </w:pPr>
    </w:p>
    <w:p w14:paraId="5B9D22CF" w14:textId="364D39DD" w:rsidR="005874E8" w:rsidRPr="00283C74" w:rsidRDefault="005874E8" w:rsidP="006D37AA">
      <w:pPr>
        <w:spacing w:after="0"/>
        <w:rPr>
          <w:rFonts w:ascii="Times New Roman" w:hAnsi="Times New Roman" w:cs="Times New Roman"/>
          <w:sz w:val="24"/>
          <w:szCs w:val="24"/>
        </w:rPr>
      </w:pPr>
    </w:p>
    <w:p w14:paraId="4BB1A4E2" w14:textId="790F4485" w:rsidR="005874E8" w:rsidRPr="00283C74" w:rsidRDefault="005874E8" w:rsidP="006D37AA">
      <w:pPr>
        <w:spacing w:after="0"/>
        <w:rPr>
          <w:rFonts w:ascii="Times New Roman" w:hAnsi="Times New Roman" w:cs="Times New Roman"/>
          <w:sz w:val="24"/>
          <w:szCs w:val="24"/>
        </w:rPr>
      </w:pPr>
    </w:p>
    <w:p w14:paraId="66938B73" w14:textId="77777777" w:rsidR="00884EAE" w:rsidRPr="004B5C27" w:rsidRDefault="00884EAE" w:rsidP="00884EAE">
      <w:pPr>
        <w:widowControl w:val="0"/>
        <w:tabs>
          <w:tab w:val="left" w:pos="480"/>
        </w:tabs>
        <w:suppressAutoHyphens/>
        <w:adjustRightInd w:val="0"/>
        <w:spacing w:after="0" w:line="240" w:lineRule="auto"/>
        <w:jc w:val="center"/>
        <w:textAlignment w:val="center"/>
        <w:rPr>
          <w:rFonts w:ascii="Times New Roman" w:hAnsi="Times New Roman" w:cs="Times New Roman"/>
          <w:b/>
          <w:bCs/>
          <w:sz w:val="24"/>
          <w:szCs w:val="24"/>
          <w:lang w:val="en-US"/>
        </w:rPr>
      </w:pPr>
      <w:r w:rsidRPr="004B5C27">
        <w:rPr>
          <w:rFonts w:ascii="Times New Roman" w:hAnsi="Times New Roman" w:cs="Times New Roman"/>
          <w:b/>
          <w:bCs/>
          <w:sz w:val="24"/>
          <w:szCs w:val="24"/>
          <w:lang w:val="en-US"/>
        </w:rPr>
        <w:t>Citizen Participation and public policies management</w:t>
      </w:r>
    </w:p>
    <w:p w14:paraId="4559AF84" w14:textId="77777777" w:rsidR="00884EAE" w:rsidRPr="004B5C27" w:rsidRDefault="00884EAE" w:rsidP="00884EAE">
      <w:pPr>
        <w:widowControl w:val="0"/>
        <w:tabs>
          <w:tab w:val="left" w:pos="480"/>
        </w:tabs>
        <w:suppressAutoHyphens/>
        <w:adjustRightInd w:val="0"/>
        <w:spacing w:after="0" w:line="240" w:lineRule="auto"/>
        <w:jc w:val="center"/>
        <w:textAlignment w:val="center"/>
        <w:rPr>
          <w:rFonts w:ascii="Times New Roman" w:hAnsi="Times New Roman" w:cs="Times New Roman"/>
          <w:b/>
          <w:bCs/>
          <w:sz w:val="24"/>
          <w:szCs w:val="24"/>
          <w:lang w:val="en-US"/>
        </w:rPr>
      </w:pPr>
      <w:r w:rsidRPr="004B5C27">
        <w:rPr>
          <w:rFonts w:ascii="Times New Roman" w:hAnsi="Times New Roman" w:cs="Times New Roman"/>
          <w:b/>
          <w:bCs/>
          <w:sz w:val="24"/>
          <w:szCs w:val="24"/>
          <w:lang w:val="en-US"/>
        </w:rPr>
        <w:t xml:space="preserve"> </w:t>
      </w:r>
    </w:p>
    <w:p w14:paraId="1CAF34A5" w14:textId="77777777" w:rsidR="00884EAE" w:rsidRPr="004B5C27" w:rsidRDefault="00884EAE" w:rsidP="00884EAE">
      <w:pPr>
        <w:spacing w:after="0"/>
        <w:rPr>
          <w:rFonts w:ascii="Times New Roman" w:hAnsi="Times New Roman" w:cs="Times New Roman"/>
          <w:sz w:val="24"/>
          <w:szCs w:val="24"/>
          <w:lang w:val="en-US"/>
        </w:rPr>
      </w:pPr>
    </w:p>
    <w:p w14:paraId="088361AE" w14:textId="77777777" w:rsidR="00884EAE" w:rsidRPr="004B5C27" w:rsidRDefault="00884EAE" w:rsidP="00884EAE">
      <w:pPr>
        <w:spacing w:after="0"/>
        <w:rPr>
          <w:rFonts w:ascii="Times New Roman" w:hAnsi="Times New Roman" w:cs="Times New Roman"/>
          <w:sz w:val="24"/>
          <w:szCs w:val="24"/>
          <w:lang w:val="en-US"/>
        </w:rPr>
      </w:pPr>
      <w:r w:rsidRPr="004B5C27">
        <w:rPr>
          <w:rFonts w:ascii="Times New Roman" w:hAnsi="Times New Roman" w:cs="Times New Roman"/>
          <w:sz w:val="24"/>
          <w:szCs w:val="24"/>
          <w:lang w:val="en-US"/>
        </w:rPr>
        <w:t xml:space="preserve">Dr.  Harold Hütt Herrera </w:t>
      </w:r>
    </w:p>
    <w:p w14:paraId="33470B7B" w14:textId="77777777" w:rsidR="00884EAE" w:rsidRPr="00A434AA" w:rsidRDefault="00884EAE" w:rsidP="00884EAE">
      <w:pPr>
        <w:spacing w:after="0"/>
        <w:rPr>
          <w:rFonts w:ascii="Times New Roman" w:hAnsi="Times New Roman" w:cs="Times New Roman"/>
          <w:sz w:val="24"/>
          <w:szCs w:val="24"/>
          <w:highlight w:val="magenta"/>
          <w:lang w:val="en-US"/>
        </w:rPr>
      </w:pPr>
    </w:p>
    <w:p w14:paraId="47903B29" w14:textId="77777777" w:rsidR="00884EAE" w:rsidRPr="004B5C27" w:rsidRDefault="00884EAE" w:rsidP="00884EAE">
      <w:pPr>
        <w:spacing w:after="0"/>
        <w:rPr>
          <w:rFonts w:ascii="Times New Roman" w:hAnsi="Times New Roman" w:cs="Times New Roman"/>
          <w:sz w:val="24"/>
          <w:szCs w:val="24"/>
          <w:lang w:val="en-US"/>
        </w:rPr>
      </w:pPr>
    </w:p>
    <w:p w14:paraId="033A66B2" w14:textId="77777777" w:rsidR="00884EAE" w:rsidRPr="004B5C27" w:rsidRDefault="00884EAE" w:rsidP="00884EAE">
      <w:pPr>
        <w:spacing w:after="0" w:line="360" w:lineRule="auto"/>
        <w:ind w:left="450" w:right="990"/>
        <w:jc w:val="both"/>
        <w:rPr>
          <w:rFonts w:ascii="Times New Roman" w:hAnsi="Times New Roman" w:cs="Times New Roman"/>
          <w:b/>
          <w:bCs/>
          <w:sz w:val="24"/>
          <w:szCs w:val="24"/>
          <w:lang w:val="en-US"/>
        </w:rPr>
      </w:pPr>
      <w:r w:rsidRPr="004B5C27">
        <w:rPr>
          <w:rFonts w:ascii="Times New Roman" w:hAnsi="Times New Roman" w:cs="Times New Roman"/>
          <w:b/>
          <w:bCs/>
          <w:sz w:val="24"/>
          <w:szCs w:val="24"/>
          <w:lang w:val="en-US"/>
        </w:rPr>
        <w:t>Abstract</w:t>
      </w:r>
    </w:p>
    <w:p w14:paraId="7282631F" w14:textId="77777777" w:rsidR="00884EAE" w:rsidRDefault="00884EAE" w:rsidP="00884EAE">
      <w:pPr>
        <w:spacing w:after="0" w:line="360" w:lineRule="auto"/>
        <w:ind w:left="450" w:right="990"/>
        <w:jc w:val="both"/>
        <w:rPr>
          <w:rFonts w:ascii="Times New Roman" w:hAnsi="Times New Roman" w:cs="Times New Roman"/>
          <w:sz w:val="24"/>
          <w:szCs w:val="24"/>
          <w:lang w:val="en-US"/>
        </w:rPr>
      </w:pPr>
      <w:r w:rsidRPr="00AF7C42">
        <w:rPr>
          <w:rFonts w:ascii="Times New Roman" w:hAnsi="Times New Roman" w:cs="Times New Roman"/>
          <w:sz w:val="24"/>
          <w:szCs w:val="24"/>
          <w:lang w:val="en-US"/>
        </w:rPr>
        <w:t>This article offers an analysis of the incidence of citizen participation in public policy management in Costa Rica, during the period 2014-2019, within the framework of the National Strategy for an open Government.  For this purpose, a survey was carried out with 28 representatives of Governmental Ministers, from which an attempt was made to identify the contributions that citizens have been to the public policy construction.  In this sense, it was valued the effort articulation with citizenship and the organized groups of the civil society.  Also, it was taken into consideration the norms and policies created by the Ministry of National Planning and Economic Policies (MIDEPLAN by its acronym in Spanish), as the leader organization on this matter.</w:t>
      </w:r>
    </w:p>
    <w:p w14:paraId="667CB840" w14:textId="77777777" w:rsidR="00884EAE" w:rsidRDefault="00884EAE" w:rsidP="00884EAE">
      <w:pPr>
        <w:spacing w:after="0" w:line="360" w:lineRule="auto"/>
        <w:ind w:left="450" w:right="990"/>
        <w:jc w:val="both"/>
        <w:rPr>
          <w:rFonts w:ascii="Times New Roman" w:hAnsi="Times New Roman" w:cs="Times New Roman"/>
          <w:b/>
          <w:bCs/>
          <w:sz w:val="24"/>
          <w:szCs w:val="24"/>
        </w:rPr>
      </w:pPr>
    </w:p>
    <w:p w14:paraId="64AE842D" w14:textId="14AA6D0D" w:rsidR="00884EAE" w:rsidRPr="00884EAE" w:rsidRDefault="00884EAE" w:rsidP="00884EAE">
      <w:pPr>
        <w:spacing w:after="160" w:line="259" w:lineRule="auto"/>
        <w:ind w:left="450"/>
        <w:rPr>
          <w:rFonts w:ascii="Times New Roman" w:hAnsi="Times New Roman" w:cs="Times New Roman"/>
          <w:b/>
          <w:bCs/>
          <w:sz w:val="24"/>
          <w:szCs w:val="24"/>
          <w:lang w:val="en-US"/>
        </w:rPr>
      </w:pPr>
      <w:r w:rsidRPr="00884EAE">
        <w:rPr>
          <w:rFonts w:ascii="Times New Roman" w:hAnsi="Times New Roman" w:cs="Times New Roman"/>
          <w:b/>
          <w:bCs/>
          <w:sz w:val="24"/>
          <w:szCs w:val="24"/>
          <w:lang w:val="en-US"/>
        </w:rPr>
        <w:t xml:space="preserve">Key words: </w:t>
      </w:r>
      <w:r w:rsidRPr="00884EAE">
        <w:rPr>
          <w:rFonts w:ascii="Times New Roman" w:hAnsi="Times New Roman" w:cs="Times New Roman"/>
          <w:sz w:val="24"/>
          <w:szCs w:val="24"/>
          <w:lang w:val="en-US"/>
        </w:rPr>
        <w:t>Co-creation, collaboration process, Governance, Public Policies, Open Government.</w:t>
      </w:r>
      <w:r w:rsidRPr="00884EAE">
        <w:rPr>
          <w:rFonts w:ascii="Times New Roman" w:hAnsi="Times New Roman" w:cs="Times New Roman"/>
          <w:b/>
          <w:bCs/>
          <w:sz w:val="24"/>
          <w:szCs w:val="24"/>
          <w:lang w:val="en-US"/>
        </w:rPr>
        <w:br w:type="page"/>
      </w:r>
    </w:p>
    <w:p w14:paraId="7CA19671" w14:textId="6C8C7D44" w:rsidR="008B434F" w:rsidRPr="00283C74" w:rsidRDefault="008B434F" w:rsidP="00884EAE">
      <w:pPr>
        <w:spacing w:after="0" w:line="259"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Participación ciudadana y gestión de políticas públicas</w:t>
      </w:r>
    </w:p>
    <w:p w14:paraId="59C49B06" w14:textId="5E1559D8" w:rsidR="005874E8" w:rsidRDefault="005874E8" w:rsidP="006D37AA">
      <w:pPr>
        <w:spacing w:after="0"/>
        <w:rPr>
          <w:rFonts w:ascii="Times New Roman" w:hAnsi="Times New Roman" w:cs="Times New Roman"/>
          <w:sz w:val="24"/>
          <w:szCs w:val="24"/>
        </w:rPr>
      </w:pPr>
    </w:p>
    <w:p w14:paraId="7424A9C7" w14:textId="77777777" w:rsidR="008B434F" w:rsidRPr="00283C74" w:rsidRDefault="008B434F" w:rsidP="006D37AA">
      <w:pPr>
        <w:spacing w:after="0"/>
        <w:rPr>
          <w:rFonts w:ascii="Times New Roman" w:hAnsi="Times New Roman" w:cs="Times New Roman"/>
          <w:sz w:val="24"/>
          <w:szCs w:val="24"/>
        </w:rPr>
      </w:pPr>
    </w:p>
    <w:p w14:paraId="2267783F" w14:textId="74E822F6" w:rsidR="00B2786C" w:rsidRPr="00283C74" w:rsidRDefault="005874E8" w:rsidP="006D37AA">
      <w:pPr>
        <w:pStyle w:val="Prrafodelista"/>
        <w:numPr>
          <w:ilvl w:val="0"/>
          <w:numId w:val="1"/>
        </w:numPr>
        <w:spacing w:after="0" w:line="360" w:lineRule="auto"/>
        <w:ind w:left="360" w:hanging="360"/>
        <w:rPr>
          <w:rFonts w:ascii="Times New Roman" w:hAnsi="Times New Roman" w:cs="Times New Roman"/>
          <w:b/>
          <w:bCs/>
          <w:sz w:val="24"/>
          <w:szCs w:val="24"/>
        </w:rPr>
      </w:pPr>
      <w:r w:rsidRPr="00283C74">
        <w:rPr>
          <w:rFonts w:ascii="Times New Roman" w:hAnsi="Times New Roman" w:cs="Times New Roman"/>
          <w:b/>
          <w:bCs/>
          <w:sz w:val="24"/>
          <w:szCs w:val="24"/>
        </w:rPr>
        <w:t>Introducción</w:t>
      </w:r>
    </w:p>
    <w:p w14:paraId="1F1CC722" w14:textId="090FE56F" w:rsidR="00FE1DDA" w:rsidRPr="00283C74" w:rsidRDefault="00CA74AE" w:rsidP="006D37A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presente artículo ofrece un análisis de la incidencia que tiene la participación ciudadana en el desarrollo de políticas públicas, en el caso concreto de Costa Rica, para lo cual fue utilizado como referencia el período </w:t>
      </w:r>
      <w:r w:rsidR="00FE1DDA" w:rsidRPr="00283C74">
        <w:rPr>
          <w:rFonts w:ascii="Times New Roman" w:hAnsi="Times New Roman" w:cs="Times New Roman"/>
          <w:sz w:val="24"/>
          <w:szCs w:val="24"/>
        </w:rPr>
        <w:t>2014-2019, en el marco de</w:t>
      </w:r>
      <w:r w:rsidR="003265AA">
        <w:rPr>
          <w:rFonts w:ascii="Times New Roman" w:hAnsi="Times New Roman" w:cs="Times New Roman"/>
          <w:sz w:val="24"/>
          <w:szCs w:val="24"/>
        </w:rPr>
        <w:t xml:space="preserve"> las acciones ejecutadas como parte de</w:t>
      </w:r>
      <w:r w:rsidR="00FE1DDA" w:rsidRPr="00283C74">
        <w:rPr>
          <w:rFonts w:ascii="Times New Roman" w:hAnsi="Times New Roman" w:cs="Times New Roman"/>
          <w:sz w:val="24"/>
          <w:szCs w:val="24"/>
        </w:rPr>
        <w:t xml:space="preserve"> la “Estrategia Nacional para un Gobierno abierto”</w:t>
      </w:r>
      <w:r w:rsidR="00782817" w:rsidRPr="00283C74">
        <w:rPr>
          <w:rFonts w:ascii="Times New Roman" w:hAnsi="Times New Roman" w:cs="Times New Roman"/>
          <w:sz w:val="24"/>
          <w:szCs w:val="24"/>
        </w:rPr>
        <w:t>.</w:t>
      </w:r>
    </w:p>
    <w:p w14:paraId="46253F23" w14:textId="525E9335" w:rsidR="00CA74AE" w:rsidRDefault="00CA74AE" w:rsidP="00CA74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pregunta de investigación </w:t>
      </w:r>
      <w:r w:rsidR="003265AA">
        <w:rPr>
          <w:rFonts w:ascii="Times New Roman" w:hAnsi="Times New Roman" w:cs="Times New Roman"/>
          <w:sz w:val="24"/>
          <w:szCs w:val="24"/>
        </w:rPr>
        <w:t>definida fue</w:t>
      </w:r>
      <w:r>
        <w:rPr>
          <w:rFonts w:ascii="Times New Roman" w:hAnsi="Times New Roman" w:cs="Times New Roman"/>
          <w:sz w:val="24"/>
          <w:szCs w:val="24"/>
        </w:rPr>
        <w:t xml:space="preserve"> ¿cuáles han sido los aportes de la participación ciudadana en la definición de políticas públicas, en el marco del modelo de Gobierno abierto en Costa Rica</w:t>
      </w:r>
      <w:r w:rsidR="003265AA">
        <w:rPr>
          <w:rFonts w:ascii="Times New Roman" w:hAnsi="Times New Roman" w:cs="Times New Roman"/>
          <w:sz w:val="24"/>
          <w:szCs w:val="24"/>
        </w:rPr>
        <w:t>?</w:t>
      </w:r>
    </w:p>
    <w:p w14:paraId="78AC998F" w14:textId="466BEEBF" w:rsidR="00CA74AE" w:rsidRDefault="00CA74AE" w:rsidP="00CA74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w:t>
      </w:r>
      <w:r w:rsidR="003265AA">
        <w:rPr>
          <w:rFonts w:ascii="Times New Roman" w:hAnsi="Times New Roman" w:cs="Times New Roman"/>
          <w:sz w:val="24"/>
          <w:szCs w:val="24"/>
        </w:rPr>
        <w:t>responder a este planteamiento</w:t>
      </w:r>
      <w:r>
        <w:rPr>
          <w:rFonts w:ascii="Times New Roman" w:hAnsi="Times New Roman" w:cs="Times New Roman"/>
          <w:sz w:val="24"/>
          <w:szCs w:val="24"/>
        </w:rPr>
        <w:t xml:space="preserve"> se realizó un sondeo con representantes de 2</w:t>
      </w:r>
      <w:r w:rsidR="009D0BB5">
        <w:rPr>
          <w:rFonts w:ascii="Times New Roman" w:hAnsi="Times New Roman" w:cs="Times New Roman"/>
          <w:sz w:val="24"/>
          <w:szCs w:val="24"/>
        </w:rPr>
        <w:t>4</w:t>
      </w:r>
      <w:r>
        <w:rPr>
          <w:rFonts w:ascii="Times New Roman" w:hAnsi="Times New Roman" w:cs="Times New Roman"/>
          <w:sz w:val="24"/>
          <w:szCs w:val="24"/>
        </w:rPr>
        <w:t xml:space="preserve"> Ministerios de Gobierno</w:t>
      </w:r>
      <w:r w:rsidR="009D0BB5">
        <w:rPr>
          <w:rStyle w:val="Refdenotaalpie"/>
          <w:rFonts w:ascii="Times New Roman" w:hAnsi="Times New Roman" w:cs="Times New Roman"/>
          <w:sz w:val="24"/>
          <w:szCs w:val="24"/>
        </w:rPr>
        <w:footnoteReference w:id="1"/>
      </w:r>
      <w:r w:rsidR="003265AA">
        <w:rPr>
          <w:rFonts w:ascii="Times New Roman" w:hAnsi="Times New Roman" w:cs="Times New Roman"/>
          <w:sz w:val="24"/>
          <w:szCs w:val="24"/>
        </w:rPr>
        <w:t xml:space="preserve"> durante los meses de julio a setiembre del 2021</w:t>
      </w:r>
      <w:r>
        <w:rPr>
          <w:rFonts w:ascii="Times New Roman" w:hAnsi="Times New Roman" w:cs="Times New Roman"/>
          <w:sz w:val="24"/>
          <w:szCs w:val="24"/>
        </w:rPr>
        <w:t>, a partir de lo cual se logró extraer información relevante acerca de los mecanismos utilizados para tomar en consideración los aportes y requerimientos de la ciudadanía, en el marco de la elaboración de políticas públicas</w:t>
      </w:r>
      <w:r w:rsidR="00277A5D">
        <w:rPr>
          <w:rFonts w:ascii="Times New Roman" w:hAnsi="Times New Roman" w:cs="Times New Roman"/>
          <w:sz w:val="24"/>
          <w:szCs w:val="24"/>
        </w:rPr>
        <w:t xml:space="preserve">, así como también, se incluyeron dos entrevistas abiertas.  Una con una representante del equipo de Gobierno abierto, y otra con el </w:t>
      </w:r>
      <w:r w:rsidR="00277A5D" w:rsidRPr="004577BB">
        <w:rPr>
          <w:rFonts w:ascii="Times New Roman" w:hAnsi="Times New Roman" w:cs="Times New Roman"/>
          <w:sz w:val="24"/>
          <w:szCs w:val="24"/>
        </w:rPr>
        <w:t>Jefe de la Unidad de Análisis Prospectivo de Políticas Públicas</w:t>
      </w:r>
      <w:r w:rsidR="00277A5D">
        <w:rPr>
          <w:rFonts w:ascii="Times New Roman" w:hAnsi="Times New Roman" w:cs="Times New Roman"/>
          <w:sz w:val="24"/>
          <w:szCs w:val="24"/>
        </w:rPr>
        <w:t xml:space="preserve"> del Ministerio de Planificación.</w:t>
      </w:r>
    </w:p>
    <w:p w14:paraId="6445593A" w14:textId="076E0F8A" w:rsidR="00CA74AE" w:rsidRDefault="008B1667" w:rsidP="00CA74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 anterior, tomando en consideración que Costa Rica se comprometió desde el año 2011</w:t>
      </w:r>
      <w:r w:rsidR="00277A5D">
        <w:rPr>
          <w:rFonts w:ascii="Times New Roman" w:hAnsi="Times New Roman" w:cs="Times New Roman"/>
          <w:sz w:val="24"/>
          <w:szCs w:val="24"/>
        </w:rPr>
        <w:t xml:space="preserve"> -</w:t>
      </w:r>
      <w:r>
        <w:rPr>
          <w:rFonts w:ascii="Times New Roman" w:hAnsi="Times New Roman" w:cs="Times New Roman"/>
          <w:sz w:val="24"/>
          <w:szCs w:val="24"/>
        </w:rPr>
        <w:t xml:space="preserve"> al integrarse al Open Government Partnership</w:t>
      </w:r>
      <w:r w:rsidR="00277A5D">
        <w:rPr>
          <w:rFonts w:ascii="Times New Roman" w:hAnsi="Times New Roman" w:cs="Times New Roman"/>
          <w:sz w:val="24"/>
          <w:szCs w:val="24"/>
        </w:rPr>
        <w:t>-</w:t>
      </w:r>
      <w:r>
        <w:rPr>
          <w:rFonts w:ascii="Times New Roman" w:hAnsi="Times New Roman" w:cs="Times New Roman"/>
          <w:sz w:val="24"/>
          <w:szCs w:val="24"/>
        </w:rPr>
        <w:t xml:space="preserve">, a </w:t>
      </w:r>
      <w:r w:rsidR="00277A5D">
        <w:rPr>
          <w:rFonts w:ascii="Times New Roman" w:hAnsi="Times New Roman" w:cs="Times New Roman"/>
          <w:sz w:val="24"/>
          <w:szCs w:val="24"/>
        </w:rPr>
        <w:t>implementar</w:t>
      </w:r>
      <w:r>
        <w:rPr>
          <w:rFonts w:ascii="Times New Roman" w:hAnsi="Times New Roman" w:cs="Times New Roman"/>
          <w:sz w:val="24"/>
          <w:szCs w:val="24"/>
        </w:rPr>
        <w:t xml:space="preserve"> el modelo de Gobierno abierto en el país, considerando </w:t>
      </w:r>
      <w:r w:rsidR="00277A5D">
        <w:rPr>
          <w:rFonts w:ascii="Times New Roman" w:hAnsi="Times New Roman" w:cs="Times New Roman"/>
          <w:sz w:val="24"/>
          <w:szCs w:val="24"/>
        </w:rPr>
        <w:t>el desarrollo</w:t>
      </w:r>
      <w:r>
        <w:rPr>
          <w:rFonts w:ascii="Times New Roman" w:hAnsi="Times New Roman" w:cs="Times New Roman"/>
          <w:sz w:val="24"/>
          <w:szCs w:val="24"/>
        </w:rPr>
        <w:t xml:space="preserve"> de cada una de las tres aristas</w:t>
      </w:r>
      <w:r w:rsidR="00277A5D">
        <w:rPr>
          <w:rFonts w:ascii="Times New Roman" w:hAnsi="Times New Roman" w:cs="Times New Roman"/>
          <w:sz w:val="24"/>
          <w:szCs w:val="24"/>
        </w:rPr>
        <w:t xml:space="preserve">: </w:t>
      </w:r>
      <w:r>
        <w:rPr>
          <w:rFonts w:ascii="Times New Roman" w:hAnsi="Times New Roman" w:cs="Times New Roman"/>
          <w:sz w:val="24"/>
          <w:szCs w:val="24"/>
        </w:rPr>
        <w:t xml:space="preserve"> la rendición de cuentas, la transparencia y la participación ciudadana.</w:t>
      </w:r>
    </w:p>
    <w:p w14:paraId="69C3D34A" w14:textId="2569FAA5" w:rsidR="008B1667" w:rsidRDefault="008B1667" w:rsidP="00CA74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atención a lo indicado, ha sido de interés conocer cómo se ha venido promoviendo en Costa Rica la participación ciudadana, y en particular, cómo esta ha logrado incidir en elaboración de políticas públicas.</w:t>
      </w:r>
    </w:p>
    <w:p w14:paraId="7AC04721" w14:textId="2456DF40" w:rsidR="00CA74AE" w:rsidRDefault="00CA74AE" w:rsidP="00CA74AE">
      <w:pPr>
        <w:spacing w:after="0" w:line="360" w:lineRule="auto"/>
        <w:jc w:val="both"/>
        <w:rPr>
          <w:rFonts w:ascii="Times New Roman" w:hAnsi="Times New Roman" w:cs="Times New Roman"/>
          <w:sz w:val="24"/>
          <w:szCs w:val="24"/>
        </w:rPr>
      </w:pPr>
    </w:p>
    <w:p w14:paraId="33BF63FB" w14:textId="77777777" w:rsidR="00277A5D" w:rsidRDefault="00277A5D" w:rsidP="00CA74AE">
      <w:pPr>
        <w:spacing w:after="0" w:line="360" w:lineRule="auto"/>
        <w:jc w:val="both"/>
        <w:rPr>
          <w:rFonts w:ascii="Times New Roman" w:hAnsi="Times New Roman" w:cs="Times New Roman"/>
          <w:sz w:val="24"/>
          <w:szCs w:val="24"/>
        </w:rPr>
      </w:pPr>
    </w:p>
    <w:p w14:paraId="706A16F9" w14:textId="2B941D4A" w:rsidR="00B2786C" w:rsidRPr="00283C74" w:rsidRDefault="00C4486E" w:rsidP="006D37AA">
      <w:pPr>
        <w:pStyle w:val="Prrafodelista"/>
        <w:numPr>
          <w:ilvl w:val="0"/>
          <w:numId w:val="1"/>
        </w:numPr>
        <w:spacing w:after="0" w:line="360" w:lineRule="auto"/>
        <w:ind w:left="360" w:hanging="360"/>
        <w:rPr>
          <w:rFonts w:ascii="Times New Roman" w:hAnsi="Times New Roman" w:cs="Times New Roman"/>
          <w:b/>
          <w:bCs/>
          <w:sz w:val="24"/>
          <w:szCs w:val="24"/>
        </w:rPr>
      </w:pPr>
      <w:r w:rsidRPr="00283C74">
        <w:rPr>
          <w:rFonts w:ascii="Times New Roman" w:hAnsi="Times New Roman" w:cs="Times New Roman"/>
          <w:b/>
          <w:bCs/>
          <w:sz w:val="24"/>
          <w:szCs w:val="24"/>
        </w:rPr>
        <w:lastRenderedPageBreak/>
        <w:t>Antecedentes históricos del modelo de Gobierno abierto en Costa Rica</w:t>
      </w:r>
    </w:p>
    <w:p w14:paraId="494C01A7" w14:textId="00330E26" w:rsidR="00B2786C" w:rsidRPr="00283C74" w:rsidRDefault="001C2BC6" w:rsidP="006D37AA">
      <w:pPr>
        <w:spacing w:after="0" w:line="360" w:lineRule="auto"/>
        <w:jc w:val="both"/>
        <w:rPr>
          <w:rFonts w:ascii="Times New Roman" w:hAnsi="Times New Roman" w:cs="Times New Roman"/>
          <w:sz w:val="24"/>
          <w:szCs w:val="24"/>
        </w:rPr>
      </w:pPr>
      <w:r w:rsidRPr="00283C74">
        <w:rPr>
          <w:rFonts w:ascii="Times New Roman" w:hAnsi="Times New Roman" w:cs="Times New Roman"/>
          <w:sz w:val="24"/>
          <w:szCs w:val="24"/>
        </w:rPr>
        <w:t xml:space="preserve">Costa Rica fue uno de los primeros países en afiliarse al Open Government Partnership, en el año 2011, bajo </w:t>
      </w:r>
      <w:r w:rsidR="00584840" w:rsidRPr="00283C74">
        <w:rPr>
          <w:rFonts w:ascii="Times New Roman" w:hAnsi="Times New Roman" w:cs="Times New Roman"/>
          <w:sz w:val="24"/>
          <w:szCs w:val="24"/>
        </w:rPr>
        <w:t>el mandato</w:t>
      </w:r>
      <w:r w:rsidRPr="00283C74">
        <w:rPr>
          <w:rFonts w:ascii="Times New Roman" w:hAnsi="Times New Roman" w:cs="Times New Roman"/>
          <w:sz w:val="24"/>
          <w:szCs w:val="24"/>
        </w:rPr>
        <w:t xml:space="preserve"> de la Presidenta Laura Chinchilla Miranda (2010-2014).</w:t>
      </w:r>
    </w:p>
    <w:p w14:paraId="58EF81AE" w14:textId="41D73B3E" w:rsidR="001C2BC6" w:rsidRPr="00283C74" w:rsidRDefault="001C2BC6" w:rsidP="006D37AA">
      <w:pPr>
        <w:spacing w:after="0" w:line="360" w:lineRule="auto"/>
        <w:jc w:val="both"/>
        <w:rPr>
          <w:rFonts w:ascii="Times New Roman" w:hAnsi="Times New Roman" w:cs="Times New Roman"/>
          <w:sz w:val="24"/>
          <w:szCs w:val="24"/>
        </w:rPr>
      </w:pPr>
      <w:r w:rsidRPr="00283C74">
        <w:rPr>
          <w:rFonts w:ascii="Times New Roman" w:hAnsi="Times New Roman" w:cs="Times New Roman"/>
          <w:sz w:val="24"/>
          <w:szCs w:val="24"/>
        </w:rPr>
        <w:t>No obstante, desde el año 200</w:t>
      </w:r>
      <w:r w:rsidR="001C7390" w:rsidRPr="00283C74">
        <w:rPr>
          <w:rFonts w:ascii="Times New Roman" w:hAnsi="Times New Roman" w:cs="Times New Roman"/>
          <w:sz w:val="24"/>
          <w:szCs w:val="24"/>
        </w:rPr>
        <w:t>2</w:t>
      </w:r>
      <w:r w:rsidRPr="00283C74">
        <w:rPr>
          <w:rFonts w:ascii="Times New Roman" w:hAnsi="Times New Roman" w:cs="Times New Roman"/>
          <w:sz w:val="24"/>
          <w:szCs w:val="24"/>
        </w:rPr>
        <w:t xml:space="preserve"> el país venía </w:t>
      </w:r>
      <w:r w:rsidR="002238E3" w:rsidRPr="00283C74">
        <w:rPr>
          <w:rFonts w:ascii="Times New Roman" w:hAnsi="Times New Roman" w:cs="Times New Roman"/>
          <w:sz w:val="24"/>
          <w:szCs w:val="24"/>
        </w:rPr>
        <w:t>intensificando los esfuerzos</w:t>
      </w:r>
      <w:r w:rsidRPr="00283C74">
        <w:rPr>
          <w:rFonts w:ascii="Times New Roman" w:hAnsi="Times New Roman" w:cs="Times New Roman"/>
          <w:sz w:val="24"/>
          <w:szCs w:val="24"/>
        </w:rPr>
        <w:t xml:space="preserve"> </w:t>
      </w:r>
      <w:r w:rsidR="002238E3" w:rsidRPr="00283C74">
        <w:rPr>
          <w:rFonts w:ascii="Times New Roman" w:hAnsi="Times New Roman" w:cs="Times New Roman"/>
          <w:sz w:val="24"/>
          <w:szCs w:val="24"/>
        </w:rPr>
        <w:t>en procura de</w:t>
      </w:r>
      <w:r w:rsidRPr="00283C74">
        <w:rPr>
          <w:rFonts w:ascii="Times New Roman" w:hAnsi="Times New Roman" w:cs="Times New Roman"/>
          <w:sz w:val="24"/>
          <w:szCs w:val="24"/>
        </w:rPr>
        <w:t xml:space="preserve"> una mayor eficiencia en la gestión pública y </w:t>
      </w:r>
      <w:r w:rsidR="00277A5D">
        <w:rPr>
          <w:rFonts w:ascii="Times New Roman" w:hAnsi="Times New Roman" w:cs="Times New Roman"/>
          <w:sz w:val="24"/>
          <w:szCs w:val="24"/>
        </w:rPr>
        <w:t xml:space="preserve">de incentivar </w:t>
      </w:r>
      <w:r w:rsidRPr="00283C74">
        <w:rPr>
          <w:rFonts w:ascii="Times New Roman" w:hAnsi="Times New Roman" w:cs="Times New Roman"/>
          <w:sz w:val="24"/>
          <w:szCs w:val="24"/>
        </w:rPr>
        <w:t>una mayor interacción con la ciudadan</w:t>
      </w:r>
      <w:r w:rsidR="00E46554" w:rsidRPr="00283C74">
        <w:rPr>
          <w:rFonts w:ascii="Times New Roman" w:hAnsi="Times New Roman" w:cs="Times New Roman"/>
          <w:sz w:val="24"/>
          <w:szCs w:val="24"/>
        </w:rPr>
        <w:t>ía, producto de lo cual se había venido desarrollando una estrategia de Gobierno Digital y una de Simplificación de Trámites.</w:t>
      </w:r>
    </w:p>
    <w:p w14:paraId="26B25799" w14:textId="381C3CF8" w:rsidR="002238E3" w:rsidRPr="00283C74" w:rsidRDefault="00277A5D" w:rsidP="006D37A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Ya para entonces se contaba</w:t>
      </w:r>
      <w:r w:rsidR="002238E3" w:rsidRPr="00283C74">
        <w:rPr>
          <w:rFonts w:ascii="Times New Roman" w:hAnsi="Times New Roman" w:cs="Times New Roman"/>
          <w:sz w:val="24"/>
          <w:szCs w:val="24"/>
        </w:rPr>
        <w:t xml:space="preserve"> con la voluntad política para </w:t>
      </w:r>
      <w:r w:rsidR="00584840" w:rsidRPr="00283C74">
        <w:rPr>
          <w:rFonts w:ascii="Times New Roman" w:hAnsi="Times New Roman" w:cs="Times New Roman"/>
          <w:sz w:val="24"/>
          <w:szCs w:val="24"/>
        </w:rPr>
        <w:t>incentivar</w:t>
      </w:r>
      <w:r w:rsidR="002238E3" w:rsidRPr="00283C74">
        <w:rPr>
          <w:rFonts w:ascii="Times New Roman" w:hAnsi="Times New Roman" w:cs="Times New Roman"/>
          <w:sz w:val="24"/>
          <w:szCs w:val="24"/>
        </w:rPr>
        <w:t xml:space="preserve"> una mayor apertura gubernamental, bajo la certeza de que el país requería importantes mejoras en su institucionalidad, </w:t>
      </w:r>
      <w:r w:rsidR="00041448">
        <w:rPr>
          <w:rFonts w:ascii="Times New Roman" w:hAnsi="Times New Roman" w:cs="Times New Roman"/>
          <w:sz w:val="24"/>
          <w:szCs w:val="24"/>
        </w:rPr>
        <w:t xml:space="preserve">por lo que </w:t>
      </w:r>
      <w:r w:rsidR="002238E3" w:rsidRPr="00283C74">
        <w:rPr>
          <w:rFonts w:ascii="Times New Roman" w:hAnsi="Times New Roman" w:cs="Times New Roman"/>
          <w:sz w:val="24"/>
          <w:szCs w:val="24"/>
        </w:rPr>
        <w:t>se avanz</w:t>
      </w:r>
      <w:r w:rsidR="00584840" w:rsidRPr="00283C74">
        <w:rPr>
          <w:rFonts w:ascii="Times New Roman" w:hAnsi="Times New Roman" w:cs="Times New Roman"/>
          <w:sz w:val="24"/>
          <w:szCs w:val="24"/>
        </w:rPr>
        <w:t>ó</w:t>
      </w:r>
      <w:r w:rsidR="002238E3" w:rsidRPr="00283C74">
        <w:rPr>
          <w:rFonts w:ascii="Times New Roman" w:hAnsi="Times New Roman" w:cs="Times New Roman"/>
          <w:sz w:val="24"/>
          <w:szCs w:val="24"/>
        </w:rPr>
        <w:t xml:space="preserve"> en la adopción del modelo de Gobierno abierto, procurando dar espacio a la generación de “contrapesos” que contribuyeran a generar un</w:t>
      </w:r>
      <w:r w:rsidR="00584840" w:rsidRPr="00283C74">
        <w:rPr>
          <w:rFonts w:ascii="Times New Roman" w:hAnsi="Times New Roman" w:cs="Times New Roman"/>
          <w:sz w:val="24"/>
          <w:szCs w:val="24"/>
        </w:rPr>
        <w:t xml:space="preserve">a función </w:t>
      </w:r>
      <w:r w:rsidR="002238E3" w:rsidRPr="00283C74">
        <w:rPr>
          <w:rFonts w:ascii="Times New Roman" w:hAnsi="Times New Roman" w:cs="Times New Roman"/>
          <w:sz w:val="24"/>
          <w:szCs w:val="24"/>
        </w:rPr>
        <w:t>catalizador</w:t>
      </w:r>
      <w:r w:rsidR="00584840" w:rsidRPr="00283C74">
        <w:rPr>
          <w:rFonts w:ascii="Times New Roman" w:hAnsi="Times New Roman" w:cs="Times New Roman"/>
          <w:sz w:val="24"/>
          <w:szCs w:val="24"/>
        </w:rPr>
        <w:t>a</w:t>
      </w:r>
      <w:r w:rsidR="002238E3" w:rsidRPr="00283C74">
        <w:rPr>
          <w:rFonts w:ascii="Times New Roman" w:hAnsi="Times New Roman" w:cs="Times New Roman"/>
          <w:sz w:val="24"/>
          <w:szCs w:val="24"/>
        </w:rPr>
        <w:t xml:space="preserve"> en la toma de decisiones.</w:t>
      </w:r>
    </w:p>
    <w:p w14:paraId="21F2A7D8" w14:textId="12CF29B4" w:rsidR="002238E3" w:rsidRPr="00283C74" w:rsidRDefault="002238E3" w:rsidP="006D37AA">
      <w:pPr>
        <w:spacing w:after="0" w:line="360" w:lineRule="auto"/>
        <w:jc w:val="both"/>
        <w:rPr>
          <w:rFonts w:ascii="Times New Roman" w:hAnsi="Times New Roman" w:cs="Times New Roman"/>
          <w:sz w:val="24"/>
          <w:szCs w:val="24"/>
        </w:rPr>
      </w:pPr>
      <w:r w:rsidRPr="00283C74">
        <w:rPr>
          <w:rFonts w:ascii="Times New Roman" w:hAnsi="Times New Roman" w:cs="Times New Roman"/>
          <w:sz w:val="24"/>
          <w:szCs w:val="24"/>
        </w:rPr>
        <w:t xml:space="preserve">Es así que en el año 2014, bajo la administración del entonces presidente Luis Guillermo Solís, </w:t>
      </w:r>
      <w:r w:rsidR="002B12B3" w:rsidRPr="00283C74">
        <w:rPr>
          <w:rFonts w:ascii="Times New Roman" w:hAnsi="Times New Roman" w:cs="Times New Roman"/>
          <w:sz w:val="24"/>
          <w:szCs w:val="24"/>
        </w:rPr>
        <w:t xml:space="preserve">se diseña la “Estrategia Nacional para un Gobierno abierto”; a partir de la cual se </w:t>
      </w:r>
      <w:r w:rsidR="001C7390" w:rsidRPr="00283C74">
        <w:rPr>
          <w:rFonts w:ascii="Times New Roman" w:hAnsi="Times New Roman" w:cs="Times New Roman"/>
          <w:sz w:val="24"/>
          <w:szCs w:val="24"/>
        </w:rPr>
        <w:t>establecen las pautas para que desde el Viceministerio de Asuntos Políticos y Diálogo Ciudadano se lider</w:t>
      </w:r>
      <w:r w:rsidR="00584840" w:rsidRPr="00283C74">
        <w:rPr>
          <w:rFonts w:ascii="Times New Roman" w:hAnsi="Times New Roman" w:cs="Times New Roman"/>
          <w:sz w:val="24"/>
          <w:szCs w:val="24"/>
        </w:rPr>
        <w:t>ara</w:t>
      </w:r>
      <w:r w:rsidR="001C7390" w:rsidRPr="00283C74">
        <w:rPr>
          <w:rFonts w:ascii="Times New Roman" w:hAnsi="Times New Roman" w:cs="Times New Roman"/>
          <w:sz w:val="24"/>
          <w:szCs w:val="24"/>
        </w:rPr>
        <w:t xml:space="preserve"> el proceso y se estable</w:t>
      </w:r>
      <w:r w:rsidR="00584840" w:rsidRPr="00283C74">
        <w:rPr>
          <w:rFonts w:ascii="Times New Roman" w:hAnsi="Times New Roman" w:cs="Times New Roman"/>
          <w:sz w:val="24"/>
          <w:szCs w:val="24"/>
        </w:rPr>
        <w:t>cieran</w:t>
      </w:r>
      <w:r w:rsidR="001C7390" w:rsidRPr="00283C74">
        <w:rPr>
          <w:rFonts w:ascii="Times New Roman" w:hAnsi="Times New Roman" w:cs="Times New Roman"/>
          <w:sz w:val="24"/>
          <w:szCs w:val="24"/>
        </w:rPr>
        <w:t xml:space="preserve"> las pautas para coordinar la generación de normas y procedimientos </w:t>
      </w:r>
      <w:r w:rsidR="00584840" w:rsidRPr="00283C74">
        <w:rPr>
          <w:rFonts w:ascii="Times New Roman" w:hAnsi="Times New Roman" w:cs="Times New Roman"/>
          <w:sz w:val="24"/>
          <w:szCs w:val="24"/>
        </w:rPr>
        <w:t>en aras de facilitar</w:t>
      </w:r>
      <w:r w:rsidR="001C7390" w:rsidRPr="00283C74">
        <w:rPr>
          <w:rFonts w:ascii="Times New Roman" w:hAnsi="Times New Roman" w:cs="Times New Roman"/>
          <w:sz w:val="24"/>
          <w:szCs w:val="24"/>
        </w:rPr>
        <w:t xml:space="preserve"> esta gestión.</w:t>
      </w:r>
    </w:p>
    <w:p w14:paraId="5B402988" w14:textId="3BC31A4B" w:rsidR="001C7390" w:rsidRDefault="001C7390" w:rsidP="006D37AA">
      <w:pPr>
        <w:spacing w:after="0" w:line="360" w:lineRule="auto"/>
        <w:jc w:val="both"/>
        <w:rPr>
          <w:rFonts w:ascii="Times New Roman" w:hAnsi="Times New Roman" w:cs="Times New Roman"/>
          <w:sz w:val="24"/>
          <w:szCs w:val="24"/>
        </w:rPr>
      </w:pPr>
      <w:r w:rsidRPr="00283C74">
        <w:rPr>
          <w:rFonts w:ascii="Times New Roman" w:hAnsi="Times New Roman" w:cs="Times New Roman"/>
          <w:sz w:val="24"/>
          <w:szCs w:val="24"/>
        </w:rPr>
        <w:t xml:space="preserve">En este contexto se promueve la aprobación de los </w:t>
      </w:r>
      <w:r w:rsidR="00150A03" w:rsidRPr="00283C74">
        <w:rPr>
          <w:rFonts w:ascii="Times New Roman" w:hAnsi="Times New Roman" w:cs="Times New Roman"/>
          <w:sz w:val="24"/>
          <w:szCs w:val="24"/>
        </w:rPr>
        <w:t xml:space="preserve">siguientes </w:t>
      </w:r>
      <w:r w:rsidRPr="00283C74">
        <w:rPr>
          <w:rFonts w:ascii="Times New Roman" w:hAnsi="Times New Roman" w:cs="Times New Roman"/>
          <w:sz w:val="24"/>
          <w:szCs w:val="24"/>
        </w:rPr>
        <w:t>decretos</w:t>
      </w:r>
      <w:r w:rsidR="00150A03" w:rsidRPr="00283C74">
        <w:rPr>
          <w:rFonts w:ascii="Times New Roman" w:hAnsi="Times New Roman" w:cs="Times New Roman"/>
          <w:sz w:val="24"/>
          <w:szCs w:val="24"/>
        </w:rPr>
        <w:t>:</w:t>
      </w:r>
    </w:p>
    <w:p w14:paraId="46D485A3" w14:textId="77777777" w:rsidR="003265AA" w:rsidRPr="00283C74" w:rsidRDefault="003265AA" w:rsidP="006D37AA">
      <w:pPr>
        <w:spacing w:after="0" w:line="360" w:lineRule="auto"/>
        <w:jc w:val="both"/>
        <w:rPr>
          <w:rFonts w:ascii="Times New Roman" w:hAnsi="Times New Roman" w:cs="Times New Roman"/>
          <w:sz w:val="24"/>
          <w:szCs w:val="24"/>
        </w:rPr>
      </w:pPr>
    </w:p>
    <w:p w14:paraId="75D85507" w14:textId="0AFCDE40" w:rsidR="00150A03" w:rsidRPr="00283C74" w:rsidRDefault="00150A03" w:rsidP="006D37AA">
      <w:pPr>
        <w:pStyle w:val="Prrafodelista"/>
        <w:numPr>
          <w:ilvl w:val="0"/>
          <w:numId w:val="4"/>
        </w:numPr>
        <w:spacing w:after="0" w:line="360" w:lineRule="auto"/>
        <w:jc w:val="both"/>
        <w:rPr>
          <w:rFonts w:ascii="Times New Roman" w:hAnsi="Times New Roman" w:cs="Times New Roman"/>
          <w:sz w:val="24"/>
          <w:szCs w:val="24"/>
        </w:rPr>
      </w:pPr>
      <w:r w:rsidRPr="00283C74">
        <w:rPr>
          <w:rFonts w:ascii="Times New Roman" w:hAnsi="Times New Roman" w:cs="Times New Roman"/>
          <w:b/>
          <w:bCs/>
          <w:sz w:val="24"/>
          <w:szCs w:val="24"/>
        </w:rPr>
        <w:t>Decreto 40199</w:t>
      </w:r>
      <w:r w:rsidR="00C52CEF" w:rsidRPr="00283C74">
        <w:rPr>
          <w:rFonts w:ascii="Times New Roman" w:hAnsi="Times New Roman" w:cs="Times New Roman"/>
          <w:b/>
          <w:bCs/>
          <w:sz w:val="24"/>
          <w:szCs w:val="24"/>
        </w:rPr>
        <w:t xml:space="preserve"> para la “Apertura de Datos Públicos”</w:t>
      </w:r>
      <w:r w:rsidR="00BC088E" w:rsidRPr="00283C74">
        <w:rPr>
          <w:rFonts w:ascii="Times New Roman" w:hAnsi="Times New Roman" w:cs="Times New Roman"/>
          <w:b/>
          <w:bCs/>
          <w:sz w:val="24"/>
          <w:szCs w:val="24"/>
        </w:rPr>
        <w:t xml:space="preserve"> (Decreto 40199-MP-2017)</w:t>
      </w:r>
      <w:r w:rsidR="00C52CEF" w:rsidRPr="00283C74">
        <w:rPr>
          <w:rFonts w:ascii="Times New Roman" w:hAnsi="Times New Roman" w:cs="Times New Roman"/>
          <w:b/>
          <w:bCs/>
          <w:sz w:val="24"/>
          <w:szCs w:val="24"/>
        </w:rPr>
        <w:t>:</w:t>
      </w:r>
      <w:r w:rsidR="00C52CEF" w:rsidRPr="00283C74">
        <w:rPr>
          <w:rFonts w:ascii="Times New Roman" w:hAnsi="Times New Roman" w:cs="Times New Roman"/>
          <w:sz w:val="24"/>
          <w:szCs w:val="24"/>
        </w:rPr>
        <w:t xml:space="preserve">  Con este decreto, fundamentado en la Constitución Política (Arts. 7, 9, 11, 27, 30, 140 y 146) y la Ley General de Administración Pública, entre otros, establece los lineamientos, políticas y pautas generales para la apertura de datos.</w:t>
      </w:r>
    </w:p>
    <w:p w14:paraId="271A3F74" w14:textId="77777777" w:rsidR="00150A03" w:rsidRPr="00283C74" w:rsidRDefault="00150A03" w:rsidP="006D37AA">
      <w:pPr>
        <w:pStyle w:val="Prrafodelista"/>
        <w:spacing w:after="0" w:line="360" w:lineRule="auto"/>
        <w:jc w:val="both"/>
        <w:rPr>
          <w:rFonts w:ascii="Times New Roman" w:hAnsi="Times New Roman" w:cs="Times New Roman"/>
          <w:sz w:val="24"/>
          <w:szCs w:val="24"/>
        </w:rPr>
      </w:pPr>
    </w:p>
    <w:p w14:paraId="00E5E97F" w14:textId="21E6FCB7" w:rsidR="00150A03" w:rsidRDefault="00150A03" w:rsidP="006D37AA">
      <w:pPr>
        <w:pStyle w:val="Prrafodelista"/>
        <w:numPr>
          <w:ilvl w:val="0"/>
          <w:numId w:val="4"/>
        </w:numPr>
        <w:spacing w:after="0" w:line="360" w:lineRule="auto"/>
        <w:jc w:val="both"/>
        <w:rPr>
          <w:rFonts w:ascii="Times New Roman" w:hAnsi="Times New Roman" w:cs="Times New Roman"/>
          <w:sz w:val="24"/>
          <w:szCs w:val="24"/>
        </w:rPr>
      </w:pPr>
      <w:r w:rsidRPr="00283C74">
        <w:rPr>
          <w:rFonts w:ascii="Times New Roman" w:hAnsi="Times New Roman" w:cs="Times New Roman"/>
          <w:b/>
          <w:bCs/>
          <w:sz w:val="24"/>
          <w:szCs w:val="24"/>
        </w:rPr>
        <w:t>Decreto 40200</w:t>
      </w:r>
      <w:r w:rsidR="006B7672" w:rsidRPr="00283C74">
        <w:rPr>
          <w:rFonts w:ascii="Times New Roman" w:hAnsi="Times New Roman" w:cs="Times New Roman"/>
          <w:b/>
          <w:bCs/>
          <w:sz w:val="24"/>
          <w:szCs w:val="24"/>
        </w:rPr>
        <w:t xml:space="preserve"> de “Transparencia y Acceso a la Información Pública”</w:t>
      </w:r>
      <w:r w:rsidR="00BC088E" w:rsidRPr="00283C74">
        <w:rPr>
          <w:rFonts w:ascii="Times New Roman" w:hAnsi="Times New Roman" w:cs="Times New Roman"/>
          <w:b/>
          <w:bCs/>
          <w:sz w:val="24"/>
          <w:szCs w:val="24"/>
        </w:rPr>
        <w:t xml:space="preserve"> (Decreto 40200-MP-MEIC-MC-2017)</w:t>
      </w:r>
      <w:r w:rsidR="006B7672" w:rsidRPr="00283C74">
        <w:rPr>
          <w:rFonts w:ascii="Times New Roman" w:hAnsi="Times New Roman" w:cs="Times New Roman"/>
          <w:b/>
          <w:bCs/>
          <w:sz w:val="24"/>
          <w:szCs w:val="24"/>
        </w:rPr>
        <w:t>:</w:t>
      </w:r>
      <w:r w:rsidR="006B7672" w:rsidRPr="00283C74">
        <w:rPr>
          <w:rFonts w:ascii="Times New Roman" w:hAnsi="Times New Roman" w:cs="Times New Roman"/>
          <w:sz w:val="24"/>
          <w:szCs w:val="24"/>
        </w:rPr>
        <w:t xml:space="preserve">  Este decreto se fundamenta en los artículos 140 y 146 de la Constitución Política, </w:t>
      </w:r>
      <w:r w:rsidR="009B59D8" w:rsidRPr="00283C74">
        <w:rPr>
          <w:rFonts w:ascii="Times New Roman" w:hAnsi="Times New Roman" w:cs="Times New Roman"/>
          <w:sz w:val="24"/>
          <w:szCs w:val="24"/>
        </w:rPr>
        <w:t xml:space="preserve">y la Ley General de la Administración Pública, entre otras fuentes.  Este decreto estableció la </w:t>
      </w:r>
      <w:r w:rsidR="00C52CEF" w:rsidRPr="00283C74">
        <w:rPr>
          <w:rFonts w:ascii="Times New Roman" w:hAnsi="Times New Roman" w:cs="Times New Roman"/>
          <w:sz w:val="24"/>
          <w:szCs w:val="24"/>
        </w:rPr>
        <w:t>creación de la Comisión Nacional para un Gobierno abierto y a través del Decreto Ejecutivo 39-372-MP-MC del 2015 se declara de interés público la Estrategia Nacional para un Gobierno abierto.</w:t>
      </w:r>
    </w:p>
    <w:p w14:paraId="2BBC8865" w14:textId="77777777" w:rsidR="00041448" w:rsidRPr="00041448" w:rsidRDefault="00041448" w:rsidP="00041448">
      <w:pPr>
        <w:pStyle w:val="Prrafodelista"/>
        <w:rPr>
          <w:rFonts w:ascii="Times New Roman" w:hAnsi="Times New Roman" w:cs="Times New Roman"/>
          <w:sz w:val="24"/>
          <w:szCs w:val="24"/>
        </w:rPr>
      </w:pPr>
    </w:p>
    <w:p w14:paraId="39A14990" w14:textId="470ED99E" w:rsidR="001C7390" w:rsidRPr="00283C74" w:rsidRDefault="001C7390" w:rsidP="006D37AA">
      <w:pPr>
        <w:widowControl w:val="0"/>
        <w:tabs>
          <w:tab w:val="left" w:pos="54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lastRenderedPageBreak/>
        <w:t xml:space="preserve">Asimismo, fueron </w:t>
      </w:r>
      <w:r w:rsidR="00BC088E" w:rsidRPr="00283C74">
        <w:rPr>
          <w:rFonts w:ascii="Times New Roman" w:hAnsi="Times New Roman" w:cs="Times New Roman"/>
          <w:sz w:val="24"/>
          <w:szCs w:val="24"/>
        </w:rPr>
        <w:t>definidos los siguientes propósitos</w:t>
      </w:r>
      <w:r w:rsidR="0076412D">
        <w:rPr>
          <w:rFonts w:ascii="Times New Roman" w:hAnsi="Times New Roman" w:cs="Times New Roman"/>
          <w:sz w:val="24"/>
          <w:szCs w:val="24"/>
        </w:rPr>
        <w:t>, según se derivó de los lineamientos establecidos en la Estrategia para la implementación de este modelo en Costa Rica</w:t>
      </w:r>
      <w:r w:rsidRPr="00283C74">
        <w:rPr>
          <w:rFonts w:ascii="Times New Roman" w:hAnsi="Times New Roman" w:cs="Times New Roman"/>
          <w:sz w:val="24"/>
          <w:szCs w:val="24"/>
        </w:rPr>
        <w:t>:</w:t>
      </w:r>
    </w:p>
    <w:p w14:paraId="25E330A8" w14:textId="71C2FA28" w:rsidR="001C7390" w:rsidRPr="00283C74" w:rsidRDefault="001C7390" w:rsidP="006D37AA">
      <w:pPr>
        <w:pStyle w:val="Prrafodelista"/>
        <w:widowControl w:val="0"/>
        <w:numPr>
          <w:ilvl w:val="0"/>
          <w:numId w:val="3"/>
        </w:numPr>
        <w:tabs>
          <w:tab w:val="left" w:pos="72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t>Lograr la participación ciudadana a través de grupos previamente organizados.</w:t>
      </w:r>
    </w:p>
    <w:p w14:paraId="6AD00C82" w14:textId="14BC87B1" w:rsidR="001C7390" w:rsidRPr="00283C74" w:rsidRDefault="001C7390" w:rsidP="006D37AA">
      <w:pPr>
        <w:pStyle w:val="Prrafodelista"/>
        <w:widowControl w:val="0"/>
        <w:numPr>
          <w:ilvl w:val="0"/>
          <w:numId w:val="3"/>
        </w:numPr>
        <w:tabs>
          <w:tab w:val="left" w:pos="72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t xml:space="preserve">Impulsar la generación de agrupaciones orientadas a la canalización de esfuerzos en esta materia, como ha sido el caso de: “Accesa”, “Abriendo Datos”, “la Alianza”, “Costa Rica Íntegra” y la “Red de Transparencia” la cual está conformada por oficiales de gobierno designados en las diversas instituciones.  </w:t>
      </w:r>
    </w:p>
    <w:p w14:paraId="1FAE48E6" w14:textId="0635977E" w:rsidR="001C7390" w:rsidRPr="00283C74" w:rsidRDefault="001C7390" w:rsidP="006D37AA">
      <w:pPr>
        <w:pStyle w:val="Prrafodelista"/>
        <w:widowControl w:val="0"/>
        <w:numPr>
          <w:ilvl w:val="0"/>
          <w:numId w:val="3"/>
        </w:numPr>
        <w:tabs>
          <w:tab w:val="left" w:pos="72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t>Lograr la identificación de metas comunes entre el Gobierno y la ciudadanía, dando continuidad a la iniciativa generada en el año 2013, de trabajar colaborativamente en el diseño de “planes de acción”</w:t>
      </w:r>
      <w:r w:rsidR="004A5F47" w:rsidRPr="00283C74">
        <w:rPr>
          <w:rFonts w:ascii="Times New Roman" w:hAnsi="Times New Roman" w:cs="Times New Roman"/>
          <w:sz w:val="24"/>
          <w:szCs w:val="24"/>
        </w:rPr>
        <w:t xml:space="preserve">, los cuales serían elaborados </w:t>
      </w:r>
      <w:r w:rsidRPr="00283C74">
        <w:rPr>
          <w:rFonts w:ascii="Times New Roman" w:hAnsi="Times New Roman" w:cs="Times New Roman"/>
          <w:sz w:val="24"/>
          <w:szCs w:val="24"/>
        </w:rPr>
        <w:t xml:space="preserve">de manera </w:t>
      </w:r>
      <w:r w:rsidR="003D079D" w:rsidRPr="00283C74">
        <w:rPr>
          <w:rFonts w:ascii="Times New Roman" w:hAnsi="Times New Roman" w:cs="Times New Roman"/>
          <w:sz w:val="24"/>
          <w:szCs w:val="24"/>
        </w:rPr>
        <w:t>bianual</w:t>
      </w:r>
      <w:r w:rsidRPr="00283C74">
        <w:rPr>
          <w:rFonts w:ascii="Times New Roman" w:hAnsi="Times New Roman" w:cs="Times New Roman"/>
          <w:sz w:val="24"/>
          <w:szCs w:val="24"/>
        </w:rPr>
        <w:t xml:space="preserve">.  </w:t>
      </w:r>
    </w:p>
    <w:p w14:paraId="53BA46A3" w14:textId="48288D71" w:rsidR="001C7390" w:rsidRPr="00283C74" w:rsidRDefault="00104658" w:rsidP="006D37AA">
      <w:pPr>
        <w:pStyle w:val="Prrafodelista"/>
        <w:widowControl w:val="0"/>
        <w:numPr>
          <w:ilvl w:val="0"/>
          <w:numId w:val="3"/>
        </w:numPr>
        <w:tabs>
          <w:tab w:val="left" w:pos="72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t>Adoptar políticas de inclusión en el marco de los procesos de consulta pública, para lo cual se han definido espacios participativos incluso con las reservas indígenas.</w:t>
      </w:r>
    </w:p>
    <w:p w14:paraId="6507F5BF" w14:textId="1CDECCE3" w:rsidR="001C7390" w:rsidRPr="00283C74" w:rsidRDefault="00150A03" w:rsidP="006D37AA">
      <w:pPr>
        <w:pStyle w:val="Prrafodelista"/>
        <w:widowControl w:val="0"/>
        <w:numPr>
          <w:ilvl w:val="0"/>
          <w:numId w:val="3"/>
        </w:numPr>
        <w:tabs>
          <w:tab w:val="left" w:pos="72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t>Establecer las bases administrativas, logísticas y técnicas necesarias, para promover la continuidad de este proceso a pesar de los cambios políticos.</w:t>
      </w:r>
    </w:p>
    <w:p w14:paraId="70632FC0" w14:textId="282BDAAD" w:rsidR="00BC088E" w:rsidRPr="00283C74" w:rsidRDefault="00BC088E" w:rsidP="006D37AA">
      <w:pPr>
        <w:widowControl w:val="0"/>
        <w:tabs>
          <w:tab w:val="left" w:pos="720"/>
        </w:tabs>
        <w:suppressAutoHyphens/>
        <w:adjustRightInd w:val="0"/>
        <w:spacing w:before="200" w:after="0" w:line="360" w:lineRule="auto"/>
        <w:jc w:val="both"/>
        <w:textAlignment w:val="center"/>
        <w:rPr>
          <w:rFonts w:ascii="Times New Roman" w:hAnsi="Times New Roman" w:cs="Times New Roman"/>
          <w:sz w:val="24"/>
          <w:szCs w:val="24"/>
        </w:rPr>
      </w:pPr>
      <w:r w:rsidRPr="00283C74">
        <w:rPr>
          <w:rFonts w:ascii="Times New Roman" w:hAnsi="Times New Roman" w:cs="Times New Roman"/>
          <w:sz w:val="24"/>
          <w:szCs w:val="24"/>
        </w:rPr>
        <w:t>Posteriormente</w:t>
      </w:r>
      <w:r w:rsidR="0006109F" w:rsidRPr="00283C74">
        <w:rPr>
          <w:rFonts w:ascii="Times New Roman" w:hAnsi="Times New Roman" w:cs="Times New Roman"/>
          <w:sz w:val="24"/>
          <w:szCs w:val="24"/>
        </w:rPr>
        <w:t xml:space="preserve">, </w:t>
      </w:r>
      <w:r w:rsidRPr="00283C74">
        <w:rPr>
          <w:rFonts w:ascii="Times New Roman" w:hAnsi="Times New Roman" w:cs="Times New Roman"/>
          <w:sz w:val="24"/>
          <w:szCs w:val="24"/>
        </w:rPr>
        <w:t xml:space="preserve">ya </w:t>
      </w:r>
      <w:r w:rsidR="0006109F" w:rsidRPr="00283C74">
        <w:rPr>
          <w:rFonts w:ascii="Times New Roman" w:hAnsi="Times New Roman" w:cs="Times New Roman"/>
          <w:sz w:val="24"/>
          <w:szCs w:val="24"/>
        </w:rPr>
        <w:t>en el año 2018 y bajo el mandato de</w:t>
      </w:r>
      <w:r w:rsidRPr="00283C74">
        <w:rPr>
          <w:rFonts w:ascii="Times New Roman" w:hAnsi="Times New Roman" w:cs="Times New Roman"/>
          <w:sz w:val="24"/>
          <w:szCs w:val="24"/>
        </w:rPr>
        <w:t>l presidente</w:t>
      </w:r>
      <w:r w:rsidR="0006109F" w:rsidRPr="00283C74">
        <w:rPr>
          <w:rFonts w:ascii="Times New Roman" w:hAnsi="Times New Roman" w:cs="Times New Roman"/>
          <w:sz w:val="24"/>
          <w:szCs w:val="24"/>
        </w:rPr>
        <w:t xml:space="preserve"> Carlos Alvarado, se da continuidad a la gestión de Gobierno abierto, pero sus funciones son trasladadas</w:t>
      </w:r>
      <w:r w:rsidRPr="00283C74">
        <w:rPr>
          <w:rFonts w:ascii="Times New Roman" w:hAnsi="Times New Roman" w:cs="Times New Roman"/>
          <w:sz w:val="24"/>
          <w:szCs w:val="24"/>
        </w:rPr>
        <w:t xml:space="preserve"> -</w:t>
      </w:r>
      <w:r w:rsidR="0006109F" w:rsidRPr="00283C74">
        <w:rPr>
          <w:rFonts w:ascii="Times New Roman" w:hAnsi="Times New Roman" w:cs="Times New Roman"/>
          <w:sz w:val="24"/>
          <w:szCs w:val="24"/>
        </w:rPr>
        <w:t xml:space="preserve">como parte de una recomendación emitida por la Organización para </w:t>
      </w:r>
      <w:r w:rsidR="000812B2" w:rsidRPr="00283C74">
        <w:rPr>
          <w:rFonts w:ascii="Times New Roman" w:hAnsi="Times New Roman" w:cs="Times New Roman"/>
          <w:sz w:val="24"/>
          <w:szCs w:val="24"/>
        </w:rPr>
        <w:t xml:space="preserve">la Cooperación Económica y </w:t>
      </w:r>
      <w:r w:rsidR="0006109F" w:rsidRPr="00283C74">
        <w:rPr>
          <w:rFonts w:ascii="Times New Roman" w:hAnsi="Times New Roman" w:cs="Times New Roman"/>
          <w:sz w:val="24"/>
          <w:szCs w:val="24"/>
        </w:rPr>
        <w:t>el Desarrollo Económico (OCDE)</w:t>
      </w:r>
      <w:r w:rsidRPr="00283C74">
        <w:rPr>
          <w:rFonts w:ascii="Times New Roman" w:hAnsi="Times New Roman" w:cs="Times New Roman"/>
          <w:sz w:val="24"/>
          <w:szCs w:val="24"/>
        </w:rPr>
        <w:t>-</w:t>
      </w:r>
      <w:r w:rsidR="000812B2" w:rsidRPr="00283C74">
        <w:rPr>
          <w:rFonts w:ascii="Times New Roman" w:hAnsi="Times New Roman" w:cs="Times New Roman"/>
          <w:sz w:val="24"/>
          <w:szCs w:val="24"/>
        </w:rPr>
        <w:t xml:space="preserve">; al Ministerio de Comunicación, desde donde se da </w:t>
      </w:r>
      <w:r w:rsidRPr="00283C74">
        <w:rPr>
          <w:rFonts w:ascii="Times New Roman" w:hAnsi="Times New Roman" w:cs="Times New Roman"/>
          <w:sz w:val="24"/>
          <w:szCs w:val="24"/>
        </w:rPr>
        <w:t>un seguimiento al proceso.</w:t>
      </w:r>
      <w:r w:rsidR="000812B2" w:rsidRPr="00283C74">
        <w:rPr>
          <w:rFonts w:ascii="Times New Roman" w:hAnsi="Times New Roman" w:cs="Times New Roman"/>
          <w:sz w:val="24"/>
          <w:szCs w:val="24"/>
        </w:rPr>
        <w:t xml:space="preserve"> </w:t>
      </w:r>
    </w:p>
    <w:p w14:paraId="07711EC8" w14:textId="23DC8AE8" w:rsidR="00B2786C" w:rsidRPr="00283C74" w:rsidRDefault="005874E8" w:rsidP="006D37AA">
      <w:pPr>
        <w:pStyle w:val="Prrafodelista"/>
        <w:widowControl w:val="0"/>
        <w:numPr>
          <w:ilvl w:val="0"/>
          <w:numId w:val="26"/>
        </w:numPr>
        <w:tabs>
          <w:tab w:val="left" w:pos="360"/>
        </w:tabs>
        <w:suppressAutoHyphens/>
        <w:adjustRightInd w:val="0"/>
        <w:spacing w:before="200" w:after="0" w:line="360" w:lineRule="auto"/>
        <w:ind w:left="720"/>
        <w:jc w:val="both"/>
        <w:textAlignment w:val="center"/>
        <w:rPr>
          <w:rFonts w:ascii="Times New Roman" w:hAnsi="Times New Roman" w:cs="Times New Roman"/>
          <w:b/>
          <w:bCs/>
          <w:sz w:val="24"/>
          <w:szCs w:val="24"/>
        </w:rPr>
      </w:pPr>
      <w:r w:rsidRPr="00283C74">
        <w:rPr>
          <w:rFonts w:ascii="Times New Roman" w:hAnsi="Times New Roman" w:cs="Times New Roman"/>
          <w:b/>
          <w:bCs/>
          <w:sz w:val="24"/>
          <w:szCs w:val="24"/>
        </w:rPr>
        <w:t>Metodología</w:t>
      </w:r>
    </w:p>
    <w:p w14:paraId="5FD3E6E2" w14:textId="1CA90F6C" w:rsidR="000340B3" w:rsidRDefault="007F3349" w:rsidP="000340B3">
      <w:pPr>
        <w:spacing w:line="360" w:lineRule="auto"/>
        <w:jc w:val="both"/>
        <w:rPr>
          <w:rFonts w:ascii="Times New Roman" w:hAnsi="Times New Roman" w:cs="Times New Roman"/>
          <w:sz w:val="24"/>
          <w:szCs w:val="24"/>
        </w:rPr>
      </w:pPr>
      <w:r w:rsidRPr="00283C74">
        <w:rPr>
          <w:rFonts w:ascii="Times New Roman" w:hAnsi="Times New Roman" w:cs="Times New Roman"/>
          <w:sz w:val="24"/>
          <w:szCs w:val="24"/>
        </w:rPr>
        <w:t>Para el desarrollo del presente análisis descriptivo</w:t>
      </w:r>
      <w:r w:rsidR="00BC088E" w:rsidRPr="00283C74">
        <w:rPr>
          <w:rFonts w:ascii="Times New Roman" w:hAnsi="Times New Roman" w:cs="Times New Roman"/>
          <w:sz w:val="24"/>
          <w:szCs w:val="24"/>
        </w:rPr>
        <w:t>,</w:t>
      </w:r>
      <w:r w:rsidRPr="00283C74">
        <w:rPr>
          <w:rFonts w:ascii="Times New Roman" w:hAnsi="Times New Roman" w:cs="Times New Roman"/>
          <w:sz w:val="24"/>
          <w:szCs w:val="24"/>
        </w:rPr>
        <w:t xml:space="preserve"> fue utilizado el enfoque cualitativo con apoyo de herramientas cuantitativas</w:t>
      </w:r>
      <w:r w:rsidR="000340B3">
        <w:rPr>
          <w:rFonts w:ascii="Times New Roman" w:hAnsi="Times New Roman" w:cs="Times New Roman"/>
          <w:sz w:val="24"/>
          <w:szCs w:val="24"/>
        </w:rPr>
        <w:t>.  Esto implicó el diseño de un cuestionario de auto</w:t>
      </w:r>
      <w:r w:rsidR="00884EAE">
        <w:rPr>
          <w:rFonts w:ascii="Times New Roman" w:hAnsi="Times New Roman" w:cs="Times New Roman"/>
          <w:sz w:val="24"/>
          <w:szCs w:val="24"/>
        </w:rPr>
        <w:t>-</w:t>
      </w:r>
      <w:r w:rsidR="000340B3">
        <w:rPr>
          <w:rFonts w:ascii="Times New Roman" w:hAnsi="Times New Roman" w:cs="Times New Roman"/>
          <w:sz w:val="24"/>
          <w:szCs w:val="24"/>
        </w:rPr>
        <w:t>aplicación y un cuestionario para el desarrollo de dos entrevistas semi-estructura</w:t>
      </w:r>
      <w:r w:rsidR="00B45454">
        <w:rPr>
          <w:rFonts w:ascii="Times New Roman" w:hAnsi="Times New Roman" w:cs="Times New Roman"/>
          <w:sz w:val="24"/>
          <w:szCs w:val="24"/>
        </w:rPr>
        <w:t>das.</w:t>
      </w:r>
    </w:p>
    <w:p w14:paraId="47B907B3" w14:textId="3579CC8D" w:rsidR="00B45454" w:rsidRPr="00E22BFC" w:rsidRDefault="000340B3" w:rsidP="00B454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aplicación de los instrumentos </w:t>
      </w:r>
      <w:r w:rsidR="00B45454">
        <w:rPr>
          <w:rFonts w:ascii="Times New Roman" w:hAnsi="Times New Roman" w:cs="Times New Roman"/>
          <w:sz w:val="24"/>
          <w:szCs w:val="24"/>
        </w:rPr>
        <w:t>descritos</w:t>
      </w:r>
      <w:r w:rsidRPr="00283C74">
        <w:rPr>
          <w:rFonts w:ascii="Times New Roman" w:hAnsi="Times New Roman" w:cs="Times New Roman"/>
          <w:sz w:val="24"/>
          <w:szCs w:val="24"/>
        </w:rPr>
        <w:t xml:space="preserve">, fueron identificados </w:t>
      </w:r>
      <w:r w:rsidR="00530D2C">
        <w:rPr>
          <w:rFonts w:ascii="Times New Roman" w:hAnsi="Times New Roman" w:cs="Times New Roman"/>
          <w:sz w:val="24"/>
          <w:szCs w:val="24"/>
        </w:rPr>
        <w:t>28</w:t>
      </w:r>
      <w:r>
        <w:rPr>
          <w:rFonts w:ascii="Times New Roman" w:hAnsi="Times New Roman" w:cs="Times New Roman"/>
          <w:sz w:val="24"/>
          <w:szCs w:val="24"/>
        </w:rPr>
        <w:t xml:space="preserve"> funcionarios</w:t>
      </w:r>
      <w:r>
        <w:rPr>
          <w:rFonts w:ascii="Times New Roman" w:hAnsi="Times New Roman" w:cs="Times New Roman"/>
          <w:sz w:val="24"/>
          <w:szCs w:val="24"/>
        </w:rPr>
        <w:t xml:space="preserve"> de los Ministerios de Gobierno</w:t>
      </w:r>
      <w:r>
        <w:rPr>
          <w:rFonts w:ascii="Times New Roman" w:hAnsi="Times New Roman" w:cs="Times New Roman"/>
          <w:sz w:val="24"/>
          <w:szCs w:val="24"/>
        </w:rPr>
        <w:t xml:space="preserve">, entre Oficiales de Información y representantes de la Unidad de Planificación Institucional, a quienes les fue </w:t>
      </w:r>
      <w:r w:rsidR="00B45454">
        <w:rPr>
          <w:rFonts w:ascii="Times New Roman" w:hAnsi="Times New Roman" w:cs="Times New Roman"/>
          <w:sz w:val="24"/>
          <w:szCs w:val="24"/>
        </w:rPr>
        <w:t>aplicado el cuestionario</w:t>
      </w:r>
      <w:r>
        <w:rPr>
          <w:rFonts w:ascii="Times New Roman" w:hAnsi="Times New Roman" w:cs="Times New Roman"/>
          <w:sz w:val="24"/>
          <w:szCs w:val="24"/>
        </w:rPr>
        <w:t xml:space="preserve"> durante el período de julio a setiembre del año 2021.</w:t>
      </w:r>
      <w:r w:rsidR="00B45454">
        <w:rPr>
          <w:rFonts w:ascii="Times New Roman" w:hAnsi="Times New Roman" w:cs="Times New Roman"/>
          <w:sz w:val="24"/>
          <w:szCs w:val="24"/>
        </w:rPr>
        <w:t xml:space="preserve">  Asimismo, fue realizada una entrevista con una de las personas representantes del equipo de Gobierno abierto, y una con el </w:t>
      </w:r>
      <w:r w:rsidR="00B45454" w:rsidRPr="00E22BFC">
        <w:rPr>
          <w:rFonts w:ascii="Times New Roman" w:hAnsi="Times New Roman" w:cs="Times New Roman"/>
          <w:sz w:val="24"/>
          <w:szCs w:val="24"/>
        </w:rPr>
        <w:t xml:space="preserve">Jefe de la Unidad de </w:t>
      </w:r>
      <w:r w:rsidR="00B45454" w:rsidRPr="00E22BFC">
        <w:rPr>
          <w:rFonts w:ascii="Times New Roman" w:hAnsi="Times New Roman" w:cs="Times New Roman"/>
          <w:sz w:val="24"/>
          <w:szCs w:val="24"/>
        </w:rPr>
        <w:lastRenderedPageBreak/>
        <w:t xml:space="preserve">Análisis Prospectivo de Políticas Públicas </w:t>
      </w:r>
      <w:r w:rsidR="00B45454">
        <w:rPr>
          <w:rFonts w:ascii="Times New Roman" w:hAnsi="Times New Roman" w:cs="Times New Roman"/>
          <w:sz w:val="24"/>
          <w:szCs w:val="24"/>
        </w:rPr>
        <w:t>del Ministerio de Planificación y Política Económica</w:t>
      </w:r>
      <w:r w:rsidR="00B45454" w:rsidRPr="00E22BFC">
        <w:rPr>
          <w:rFonts w:ascii="Times New Roman" w:hAnsi="Times New Roman" w:cs="Times New Roman"/>
          <w:sz w:val="24"/>
          <w:szCs w:val="24"/>
        </w:rPr>
        <w:t xml:space="preserve"> </w:t>
      </w:r>
      <w:r w:rsidR="00B45454">
        <w:rPr>
          <w:rFonts w:ascii="Times New Roman" w:hAnsi="Times New Roman" w:cs="Times New Roman"/>
          <w:sz w:val="24"/>
          <w:szCs w:val="24"/>
        </w:rPr>
        <w:t>(</w:t>
      </w:r>
      <w:r w:rsidR="00B45454" w:rsidRPr="00E22BFC">
        <w:rPr>
          <w:rFonts w:ascii="Times New Roman" w:hAnsi="Times New Roman" w:cs="Times New Roman"/>
          <w:sz w:val="24"/>
          <w:szCs w:val="24"/>
        </w:rPr>
        <w:t>MIDEPLAN</w:t>
      </w:r>
      <w:r w:rsidR="00B45454">
        <w:rPr>
          <w:rFonts w:ascii="Times New Roman" w:hAnsi="Times New Roman" w:cs="Times New Roman"/>
          <w:sz w:val="24"/>
          <w:szCs w:val="24"/>
        </w:rPr>
        <w:t>)</w:t>
      </w:r>
      <w:r w:rsidR="00B45454" w:rsidRPr="00E22BFC">
        <w:rPr>
          <w:rFonts w:ascii="Times New Roman" w:hAnsi="Times New Roman" w:cs="Times New Roman"/>
          <w:sz w:val="24"/>
          <w:szCs w:val="24"/>
        </w:rPr>
        <w:t>.</w:t>
      </w:r>
    </w:p>
    <w:p w14:paraId="5FA39E38" w14:textId="50404791" w:rsidR="000340B3" w:rsidRPr="0076412D" w:rsidRDefault="000340B3" w:rsidP="000340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manera complementaria a lo </w:t>
      </w:r>
      <w:r w:rsidR="00DD040D">
        <w:rPr>
          <w:rFonts w:ascii="Times New Roman" w:hAnsi="Times New Roman" w:cs="Times New Roman"/>
          <w:sz w:val="24"/>
          <w:szCs w:val="24"/>
        </w:rPr>
        <w:t>expuesto,</w:t>
      </w:r>
      <w:r>
        <w:rPr>
          <w:rFonts w:ascii="Times New Roman" w:hAnsi="Times New Roman" w:cs="Times New Roman"/>
          <w:sz w:val="24"/>
          <w:szCs w:val="24"/>
        </w:rPr>
        <w:t xml:space="preserve"> se realizó una revisión documental a partir de la información electrónica disponible en las respectivas instituciones, así como los lineamientos generales y normas vigentes en materia de políticas públicas en el país, a través </w:t>
      </w:r>
      <w:r w:rsidR="00B45454">
        <w:rPr>
          <w:rFonts w:ascii="Times New Roman" w:hAnsi="Times New Roman" w:cs="Times New Roman"/>
          <w:sz w:val="24"/>
          <w:szCs w:val="24"/>
        </w:rPr>
        <w:t xml:space="preserve">de </w:t>
      </w:r>
      <w:r>
        <w:rPr>
          <w:rFonts w:ascii="Times New Roman" w:hAnsi="Times New Roman" w:cs="Times New Roman"/>
          <w:sz w:val="24"/>
          <w:szCs w:val="24"/>
        </w:rPr>
        <w:t>MIDEPLAN.</w:t>
      </w:r>
    </w:p>
    <w:p w14:paraId="0DB5C677" w14:textId="72DC1967" w:rsidR="009D0BB5" w:rsidRDefault="000340B3" w:rsidP="006D37A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7F3349" w:rsidRPr="00283C74">
        <w:rPr>
          <w:rFonts w:ascii="Times New Roman" w:hAnsi="Times New Roman" w:cs="Times New Roman"/>
          <w:sz w:val="24"/>
          <w:szCs w:val="24"/>
        </w:rPr>
        <w:t xml:space="preserve"> partir de lo </w:t>
      </w:r>
      <w:r w:rsidR="00B45454">
        <w:rPr>
          <w:rFonts w:ascii="Times New Roman" w:hAnsi="Times New Roman" w:cs="Times New Roman"/>
          <w:sz w:val="24"/>
          <w:szCs w:val="24"/>
        </w:rPr>
        <w:t>anterior,</w:t>
      </w:r>
      <w:r w:rsidR="007F3349" w:rsidRPr="00283C74">
        <w:rPr>
          <w:rFonts w:ascii="Times New Roman" w:hAnsi="Times New Roman" w:cs="Times New Roman"/>
          <w:sz w:val="24"/>
          <w:szCs w:val="24"/>
        </w:rPr>
        <w:t xml:space="preserve"> se identificaron </w:t>
      </w:r>
      <w:r>
        <w:rPr>
          <w:rFonts w:ascii="Times New Roman" w:hAnsi="Times New Roman" w:cs="Times New Roman"/>
          <w:sz w:val="24"/>
          <w:szCs w:val="24"/>
        </w:rPr>
        <w:t>tanto los aspectos metodológicos como los alcances de</w:t>
      </w:r>
      <w:r w:rsidR="0076412D">
        <w:rPr>
          <w:rFonts w:ascii="Times New Roman" w:hAnsi="Times New Roman" w:cs="Times New Roman"/>
          <w:sz w:val="24"/>
          <w:szCs w:val="24"/>
        </w:rPr>
        <w:t xml:space="preserve"> </w:t>
      </w:r>
      <w:r>
        <w:rPr>
          <w:rFonts w:ascii="Times New Roman" w:hAnsi="Times New Roman" w:cs="Times New Roman"/>
          <w:sz w:val="24"/>
          <w:szCs w:val="24"/>
        </w:rPr>
        <w:t>la participación ciudadana en el marco de la construcción de políticas públicas</w:t>
      </w:r>
      <w:r w:rsidR="009D0BB5">
        <w:rPr>
          <w:rFonts w:ascii="Times New Roman" w:hAnsi="Times New Roman" w:cs="Times New Roman"/>
          <w:sz w:val="24"/>
          <w:szCs w:val="24"/>
        </w:rPr>
        <w:t>.</w:t>
      </w:r>
    </w:p>
    <w:p w14:paraId="24B7E55A" w14:textId="77777777" w:rsidR="009D0BB5" w:rsidRPr="00283C74" w:rsidRDefault="009D0BB5" w:rsidP="006D37AA">
      <w:pPr>
        <w:spacing w:after="0" w:line="360" w:lineRule="auto"/>
        <w:jc w:val="both"/>
        <w:rPr>
          <w:rFonts w:ascii="Times New Roman" w:hAnsi="Times New Roman" w:cs="Times New Roman"/>
          <w:sz w:val="24"/>
          <w:szCs w:val="24"/>
        </w:rPr>
      </w:pPr>
    </w:p>
    <w:p w14:paraId="353BC5CE" w14:textId="79783D00" w:rsidR="00B2786C" w:rsidRDefault="00FB1EE4" w:rsidP="006D37AA">
      <w:pPr>
        <w:pStyle w:val="Prrafodelista"/>
        <w:numPr>
          <w:ilvl w:val="0"/>
          <w:numId w:val="1"/>
        </w:numPr>
        <w:spacing w:after="0" w:line="360" w:lineRule="auto"/>
        <w:ind w:left="360" w:hanging="360"/>
        <w:rPr>
          <w:rFonts w:ascii="Times New Roman" w:hAnsi="Times New Roman" w:cs="Times New Roman"/>
          <w:b/>
          <w:bCs/>
          <w:sz w:val="24"/>
          <w:szCs w:val="24"/>
        </w:rPr>
      </w:pPr>
      <w:r>
        <w:rPr>
          <w:rFonts w:ascii="Times New Roman" w:hAnsi="Times New Roman" w:cs="Times New Roman"/>
          <w:b/>
          <w:bCs/>
          <w:sz w:val="24"/>
          <w:szCs w:val="24"/>
        </w:rPr>
        <w:t xml:space="preserve">  Participación ciudadana y gestión de políticas públicas</w:t>
      </w:r>
      <w:r w:rsidR="000340B3">
        <w:rPr>
          <w:rFonts w:ascii="Times New Roman" w:hAnsi="Times New Roman" w:cs="Times New Roman"/>
          <w:b/>
          <w:bCs/>
          <w:sz w:val="24"/>
          <w:szCs w:val="24"/>
        </w:rPr>
        <w:t>:  aspectos conceptuales</w:t>
      </w:r>
    </w:p>
    <w:p w14:paraId="6010DFA2" w14:textId="1031BA66" w:rsidR="00B2786C" w:rsidRDefault="0076412D" w:rsidP="00DD04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anotan Camou y Pagani (2017), se ha venido identificando un </w:t>
      </w:r>
      <w:r w:rsidR="00784077">
        <w:rPr>
          <w:rFonts w:ascii="Times New Roman" w:hAnsi="Times New Roman" w:cs="Times New Roman"/>
          <w:sz w:val="24"/>
          <w:szCs w:val="24"/>
        </w:rPr>
        <w:t xml:space="preserve">creciente interés por parte de </w:t>
      </w:r>
      <w:r w:rsidR="00DD040D">
        <w:rPr>
          <w:rFonts w:ascii="Times New Roman" w:hAnsi="Times New Roman" w:cs="Times New Roman"/>
          <w:sz w:val="24"/>
          <w:szCs w:val="24"/>
        </w:rPr>
        <w:t>las naciones</w:t>
      </w:r>
      <w:r w:rsidR="00784077">
        <w:rPr>
          <w:rFonts w:ascii="Times New Roman" w:hAnsi="Times New Roman" w:cs="Times New Roman"/>
          <w:sz w:val="24"/>
          <w:szCs w:val="24"/>
        </w:rPr>
        <w:t xml:space="preserve"> democrátic</w:t>
      </w:r>
      <w:r w:rsidR="00DD040D">
        <w:rPr>
          <w:rFonts w:ascii="Times New Roman" w:hAnsi="Times New Roman" w:cs="Times New Roman"/>
          <w:sz w:val="24"/>
          <w:szCs w:val="24"/>
        </w:rPr>
        <w:t>a</w:t>
      </w:r>
      <w:r w:rsidR="00784077">
        <w:rPr>
          <w:rFonts w:ascii="Times New Roman" w:hAnsi="Times New Roman" w:cs="Times New Roman"/>
          <w:sz w:val="24"/>
          <w:szCs w:val="24"/>
        </w:rPr>
        <w:t>s</w:t>
      </w:r>
      <w:r w:rsidR="00DD040D">
        <w:rPr>
          <w:rFonts w:ascii="Times New Roman" w:hAnsi="Times New Roman" w:cs="Times New Roman"/>
          <w:sz w:val="24"/>
          <w:szCs w:val="24"/>
        </w:rPr>
        <w:t>,</w:t>
      </w:r>
      <w:r w:rsidR="00784077">
        <w:rPr>
          <w:rFonts w:ascii="Times New Roman" w:hAnsi="Times New Roman" w:cs="Times New Roman"/>
          <w:sz w:val="24"/>
          <w:szCs w:val="24"/>
        </w:rPr>
        <w:t xml:space="preserve"> en involucrar al sector académico en el proceso de definición de políticas públicas, y de la implementación del modelo de Gobierno abierto, siendo que es una nueva forma de gestión, y que en particular, presenta retos significativos en términos de articulación de esfuerzos </w:t>
      </w:r>
      <w:r w:rsidR="00DD040D">
        <w:rPr>
          <w:rFonts w:ascii="Times New Roman" w:hAnsi="Times New Roman" w:cs="Times New Roman"/>
          <w:sz w:val="24"/>
          <w:szCs w:val="24"/>
        </w:rPr>
        <w:t>para la</w:t>
      </w:r>
      <w:r w:rsidR="00784077">
        <w:rPr>
          <w:rFonts w:ascii="Times New Roman" w:hAnsi="Times New Roman" w:cs="Times New Roman"/>
          <w:sz w:val="24"/>
          <w:szCs w:val="24"/>
        </w:rPr>
        <w:t xml:space="preserve"> generación de vínculos y relaciones con la sociedad civil, y con la ciudadanía en general.</w:t>
      </w:r>
    </w:p>
    <w:p w14:paraId="61528ECE" w14:textId="1C1B0EFA" w:rsidR="00784077" w:rsidRDefault="00784077" w:rsidP="00DD040D">
      <w:pPr>
        <w:spacing w:line="360" w:lineRule="auto"/>
        <w:jc w:val="both"/>
        <w:rPr>
          <w:rFonts w:ascii="Times New Roman" w:hAnsi="Times New Roman" w:cs="Times New Roman"/>
          <w:sz w:val="24"/>
          <w:szCs w:val="24"/>
        </w:rPr>
      </w:pPr>
      <w:r>
        <w:rPr>
          <w:rFonts w:ascii="Times New Roman" w:hAnsi="Times New Roman" w:cs="Times New Roman"/>
          <w:sz w:val="24"/>
          <w:szCs w:val="24"/>
        </w:rPr>
        <w:t>Las tendencias en materia de gestión pública muestran también una mayor injerencia y pluralidad de actores en las decisiones políticas, siendo que se ha venido experimentado un replanteamiento de las esferas públicas, privadas y políticas (Camou, Pagani, 2017, p. 12).</w:t>
      </w:r>
    </w:p>
    <w:p w14:paraId="55E99923" w14:textId="7E4BE330" w:rsidR="00DD040D" w:rsidRDefault="00784077" w:rsidP="00DD040D">
      <w:pPr>
        <w:spacing w:line="360" w:lineRule="auto"/>
        <w:jc w:val="both"/>
        <w:rPr>
          <w:rFonts w:ascii="Times New Roman" w:hAnsi="Times New Roman" w:cs="Times New Roman"/>
          <w:sz w:val="24"/>
          <w:szCs w:val="24"/>
        </w:rPr>
      </w:pPr>
      <w:r>
        <w:rPr>
          <w:rFonts w:ascii="Times New Roman" w:hAnsi="Times New Roman" w:cs="Times New Roman"/>
          <w:sz w:val="24"/>
          <w:szCs w:val="24"/>
        </w:rPr>
        <w:t>Por su parte, los espacios que se generan desde las plataformas digitales para promover la interacción y generación de aportes de la ciudadanía</w:t>
      </w:r>
      <w:r w:rsidR="00DD040D">
        <w:rPr>
          <w:rFonts w:ascii="Times New Roman" w:hAnsi="Times New Roman" w:cs="Times New Roman"/>
          <w:sz w:val="24"/>
          <w:szCs w:val="24"/>
        </w:rPr>
        <w:t xml:space="preserve"> </w:t>
      </w:r>
      <w:r w:rsidR="00DD040D">
        <w:rPr>
          <w:rFonts w:ascii="Times New Roman" w:hAnsi="Times New Roman" w:cs="Times New Roman"/>
          <w:sz w:val="24"/>
          <w:szCs w:val="24"/>
        </w:rPr>
        <w:t>han mostrado un significativo aumento, ofreciendo mayores posibilidades para democratizar el acceso a la información y el alcance de las estrategias de participación (Velázquez, 2014, p.24).</w:t>
      </w:r>
    </w:p>
    <w:p w14:paraId="6B86371D" w14:textId="5FF566E9" w:rsidR="00784077" w:rsidRDefault="00DD040D" w:rsidP="00DD04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Este tipo de espacios han sido de gran utilidad </w:t>
      </w:r>
      <w:r w:rsidR="00784077">
        <w:rPr>
          <w:rFonts w:ascii="Times New Roman" w:hAnsi="Times New Roman" w:cs="Times New Roman"/>
          <w:sz w:val="24"/>
          <w:szCs w:val="24"/>
        </w:rPr>
        <w:t xml:space="preserve">para impulsar </w:t>
      </w:r>
      <w:r w:rsidR="00FB1EE4">
        <w:rPr>
          <w:rFonts w:ascii="Times New Roman" w:hAnsi="Times New Roman" w:cs="Times New Roman"/>
          <w:sz w:val="24"/>
          <w:szCs w:val="24"/>
        </w:rPr>
        <w:t xml:space="preserve">la difusión de aspectos de interés, y particularmente, </w:t>
      </w:r>
      <w:r>
        <w:rPr>
          <w:rFonts w:ascii="Times New Roman" w:hAnsi="Times New Roman" w:cs="Times New Roman"/>
          <w:sz w:val="24"/>
          <w:szCs w:val="24"/>
        </w:rPr>
        <w:t xml:space="preserve">el desarrollo de </w:t>
      </w:r>
      <w:r w:rsidR="00FB1EE4">
        <w:rPr>
          <w:rFonts w:ascii="Times New Roman" w:hAnsi="Times New Roman" w:cs="Times New Roman"/>
          <w:sz w:val="24"/>
          <w:szCs w:val="24"/>
        </w:rPr>
        <w:t xml:space="preserve">esfuerzos dirigidos a la consulta pública de proyectos de Ley o aspectos normativos vinculados </w:t>
      </w:r>
      <w:r>
        <w:rPr>
          <w:rFonts w:ascii="Times New Roman" w:hAnsi="Times New Roman" w:cs="Times New Roman"/>
          <w:sz w:val="24"/>
          <w:szCs w:val="24"/>
        </w:rPr>
        <w:t>con</w:t>
      </w:r>
      <w:r w:rsidR="00FB1EE4">
        <w:rPr>
          <w:rFonts w:ascii="Times New Roman" w:hAnsi="Times New Roman" w:cs="Times New Roman"/>
          <w:sz w:val="24"/>
          <w:szCs w:val="24"/>
        </w:rPr>
        <w:t xml:space="preserve"> la construcción de políticas públicas</w:t>
      </w:r>
      <w:r>
        <w:rPr>
          <w:rFonts w:ascii="Times New Roman" w:hAnsi="Times New Roman" w:cs="Times New Roman"/>
          <w:sz w:val="24"/>
          <w:szCs w:val="24"/>
        </w:rPr>
        <w:t>.</w:t>
      </w:r>
      <w:r w:rsidR="00FB1EE4">
        <w:rPr>
          <w:rFonts w:ascii="Times New Roman" w:hAnsi="Times New Roman" w:cs="Times New Roman"/>
          <w:sz w:val="24"/>
          <w:szCs w:val="24"/>
        </w:rPr>
        <w:t xml:space="preserve"> </w:t>
      </w:r>
    </w:p>
    <w:p w14:paraId="390C2B8A" w14:textId="3F09AFD4" w:rsidR="00FB1EE4" w:rsidRDefault="00DD040D" w:rsidP="00FB1EE4">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otro orden de ideas</w:t>
      </w:r>
      <w:r w:rsidR="00FB1EE4">
        <w:rPr>
          <w:rFonts w:ascii="Times New Roman" w:hAnsi="Times New Roman" w:cs="Times New Roman"/>
          <w:sz w:val="24"/>
          <w:szCs w:val="24"/>
        </w:rPr>
        <w:t>, estos esfuerzos han contribuido a generar una mayor conciencia crítica en la ciudadanía y un mayor interés por dar sustento y legitimidad a la toma de decisiones.</w:t>
      </w:r>
      <w:r w:rsidR="00FB1EE4" w:rsidRPr="00FB1EE4">
        <w:rPr>
          <w:rFonts w:ascii="Times New Roman" w:hAnsi="Times New Roman" w:cs="Times New Roman"/>
          <w:sz w:val="24"/>
          <w:szCs w:val="24"/>
        </w:rPr>
        <w:t xml:space="preserve"> </w:t>
      </w:r>
    </w:p>
    <w:p w14:paraId="520883A9" w14:textId="1250990C" w:rsidR="00FB1EE4" w:rsidRPr="004577BB" w:rsidRDefault="00FB1EE4" w:rsidP="00FB1EE4">
      <w:pPr>
        <w:spacing w:before="200" w:after="0" w:line="360" w:lineRule="auto"/>
        <w:jc w:val="both"/>
        <w:rPr>
          <w:rFonts w:ascii="Times New Roman" w:hAnsi="Times New Roman" w:cs="Times New Roman"/>
          <w:sz w:val="24"/>
          <w:szCs w:val="24"/>
        </w:rPr>
      </w:pPr>
      <w:r w:rsidRPr="004577BB">
        <w:rPr>
          <w:rFonts w:ascii="Times New Roman" w:hAnsi="Times New Roman" w:cs="Times New Roman"/>
          <w:sz w:val="24"/>
          <w:szCs w:val="24"/>
        </w:rPr>
        <w:t>“Afianzar la democracia… pasa necesaria e indispensablemente por la sociedad civil, sobre todo por la posibilidad de volver visibles a los invisibles”, afirma Grzybowski (2004, p. 123), quien a su vez resalta la importancia de cimentar el concepto de estado de derecho, bajo el cual, todas las personas integrantes de una sociedad puedan sentirse incluidas directa o indirectamente en los procesos de toma de decisiones.</w:t>
      </w:r>
    </w:p>
    <w:p w14:paraId="7F65C137" w14:textId="41804797" w:rsidR="00FB1EE4" w:rsidRPr="004577BB" w:rsidRDefault="00FB1EE4" w:rsidP="00FB1EE4">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577BB">
        <w:rPr>
          <w:rFonts w:ascii="Times New Roman" w:hAnsi="Times New Roman" w:cs="Times New Roman"/>
          <w:sz w:val="24"/>
          <w:szCs w:val="24"/>
        </w:rPr>
        <w:t>En este mismo sentido, y según afirma Grzybowski (2004, p. 8), “los regímenes democráticos para avanzar en su</w:t>
      </w:r>
      <w:r>
        <w:rPr>
          <w:rFonts w:ascii="Times New Roman" w:hAnsi="Times New Roman" w:cs="Times New Roman"/>
          <w:sz w:val="24"/>
          <w:szCs w:val="24"/>
        </w:rPr>
        <w:t xml:space="preserve"> </w:t>
      </w:r>
      <w:r w:rsidR="00AB7D9C" w:rsidRPr="004577BB">
        <w:rPr>
          <w:rFonts w:ascii="Times New Roman" w:hAnsi="Times New Roman" w:cs="Times New Roman"/>
          <w:sz w:val="24"/>
          <w:szCs w:val="24"/>
        </w:rPr>
        <w:t>consolidación</w:t>
      </w:r>
      <w:r w:rsidR="00AB7D9C">
        <w:rPr>
          <w:rFonts w:ascii="Times New Roman" w:hAnsi="Times New Roman" w:cs="Times New Roman"/>
          <w:sz w:val="24"/>
          <w:szCs w:val="24"/>
        </w:rPr>
        <w:t>,</w:t>
      </w:r>
      <w:r w:rsidR="00884EAE">
        <w:rPr>
          <w:rFonts w:ascii="Times New Roman" w:hAnsi="Times New Roman" w:cs="Times New Roman"/>
          <w:sz w:val="24"/>
          <w:szCs w:val="24"/>
        </w:rPr>
        <w:t xml:space="preserve"> </w:t>
      </w:r>
      <w:r w:rsidRPr="004577BB">
        <w:rPr>
          <w:rFonts w:ascii="Times New Roman" w:hAnsi="Times New Roman" w:cs="Times New Roman"/>
          <w:sz w:val="24"/>
          <w:szCs w:val="24"/>
        </w:rPr>
        <w:t>deben generar procesos de inclusión y favorecer la constitución de sujetos sociales y ofrecer garantías de cumplimiento de los derechos, particularmente los derechos sociales”.</w:t>
      </w:r>
    </w:p>
    <w:p w14:paraId="3581DAD5" w14:textId="77777777" w:rsidR="00FB1EE4" w:rsidRDefault="00FB1EE4" w:rsidP="00FB1EE4">
      <w:pPr>
        <w:spacing w:after="0" w:line="360" w:lineRule="auto"/>
        <w:jc w:val="both"/>
        <w:rPr>
          <w:rFonts w:ascii="Times New Roman" w:hAnsi="Times New Roman" w:cs="Times New Roman"/>
          <w:sz w:val="24"/>
          <w:szCs w:val="24"/>
        </w:rPr>
      </w:pPr>
    </w:p>
    <w:p w14:paraId="3FB786A0" w14:textId="7AFA9265" w:rsidR="00FB1EE4" w:rsidRDefault="00FB1EE4" w:rsidP="00FB1EE4">
      <w:pPr>
        <w:spacing w:after="0" w:line="360" w:lineRule="auto"/>
        <w:jc w:val="both"/>
        <w:rPr>
          <w:rFonts w:ascii="Times New Roman" w:hAnsi="Times New Roman" w:cs="Times New Roman"/>
          <w:sz w:val="24"/>
          <w:szCs w:val="24"/>
        </w:rPr>
      </w:pPr>
      <w:r w:rsidRPr="004577BB">
        <w:rPr>
          <w:rFonts w:ascii="Times New Roman" w:hAnsi="Times New Roman" w:cs="Times New Roman"/>
          <w:sz w:val="24"/>
          <w:szCs w:val="24"/>
        </w:rPr>
        <w:t>Los elementos anteriormente expuestos llevan a concluir que la participación ciudadana es un eje medular para el fortalecimiento de los regímenes democráticos.  No obstante, para que ésta sea efectiva, y tenga una posibilidad real de incidencia en la definición de políticas públicas; debe contar con una debida articulación de esfuerzos, espacios y mecanismos que faciliten el diálogo y la interacción entre el Gobierno y la ciudadanía, así como también, acciones que permitan reflejar de manera transparente y efectiva el resultado de los esfuerzos implementados.</w:t>
      </w:r>
    </w:p>
    <w:p w14:paraId="4B23F272" w14:textId="77777777" w:rsidR="006F6F84" w:rsidRPr="006F6F84" w:rsidRDefault="006F6F84" w:rsidP="006F6F84">
      <w:pPr>
        <w:spacing w:after="0" w:line="360" w:lineRule="auto"/>
        <w:rPr>
          <w:rFonts w:ascii="Times New Roman" w:hAnsi="Times New Roman" w:cs="Times New Roman"/>
          <w:b/>
          <w:bCs/>
          <w:sz w:val="24"/>
          <w:szCs w:val="24"/>
        </w:rPr>
      </w:pPr>
    </w:p>
    <w:p w14:paraId="3D18DFB3" w14:textId="14090E1A" w:rsidR="006F6F84" w:rsidRPr="0076412D" w:rsidRDefault="006F6F84" w:rsidP="006F6F84">
      <w:pPr>
        <w:pStyle w:val="Prrafodelista"/>
        <w:numPr>
          <w:ilvl w:val="0"/>
          <w:numId w:val="1"/>
        </w:numPr>
        <w:spacing w:after="0" w:line="360" w:lineRule="auto"/>
        <w:ind w:left="360" w:hanging="360"/>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hAnsi="Times New Roman" w:cs="Times New Roman"/>
          <w:b/>
          <w:bCs/>
          <w:sz w:val="24"/>
          <w:szCs w:val="24"/>
        </w:rPr>
        <w:t>Análisis de la incidencia de la participación ciudadana en la gestión de políticas públicas en Costa Rica</w:t>
      </w:r>
    </w:p>
    <w:p w14:paraId="66D05019" w14:textId="609DBAC1" w:rsidR="006F6F84" w:rsidRDefault="006F6F84" w:rsidP="00FB1EE4">
      <w:pPr>
        <w:spacing w:after="0" w:line="360" w:lineRule="auto"/>
        <w:jc w:val="both"/>
        <w:rPr>
          <w:rFonts w:ascii="Times New Roman" w:hAnsi="Times New Roman" w:cs="Times New Roman"/>
          <w:sz w:val="24"/>
          <w:szCs w:val="24"/>
        </w:rPr>
      </w:pPr>
    </w:p>
    <w:p w14:paraId="40DEDC26" w14:textId="2792ED0C" w:rsidR="006F6F84" w:rsidRPr="004577BB" w:rsidRDefault="006F6F84" w:rsidP="006F6F84">
      <w:pPr>
        <w:spacing w:line="360" w:lineRule="auto"/>
        <w:jc w:val="both"/>
        <w:rPr>
          <w:rFonts w:ascii="Times New Roman" w:hAnsi="Times New Roman" w:cs="Times New Roman"/>
          <w:sz w:val="24"/>
          <w:szCs w:val="24"/>
        </w:rPr>
      </w:pPr>
      <w:r w:rsidRPr="00AA6241">
        <w:rPr>
          <w:rFonts w:ascii="Times New Roman" w:hAnsi="Times New Roman" w:cs="Times New Roman"/>
          <w:sz w:val="24"/>
          <w:szCs w:val="24"/>
        </w:rPr>
        <w:t>Le corresponde al Ministerio de Planificación y Política Económica (MIDEPLAN) la obligatoriedad de brindar acompañamiento y asesoría a las instituciones del Estado para la construcción de políticas públicas.</w:t>
      </w:r>
    </w:p>
    <w:p w14:paraId="40B07878" w14:textId="5E82DFBC" w:rsidR="006F6F84" w:rsidRPr="004577BB" w:rsidRDefault="006F6F84" w:rsidP="00AA6241">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Asimismo, y de acuerdo con la Ley de Planificación Nacional No. 5525, le corresponde a </w:t>
      </w:r>
      <w:r w:rsidR="00AB7D9C">
        <w:rPr>
          <w:rFonts w:ascii="Times New Roman" w:hAnsi="Times New Roman" w:cs="Times New Roman"/>
          <w:sz w:val="24"/>
          <w:szCs w:val="24"/>
        </w:rPr>
        <w:t xml:space="preserve">esa institución </w:t>
      </w:r>
      <w:r w:rsidRPr="004577BB">
        <w:rPr>
          <w:rFonts w:ascii="Times New Roman" w:hAnsi="Times New Roman" w:cs="Times New Roman"/>
          <w:sz w:val="24"/>
          <w:szCs w:val="24"/>
        </w:rPr>
        <w:t>fungir como Rector del Sistema Nacional de Planificación, y velar por el desarrollo de los procesos de planificación (MIDEPLAN, 2016, p.3).</w:t>
      </w:r>
    </w:p>
    <w:p w14:paraId="4D0A6531" w14:textId="0638985D" w:rsidR="006F6F84" w:rsidRPr="004577BB" w:rsidRDefault="006F6F84" w:rsidP="00AA6241">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lastRenderedPageBreak/>
        <w:t xml:space="preserve">Por su parte, el Decreto 37735-PLAN del 2013, emitido en el marco del 50 aniversario del Ministerio de Planificación, le otorgó a esta </w:t>
      </w:r>
      <w:r w:rsidR="00AB7D9C">
        <w:rPr>
          <w:rFonts w:ascii="Times New Roman" w:hAnsi="Times New Roman" w:cs="Times New Roman"/>
          <w:sz w:val="24"/>
          <w:szCs w:val="24"/>
        </w:rPr>
        <w:t>organización</w:t>
      </w:r>
      <w:r w:rsidRPr="004577BB">
        <w:rPr>
          <w:rFonts w:ascii="Times New Roman" w:hAnsi="Times New Roman" w:cs="Times New Roman"/>
          <w:sz w:val="24"/>
          <w:szCs w:val="24"/>
        </w:rPr>
        <w:t xml:space="preserve"> la función rectora en materia de política pública, y posteriormente, a través del oficio AME-061 del 22 de noviembre del 2017, se especifica que será la Unidad de Análisis Prospectivo y Políticas Públicas de esa misma institución, la encargada de:</w:t>
      </w:r>
    </w:p>
    <w:p w14:paraId="22D8DB39" w14:textId="77777777" w:rsidR="006F6F84" w:rsidRPr="004577BB" w:rsidRDefault="006F6F84" w:rsidP="006F6F84">
      <w:pPr>
        <w:spacing w:line="360" w:lineRule="auto"/>
        <w:ind w:left="720"/>
        <w:jc w:val="both"/>
        <w:rPr>
          <w:rFonts w:ascii="Times New Roman" w:hAnsi="Times New Roman" w:cs="Times New Roman"/>
          <w:sz w:val="24"/>
          <w:szCs w:val="24"/>
        </w:rPr>
      </w:pPr>
      <w:r w:rsidRPr="004577BB">
        <w:rPr>
          <w:rFonts w:ascii="Times New Roman" w:hAnsi="Times New Roman" w:cs="Times New Roman"/>
          <w:sz w:val="24"/>
          <w:szCs w:val="24"/>
        </w:rPr>
        <w:t>Asesorar la elaboración de políticas públicas nacionales que orienten el curso de acción a corto, mediano y largo plazo, sobre las diversas temáticas económicas, sociales y ambientales acorde con la situación nacional, sectorial y regional que prioricen los enfoques, principios, metas, componentes y la articulación de las políticas públicas, los planes, los programas y proyectos territoriales, sectoriales, intersectoriales e institucionales.</w:t>
      </w:r>
    </w:p>
    <w:p w14:paraId="745EEC0D" w14:textId="77777777"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Como una de las acciones ejecutadas para cumplir este propósito, MIDEPLAN elaboró en el año 2016 una “Guía para la elaboración de políticas públicas”, a partir de la cual se definen los procedimientos y pasos para la construcción de este tipo de pautas.  Asimismo, y dentro de los lineamientos establecidos en la guía se estipula que (MIDEPLAN, 2016, p.4):</w:t>
      </w:r>
    </w:p>
    <w:p w14:paraId="7892A076" w14:textId="77777777" w:rsidR="006F6F84" w:rsidRPr="004577BB" w:rsidRDefault="006F6F84" w:rsidP="006F6F84">
      <w:pPr>
        <w:spacing w:line="360" w:lineRule="auto"/>
        <w:ind w:left="720"/>
        <w:jc w:val="both"/>
        <w:rPr>
          <w:rFonts w:ascii="Times New Roman" w:hAnsi="Times New Roman" w:cs="Times New Roman"/>
          <w:sz w:val="24"/>
          <w:szCs w:val="24"/>
        </w:rPr>
      </w:pPr>
      <w:r w:rsidRPr="004577BB">
        <w:rPr>
          <w:rFonts w:ascii="Times New Roman" w:hAnsi="Times New Roman" w:cs="Times New Roman"/>
          <w:sz w:val="24"/>
          <w:szCs w:val="24"/>
        </w:rPr>
        <w:t>es imprescindible la participación responsable del sector público, privado y de la ciudadanía para poder redireccionar el rumbo y concretar políticas, generando buenas prácticas o acciones afirmativas para alcanzar los objetivos de una sociedad equitativa, inclusiva y solidaria, que potencia las capacidades humanas.</w:t>
      </w:r>
    </w:p>
    <w:p w14:paraId="2C22C4E1" w14:textId="77777777"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De esta forma, queda establecido el lineamiento de conformar procesos consultivos y dialógicos para ajustar las prioridades gubernamentales a los intereses y expectativas de la población, procurando una integración de objetivos, comprendiendo que (MIDEPLAN, 2016, p.7):</w:t>
      </w:r>
    </w:p>
    <w:p w14:paraId="4CE7C8E0" w14:textId="77777777" w:rsidR="006F6F84" w:rsidRPr="004577BB" w:rsidRDefault="006F6F84" w:rsidP="006F6F84">
      <w:pPr>
        <w:spacing w:line="360" w:lineRule="auto"/>
        <w:ind w:left="720"/>
        <w:jc w:val="both"/>
        <w:rPr>
          <w:rFonts w:ascii="Times New Roman" w:hAnsi="Times New Roman" w:cs="Times New Roman"/>
          <w:sz w:val="24"/>
          <w:szCs w:val="24"/>
        </w:rPr>
      </w:pPr>
      <w:r w:rsidRPr="004577BB">
        <w:rPr>
          <w:rFonts w:ascii="Times New Roman" w:hAnsi="Times New Roman" w:cs="Times New Roman"/>
          <w:sz w:val="24"/>
          <w:szCs w:val="24"/>
        </w:rPr>
        <w:t xml:space="preserve">Los procesos de diálogo, la participación y la concertación son fundamentales para la elaboración de políticas públicas, ya que los problemas o temas prioritarios que se definen y las experiencias de cómo abordarlos afianzan las bases del compromiso para la selección de objetivos, acciones y metas, que se ejecutarán y formarán parte de la rendición de cuentas, por lo que es recomendable que se prevean estos mecanismos desde el diseño.  En la elaboración de políticas públicas a nivel </w:t>
      </w:r>
      <w:r w:rsidRPr="004577BB">
        <w:rPr>
          <w:rFonts w:ascii="Times New Roman" w:hAnsi="Times New Roman" w:cs="Times New Roman"/>
          <w:sz w:val="24"/>
          <w:szCs w:val="24"/>
        </w:rPr>
        <w:lastRenderedPageBreak/>
        <w:t>metodológico se contempla la realización de los foros de consulta, talleres, mesas de trabajo o de diálogo, entrevistas a grupos, representantes institucionales, de organizaciones, a expertos o conocedores del tema, académicos y se sistematiza información que sustenta la formulación.</w:t>
      </w:r>
    </w:p>
    <w:p w14:paraId="73120ABF" w14:textId="77777777" w:rsidR="006F6F84" w:rsidRPr="004577BB" w:rsidRDefault="006F6F84" w:rsidP="00435D99">
      <w:pPr>
        <w:spacing w:before="240" w:line="360" w:lineRule="auto"/>
        <w:jc w:val="both"/>
        <w:rPr>
          <w:rFonts w:ascii="Times New Roman" w:hAnsi="Times New Roman" w:cs="Times New Roman"/>
          <w:sz w:val="24"/>
          <w:szCs w:val="24"/>
        </w:rPr>
      </w:pPr>
      <w:r w:rsidRPr="004577BB">
        <w:rPr>
          <w:rFonts w:ascii="Times New Roman" w:hAnsi="Times New Roman" w:cs="Times New Roman"/>
          <w:sz w:val="24"/>
          <w:szCs w:val="24"/>
        </w:rPr>
        <w:t>Según explicó Von Marshall (Entrevista personal del 22 de julio de 2021), en MIDEPLAN únicamente se establecen estas pautas generales, dado que la función de este Ministerio es esencialmente asesora, por lo que no le corresponde generar las políticas.  En razón de lo anterior,  cada instancia deberá velar por la aplicación de los instrumentos respectivos, según lo que estimen conveniente, para desarrollar y promover las políticas públicas.  Asimismo, se ha solicitado a las instituciones que lleven a cabo un mapeo de grupos organizados -utilizando como fuente de referencia el listado de organizaciones del Fondo de Población de las Naciones Unidas-, para procurar la construcción de espacios colaborativos.</w:t>
      </w:r>
    </w:p>
    <w:p w14:paraId="16332545" w14:textId="49B64311" w:rsidR="006F6F84" w:rsidRPr="004577BB" w:rsidRDefault="006F6F84" w:rsidP="00435D99">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No obstante, los listados de organizaciones</w:t>
      </w:r>
      <w:r w:rsidR="00AB7D9C">
        <w:rPr>
          <w:rFonts w:ascii="Times New Roman" w:hAnsi="Times New Roman" w:cs="Times New Roman"/>
          <w:sz w:val="24"/>
          <w:szCs w:val="24"/>
        </w:rPr>
        <w:t xml:space="preserve"> civiles</w:t>
      </w:r>
      <w:r w:rsidRPr="004577BB">
        <w:rPr>
          <w:rFonts w:ascii="Times New Roman" w:hAnsi="Times New Roman" w:cs="Times New Roman"/>
          <w:sz w:val="24"/>
          <w:szCs w:val="24"/>
        </w:rPr>
        <w:t xml:space="preserve"> se han generado de manera separada, de acuerdo con las necesidades y procesos definidos por cada una de las instituciones, las cuales a su vez han promovido el desarrollo de talleres para el abordaje de necesidades y expectativas, así como también, para incentivar la participación de la ciudadanía en el proceso de definición de estas políticas.</w:t>
      </w:r>
    </w:p>
    <w:p w14:paraId="4329807D" w14:textId="77777777" w:rsidR="006F6F84" w:rsidRPr="004577BB" w:rsidRDefault="006F6F84" w:rsidP="00435D99">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Es oportuno indicar que de acuerdo con la información obtenida por parte del equipo, gestor de Gobierno abierto, no se han realizado -desde ese eje- iniciativas orientadas a impulsar los procesos de participación ciudadana para la construcción de políticas públicas, dado que han reconocido que este es un tema que está bajo la tutela de MIDEPLAN (Zúñiga, entrevista personal del 26 de mayo de 2021).</w:t>
      </w:r>
    </w:p>
    <w:p w14:paraId="2A330CA2" w14:textId="77777777" w:rsidR="006F6F84" w:rsidRPr="004577BB" w:rsidRDefault="006F6F84" w:rsidP="007D4F81">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En el año 2017 el país se suscribió el Consenso de Montevideo sobre Población y Desarrollo, y específicamente la “Carta Iberoamericana de Participación Ciudadana en la Gestión Pública”, en la cual se establece que los usuarios no deberían limitarse a participar en la fase de revisión de propuestas públicas, sino que deberían involucrarse en la totalidad del proceso: diseño, elaboración, monitoreo, seguimiento, evaluación y rendición de cuentas.  </w:t>
      </w:r>
    </w:p>
    <w:p w14:paraId="037878CC" w14:textId="2604E4EA" w:rsidR="006F6F84" w:rsidRPr="004577BB" w:rsidRDefault="00AB7D9C" w:rsidP="006F6F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su parte, </w:t>
      </w:r>
      <w:r w:rsidR="006F6F84" w:rsidRPr="004577BB">
        <w:rPr>
          <w:rFonts w:ascii="Times New Roman" w:hAnsi="Times New Roman" w:cs="Times New Roman"/>
          <w:sz w:val="24"/>
          <w:szCs w:val="24"/>
        </w:rPr>
        <w:t xml:space="preserve">Von Marshall (Entrevista personal del 22 de julio de 2021) explicó que aunque se han realizado esfuerzos por incentivar la participación y el diálogo colaborativo con la </w:t>
      </w:r>
      <w:r w:rsidR="006F6F84" w:rsidRPr="004577BB">
        <w:rPr>
          <w:rFonts w:ascii="Times New Roman" w:hAnsi="Times New Roman" w:cs="Times New Roman"/>
          <w:sz w:val="24"/>
          <w:szCs w:val="24"/>
        </w:rPr>
        <w:lastRenderedPageBreak/>
        <w:t>ciudadanía, para el impulso de políticas públicas</w:t>
      </w:r>
      <w:r>
        <w:rPr>
          <w:rFonts w:ascii="Times New Roman" w:hAnsi="Times New Roman" w:cs="Times New Roman"/>
          <w:sz w:val="24"/>
          <w:szCs w:val="24"/>
        </w:rPr>
        <w:t>;</w:t>
      </w:r>
      <w:r w:rsidR="006F6F84" w:rsidRPr="004577BB">
        <w:rPr>
          <w:rFonts w:ascii="Times New Roman" w:hAnsi="Times New Roman" w:cs="Times New Roman"/>
          <w:sz w:val="24"/>
          <w:szCs w:val="24"/>
        </w:rPr>
        <w:t xml:space="preserve"> esta ha sido una línea de trabajo muy reciente (2017) y hasta ahora los esfuerzos han sido muy aislados.  Asimismo, agregó que hasta la fecha no existen espacios regulares o foros para discutir sobre necesidades ciudadanas y en su defecto, sobre políticas públicas, ni se ha logrado desarrollar un proceso suficientemente integrado a nivel institucional, dado que las organizaciones tienen cierta libertad de acción y no siempre se apegan a los lineamientos de revisión que se establecen en el Decreto 37735-PLAN, por lo que considera que sería importante reforzar el marco normativo.</w:t>
      </w:r>
    </w:p>
    <w:p w14:paraId="3FBEEAB3" w14:textId="1C69A4B6" w:rsidR="006F6F84" w:rsidRPr="004577BB" w:rsidRDefault="00AB7D9C" w:rsidP="006F6F84">
      <w:pPr>
        <w:spacing w:line="360" w:lineRule="auto"/>
        <w:jc w:val="both"/>
        <w:rPr>
          <w:rFonts w:ascii="Times New Roman" w:hAnsi="Times New Roman" w:cs="Times New Roman"/>
          <w:sz w:val="24"/>
          <w:szCs w:val="24"/>
        </w:rPr>
      </w:pPr>
      <w:r>
        <w:rPr>
          <w:rFonts w:ascii="Times New Roman" w:hAnsi="Times New Roman" w:cs="Times New Roman"/>
          <w:sz w:val="24"/>
          <w:szCs w:val="24"/>
        </w:rPr>
        <w:t>Pese a lo anterior, e</w:t>
      </w:r>
      <w:r w:rsidR="006F6F84" w:rsidRPr="004577BB">
        <w:rPr>
          <w:rFonts w:ascii="Times New Roman" w:hAnsi="Times New Roman" w:cs="Times New Roman"/>
          <w:sz w:val="24"/>
          <w:szCs w:val="24"/>
        </w:rPr>
        <w:t>n el sitio web de MIDEPLAN se cuenta con un repositorio electrónico  de las políticas pública que han sido emitidas en el país (</w:t>
      </w:r>
      <w:hyperlink r:id="rId8" w:tgtFrame="_blank" w:history="1">
        <w:r w:rsidR="006F6F84" w:rsidRPr="004577BB">
          <w:rPr>
            <w:rFonts w:ascii="Times New Roman" w:hAnsi="Times New Roman" w:cs="Times New Roman"/>
            <w:sz w:val="24"/>
            <w:szCs w:val="24"/>
          </w:rPr>
          <w:t>https://repositorio-snp.mideplan.go.cr/</w:t>
        </w:r>
      </w:hyperlink>
      <w:r w:rsidR="006F6F84" w:rsidRPr="004577BB">
        <w:rPr>
          <w:rFonts w:ascii="Times New Roman" w:hAnsi="Times New Roman" w:cs="Times New Roman"/>
          <w:sz w:val="24"/>
          <w:szCs w:val="24"/>
        </w:rPr>
        <w:t>), y también se cuenta con un espacio en el sitio donde se detalla un registro de los informes derivados de las asesorías brindadas por la institución (</w:t>
      </w:r>
      <w:hyperlink r:id="rId9" w:history="1">
        <w:r w:rsidR="006F6F84" w:rsidRPr="004577BB">
          <w:rPr>
            <w:rFonts w:ascii="Times New Roman" w:hAnsi="Times New Roman" w:cs="Times New Roman"/>
            <w:sz w:val="24"/>
            <w:szCs w:val="24"/>
          </w:rPr>
          <w:t>https://www.mideplan.go.cr/politicas-publicas</w:t>
        </w:r>
      </w:hyperlink>
      <w:r w:rsidR="006F6F84" w:rsidRPr="004577BB">
        <w:rPr>
          <w:rFonts w:ascii="Times New Roman" w:hAnsi="Times New Roman" w:cs="Times New Roman"/>
          <w:sz w:val="24"/>
          <w:szCs w:val="24"/>
        </w:rPr>
        <w:t>).</w:t>
      </w:r>
    </w:p>
    <w:p w14:paraId="1A3E9E89" w14:textId="3B21287C"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Durante los años 2018 y 2019, de acuerdo con la información disponible en el repositorio de políticas públicas de MIDEPLAN (2021), se lograron contabilizar 13 políticas, las cuales están vinculadas a los temas de: prevención de la violencia contra las mujeres; política nacional de evaluación; conservación de documentos; digitalización de documentos; recreación y deporte; niñez y adolescencia; envejecimiento saludable; responsabilidad social; biodiversidad; igualdad de género y conservación de documentos.  No obstante, y pese a que muchas de estas políticas contemplan dentro de sus lineamientos la participación ciudadanía, o bien de grupos específicos (mujeres, niños, adolescentes, adultos mayores, o bien sectores específicos) para orientar la acción pública y privada,  no citan o muestran evidencias de haber realizado procesos participativos o colaborativos en la práctica para la definición de los temas a tratar, o la construcción de los respectivos documentos, sino que en apariencia han sido procesos de consulta pública para la validación de los textos pre-elaborados.</w:t>
      </w:r>
    </w:p>
    <w:p w14:paraId="6F54A883" w14:textId="1BE0A02D"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Lo anterior, de acuerdo con lo que propone Mori (2009, pp. 164-165) constituye una verticalización de la agenda, donde se descolocan los intereses y prioridades de los diversos sectores, aún y cuando posteriormente a la definición de los temas generales, esté contemplada la participación ciudadana y los procesos consultivos.  </w:t>
      </w:r>
    </w:p>
    <w:p w14:paraId="1DD19304" w14:textId="605E6A0C"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lastRenderedPageBreak/>
        <w:t>En este mismo orden de ideas, y según lo que estipula la OCDE (Gramberger, 2006, p.18), la ciudadanía debe “participar activamente en la toma de decisiones y en la elaboración de políticas públicas”, comprendiendo una integralidad en este proceso colaborativo y dialógico que pasa desde la reflexión de las necesidades y prioridades de la población, el vínculo con los lineamientos y prioridades gubernamentales, y la creación de espacios de discusión y análisis que dan paso a la construcción de consensos, los cuales culminan con la definición de las políticas y el proceso de implementación de las mismas.</w:t>
      </w:r>
    </w:p>
    <w:p w14:paraId="0C01C9D0" w14:textId="21173F95"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La metodología participativa promueve la integración de múltiples visiones y perspectivas, con el propósito de impulsar una construcción de políticas más sólidas, inclusivas e integrales, lo que su vez permite generar una mayor legitimación de la acción gubernamental y un desempeño más eficaz en su implementación.</w:t>
      </w:r>
    </w:p>
    <w:p w14:paraId="3BA7DD5F" w14:textId="13EEECDB"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No obstante, este proceso requiere de la construcción de una estructura que permita consolidar la articulación continua de esfuerzos entre el Gobierno y la ciudadanía, a través de mecanismos y canales de información, diálogo, construcción y evaluación (Gramberger, 2006, pp. 34-36).</w:t>
      </w:r>
    </w:p>
    <w:p w14:paraId="31E450D1" w14:textId="50014A1A"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Asimismo, la CEPAL (2017, p.8) reconoce que las nuevas formas de gestión pública implican “políticas de transparencia y canales de participación ciudadana para el diseño e implementación de las políticas públicas”, con el fin de capitalizar no solo el conocimiento colectivo, sino también, el aprovechamiento de las capacidades, experiencia y anuencia de la sociedad para participar en la búsqueda de soluciones para los problemas comunes, siendo esta la base para consolidar puntos de encuentro entre el Estado y la ciudadanía como partes de un mismo sistema.</w:t>
      </w:r>
    </w:p>
    <w:p w14:paraId="1EFD2A75" w14:textId="5C84984B"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Por su parte, el OGP (s.f., párr.1) considera “la participación ciudadana como el elemento central de los gobiernos abiertos”, reconociendo la acción colaborativa como el elemento esencial para alcanzar la solidez y sostenibilidad en la toma de decisiones.  De hecho, no solo consigna la importancia de la participación en la elaboración de políticas públicas, sino también en el marco de todos los procesos derivados del Modelo de Gobierno abierto, teniendo en consideración que la rendición de cuentas y la apertura de datos cumplen su </w:t>
      </w:r>
      <w:r w:rsidRPr="004577BB">
        <w:rPr>
          <w:rFonts w:ascii="Times New Roman" w:hAnsi="Times New Roman" w:cs="Times New Roman"/>
          <w:sz w:val="24"/>
          <w:szCs w:val="24"/>
        </w:rPr>
        <w:lastRenderedPageBreak/>
        <w:t>objetivo en tanto existan partes y contrapartes ejerciendo su función emisora, receptora y analítica respectivamente.</w:t>
      </w:r>
    </w:p>
    <w:p w14:paraId="71529DBF" w14:textId="77649C08"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De manera complementaria a lo anterior, y con el objetivo de identificar los mecanismos y procedimientos que se han venido articulando en el Poder Ejecutivo Central para la construcción de políticas públicas, se llevó a cabo un sondeo con</w:t>
      </w:r>
      <w:r w:rsidR="00530D2C">
        <w:rPr>
          <w:rFonts w:ascii="Times New Roman" w:hAnsi="Times New Roman" w:cs="Times New Roman"/>
          <w:sz w:val="24"/>
          <w:szCs w:val="24"/>
        </w:rPr>
        <w:t xml:space="preserve"> 28</w:t>
      </w:r>
      <w:r w:rsidRPr="004577BB">
        <w:rPr>
          <w:rFonts w:ascii="Times New Roman" w:hAnsi="Times New Roman" w:cs="Times New Roman"/>
          <w:sz w:val="24"/>
          <w:szCs w:val="24"/>
        </w:rPr>
        <w:t xml:space="preserve"> funcionarios de los 24 Ministerios</w:t>
      </w:r>
      <w:r w:rsidRPr="004577BB">
        <w:rPr>
          <w:rStyle w:val="Refdenotaalpie"/>
          <w:rFonts w:ascii="Times New Roman" w:hAnsi="Times New Roman" w:cs="Times New Roman"/>
          <w:sz w:val="24"/>
          <w:szCs w:val="24"/>
        </w:rPr>
        <w:footnoteReference w:id="2"/>
      </w:r>
      <w:r w:rsidRPr="004577BB">
        <w:rPr>
          <w:rFonts w:ascii="Times New Roman" w:hAnsi="Times New Roman" w:cs="Times New Roman"/>
          <w:sz w:val="24"/>
          <w:szCs w:val="24"/>
        </w:rPr>
        <w:t xml:space="preserve"> -como ya se indicó anteriormente-, el cual permitió identificar los hallazgos que se detallan de seguido. </w:t>
      </w:r>
    </w:p>
    <w:p w14:paraId="097AA106" w14:textId="6726F0B3" w:rsidR="006F6F84" w:rsidRDefault="00530D2C" w:rsidP="006F6F84">
      <w:pPr>
        <w:spacing w:line="360" w:lineRule="auto"/>
        <w:jc w:val="both"/>
        <w:rPr>
          <w:rFonts w:ascii="Times New Roman" w:hAnsi="Times New Roman" w:cs="Times New Roman"/>
          <w:sz w:val="24"/>
          <w:szCs w:val="24"/>
        </w:rPr>
      </w:pPr>
      <w:r>
        <w:rPr>
          <w:rFonts w:ascii="Times New Roman" w:hAnsi="Times New Roman" w:cs="Times New Roman"/>
          <w:sz w:val="24"/>
          <w:szCs w:val="24"/>
        </w:rPr>
        <w:t>Como primer elemento, s</w:t>
      </w:r>
      <w:r w:rsidR="006F6F84" w:rsidRPr="004577BB">
        <w:rPr>
          <w:rFonts w:ascii="Times New Roman" w:hAnsi="Times New Roman" w:cs="Times New Roman"/>
          <w:sz w:val="24"/>
          <w:szCs w:val="24"/>
        </w:rPr>
        <w:t>e consultó a las personas encuestadas si conocían la “Guía Nacional de Políticas Públicas” elaborada por MIDEPLAN, dado que este documento ofrece lineamientos detallados para la construcción de este tipo de pautas.  En este documento se especifica la necesidad y pertinencia de incorporar la participación ciudadana, no solo a nivel consultivo, sino en todas las fases de conceptualización y desarrollo de las políticas públicas (MIDEPLAN, 2016), tal y como lo promueve la OCDE, según indica Gramberger (2006, pp. 34-36).  La mayoría de las personas funcionarias</w:t>
      </w:r>
      <w:r w:rsidR="002F7283">
        <w:rPr>
          <w:rFonts w:ascii="Times New Roman" w:hAnsi="Times New Roman" w:cs="Times New Roman"/>
          <w:sz w:val="24"/>
          <w:szCs w:val="24"/>
        </w:rPr>
        <w:t xml:space="preserve"> (83%)</w:t>
      </w:r>
      <w:r w:rsidR="006F6F84" w:rsidRPr="004577BB">
        <w:rPr>
          <w:rFonts w:ascii="Times New Roman" w:hAnsi="Times New Roman" w:cs="Times New Roman"/>
          <w:sz w:val="24"/>
          <w:szCs w:val="24"/>
        </w:rPr>
        <w:t xml:space="preserve"> afirmó conocer el instrumento, según se detalla en la figura </w:t>
      </w:r>
      <w:r w:rsidR="007D4F81">
        <w:rPr>
          <w:rFonts w:ascii="Times New Roman" w:hAnsi="Times New Roman" w:cs="Times New Roman"/>
          <w:sz w:val="24"/>
          <w:szCs w:val="24"/>
        </w:rPr>
        <w:t>1</w:t>
      </w:r>
      <w:r w:rsidR="006F6F84" w:rsidRPr="004577BB">
        <w:rPr>
          <w:rFonts w:ascii="Times New Roman" w:hAnsi="Times New Roman" w:cs="Times New Roman"/>
          <w:sz w:val="24"/>
          <w:szCs w:val="24"/>
        </w:rPr>
        <w:t>.</w:t>
      </w:r>
    </w:p>
    <w:p w14:paraId="67F05168" w14:textId="096FEF81" w:rsidR="00530D2C" w:rsidRDefault="00530D2C" w:rsidP="006F6F84">
      <w:pPr>
        <w:spacing w:line="360" w:lineRule="auto"/>
        <w:jc w:val="both"/>
        <w:rPr>
          <w:rFonts w:ascii="Times New Roman" w:hAnsi="Times New Roman" w:cs="Times New Roman"/>
          <w:sz w:val="24"/>
          <w:szCs w:val="24"/>
        </w:rPr>
      </w:pPr>
    </w:p>
    <w:p w14:paraId="2643F0D8" w14:textId="177B652A" w:rsidR="00530D2C" w:rsidRDefault="00530D2C" w:rsidP="006F6F84">
      <w:pPr>
        <w:spacing w:line="360" w:lineRule="auto"/>
        <w:jc w:val="both"/>
        <w:rPr>
          <w:rFonts w:ascii="Times New Roman" w:hAnsi="Times New Roman" w:cs="Times New Roman"/>
          <w:sz w:val="24"/>
          <w:szCs w:val="24"/>
        </w:rPr>
      </w:pPr>
    </w:p>
    <w:p w14:paraId="73E4B5CD" w14:textId="281F667F" w:rsidR="00530D2C" w:rsidRDefault="00530D2C" w:rsidP="006F6F84">
      <w:pPr>
        <w:spacing w:line="360" w:lineRule="auto"/>
        <w:jc w:val="both"/>
        <w:rPr>
          <w:rFonts w:ascii="Times New Roman" w:hAnsi="Times New Roman" w:cs="Times New Roman"/>
          <w:sz w:val="24"/>
          <w:szCs w:val="24"/>
        </w:rPr>
      </w:pPr>
    </w:p>
    <w:p w14:paraId="57ABD4B3" w14:textId="760BCA90" w:rsidR="00530D2C" w:rsidRDefault="00530D2C" w:rsidP="006F6F84">
      <w:pPr>
        <w:spacing w:line="360" w:lineRule="auto"/>
        <w:jc w:val="both"/>
        <w:rPr>
          <w:rFonts w:ascii="Times New Roman" w:hAnsi="Times New Roman" w:cs="Times New Roman"/>
          <w:sz w:val="24"/>
          <w:szCs w:val="24"/>
        </w:rPr>
      </w:pPr>
    </w:p>
    <w:p w14:paraId="3D66F9F6" w14:textId="329031C1" w:rsidR="00530D2C" w:rsidRDefault="00530D2C" w:rsidP="006F6F84">
      <w:pPr>
        <w:spacing w:line="360" w:lineRule="auto"/>
        <w:jc w:val="both"/>
        <w:rPr>
          <w:rFonts w:ascii="Times New Roman" w:hAnsi="Times New Roman" w:cs="Times New Roman"/>
          <w:sz w:val="24"/>
          <w:szCs w:val="24"/>
        </w:rPr>
      </w:pPr>
    </w:p>
    <w:p w14:paraId="60D1755B" w14:textId="5E8FFF65" w:rsidR="00530D2C" w:rsidRDefault="00530D2C" w:rsidP="006F6F84">
      <w:pPr>
        <w:spacing w:line="360" w:lineRule="auto"/>
        <w:jc w:val="both"/>
        <w:rPr>
          <w:rFonts w:ascii="Times New Roman" w:hAnsi="Times New Roman" w:cs="Times New Roman"/>
          <w:sz w:val="24"/>
          <w:szCs w:val="24"/>
        </w:rPr>
      </w:pPr>
    </w:p>
    <w:p w14:paraId="5545AFA4" w14:textId="6D6FFA45" w:rsidR="00530D2C" w:rsidRDefault="00530D2C" w:rsidP="006F6F84">
      <w:pPr>
        <w:spacing w:line="360" w:lineRule="auto"/>
        <w:jc w:val="both"/>
        <w:rPr>
          <w:rFonts w:ascii="Times New Roman" w:hAnsi="Times New Roman" w:cs="Times New Roman"/>
          <w:sz w:val="24"/>
          <w:szCs w:val="24"/>
        </w:rPr>
      </w:pPr>
    </w:p>
    <w:p w14:paraId="47702523" w14:textId="77777777" w:rsidR="00530D2C" w:rsidRDefault="00530D2C" w:rsidP="006F6F84">
      <w:pPr>
        <w:pStyle w:val="Figura1"/>
      </w:pPr>
    </w:p>
    <w:p w14:paraId="408027BD" w14:textId="075AF4DB" w:rsidR="006F6F84" w:rsidRPr="004577BB" w:rsidRDefault="006F6F84" w:rsidP="006F6F84">
      <w:pPr>
        <w:pStyle w:val="Figura1"/>
      </w:pPr>
      <w:r w:rsidRPr="004577BB">
        <w:lastRenderedPageBreak/>
        <w:t xml:space="preserve">Figura </w:t>
      </w:r>
      <w:r w:rsidR="007D4F81">
        <w:t>1</w:t>
      </w:r>
    </w:p>
    <w:p w14:paraId="0F815F38" w14:textId="77777777" w:rsidR="006F6F84" w:rsidRPr="004577BB" w:rsidRDefault="006F6F84" w:rsidP="006F6F84">
      <w:pPr>
        <w:pStyle w:val="Figura1"/>
      </w:pPr>
      <w:bookmarkStart w:id="0" w:name="_Hlk83466641"/>
      <w:r w:rsidRPr="004577BB">
        <w:t>Conocimiento de la “Guía de elaboración de Políticas Públicas” de MIDEPLAN</w:t>
      </w:r>
    </w:p>
    <w:p w14:paraId="712EADD9" w14:textId="77777777" w:rsidR="006F6F84" w:rsidRPr="004577BB" w:rsidRDefault="006F6F84" w:rsidP="006F6F84">
      <w:pPr>
        <w:pStyle w:val="Figura1"/>
      </w:pPr>
      <w:r w:rsidRPr="004577BB">
        <w:t>(Valores absolutos)</w:t>
      </w:r>
    </w:p>
    <w:bookmarkEnd w:id="0"/>
    <w:p w14:paraId="26D05B1D" w14:textId="77777777" w:rsidR="006F6F84" w:rsidRPr="004577BB" w:rsidRDefault="006F6F84" w:rsidP="006F6F84">
      <w:pPr>
        <w:spacing w:line="360" w:lineRule="auto"/>
        <w:jc w:val="center"/>
        <w:rPr>
          <w:rFonts w:ascii="Times New Roman" w:hAnsi="Times New Roman" w:cs="Times New Roman"/>
          <w:sz w:val="24"/>
          <w:szCs w:val="24"/>
        </w:rPr>
      </w:pPr>
      <w:r w:rsidRPr="004577BB">
        <w:rPr>
          <w:rFonts w:ascii="Times New Roman" w:hAnsi="Times New Roman" w:cs="Times New Roman"/>
          <w:noProof/>
        </w:rPr>
        <w:drawing>
          <wp:inline distT="0" distB="0" distL="0" distR="0" wp14:anchorId="1CEABDD3" wp14:editId="74811281">
            <wp:extent cx="4432508" cy="2579427"/>
            <wp:effectExtent l="0" t="0" r="6350" b="11430"/>
            <wp:docPr id="8" name="Chart 8">
              <a:extLst xmlns:a="http://schemas.openxmlformats.org/drawingml/2006/main">
                <a:ext uri="{FF2B5EF4-FFF2-40B4-BE49-F238E27FC236}">
                  <a16:creationId xmlns:a16="http://schemas.microsoft.com/office/drawing/2014/main" id="{418B4CEC-43AA-474C-A207-BD2B2EEEAB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24435FD" w14:textId="77777777"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ab/>
      </w:r>
      <w:r w:rsidRPr="004577BB">
        <w:rPr>
          <w:rFonts w:ascii="Times New Roman" w:hAnsi="Times New Roman" w:cs="Times New Roman"/>
          <w:sz w:val="24"/>
          <w:szCs w:val="24"/>
        </w:rPr>
        <w:tab/>
        <w:t>Fuente:  elaboración propia, 2021</w:t>
      </w:r>
    </w:p>
    <w:p w14:paraId="2DD7E535" w14:textId="55664D1B" w:rsidR="006F6F84"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Es oportuno indicar que a pesar de que las personas encuestadas tienen una vinculación directa con la planificación de las respectivas instituciones</w:t>
      </w:r>
      <w:r w:rsidR="002F7283">
        <w:rPr>
          <w:rFonts w:ascii="Times New Roman" w:hAnsi="Times New Roman" w:cs="Times New Roman"/>
          <w:sz w:val="24"/>
          <w:szCs w:val="24"/>
        </w:rPr>
        <w:t>, debido a</w:t>
      </w:r>
      <w:r w:rsidRPr="004577BB">
        <w:rPr>
          <w:rFonts w:ascii="Times New Roman" w:hAnsi="Times New Roman" w:cs="Times New Roman"/>
          <w:sz w:val="24"/>
          <w:szCs w:val="24"/>
        </w:rPr>
        <w:t xml:space="preserve"> las posiciones que ocupan, lo que a su vez les vincula con la gestión de políticas públicas en los respectivos quehaceres organizacionales</w:t>
      </w:r>
      <w:r w:rsidR="002F7283">
        <w:rPr>
          <w:rFonts w:ascii="Times New Roman" w:hAnsi="Times New Roman" w:cs="Times New Roman"/>
          <w:sz w:val="24"/>
          <w:szCs w:val="24"/>
        </w:rPr>
        <w:t xml:space="preserve">.  No obstante, </w:t>
      </w:r>
      <w:r w:rsidRPr="004577BB">
        <w:rPr>
          <w:rFonts w:ascii="Times New Roman" w:hAnsi="Times New Roman" w:cs="Times New Roman"/>
          <w:sz w:val="24"/>
          <w:szCs w:val="24"/>
        </w:rPr>
        <w:t xml:space="preserve">hay 5 personas que afirmaron desconocer esta guía, y según se desprende de las preguntas siguientes, también han desconocido -en una frecuencia similar de menciones-, los procesos relativos a esta materia, según se detalla en las figuras </w:t>
      </w:r>
      <w:r w:rsidR="007D4F81">
        <w:rPr>
          <w:rFonts w:ascii="Times New Roman" w:hAnsi="Times New Roman" w:cs="Times New Roman"/>
          <w:sz w:val="24"/>
          <w:szCs w:val="24"/>
        </w:rPr>
        <w:t>2 y 3</w:t>
      </w:r>
      <w:r w:rsidRPr="004577BB">
        <w:rPr>
          <w:rFonts w:ascii="Times New Roman" w:hAnsi="Times New Roman" w:cs="Times New Roman"/>
          <w:sz w:val="24"/>
          <w:szCs w:val="24"/>
        </w:rPr>
        <w:t>.</w:t>
      </w:r>
    </w:p>
    <w:p w14:paraId="50A8E085" w14:textId="79BA34BD" w:rsidR="002F7283" w:rsidRDefault="002F7283" w:rsidP="006F6F84">
      <w:pPr>
        <w:spacing w:line="360" w:lineRule="auto"/>
        <w:jc w:val="both"/>
        <w:rPr>
          <w:rFonts w:ascii="Times New Roman" w:hAnsi="Times New Roman" w:cs="Times New Roman"/>
          <w:sz w:val="24"/>
          <w:szCs w:val="24"/>
        </w:rPr>
      </w:pPr>
    </w:p>
    <w:p w14:paraId="77864279" w14:textId="74B11A0F" w:rsidR="002F7283" w:rsidRDefault="002F7283" w:rsidP="006F6F84">
      <w:pPr>
        <w:spacing w:line="360" w:lineRule="auto"/>
        <w:jc w:val="both"/>
        <w:rPr>
          <w:rFonts w:ascii="Times New Roman" w:hAnsi="Times New Roman" w:cs="Times New Roman"/>
          <w:sz w:val="24"/>
          <w:szCs w:val="24"/>
        </w:rPr>
      </w:pPr>
    </w:p>
    <w:p w14:paraId="4941A643" w14:textId="76943912" w:rsidR="002F7283" w:rsidRDefault="002F7283" w:rsidP="006F6F84">
      <w:pPr>
        <w:spacing w:line="360" w:lineRule="auto"/>
        <w:jc w:val="both"/>
        <w:rPr>
          <w:rFonts w:ascii="Times New Roman" w:hAnsi="Times New Roman" w:cs="Times New Roman"/>
          <w:sz w:val="24"/>
          <w:szCs w:val="24"/>
        </w:rPr>
      </w:pPr>
    </w:p>
    <w:p w14:paraId="2F5E547C" w14:textId="50DBF715" w:rsidR="002F7283" w:rsidRDefault="002F7283" w:rsidP="006F6F84">
      <w:pPr>
        <w:spacing w:line="360" w:lineRule="auto"/>
        <w:jc w:val="both"/>
        <w:rPr>
          <w:rFonts w:ascii="Times New Roman" w:hAnsi="Times New Roman" w:cs="Times New Roman"/>
          <w:sz w:val="24"/>
          <w:szCs w:val="24"/>
        </w:rPr>
      </w:pPr>
    </w:p>
    <w:p w14:paraId="21A2B8E6" w14:textId="7A9C01FA" w:rsidR="002F7283" w:rsidRDefault="002F7283" w:rsidP="006F6F84">
      <w:pPr>
        <w:spacing w:line="360" w:lineRule="auto"/>
        <w:jc w:val="both"/>
        <w:rPr>
          <w:rFonts w:ascii="Times New Roman" w:hAnsi="Times New Roman" w:cs="Times New Roman"/>
          <w:sz w:val="24"/>
          <w:szCs w:val="24"/>
        </w:rPr>
      </w:pPr>
    </w:p>
    <w:p w14:paraId="4E04DD63" w14:textId="77777777" w:rsidR="002F7283" w:rsidRPr="004577BB" w:rsidRDefault="002F7283" w:rsidP="006F6F84">
      <w:pPr>
        <w:spacing w:line="360" w:lineRule="auto"/>
        <w:jc w:val="both"/>
        <w:rPr>
          <w:rFonts w:ascii="Times New Roman" w:hAnsi="Times New Roman" w:cs="Times New Roman"/>
          <w:sz w:val="24"/>
          <w:szCs w:val="24"/>
        </w:rPr>
      </w:pPr>
    </w:p>
    <w:p w14:paraId="4E80E1DE" w14:textId="77777777" w:rsidR="006F6F84" w:rsidRDefault="006F6F84" w:rsidP="006F6F84">
      <w:pPr>
        <w:pStyle w:val="Figura1"/>
      </w:pPr>
    </w:p>
    <w:p w14:paraId="274D8261" w14:textId="7DF2D8D7" w:rsidR="006F6F84" w:rsidRPr="004577BB" w:rsidRDefault="006F6F84" w:rsidP="006F6F84">
      <w:pPr>
        <w:pStyle w:val="Figura1"/>
      </w:pPr>
      <w:r w:rsidRPr="004577BB">
        <w:lastRenderedPageBreak/>
        <w:t xml:space="preserve">Figura </w:t>
      </w:r>
      <w:r w:rsidR="007D4F81">
        <w:t>2</w:t>
      </w:r>
    </w:p>
    <w:p w14:paraId="638F83AD" w14:textId="77777777" w:rsidR="006F6F84" w:rsidRPr="004577BB" w:rsidRDefault="006F6F84" w:rsidP="006F6F84">
      <w:pPr>
        <w:pStyle w:val="Figura1"/>
      </w:pPr>
      <w:bookmarkStart w:id="1" w:name="_Hlk83466676"/>
      <w:r w:rsidRPr="004577BB">
        <w:t>¿Se han promovido políticas públicas desde la institución que usted representa?</w:t>
      </w:r>
    </w:p>
    <w:p w14:paraId="13BB65C8" w14:textId="77777777" w:rsidR="006F6F84" w:rsidRPr="004577BB" w:rsidRDefault="006F6F84" w:rsidP="006F6F84">
      <w:pPr>
        <w:pStyle w:val="Figura1"/>
      </w:pPr>
      <w:r w:rsidRPr="004577BB">
        <w:t>(Valores absolutos)</w:t>
      </w:r>
    </w:p>
    <w:bookmarkEnd w:id="1"/>
    <w:p w14:paraId="173C6CA5" w14:textId="77777777" w:rsidR="006F6F84" w:rsidRPr="004577BB" w:rsidRDefault="006F6F84" w:rsidP="006F6F84">
      <w:pPr>
        <w:pStyle w:val="Figura1"/>
      </w:pPr>
    </w:p>
    <w:p w14:paraId="0420B842" w14:textId="77777777" w:rsidR="006F6F84" w:rsidRPr="004577BB" w:rsidRDefault="006F6F84" w:rsidP="006F6F84">
      <w:pPr>
        <w:pStyle w:val="Figura1"/>
      </w:pPr>
      <w:r w:rsidRPr="004577BB">
        <w:rPr>
          <w:noProof/>
        </w:rPr>
        <w:drawing>
          <wp:inline distT="0" distB="0" distL="0" distR="0" wp14:anchorId="16AFCA50" wp14:editId="70F124D1">
            <wp:extent cx="4573511" cy="2737153"/>
            <wp:effectExtent l="0" t="0" r="17780" b="6350"/>
            <wp:docPr id="48" name="Chart 48">
              <a:extLst xmlns:a="http://schemas.openxmlformats.org/drawingml/2006/main">
                <a:ext uri="{FF2B5EF4-FFF2-40B4-BE49-F238E27FC236}">
                  <a16:creationId xmlns:a16="http://schemas.microsoft.com/office/drawing/2014/main" id="{434328BD-349C-43FA-81F4-03B00504A1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64965EF" w14:textId="77777777" w:rsidR="006F6F84" w:rsidRPr="004577BB" w:rsidRDefault="006F6F84" w:rsidP="006F6F84">
      <w:pPr>
        <w:spacing w:line="360" w:lineRule="auto"/>
        <w:ind w:firstLine="360"/>
        <w:rPr>
          <w:rFonts w:ascii="Times New Roman" w:hAnsi="Times New Roman" w:cs="Times New Roman"/>
          <w:sz w:val="24"/>
          <w:szCs w:val="24"/>
        </w:rPr>
      </w:pPr>
      <w:r w:rsidRPr="004577BB">
        <w:rPr>
          <w:rFonts w:ascii="Times New Roman" w:hAnsi="Times New Roman" w:cs="Times New Roman"/>
          <w:sz w:val="24"/>
          <w:szCs w:val="24"/>
        </w:rPr>
        <w:t xml:space="preserve">         Fuente:  elaboración propia, 2021</w:t>
      </w:r>
    </w:p>
    <w:p w14:paraId="78D8773C" w14:textId="1C9B1394"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Tal y como se indicó en el punto anterior, se evidencia de que a pesar de que los ejes de acción de los Ministerios son esenciales para el desarrollo de política pública en sus diversas áreas de gestión, hay dos personas que afirman que las instituciones a las que pertenecen no han generado </w:t>
      </w:r>
      <w:r w:rsidR="0061523F">
        <w:rPr>
          <w:rFonts w:ascii="Times New Roman" w:hAnsi="Times New Roman" w:cs="Times New Roman"/>
          <w:sz w:val="24"/>
          <w:szCs w:val="24"/>
        </w:rPr>
        <w:t>este tipo de acciones</w:t>
      </w:r>
      <w:r w:rsidRPr="004577BB">
        <w:rPr>
          <w:rFonts w:ascii="Times New Roman" w:hAnsi="Times New Roman" w:cs="Times New Roman"/>
          <w:sz w:val="24"/>
          <w:szCs w:val="24"/>
        </w:rPr>
        <w:t>, y una que afirma desconocer si lo ha hecho o no.</w:t>
      </w:r>
    </w:p>
    <w:p w14:paraId="23632AEA" w14:textId="77777777"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ab/>
        <w:t>Dentro de las personas que afirmaron que las instituciones que representan sí han emitido políticas públicas, se pudo extraer que han venido proponiendo esfuerzos en las siguientes áreas:</w:t>
      </w:r>
    </w:p>
    <w:p w14:paraId="2E721F10" w14:textId="77777777" w:rsidR="006F6F84" w:rsidRPr="004577BB" w:rsidRDefault="006F6F84" w:rsidP="006F6F84">
      <w:pPr>
        <w:pStyle w:val="Ttulo5"/>
        <w:numPr>
          <w:ilvl w:val="0"/>
          <w:numId w:val="30"/>
        </w:numPr>
        <w:tabs>
          <w:tab w:val="num" w:pos="360"/>
        </w:tabs>
        <w:spacing w:before="0" w:line="360" w:lineRule="auto"/>
        <w:ind w:left="1260" w:hanging="540"/>
        <w:rPr>
          <w:rFonts w:cs="Times New Roman"/>
          <w:sz w:val="24"/>
          <w:szCs w:val="24"/>
          <w:lang w:val="es-CR"/>
        </w:rPr>
      </w:pPr>
      <w:r w:rsidRPr="004577BB">
        <w:rPr>
          <w:rFonts w:cs="Times New Roman"/>
          <w:sz w:val="24"/>
          <w:szCs w:val="24"/>
          <w:lang w:val="es-CR"/>
        </w:rPr>
        <w:lastRenderedPageBreak/>
        <w:t>Ordenamiento Territorial, Desarrollo Urbano y Vivienda.</w:t>
      </w:r>
    </w:p>
    <w:p w14:paraId="6B1E6A4C"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Emprendimiento Joven.  Pueblos Indígenas.</w:t>
      </w:r>
    </w:p>
    <w:p w14:paraId="08E0DC60"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de Responsabilidad Social y Política Nacional de Empresarialidad.</w:t>
      </w:r>
    </w:p>
    <w:p w14:paraId="3572FE9B" w14:textId="77777777" w:rsidR="006F6F84"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Penitenciaria; Política para la Prevención de la Violencia y Promoción de la Paz.</w:t>
      </w:r>
    </w:p>
    <w:p w14:paraId="2F432902"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Información Pública.</w:t>
      </w:r>
    </w:p>
    <w:p w14:paraId="3E88ED38"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Políticas Desarrollo Rural Territorial.</w:t>
      </w:r>
    </w:p>
    <w:p w14:paraId="26015FBA"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de no Violencia y Política de Igualdad y Equidad entre Mujeres y Hombres.</w:t>
      </w:r>
    </w:p>
    <w:p w14:paraId="1DC22901"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de Cooperación Internacional y Política Nacional de Evaluación.</w:t>
      </w:r>
    </w:p>
    <w:p w14:paraId="3CABDB50"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Nacional para la Gestión Integral de Residuos 2010-2021.</w:t>
      </w:r>
    </w:p>
    <w:p w14:paraId="28095EA3"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Nacional de Derechos Culturales, Política de la Persona Joven.</w:t>
      </w:r>
    </w:p>
    <w:p w14:paraId="0A804D23"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Políticas en el marco del desarrollo sostenible.</w:t>
      </w:r>
    </w:p>
    <w:p w14:paraId="771BFAD9"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Políticas de Reordenamiento Territorial 2012-2040; Política Nacional de Vivienda y Asentamientos Humanos 2013-2030; Política Nacional de Desarrollo Urbano 2018-2030 y se encuentra en curso la definición de la nueva Política de Ordenamiento Territorial, Desarrollo Urbano y Vivienda.</w:t>
      </w:r>
    </w:p>
    <w:p w14:paraId="07734D73"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Plan Nacional de Desarrollo de las Telecomunicaciones.</w:t>
      </w:r>
    </w:p>
    <w:p w14:paraId="6D6ED691"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sobre el Acceso a Información Pública (Decreto No.40200).</w:t>
      </w:r>
    </w:p>
    <w:p w14:paraId="502A75CE"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Nacional para una Sociedad Libre de Racismo, Discriminación Racional y Xenofobia 2014-2025.</w:t>
      </w:r>
    </w:p>
    <w:p w14:paraId="07F646DE"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Nacional para la Gestión de Residuos 2010-2021.</w:t>
      </w:r>
    </w:p>
    <w:p w14:paraId="18385B77"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de Estado para el Sector Agroalimentario y el Desarrollo Rural Costarricense 2010-2021, Lineamientos de política 2019-2022 para el Sector Agropecuario, Pesquero y Rural.</w:t>
      </w:r>
    </w:p>
    <w:p w14:paraId="4519A7AA"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de Comercio Exterior.</w:t>
      </w:r>
    </w:p>
    <w:p w14:paraId="044210E2" w14:textId="77777777" w:rsidR="006F6F84"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Plan Nacional de Turismo.</w:t>
      </w:r>
    </w:p>
    <w:p w14:paraId="758E65B2"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para la Niñez y la Adolescencia.</w:t>
      </w:r>
    </w:p>
    <w:p w14:paraId="72E05552"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 xml:space="preserve">Política de Persecución Penal en Delitos funcionales y de corrupción, Estrategia Nacional de Integridad y Prevención de la Corrupción. </w:t>
      </w:r>
    </w:p>
    <w:p w14:paraId="23362E24" w14:textId="77777777" w:rsidR="006F6F84"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de Migración y Extranjería.</w:t>
      </w:r>
    </w:p>
    <w:p w14:paraId="1A2C1396"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lastRenderedPageBreak/>
        <w:t>Política Nacional del Deporte, la Recreación y la Actividad Física (PONADRAF 2020 - 2030).</w:t>
      </w:r>
    </w:p>
    <w:p w14:paraId="27F814F8"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Sectorial de Modernización del Transporte Público Remunerado de Personas Modalidad Autobús.</w:t>
      </w:r>
    </w:p>
    <w:p w14:paraId="73493FC3"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Institucional para la Atención Integral de la Población en Pobreza y Pobreza Extrema / La Política Nacional de Cuidados 2021-2031.</w:t>
      </w:r>
    </w:p>
    <w:p w14:paraId="5C201B97"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Política Nacional del Deporte y la Recreación.</w:t>
      </w:r>
    </w:p>
    <w:p w14:paraId="56CF6485" w14:textId="77777777" w:rsidR="006F6F84" w:rsidRPr="004577BB" w:rsidRDefault="006F6F84" w:rsidP="006F6F84">
      <w:pPr>
        <w:pStyle w:val="Ttulo5"/>
        <w:spacing w:before="0" w:line="360" w:lineRule="auto"/>
        <w:ind w:left="1260" w:hanging="540"/>
        <w:rPr>
          <w:rFonts w:cs="Times New Roman"/>
          <w:sz w:val="24"/>
          <w:szCs w:val="24"/>
          <w:lang w:val="es-CR"/>
        </w:rPr>
      </w:pPr>
      <w:r w:rsidRPr="004577BB">
        <w:rPr>
          <w:rFonts w:cs="Times New Roman"/>
          <w:sz w:val="24"/>
          <w:szCs w:val="24"/>
          <w:lang w:val="es-CR"/>
        </w:rPr>
        <w:t>Plan de acción de Estado abierto.</w:t>
      </w:r>
    </w:p>
    <w:p w14:paraId="6D501509" w14:textId="77777777" w:rsidR="006F6F84" w:rsidRPr="004577BB" w:rsidRDefault="006F6F84" w:rsidP="006F6F84">
      <w:pPr>
        <w:rPr>
          <w:rFonts w:ascii="Times New Roman" w:hAnsi="Times New Roman" w:cs="Times New Roman"/>
        </w:rPr>
      </w:pPr>
    </w:p>
    <w:p w14:paraId="3443E87D" w14:textId="7104809A"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Del listado anterior es importante destacar que los temas han sido promovidos desde el poder ejecutivo, según se ha podido inferir, dado que no hay evidencias que demuestren que se hayan realizado consultas </w:t>
      </w:r>
      <w:r w:rsidR="007662F0">
        <w:rPr>
          <w:rFonts w:ascii="Times New Roman" w:hAnsi="Times New Roman" w:cs="Times New Roman"/>
          <w:sz w:val="24"/>
          <w:szCs w:val="24"/>
        </w:rPr>
        <w:t>de base</w:t>
      </w:r>
      <w:r w:rsidRPr="004577BB">
        <w:rPr>
          <w:rFonts w:ascii="Times New Roman" w:hAnsi="Times New Roman" w:cs="Times New Roman"/>
          <w:sz w:val="24"/>
          <w:szCs w:val="24"/>
        </w:rPr>
        <w:t>, o conversatorios orientados a la identificación de las necesidades y prioridades de previo a entrar en las materias respectivas, lo que de acuerdo con lo que expresa Mori (2009, pp. 164-165), y según se ha mencionado anteriormente, implica una verticalización de la agenda, y a su vez, tiene implicaciones directas en el establecimiento de las prioridades desde una óptica esencialmente gubernamentalista.</w:t>
      </w:r>
    </w:p>
    <w:p w14:paraId="2C3AE4BE" w14:textId="143A8885"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No obstante, sí ha habido elementos que facilitan la visibilización de procesos consultivos, y dinámicas participativas generadas desde el aparato institucional, a partir de la agenda y prioridades gubernamentales, al menos en materia de políticas públicas, por cuanto según se detalla en la Figura 3, hay una clara conciencia por parte de las personas encuestadas, sobre la importancia que revisten </w:t>
      </w:r>
      <w:r w:rsidR="007662F0">
        <w:rPr>
          <w:rFonts w:ascii="Times New Roman" w:hAnsi="Times New Roman" w:cs="Times New Roman"/>
          <w:sz w:val="24"/>
          <w:szCs w:val="24"/>
        </w:rPr>
        <w:t>los</w:t>
      </w:r>
      <w:r w:rsidRPr="004577BB">
        <w:rPr>
          <w:rFonts w:ascii="Times New Roman" w:hAnsi="Times New Roman" w:cs="Times New Roman"/>
          <w:sz w:val="24"/>
          <w:szCs w:val="24"/>
        </w:rPr>
        <w:t xml:space="preserve"> mecanismos de participación, así como también, de la necesidad de contar con canales habilitados para establecer vínculos con la ciudadanía según se detalla en las figura </w:t>
      </w:r>
      <w:r w:rsidR="007662F0">
        <w:rPr>
          <w:rFonts w:ascii="Times New Roman" w:hAnsi="Times New Roman" w:cs="Times New Roman"/>
          <w:sz w:val="24"/>
          <w:szCs w:val="24"/>
        </w:rPr>
        <w:t>4</w:t>
      </w:r>
      <w:r w:rsidRPr="004577BB">
        <w:rPr>
          <w:rFonts w:ascii="Times New Roman" w:hAnsi="Times New Roman" w:cs="Times New Roman"/>
          <w:sz w:val="24"/>
          <w:szCs w:val="24"/>
        </w:rPr>
        <w:t>.</w:t>
      </w:r>
    </w:p>
    <w:p w14:paraId="6A6624FD" w14:textId="77777777" w:rsidR="006F6F84" w:rsidRDefault="006F6F84" w:rsidP="006F6F84">
      <w:pPr>
        <w:pStyle w:val="Figura1"/>
      </w:pPr>
    </w:p>
    <w:p w14:paraId="6BA5E130" w14:textId="06445516" w:rsidR="006F6F84" w:rsidRDefault="006F6F84" w:rsidP="006F6F84">
      <w:pPr>
        <w:pStyle w:val="Figura1"/>
      </w:pPr>
    </w:p>
    <w:p w14:paraId="0680EEEF" w14:textId="77777777" w:rsidR="007D4F81" w:rsidRDefault="007D4F81" w:rsidP="006F6F84">
      <w:pPr>
        <w:pStyle w:val="Figura1"/>
      </w:pPr>
    </w:p>
    <w:p w14:paraId="55BCE220" w14:textId="77777777" w:rsidR="006F6F84" w:rsidRDefault="006F6F84" w:rsidP="006F6F84">
      <w:pPr>
        <w:pStyle w:val="Figura1"/>
      </w:pPr>
    </w:p>
    <w:p w14:paraId="4A3BD0D9" w14:textId="77777777" w:rsidR="006F6F84" w:rsidRDefault="006F6F84" w:rsidP="006F6F84">
      <w:pPr>
        <w:pStyle w:val="Figura1"/>
      </w:pPr>
    </w:p>
    <w:p w14:paraId="73C7EBE5" w14:textId="77777777" w:rsidR="006F6F84" w:rsidRDefault="006F6F84" w:rsidP="006F6F84">
      <w:pPr>
        <w:pStyle w:val="Figura1"/>
      </w:pPr>
    </w:p>
    <w:p w14:paraId="57B1B2F1" w14:textId="77777777" w:rsidR="006F6F84" w:rsidRDefault="006F6F84" w:rsidP="006F6F84">
      <w:pPr>
        <w:pStyle w:val="Figura1"/>
      </w:pPr>
    </w:p>
    <w:p w14:paraId="572AA00A" w14:textId="77777777" w:rsidR="006F6F84" w:rsidRDefault="006F6F84" w:rsidP="006F6F84">
      <w:pPr>
        <w:pStyle w:val="Figura1"/>
      </w:pPr>
    </w:p>
    <w:p w14:paraId="194A8D55" w14:textId="77777777" w:rsidR="006F6F84" w:rsidRDefault="006F6F84" w:rsidP="006F6F84">
      <w:pPr>
        <w:pStyle w:val="Figura1"/>
      </w:pPr>
    </w:p>
    <w:p w14:paraId="5C1CA65B" w14:textId="77777777" w:rsidR="006F6F84" w:rsidRPr="004577BB" w:rsidRDefault="006F6F84" w:rsidP="006F6F84">
      <w:pPr>
        <w:pStyle w:val="Figura1"/>
      </w:pPr>
    </w:p>
    <w:p w14:paraId="5226DEE7" w14:textId="0B5B37FE" w:rsidR="006F6F84" w:rsidRPr="004577BB" w:rsidRDefault="006F6F84" w:rsidP="006F6F84">
      <w:pPr>
        <w:pStyle w:val="Figura1"/>
      </w:pPr>
      <w:r w:rsidRPr="004577BB">
        <w:lastRenderedPageBreak/>
        <w:t xml:space="preserve">Figura </w:t>
      </w:r>
      <w:r w:rsidR="007D4F81">
        <w:t>3</w:t>
      </w:r>
    </w:p>
    <w:p w14:paraId="384228B3" w14:textId="77777777" w:rsidR="006F6F84" w:rsidRPr="004577BB" w:rsidRDefault="006F6F84" w:rsidP="006F6F84">
      <w:pPr>
        <w:pStyle w:val="Figura1"/>
      </w:pPr>
      <w:bookmarkStart w:id="2" w:name="_Hlk83468432"/>
      <w:r w:rsidRPr="004577BB">
        <w:t>Nivel de relevancia que se le asigna a los procesos de participación ciudadana</w:t>
      </w:r>
      <w:bookmarkEnd w:id="2"/>
    </w:p>
    <w:p w14:paraId="5D201A44" w14:textId="77777777" w:rsidR="006F6F84" w:rsidRPr="004577BB" w:rsidRDefault="006F6F84" w:rsidP="006F6F84">
      <w:pPr>
        <w:pStyle w:val="Figura1"/>
      </w:pPr>
      <w:r w:rsidRPr="004577BB">
        <w:t>(Valores absolutos)</w:t>
      </w:r>
    </w:p>
    <w:p w14:paraId="339C883B" w14:textId="77777777" w:rsidR="006F6F84" w:rsidRPr="004577BB" w:rsidRDefault="006F6F84" w:rsidP="006F6F84">
      <w:pPr>
        <w:pStyle w:val="Figura1"/>
      </w:pPr>
    </w:p>
    <w:p w14:paraId="17231DFF" w14:textId="77777777" w:rsidR="006F6F84" w:rsidRPr="004577BB" w:rsidRDefault="006F6F84" w:rsidP="006F6F84">
      <w:pPr>
        <w:spacing w:line="360" w:lineRule="auto"/>
        <w:jc w:val="center"/>
        <w:rPr>
          <w:rFonts w:ascii="Times New Roman" w:hAnsi="Times New Roman" w:cs="Times New Roman"/>
          <w:sz w:val="24"/>
          <w:szCs w:val="24"/>
        </w:rPr>
      </w:pPr>
      <w:r w:rsidRPr="004577BB">
        <w:rPr>
          <w:rFonts w:ascii="Times New Roman" w:hAnsi="Times New Roman" w:cs="Times New Roman"/>
          <w:noProof/>
        </w:rPr>
        <w:drawing>
          <wp:inline distT="0" distB="0" distL="0" distR="0" wp14:anchorId="6E1E6A3F" wp14:editId="1FDEEAB3">
            <wp:extent cx="4573511" cy="2737909"/>
            <wp:effectExtent l="0" t="0" r="17780" b="5715"/>
            <wp:docPr id="57" name="Chart 57">
              <a:extLst xmlns:a="http://schemas.openxmlformats.org/drawingml/2006/main">
                <a:ext uri="{FF2B5EF4-FFF2-40B4-BE49-F238E27FC236}">
                  <a16:creationId xmlns:a16="http://schemas.microsoft.com/office/drawing/2014/main" id="{41A855AA-D9BD-4626-9AF9-ABB9CEC56E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9427BF4" w14:textId="77777777" w:rsidR="006F6F84" w:rsidRPr="004577BB" w:rsidRDefault="006F6F84" w:rsidP="006F6F84">
      <w:pPr>
        <w:spacing w:line="360" w:lineRule="auto"/>
        <w:ind w:firstLine="360"/>
        <w:rPr>
          <w:rFonts w:ascii="Times New Roman" w:hAnsi="Times New Roman" w:cs="Times New Roman"/>
          <w:sz w:val="24"/>
          <w:szCs w:val="24"/>
        </w:rPr>
      </w:pPr>
      <w:bookmarkStart w:id="3" w:name="_Hlk83466786"/>
      <w:r w:rsidRPr="004577BB">
        <w:rPr>
          <w:rFonts w:ascii="Times New Roman" w:hAnsi="Times New Roman" w:cs="Times New Roman"/>
          <w:sz w:val="24"/>
          <w:szCs w:val="24"/>
        </w:rPr>
        <w:t xml:space="preserve">     Fuente:  elaboración propia, 2021</w:t>
      </w:r>
    </w:p>
    <w:p w14:paraId="469A21F2" w14:textId="77777777" w:rsidR="006F6F84" w:rsidRPr="004577BB" w:rsidRDefault="006F6F84" w:rsidP="006F6F84">
      <w:pPr>
        <w:pStyle w:val="Figura1"/>
        <w:spacing w:after="240" w:line="360" w:lineRule="auto"/>
        <w:ind w:firstLine="0"/>
        <w:jc w:val="both"/>
        <w:rPr>
          <w:b w:val="0"/>
          <w:bCs w:val="0"/>
          <w:lang w:val="es-CR"/>
        </w:rPr>
      </w:pPr>
      <w:r w:rsidRPr="004577BB">
        <w:rPr>
          <w:b w:val="0"/>
          <w:bCs w:val="0"/>
          <w:lang w:val="es-CR"/>
        </w:rPr>
        <w:t>En relación con la importancia asignada a los mecanismos de participación ciudadana, se consultó se si se consideraban: “nada importante”, “poco importante”, “regular”, “importante” o “Muy importante”, ante lo cual la totalidad de las personas encuestadas reconoció que era importante (6 personas) o muy importante (10 personas).</w:t>
      </w:r>
    </w:p>
    <w:p w14:paraId="221526BE" w14:textId="24941568" w:rsidR="006F6F84" w:rsidRPr="004577BB" w:rsidRDefault="006F6F84" w:rsidP="006F6F84">
      <w:pPr>
        <w:pStyle w:val="Figura1"/>
        <w:spacing w:after="240" w:line="360" w:lineRule="auto"/>
        <w:ind w:firstLine="0"/>
        <w:jc w:val="both"/>
        <w:rPr>
          <w:b w:val="0"/>
          <w:bCs w:val="0"/>
          <w:lang w:val="es-CR"/>
        </w:rPr>
      </w:pPr>
      <w:r w:rsidRPr="004577BB">
        <w:rPr>
          <w:b w:val="0"/>
          <w:bCs w:val="0"/>
          <w:lang w:val="es-CR"/>
        </w:rPr>
        <w:tab/>
        <w:t>Pese a lo anterior, y tomando en consideración el listado de políticas públicas que fueron mencionadas, podría sugerirse que se concibe la participación ciudadana como un proceso orientado a procesos consultivos, más que de espacios colaborativos y de co-creación, para efectos de determinar las necesidades y prioridades de la ciudadanía, por lo que terminan siendo esfuerzos para la validación de los documentos y propuestas elaborados desde la mirada gubernamental.</w:t>
      </w:r>
    </w:p>
    <w:p w14:paraId="207C1B18" w14:textId="3298FD69" w:rsidR="006F6F84" w:rsidRPr="004577BB" w:rsidRDefault="006F6F84" w:rsidP="006F6F84">
      <w:pPr>
        <w:pStyle w:val="Figura1"/>
        <w:spacing w:after="240" w:line="360" w:lineRule="auto"/>
        <w:ind w:firstLine="0"/>
        <w:jc w:val="both"/>
        <w:rPr>
          <w:b w:val="0"/>
          <w:bCs w:val="0"/>
          <w:lang w:val="es-CR"/>
        </w:rPr>
      </w:pPr>
      <w:r w:rsidRPr="004577BB">
        <w:rPr>
          <w:b w:val="0"/>
          <w:bCs w:val="0"/>
          <w:lang w:val="es-CR"/>
        </w:rPr>
        <w:tab/>
        <w:t xml:space="preserve">En relación con lo anterior lo anterior, 25 de las 28 personas encuestadas manifestaron conocer procesos de consulta pública en las instituciones que representan, para validar decretos, normas o lineamientos en general, para lo cual se usaron los canales de comunicación que se muestran en la figura </w:t>
      </w:r>
      <w:r w:rsidR="007D4F81">
        <w:rPr>
          <w:b w:val="0"/>
          <w:bCs w:val="0"/>
          <w:lang w:val="es-CR"/>
        </w:rPr>
        <w:t>4</w:t>
      </w:r>
      <w:r w:rsidRPr="004577BB">
        <w:rPr>
          <w:b w:val="0"/>
          <w:bCs w:val="0"/>
          <w:lang w:val="es-CR"/>
        </w:rPr>
        <w:t>.</w:t>
      </w:r>
    </w:p>
    <w:p w14:paraId="542839EA" w14:textId="0DC751C7" w:rsidR="006F6F84" w:rsidRPr="004577BB" w:rsidRDefault="006F6F84" w:rsidP="006F6F84">
      <w:pPr>
        <w:pStyle w:val="Figura1"/>
      </w:pPr>
      <w:r w:rsidRPr="004577BB">
        <w:lastRenderedPageBreak/>
        <w:t xml:space="preserve">Figura </w:t>
      </w:r>
      <w:r w:rsidR="007D4F81">
        <w:t>4</w:t>
      </w:r>
    </w:p>
    <w:p w14:paraId="2642A9D0" w14:textId="77777777" w:rsidR="006F6F84" w:rsidRPr="004577BB" w:rsidRDefault="006F6F84" w:rsidP="006F6F84">
      <w:pPr>
        <w:pStyle w:val="Figura1"/>
      </w:pPr>
      <w:bookmarkStart w:id="4" w:name="_Hlk83468478"/>
      <w:r w:rsidRPr="004577BB">
        <w:t xml:space="preserve">Canales de comunicación utilizados para los procesos de consulta pública en los Ministerios </w:t>
      </w:r>
      <w:bookmarkEnd w:id="4"/>
      <w:r w:rsidRPr="004577BB">
        <w:t>(Valores absolutos)</w:t>
      </w:r>
    </w:p>
    <w:p w14:paraId="6679684D" w14:textId="77777777" w:rsidR="006F6F84" w:rsidRPr="004577BB" w:rsidRDefault="006F6F84" w:rsidP="006F6F84">
      <w:pPr>
        <w:pStyle w:val="Figura1"/>
      </w:pPr>
    </w:p>
    <w:p w14:paraId="5AA346B6" w14:textId="77777777" w:rsidR="006F6F84" w:rsidRPr="004577BB" w:rsidRDefault="006F6F84" w:rsidP="006F6F84">
      <w:pPr>
        <w:pStyle w:val="Figura1"/>
      </w:pPr>
      <w:r w:rsidRPr="004577BB">
        <w:rPr>
          <w:noProof/>
        </w:rPr>
        <w:drawing>
          <wp:inline distT="0" distB="0" distL="0" distR="0" wp14:anchorId="45DE9996" wp14:editId="07B6F10D">
            <wp:extent cx="4573511" cy="2733675"/>
            <wp:effectExtent l="0" t="0" r="17780" b="9525"/>
            <wp:docPr id="58" name="Chart 58">
              <a:extLst xmlns:a="http://schemas.openxmlformats.org/drawingml/2006/main">
                <a:ext uri="{FF2B5EF4-FFF2-40B4-BE49-F238E27FC236}">
                  <a16:creationId xmlns:a16="http://schemas.microsoft.com/office/drawing/2014/main" id="{2D22B4D1-9AB2-4E9A-936C-78C790DCCC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4DC8DCE" w14:textId="77777777" w:rsidR="006F6F84" w:rsidRPr="004577BB" w:rsidRDefault="006F6F84" w:rsidP="006F6F84">
      <w:pPr>
        <w:pStyle w:val="Figura1"/>
        <w:spacing w:line="360" w:lineRule="auto"/>
        <w:ind w:firstLine="0"/>
        <w:jc w:val="both"/>
        <w:rPr>
          <w:b w:val="0"/>
          <w:bCs w:val="0"/>
          <w:lang w:val="es-CR"/>
        </w:rPr>
      </w:pPr>
      <w:r w:rsidRPr="004577BB">
        <w:rPr>
          <w:b w:val="0"/>
          <w:bCs w:val="0"/>
          <w:lang w:val="es-CR"/>
        </w:rPr>
        <w:tab/>
      </w:r>
      <w:r w:rsidRPr="004577BB">
        <w:rPr>
          <w:b w:val="0"/>
          <w:bCs w:val="0"/>
          <w:lang w:val="es-CR"/>
        </w:rPr>
        <w:tab/>
        <w:t xml:space="preserve">   Fuente:  elaboración propia, 2021.</w:t>
      </w:r>
    </w:p>
    <w:p w14:paraId="5C3901EF" w14:textId="77777777" w:rsidR="006F6F84" w:rsidRPr="004577BB" w:rsidRDefault="006F6F84" w:rsidP="006F6F84">
      <w:pPr>
        <w:pStyle w:val="Figura1"/>
        <w:spacing w:line="360" w:lineRule="auto"/>
        <w:ind w:firstLine="0"/>
        <w:jc w:val="both"/>
        <w:rPr>
          <w:b w:val="0"/>
          <w:bCs w:val="0"/>
          <w:lang w:val="es-CR"/>
        </w:rPr>
      </w:pPr>
    </w:p>
    <w:p w14:paraId="120C0F75" w14:textId="20305707" w:rsidR="006F6F84" w:rsidRPr="004577BB" w:rsidRDefault="006F6F84" w:rsidP="006F6F84">
      <w:pPr>
        <w:pStyle w:val="Figura1"/>
        <w:spacing w:after="240" w:line="360" w:lineRule="auto"/>
        <w:ind w:firstLine="0"/>
        <w:jc w:val="both"/>
        <w:rPr>
          <w:b w:val="0"/>
          <w:bCs w:val="0"/>
          <w:lang w:val="es-CR"/>
        </w:rPr>
      </w:pPr>
      <w:r w:rsidRPr="004577BB">
        <w:rPr>
          <w:b w:val="0"/>
          <w:bCs w:val="0"/>
          <w:lang w:val="es-CR"/>
        </w:rPr>
        <w:t xml:space="preserve">De acuerdo con lo expuesto en la figura </w:t>
      </w:r>
      <w:r w:rsidR="007D4F81">
        <w:rPr>
          <w:b w:val="0"/>
          <w:bCs w:val="0"/>
          <w:lang w:val="es-CR"/>
        </w:rPr>
        <w:t>4</w:t>
      </w:r>
      <w:r w:rsidRPr="004577BB">
        <w:rPr>
          <w:b w:val="0"/>
          <w:bCs w:val="0"/>
          <w:lang w:val="es-CR"/>
        </w:rPr>
        <w:t>, es interesante visualizar el desarrollo de esfuerzos multicanal, para procurar la articulación de espacios consultivos con la ciudadanía, y tener la oportunidad de validar las propuestas ministeriales.</w:t>
      </w:r>
    </w:p>
    <w:p w14:paraId="73B9C8FA" w14:textId="156271D1" w:rsidR="006F6F84" w:rsidRPr="004577BB" w:rsidRDefault="006F6F84" w:rsidP="006F6F84">
      <w:pPr>
        <w:pStyle w:val="Figura1"/>
        <w:spacing w:after="240" w:line="360" w:lineRule="auto"/>
        <w:ind w:firstLine="0"/>
        <w:jc w:val="both"/>
        <w:rPr>
          <w:b w:val="0"/>
          <w:bCs w:val="0"/>
          <w:lang w:val="es-CR"/>
        </w:rPr>
      </w:pPr>
      <w:r w:rsidRPr="004577BB">
        <w:rPr>
          <w:b w:val="0"/>
          <w:bCs w:val="0"/>
          <w:lang w:val="es-CR"/>
        </w:rPr>
        <w:t xml:space="preserve">En complemento de lo anterior, hay una percepción positiva sobre la efectividad de estos procesos, de acuerdo con la información que se muestra en la figura </w:t>
      </w:r>
      <w:r w:rsidR="007D4F81">
        <w:rPr>
          <w:b w:val="0"/>
          <w:bCs w:val="0"/>
          <w:lang w:val="es-CR"/>
        </w:rPr>
        <w:t>5</w:t>
      </w:r>
      <w:r w:rsidRPr="004577BB">
        <w:rPr>
          <w:b w:val="0"/>
          <w:bCs w:val="0"/>
          <w:lang w:val="es-CR"/>
        </w:rPr>
        <w:t>.</w:t>
      </w:r>
    </w:p>
    <w:p w14:paraId="396017FB" w14:textId="77777777" w:rsidR="006F6F84" w:rsidRDefault="006F6F84" w:rsidP="006F6F84">
      <w:pPr>
        <w:pStyle w:val="Figura1"/>
      </w:pPr>
    </w:p>
    <w:p w14:paraId="3684C716" w14:textId="77777777" w:rsidR="006F6F84" w:rsidRDefault="006F6F84" w:rsidP="006F6F84">
      <w:pPr>
        <w:pStyle w:val="Figura1"/>
      </w:pPr>
    </w:p>
    <w:p w14:paraId="1ED654BC" w14:textId="77777777" w:rsidR="006F6F84" w:rsidRDefault="006F6F84" w:rsidP="006F6F84">
      <w:pPr>
        <w:pStyle w:val="Figura1"/>
      </w:pPr>
    </w:p>
    <w:p w14:paraId="1F7D7D8D" w14:textId="77777777" w:rsidR="006F6F84" w:rsidRDefault="006F6F84" w:rsidP="006F6F84">
      <w:pPr>
        <w:pStyle w:val="Figura1"/>
      </w:pPr>
    </w:p>
    <w:p w14:paraId="2C46481D" w14:textId="77777777" w:rsidR="006F6F84" w:rsidRDefault="006F6F84" w:rsidP="006F6F84">
      <w:pPr>
        <w:pStyle w:val="Figura1"/>
      </w:pPr>
    </w:p>
    <w:p w14:paraId="1F495BBA" w14:textId="77777777" w:rsidR="006F6F84" w:rsidRDefault="006F6F84" w:rsidP="006F6F84">
      <w:pPr>
        <w:pStyle w:val="Figura1"/>
      </w:pPr>
    </w:p>
    <w:p w14:paraId="5C50A438" w14:textId="77777777" w:rsidR="006F6F84" w:rsidRDefault="006F6F84" w:rsidP="006F6F84">
      <w:pPr>
        <w:pStyle w:val="Figura1"/>
      </w:pPr>
    </w:p>
    <w:p w14:paraId="1CB8D449" w14:textId="77777777" w:rsidR="006F6F84" w:rsidRDefault="006F6F84" w:rsidP="006F6F84">
      <w:pPr>
        <w:pStyle w:val="Figura1"/>
      </w:pPr>
    </w:p>
    <w:p w14:paraId="79B4A31F" w14:textId="77777777" w:rsidR="006F6F84" w:rsidRDefault="006F6F84" w:rsidP="006F6F84">
      <w:pPr>
        <w:pStyle w:val="Figura1"/>
      </w:pPr>
    </w:p>
    <w:p w14:paraId="21E2DBB8" w14:textId="77777777" w:rsidR="006F6F84" w:rsidRDefault="006F6F84" w:rsidP="006F6F84">
      <w:pPr>
        <w:pStyle w:val="Figura1"/>
      </w:pPr>
    </w:p>
    <w:p w14:paraId="1713D446" w14:textId="77777777" w:rsidR="006F6F84" w:rsidRDefault="006F6F84" w:rsidP="006F6F84">
      <w:pPr>
        <w:pStyle w:val="Figura1"/>
      </w:pPr>
    </w:p>
    <w:p w14:paraId="6EC33E45" w14:textId="77777777" w:rsidR="006F6F84" w:rsidRDefault="006F6F84" w:rsidP="006F6F84">
      <w:pPr>
        <w:pStyle w:val="Figura1"/>
      </w:pPr>
    </w:p>
    <w:p w14:paraId="5338C9C9" w14:textId="77777777" w:rsidR="006F6F84" w:rsidRDefault="006F6F84" w:rsidP="006F6F84">
      <w:pPr>
        <w:pStyle w:val="Figura1"/>
      </w:pPr>
    </w:p>
    <w:p w14:paraId="44A21370" w14:textId="77777777" w:rsidR="006F6F84" w:rsidRDefault="006F6F84" w:rsidP="006F6F84">
      <w:pPr>
        <w:pStyle w:val="Figura1"/>
      </w:pPr>
    </w:p>
    <w:p w14:paraId="18D08D5A" w14:textId="77777777" w:rsidR="006F6F84" w:rsidRPr="004577BB" w:rsidRDefault="006F6F84" w:rsidP="006F6F84">
      <w:pPr>
        <w:pStyle w:val="Figura1"/>
      </w:pPr>
    </w:p>
    <w:p w14:paraId="13CB6B1F" w14:textId="33DF378A" w:rsidR="006F6F84" w:rsidRPr="004577BB" w:rsidRDefault="006F6F84" w:rsidP="006F6F84">
      <w:pPr>
        <w:pStyle w:val="Figura1"/>
      </w:pPr>
      <w:r w:rsidRPr="004577BB">
        <w:lastRenderedPageBreak/>
        <w:t xml:space="preserve">Figura </w:t>
      </w:r>
      <w:r w:rsidR="007D4F81">
        <w:t>5</w:t>
      </w:r>
    </w:p>
    <w:p w14:paraId="7DD94B4A" w14:textId="77777777" w:rsidR="006F6F84" w:rsidRPr="004577BB" w:rsidRDefault="006F6F84" w:rsidP="006F6F84">
      <w:pPr>
        <w:pStyle w:val="Figura1"/>
      </w:pPr>
      <w:bookmarkStart w:id="5" w:name="_Hlk83468684"/>
      <w:r w:rsidRPr="004577BB">
        <w:t>Efectividad percibida de los canales de consulta pública</w:t>
      </w:r>
    </w:p>
    <w:bookmarkEnd w:id="5"/>
    <w:p w14:paraId="142A5D95" w14:textId="77777777" w:rsidR="006F6F84" w:rsidRPr="004577BB" w:rsidRDefault="006F6F84" w:rsidP="006F6F84">
      <w:pPr>
        <w:pStyle w:val="Figura1"/>
      </w:pPr>
      <w:r w:rsidRPr="004577BB">
        <w:t>(Valores absolutos)</w:t>
      </w:r>
    </w:p>
    <w:p w14:paraId="3854CECF" w14:textId="77777777" w:rsidR="006F6F84" w:rsidRPr="004577BB" w:rsidRDefault="006F6F84" w:rsidP="006F6F84">
      <w:pPr>
        <w:pStyle w:val="Figura1"/>
      </w:pPr>
    </w:p>
    <w:p w14:paraId="288E9F16" w14:textId="77777777" w:rsidR="006F6F84" w:rsidRPr="004577BB" w:rsidRDefault="006F6F84" w:rsidP="006F6F84">
      <w:pPr>
        <w:pStyle w:val="Figura1"/>
        <w:spacing w:line="360" w:lineRule="auto"/>
        <w:ind w:firstLine="0"/>
        <w:rPr>
          <w:b w:val="0"/>
          <w:bCs w:val="0"/>
          <w:lang w:val="es-CR"/>
        </w:rPr>
      </w:pPr>
      <w:r w:rsidRPr="004577BB">
        <w:rPr>
          <w:noProof/>
        </w:rPr>
        <w:drawing>
          <wp:inline distT="0" distB="0" distL="0" distR="0" wp14:anchorId="104A463C" wp14:editId="0C751C5B">
            <wp:extent cx="4573511" cy="2738361"/>
            <wp:effectExtent l="0" t="0" r="17780" b="5080"/>
            <wp:docPr id="59" name="Chart 59">
              <a:extLst xmlns:a="http://schemas.openxmlformats.org/drawingml/2006/main">
                <a:ext uri="{FF2B5EF4-FFF2-40B4-BE49-F238E27FC236}">
                  <a16:creationId xmlns:a16="http://schemas.microsoft.com/office/drawing/2014/main" id="{97C484AA-DD39-4DD9-9E50-84BB7FB73F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279D834" w14:textId="77777777" w:rsidR="006F6F84" w:rsidRPr="004577BB" w:rsidRDefault="006F6F84" w:rsidP="006F6F84">
      <w:pPr>
        <w:pStyle w:val="Figura1"/>
        <w:spacing w:after="240" w:line="360" w:lineRule="auto"/>
        <w:ind w:firstLine="0"/>
        <w:jc w:val="both"/>
        <w:rPr>
          <w:b w:val="0"/>
          <w:bCs w:val="0"/>
          <w:lang w:val="es-CR"/>
        </w:rPr>
      </w:pPr>
      <w:r w:rsidRPr="004577BB">
        <w:rPr>
          <w:b w:val="0"/>
          <w:bCs w:val="0"/>
          <w:lang w:val="es-CR"/>
        </w:rPr>
        <w:tab/>
      </w:r>
      <w:r w:rsidRPr="004577BB">
        <w:rPr>
          <w:b w:val="0"/>
          <w:bCs w:val="0"/>
          <w:lang w:val="es-CR"/>
        </w:rPr>
        <w:tab/>
        <w:t>Fuente:  elaboración propia, 2021</w:t>
      </w:r>
    </w:p>
    <w:p w14:paraId="1767E1C4" w14:textId="77777777" w:rsidR="006F6F84" w:rsidRPr="004577BB" w:rsidRDefault="006F6F84" w:rsidP="006F6F84">
      <w:pPr>
        <w:pStyle w:val="Figura1"/>
        <w:spacing w:after="240" w:line="360" w:lineRule="auto"/>
        <w:ind w:firstLine="0"/>
        <w:jc w:val="both"/>
        <w:rPr>
          <w:b w:val="0"/>
          <w:bCs w:val="0"/>
        </w:rPr>
      </w:pPr>
      <w:r w:rsidRPr="004577BB">
        <w:rPr>
          <w:b w:val="0"/>
          <w:bCs w:val="0"/>
        </w:rPr>
        <w:t>Un cuestionamiento que ha surgido en el marco de los comentarios emitidos por los representantes de Gobierno abierto, y los oficiales de información -como ya se ha detallado en los capítulos III y IV, y que tiene una relación directa con los elementos supracitados; es que en ocasiones se llevan a cabo procesos consultivos, pero con mucha premura, precipitando algunas decisiones, y más importante aún, se ha carecido de herramientas o mecanismos que permitan visibilizar los resultados del procesamiento de los aportes recolectados; así como de sus alcances y características.  A esto suman otros comentarios generados por parte de los funcionarios vinculados a la gestión de planificación institucional, quienes han compartido las siguientes afirmaciones:</w:t>
      </w:r>
    </w:p>
    <w:p w14:paraId="074CC964" w14:textId="77777777" w:rsidR="006F6F84" w:rsidRPr="004577BB" w:rsidRDefault="006F6F84" w:rsidP="006F6F84">
      <w:pPr>
        <w:pStyle w:val="Ttulo5"/>
        <w:numPr>
          <w:ilvl w:val="0"/>
          <w:numId w:val="31"/>
        </w:numPr>
        <w:tabs>
          <w:tab w:val="num" w:pos="360"/>
          <w:tab w:val="left" w:pos="1080"/>
        </w:tabs>
        <w:spacing w:after="240" w:line="360" w:lineRule="auto"/>
        <w:ind w:left="1080"/>
        <w:jc w:val="both"/>
        <w:rPr>
          <w:rFonts w:cs="Times New Roman"/>
          <w:sz w:val="24"/>
          <w:szCs w:val="24"/>
          <w:lang w:val="es-CR"/>
        </w:rPr>
      </w:pPr>
      <w:r w:rsidRPr="004577BB">
        <w:rPr>
          <w:rFonts w:cs="Times New Roman"/>
          <w:sz w:val="24"/>
          <w:szCs w:val="24"/>
          <w:lang w:val="es-CR"/>
        </w:rPr>
        <w:lastRenderedPageBreak/>
        <w:t>La experiencia de consulta pública en nuestro país ha estado relacionada con la participación de sindicados y cámaras patronales.  Son muy pocos los ciudadanos que se acercan, para no decir que es nula su participación.  Y cuando esto sucede, lo que hace no es una sugerencia generalizada, sino que se refiere a aspectos individuales vinculados a un problema propio o específico.</w:t>
      </w:r>
    </w:p>
    <w:p w14:paraId="27D6B9C0" w14:textId="77777777" w:rsidR="006F6F84" w:rsidRPr="004577BB" w:rsidRDefault="006F6F84" w:rsidP="006F6F84">
      <w:pPr>
        <w:pStyle w:val="Ttulo5"/>
        <w:tabs>
          <w:tab w:val="left" w:pos="1080"/>
        </w:tabs>
        <w:spacing w:after="240" w:line="360" w:lineRule="auto"/>
        <w:ind w:left="1080"/>
        <w:jc w:val="both"/>
        <w:rPr>
          <w:rFonts w:cs="Times New Roman"/>
          <w:sz w:val="24"/>
          <w:szCs w:val="24"/>
          <w:lang w:val="es-CR"/>
        </w:rPr>
      </w:pPr>
      <w:r w:rsidRPr="004577BB">
        <w:rPr>
          <w:rFonts w:cs="Times New Roman"/>
          <w:sz w:val="24"/>
          <w:szCs w:val="24"/>
          <w:lang w:val="es-CR"/>
        </w:rPr>
        <w:t>Es necesario indicar que (los aportes) están más enfocados a las distintas instituciones públicas conforme sus competencias de acción, según los alcances de la normativa vigente en cada caso.</w:t>
      </w:r>
    </w:p>
    <w:p w14:paraId="73A0CBF8" w14:textId="77777777" w:rsidR="006F6F84" w:rsidRPr="004577BB" w:rsidRDefault="006F6F84" w:rsidP="006F6F84">
      <w:pPr>
        <w:pStyle w:val="Ttulo5"/>
        <w:tabs>
          <w:tab w:val="left" w:pos="1080"/>
        </w:tabs>
        <w:spacing w:after="240" w:line="360" w:lineRule="auto"/>
        <w:ind w:left="1080"/>
        <w:jc w:val="both"/>
        <w:rPr>
          <w:rFonts w:cs="Times New Roman"/>
          <w:sz w:val="24"/>
          <w:szCs w:val="24"/>
          <w:lang w:val="es-CR"/>
        </w:rPr>
      </w:pPr>
      <w:r w:rsidRPr="004577BB">
        <w:rPr>
          <w:rFonts w:cs="Times New Roman"/>
          <w:sz w:val="24"/>
          <w:szCs w:val="24"/>
          <w:lang w:val="es-CR"/>
        </w:rPr>
        <w:t>La consulta permanente a la ciudadanía es vital para legitimar las políticas y decisiones gubernamentales.</w:t>
      </w:r>
    </w:p>
    <w:p w14:paraId="7ABDE566" w14:textId="77777777" w:rsidR="006F6F84" w:rsidRPr="004577BB" w:rsidRDefault="006F6F84" w:rsidP="006F6F84">
      <w:pPr>
        <w:pStyle w:val="Ttulo5"/>
        <w:tabs>
          <w:tab w:val="left" w:pos="1080"/>
        </w:tabs>
        <w:spacing w:after="240" w:line="360" w:lineRule="auto"/>
        <w:ind w:left="1080"/>
        <w:jc w:val="both"/>
        <w:rPr>
          <w:rFonts w:cs="Times New Roman"/>
          <w:sz w:val="24"/>
          <w:szCs w:val="24"/>
          <w:lang w:val="es-CR"/>
        </w:rPr>
      </w:pPr>
      <w:r w:rsidRPr="004577BB">
        <w:rPr>
          <w:rFonts w:cs="Times New Roman"/>
          <w:sz w:val="24"/>
          <w:szCs w:val="24"/>
          <w:lang w:val="es-CR"/>
        </w:rPr>
        <w:t>Se deberían ampliar los grupos poblacionales cuando se genera la participación ciudadana y aprovechar al máximo los recursos tecnológicos.</w:t>
      </w:r>
    </w:p>
    <w:p w14:paraId="62166114" w14:textId="77777777" w:rsidR="006F6F84" w:rsidRPr="004577BB" w:rsidRDefault="006F6F84" w:rsidP="006F6F84">
      <w:pPr>
        <w:pStyle w:val="Ttulo5"/>
        <w:tabs>
          <w:tab w:val="left" w:pos="1080"/>
        </w:tabs>
        <w:spacing w:after="240" w:line="360" w:lineRule="auto"/>
        <w:ind w:left="1080"/>
        <w:jc w:val="both"/>
        <w:rPr>
          <w:rFonts w:cs="Times New Roman"/>
          <w:sz w:val="24"/>
          <w:szCs w:val="24"/>
          <w:lang w:val="es-CR"/>
        </w:rPr>
      </w:pPr>
      <w:r w:rsidRPr="004577BB">
        <w:rPr>
          <w:rFonts w:cs="Times New Roman"/>
          <w:sz w:val="24"/>
          <w:szCs w:val="24"/>
          <w:lang w:val="es-CR"/>
        </w:rPr>
        <w:t>Aún queda un importante camino por recorrer en materia de participación ciudadana y rendición de cuentas.</w:t>
      </w:r>
    </w:p>
    <w:p w14:paraId="0F97332E" w14:textId="77777777" w:rsidR="006F6F84" w:rsidRPr="004577BB" w:rsidRDefault="006F6F84" w:rsidP="006F6F84">
      <w:pPr>
        <w:pStyle w:val="Ttulo5"/>
        <w:tabs>
          <w:tab w:val="left" w:pos="1080"/>
        </w:tabs>
        <w:spacing w:after="240" w:line="360" w:lineRule="auto"/>
        <w:ind w:left="1080"/>
        <w:jc w:val="both"/>
        <w:rPr>
          <w:rFonts w:cs="Times New Roman"/>
          <w:sz w:val="24"/>
          <w:szCs w:val="24"/>
          <w:lang w:val="es-CR"/>
        </w:rPr>
      </w:pPr>
      <w:r w:rsidRPr="004577BB">
        <w:rPr>
          <w:rFonts w:cs="Times New Roman"/>
          <w:sz w:val="24"/>
          <w:szCs w:val="24"/>
          <w:lang w:val="es-CR"/>
        </w:rPr>
        <w:t>Cuando se convoca a la ciudadanía se le solicita validar procesos específicos, pero no se incentivan espacios de construcción conjunta.</w:t>
      </w:r>
    </w:p>
    <w:p w14:paraId="3693294E" w14:textId="4B6441FD" w:rsidR="006F6F84" w:rsidRPr="004577BB" w:rsidRDefault="006F6F84" w:rsidP="006F6F84">
      <w:pPr>
        <w:pStyle w:val="Ttulo5"/>
        <w:tabs>
          <w:tab w:val="left" w:pos="1080"/>
        </w:tabs>
        <w:spacing w:after="240" w:line="360" w:lineRule="auto"/>
        <w:ind w:left="1080"/>
        <w:jc w:val="both"/>
        <w:rPr>
          <w:rFonts w:cs="Times New Roman"/>
          <w:sz w:val="24"/>
          <w:szCs w:val="24"/>
          <w:lang w:val="es-CR"/>
        </w:rPr>
      </w:pPr>
      <w:r w:rsidRPr="004577BB">
        <w:rPr>
          <w:rFonts w:cs="Times New Roman"/>
          <w:sz w:val="24"/>
          <w:szCs w:val="24"/>
          <w:lang w:val="es-CR"/>
        </w:rPr>
        <w:t xml:space="preserve">La consulta pública </w:t>
      </w:r>
      <w:r w:rsidR="008E5CC9">
        <w:rPr>
          <w:rFonts w:cs="Times New Roman"/>
          <w:sz w:val="24"/>
          <w:szCs w:val="24"/>
          <w:lang w:val="es-CR"/>
        </w:rPr>
        <w:t xml:space="preserve">tiene un bajo </w:t>
      </w:r>
      <w:r w:rsidRPr="004577BB">
        <w:rPr>
          <w:rFonts w:cs="Times New Roman"/>
          <w:sz w:val="24"/>
          <w:szCs w:val="24"/>
          <w:lang w:val="es-CR"/>
        </w:rPr>
        <w:t>desarroll</w:t>
      </w:r>
      <w:r w:rsidR="00DE1300">
        <w:rPr>
          <w:rFonts w:cs="Times New Roman"/>
          <w:sz w:val="24"/>
          <w:szCs w:val="24"/>
          <w:lang w:val="es-CR"/>
        </w:rPr>
        <w:t>o</w:t>
      </w:r>
      <w:r w:rsidRPr="004577BB">
        <w:rPr>
          <w:rFonts w:cs="Times New Roman"/>
          <w:sz w:val="24"/>
          <w:szCs w:val="24"/>
          <w:lang w:val="es-CR"/>
        </w:rPr>
        <w:t xml:space="preserve"> en nuestro país. Cerrando la brecha tecnológica, la virtualidad puede ser un factor que permita más alcance y quizás aumente la participación ciudadana en la construcción de las políticas públicas.  No obstante, aunque las experiencias presenciales son más costosas, tienden a ser más aportativas para este tipo de procesos.</w:t>
      </w:r>
    </w:p>
    <w:p w14:paraId="46A454A6" w14:textId="77777777"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Los elementos anteriormente expuestos evidencian, que aunque ha habido procesos consultivos, es necesario fortalecer no solo los mecanismos, sino también las metodologías de participación, así como también, desarrollar prácticas institucionales para establecer, en conjunto con la ciudadanía, la agenda y prioridades de acción, generando adicionalmente, espacios para realizar una devolución de los datos o aportes recopilados a través de estos procesos participativos, contribuyendo a incentivar la gestión de transparencia y rendición </w:t>
      </w:r>
      <w:r w:rsidRPr="004577BB">
        <w:rPr>
          <w:rFonts w:ascii="Times New Roman" w:hAnsi="Times New Roman" w:cs="Times New Roman"/>
          <w:sz w:val="24"/>
          <w:szCs w:val="24"/>
        </w:rPr>
        <w:lastRenderedPageBreak/>
        <w:t>de cuentas en concordancia con lo que plantean MIDEPLAN (2020) y la OCDE (Gramberger, 2006, pp. 34-36).</w:t>
      </w:r>
    </w:p>
    <w:p w14:paraId="295050CD" w14:textId="41CED028" w:rsidR="006F6F84" w:rsidRPr="004577BB" w:rsidRDefault="006F6F84" w:rsidP="006F6F84">
      <w:pPr>
        <w:spacing w:before="240"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En complemento de lo expuesto, es oportuno indicar que de acuerdo con las personas entrevistadas en los Ministerios, y según se puede observar en la figura </w:t>
      </w:r>
      <w:r w:rsidR="008E5CC9">
        <w:rPr>
          <w:rFonts w:ascii="Times New Roman" w:hAnsi="Times New Roman" w:cs="Times New Roman"/>
          <w:sz w:val="24"/>
          <w:szCs w:val="24"/>
        </w:rPr>
        <w:t>6</w:t>
      </w:r>
      <w:r w:rsidRPr="004577BB">
        <w:rPr>
          <w:rFonts w:ascii="Times New Roman" w:hAnsi="Times New Roman" w:cs="Times New Roman"/>
          <w:sz w:val="24"/>
          <w:szCs w:val="24"/>
        </w:rPr>
        <w:t>, las partes que intervienen en los procesos participativos, en la mayoría de los casos, son grupos organizados y/o representantes de las comunidades o sectores específicos.  Resulta oportuno contrastar este elemento con los resultados del capítulo III (lecciones aprendidas del proceso de implementación del modelo de Gobierno abierto), donde los oficiales de información mencionan que con frecuencia, las interacciones con personas ciudadanas independientes están vinculadas a quejas sobre el accionar de las instituciones respectivas y no a la generación de aportes o recomendaciones, “lo que distorsiona el objetivo previsto en los procesos participativos”.</w:t>
      </w:r>
    </w:p>
    <w:p w14:paraId="0938A2EA" w14:textId="4AA97E6A" w:rsidR="006F6F84" w:rsidRPr="004577BB" w:rsidRDefault="006F6F84" w:rsidP="006F6F84">
      <w:pPr>
        <w:pStyle w:val="Figura1"/>
      </w:pPr>
      <w:r w:rsidRPr="004577BB">
        <w:t xml:space="preserve">Figura </w:t>
      </w:r>
      <w:r w:rsidR="007D4F81">
        <w:t>6</w:t>
      </w:r>
    </w:p>
    <w:p w14:paraId="5CCEA7B3" w14:textId="77777777" w:rsidR="006F6F84" w:rsidRPr="004577BB" w:rsidRDefault="006F6F84" w:rsidP="006F6F84">
      <w:pPr>
        <w:pStyle w:val="Figura1"/>
      </w:pPr>
      <w:r w:rsidRPr="004577BB">
        <w:t>Segmentos de la población que han participado en los procesos de consulta pública, de acuerdo con las personas entrevistadas</w:t>
      </w:r>
    </w:p>
    <w:p w14:paraId="7F045CCF" w14:textId="77777777" w:rsidR="006F6F84" w:rsidRPr="004577BB" w:rsidRDefault="006F6F84" w:rsidP="006F6F84">
      <w:pPr>
        <w:pStyle w:val="Figura1"/>
      </w:pPr>
    </w:p>
    <w:p w14:paraId="656968C8" w14:textId="77777777" w:rsidR="006F6F84" w:rsidRPr="004577BB" w:rsidRDefault="006F6F84" w:rsidP="006F6F84">
      <w:pPr>
        <w:pStyle w:val="Figura1"/>
      </w:pPr>
      <w:r w:rsidRPr="004577BB">
        <w:rPr>
          <w:noProof/>
        </w:rPr>
        <w:drawing>
          <wp:inline distT="0" distB="0" distL="0" distR="0" wp14:anchorId="03CD7726" wp14:editId="7C60A718">
            <wp:extent cx="4351282" cy="2254469"/>
            <wp:effectExtent l="0" t="0" r="11430" b="12700"/>
            <wp:docPr id="18" name="Chart 18">
              <a:extLst xmlns:a="http://schemas.openxmlformats.org/drawingml/2006/main">
                <a:ext uri="{FF2B5EF4-FFF2-40B4-BE49-F238E27FC236}">
                  <a16:creationId xmlns:a16="http://schemas.microsoft.com/office/drawing/2014/main" id="{A94B5D3E-26B1-4A90-BE70-4DC38F3723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7E5BCF7" w14:textId="77777777" w:rsidR="006F6F84" w:rsidRPr="004577BB" w:rsidRDefault="006F6F84" w:rsidP="006F6F84">
      <w:pPr>
        <w:pStyle w:val="Figura1"/>
        <w:spacing w:before="240"/>
        <w:jc w:val="left"/>
        <w:rPr>
          <w:b w:val="0"/>
          <w:bCs w:val="0"/>
        </w:rPr>
      </w:pPr>
      <w:r w:rsidRPr="004577BB">
        <w:rPr>
          <w:b w:val="0"/>
          <w:bCs w:val="0"/>
        </w:rPr>
        <w:t xml:space="preserve">         Fuente:  elaboración propia, 2021</w:t>
      </w:r>
    </w:p>
    <w:p w14:paraId="638F1051" w14:textId="77777777" w:rsidR="006F6F84" w:rsidRPr="004577BB" w:rsidRDefault="006F6F84" w:rsidP="006F6F84">
      <w:pPr>
        <w:spacing w:line="360" w:lineRule="auto"/>
        <w:jc w:val="both"/>
        <w:rPr>
          <w:rFonts w:ascii="Times New Roman" w:hAnsi="Times New Roman" w:cs="Times New Roman"/>
        </w:rPr>
      </w:pPr>
    </w:p>
    <w:p w14:paraId="0271E34C" w14:textId="5FB4B7F1" w:rsidR="006F6F84" w:rsidRPr="004577BB" w:rsidRDefault="006F6F84" w:rsidP="006F6F84">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Finalmente</w:t>
      </w:r>
      <w:r w:rsidR="008E5CC9">
        <w:rPr>
          <w:rFonts w:ascii="Times New Roman" w:hAnsi="Times New Roman" w:cs="Times New Roman"/>
          <w:sz w:val="24"/>
          <w:szCs w:val="24"/>
        </w:rPr>
        <w:t>,</w:t>
      </w:r>
      <w:r w:rsidRPr="004577BB">
        <w:rPr>
          <w:rFonts w:ascii="Times New Roman" w:hAnsi="Times New Roman" w:cs="Times New Roman"/>
          <w:sz w:val="24"/>
          <w:szCs w:val="24"/>
        </w:rPr>
        <w:t xml:space="preserve"> es importante indicar que la mayor parte de las personas encuestadas</w:t>
      </w:r>
      <w:r w:rsidR="008E5CC9">
        <w:rPr>
          <w:rFonts w:ascii="Times New Roman" w:hAnsi="Times New Roman" w:cs="Times New Roman"/>
          <w:sz w:val="24"/>
          <w:szCs w:val="24"/>
        </w:rPr>
        <w:t xml:space="preserve"> (85%)</w:t>
      </w:r>
      <w:r w:rsidRPr="004577BB">
        <w:rPr>
          <w:rFonts w:ascii="Times New Roman" w:hAnsi="Times New Roman" w:cs="Times New Roman"/>
          <w:sz w:val="24"/>
          <w:szCs w:val="24"/>
        </w:rPr>
        <w:t xml:space="preserve"> manifestó que es necesario fortalecer los esfuerzos que realiza el Gobierno en materia de consulta pública, dado que </w:t>
      </w:r>
      <w:r w:rsidR="00DE1300">
        <w:rPr>
          <w:rFonts w:ascii="Times New Roman" w:hAnsi="Times New Roman" w:cs="Times New Roman"/>
          <w:sz w:val="24"/>
          <w:szCs w:val="24"/>
        </w:rPr>
        <w:t>-</w:t>
      </w:r>
      <w:r w:rsidRPr="004577BB">
        <w:rPr>
          <w:rFonts w:ascii="Times New Roman" w:hAnsi="Times New Roman" w:cs="Times New Roman"/>
          <w:sz w:val="24"/>
          <w:szCs w:val="24"/>
        </w:rPr>
        <w:t>de acuerdo con su percepción</w:t>
      </w:r>
      <w:r w:rsidR="00DE1300">
        <w:rPr>
          <w:rFonts w:ascii="Times New Roman" w:hAnsi="Times New Roman" w:cs="Times New Roman"/>
          <w:sz w:val="24"/>
          <w:szCs w:val="24"/>
        </w:rPr>
        <w:t>-</w:t>
      </w:r>
      <w:r w:rsidRPr="004577BB">
        <w:rPr>
          <w:rFonts w:ascii="Times New Roman" w:hAnsi="Times New Roman" w:cs="Times New Roman"/>
          <w:sz w:val="24"/>
          <w:szCs w:val="24"/>
        </w:rPr>
        <w:t xml:space="preserve">, son hasta ahora insuficientes o medianamente suficientes, según se detalla en la Figura </w:t>
      </w:r>
      <w:r w:rsidR="007D4F81">
        <w:rPr>
          <w:rFonts w:ascii="Times New Roman" w:hAnsi="Times New Roman" w:cs="Times New Roman"/>
          <w:sz w:val="24"/>
          <w:szCs w:val="24"/>
        </w:rPr>
        <w:t>7</w:t>
      </w:r>
      <w:r w:rsidRPr="004577BB">
        <w:rPr>
          <w:rFonts w:ascii="Times New Roman" w:hAnsi="Times New Roman" w:cs="Times New Roman"/>
          <w:sz w:val="24"/>
          <w:szCs w:val="24"/>
        </w:rPr>
        <w:t>.</w:t>
      </w:r>
    </w:p>
    <w:p w14:paraId="6629955A" w14:textId="39ECF363" w:rsidR="006F6F84" w:rsidRPr="004577BB" w:rsidRDefault="006F6F84" w:rsidP="006F6F84">
      <w:pPr>
        <w:pStyle w:val="Figura1"/>
      </w:pPr>
      <w:r w:rsidRPr="004577BB">
        <w:lastRenderedPageBreak/>
        <w:t xml:space="preserve">Figura </w:t>
      </w:r>
      <w:r w:rsidR="007D4F81">
        <w:t>7</w:t>
      </w:r>
    </w:p>
    <w:p w14:paraId="6453871F" w14:textId="77777777" w:rsidR="006F6F84" w:rsidRPr="004577BB" w:rsidRDefault="006F6F84" w:rsidP="006F6F84">
      <w:pPr>
        <w:pStyle w:val="Figura1"/>
      </w:pPr>
      <w:bookmarkStart w:id="6" w:name="_Hlk83469899"/>
      <w:r w:rsidRPr="004577BB">
        <w:t xml:space="preserve">Suficiencia percibida en relación con los esfuerzos gubernamentales para promover la participación ciudadana </w:t>
      </w:r>
      <w:bookmarkEnd w:id="6"/>
      <w:r w:rsidRPr="004577BB">
        <w:t>(Valores absolutos)</w:t>
      </w:r>
    </w:p>
    <w:p w14:paraId="7373908B" w14:textId="77777777" w:rsidR="006F6F84" w:rsidRPr="004577BB" w:rsidRDefault="006F6F84" w:rsidP="006F6F84">
      <w:pPr>
        <w:pStyle w:val="Figura1"/>
        <w:spacing w:line="360" w:lineRule="auto"/>
        <w:jc w:val="both"/>
      </w:pPr>
    </w:p>
    <w:p w14:paraId="337D0DFF" w14:textId="77777777" w:rsidR="006F6F84" w:rsidRPr="004577BB" w:rsidRDefault="006F6F84" w:rsidP="006F6F84">
      <w:pPr>
        <w:pStyle w:val="Figura1"/>
        <w:spacing w:line="360" w:lineRule="auto"/>
      </w:pPr>
      <w:r w:rsidRPr="004577BB">
        <w:rPr>
          <w:noProof/>
        </w:rPr>
        <w:drawing>
          <wp:inline distT="0" distB="0" distL="0" distR="0" wp14:anchorId="22F75010" wp14:editId="04C73189">
            <wp:extent cx="3874407" cy="1927527"/>
            <wp:effectExtent l="0" t="0" r="12065" b="15875"/>
            <wp:docPr id="60" name="Chart 60">
              <a:extLst xmlns:a="http://schemas.openxmlformats.org/drawingml/2006/main">
                <a:ext uri="{FF2B5EF4-FFF2-40B4-BE49-F238E27FC236}">
                  <a16:creationId xmlns:a16="http://schemas.microsoft.com/office/drawing/2014/main" id="{B9114D0C-19F0-49E9-ADFA-B47DF7379F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F8EBFE2" w14:textId="77777777" w:rsidR="006F6F84" w:rsidRPr="004577BB" w:rsidRDefault="006F6F84" w:rsidP="006F6F84">
      <w:pPr>
        <w:pStyle w:val="Figura1"/>
        <w:spacing w:after="240" w:line="360" w:lineRule="auto"/>
        <w:jc w:val="both"/>
        <w:rPr>
          <w:b w:val="0"/>
          <w:bCs w:val="0"/>
        </w:rPr>
      </w:pPr>
      <w:r w:rsidRPr="004577BB">
        <w:tab/>
      </w:r>
      <w:r w:rsidRPr="004577BB">
        <w:tab/>
      </w:r>
      <w:r w:rsidRPr="004577BB">
        <w:tab/>
      </w:r>
      <w:r w:rsidRPr="004577BB">
        <w:rPr>
          <w:b w:val="0"/>
          <w:bCs w:val="0"/>
        </w:rPr>
        <w:t>Fuente: elaboración propia, 2021</w:t>
      </w:r>
    </w:p>
    <w:p w14:paraId="02642F8D" w14:textId="4763F17B" w:rsidR="006F6F84" w:rsidRPr="004577BB" w:rsidRDefault="006F6F84" w:rsidP="006F6F84">
      <w:pPr>
        <w:pStyle w:val="Figura1"/>
        <w:spacing w:after="240" w:line="360" w:lineRule="auto"/>
        <w:ind w:firstLine="0"/>
        <w:jc w:val="both"/>
        <w:rPr>
          <w:b w:val="0"/>
          <w:bCs w:val="0"/>
        </w:rPr>
      </w:pPr>
      <w:r w:rsidRPr="004577BB">
        <w:rPr>
          <w:b w:val="0"/>
          <w:bCs w:val="0"/>
        </w:rPr>
        <w:t xml:space="preserve">Tomando en consideración lo expuesto en la figura </w:t>
      </w:r>
      <w:r w:rsidR="007D4F81">
        <w:rPr>
          <w:b w:val="0"/>
          <w:bCs w:val="0"/>
        </w:rPr>
        <w:t>7</w:t>
      </w:r>
      <w:r w:rsidRPr="004577BB">
        <w:rPr>
          <w:b w:val="0"/>
          <w:bCs w:val="0"/>
        </w:rPr>
        <w:t>, y los elementos destacados a través de los diversos instrumentos de investigación aplicados, se puede afirmar que aún faltan muchos esfuerzos y retos por superar a nivel operativo, procedimental, tecnológico y logístico para impulsar la participación ciudadana, respondiendo a principios de idoneidad y efectividad, de acuerdo con los parámetros establecidos por el OGP, la CEPAL y la OCDE.</w:t>
      </w:r>
      <w:bookmarkEnd w:id="3"/>
    </w:p>
    <w:p w14:paraId="5880DDA8" w14:textId="77777777" w:rsidR="006F6F84" w:rsidRPr="004577BB" w:rsidRDefault="006F6F84" w:rsidP="007D4F81">
      <w:pPr>
        <w:pStyle w:val="Figura1"/>
        <w:spacing w:after="240" w:line="360" w:lineRule="auto"/>
        <w:ind w:firstLine="0"/>
        <w:jc w:val="both"/>
        <w:rPr>
          <w:b w:val="0"/>
          <w:bCs w:val="0"/>
        </w:rPr>
      </w:pPr>
      <w:r w:rsidRPr="004577BB">
        <w:rPr>
          <w:b w:val="0"/>
          <w:bCs w:val="0"/>
        </w:rPr>
        <w:t>Asimismo, y en términos generales, se puede inferir que el modelo de Gobierno abierto alcanza a cumplir su función, en tanto exista una clara disposición gubernamental de generar los espacios y canales adecuados para incentivar la articulación de esfuerzos, el diálogo, la reflexión y la co-creación, siendo conscientes de la integralidad, oportunidad e inclusividad que implican estas acciones.</w:t>
      </w:r>
    </w:p>
    <w:p w14:paraId="62C46108" w14:textId="60446E3C" w:rsidR="006F6F84" w:rsidRPr="004577BB" w:rsidRDefault="006F6F84" w:rsidP="006F6F84">
      <w:pPr>
        <w:spacing w:after="240" w:line="360" w:lineRule="auto"/>
        <w:jc w:val="both"/>
        <w:rPr>
          <w:rFonts w:ascii="Times New Roman" w:hAnsi="Times New Roman" w:cs="Times New Roman"/>
          <w:sz w:val="24"/>
          <w:szCs w:val="24"/>
          <w:lang w:val="es-ES"/>
        </w:rPr>
      </w:pPr>
      <w:r w:rsidRPr="004577BB">
        <w:rPr>
          <w:rFonts w:ascii="Times New Roman" w:hAnsi="Times New Roman" w:cs="Times New Roman"/>
          <w:sz w:val="24"/>
          <w:szCs w:val="24"/>
          <w:lang w:val="es-ES"/>
        </w:rPr>
        <w:t>La construcción de puentes de trabajo en el binomio Gobierno-</w:t>
      </w:r>
      <w:r w:rsidR="008E5CC9">
        <w:rPr>
          <w:rFonts w:ascii="Times New Roman" w:hAnsi="Times New Roman" w:cs="Times New Roman"/>
          <w:sz w:val="24"/>
          <w:szCs w:val="24"/>
          <w:lang w:val="es-ES"/>
        </w:rPr>
        <w:t>c</w:t>
      </w:r>
      <w:r w:rsidRPr="004577BB">
        <w:rPr>
          <w:rFonts w:ascii="Times New Roman" w:hAnsi="Times New Roman" w:cs="Times New Roman"/>
          <w:sz w:val="24"/>
          <w:szCs w:val="24"/>
          <w:lang w:val="es-ES"/>
        </w:rPr>
        <w:t>iudadanía, implica la identificación de actores que representen a sectores y grupos organizados, el vínculo con las comunidades y poblaciones de diversas índoles, mecanismos de interacción institucional, y la reserva de los recursos financieros y humanos requeridos para generar relaciones sólidas y permanentes, con la posibilidad de dar continuidad, credibilidad y legitimidad a la gestión pública.</w:t>
      </w:r>
    </w:p>
    <w:p w14:paraId="22CB4913" w14:textId="5CF5C514" w:rsidR="006F6F84" w:rsidRPr="004577BB" w:rsidRDefault="006F6F84" w:rsidP="006F6F84">
      <w:pPr>
        <w:spacing w:after="240" w:line="360" w:lineRule="auto"/>
        <w:jc w:val="both"/>
        <w:rPr>
          <w:rFonts w:ascii="Times New Roman" w:hAnsi="Times New Roman" w:cs="Times New Roman"/>
          <w:sz w:val="24"/>
          <w:szCs w:val="24"/>
          <w:lang w:val="es-ES"/>
        </w:rPr>
      </w:pPr>
      <w:r w:rsidRPr="004577BB">
        <w:rPr>
          <w:rFonts w:ascii="Times New Roman" w:hAnsi="Times New Roman" w:cs="Times New Roman"/>
          <w:sz w:val="24"/>
          <w:szCs w:val="24"/>
          <w:lang w:val="es-ES"/>
        </w:rPr>
        <w:lastRenderedPageBreak/>
        <w:t xml:space="preserve">En este sentido, es oportuno traer a colación las discusiones teóricas que se han generado sobre las implicaciones de tiempo y recursos que tienen estos procesos, ante lo cual la OCDE ha sido clara en que más que un gasto, este esfuerzo debe verse como una inversión, dado que no hacerlo tiene implicaciones mucho más costosas en el largo plazo, debido a la pérdida de confianza y legitimidad en la </w:t>
      </w:r>
      <w:r w:rsidR="008E5CC9">
        <w:rPr>
          <w:rFonts w:ascii="Times New Roman" w:hAnsi="Times New Roman" w:cs="Times New Roman"/>
          <w:sz w:val="24"/>
          <w:szCs w:val="24"/>
          <w:lang w:val="es-ES"/>
        </w:rPr>
        <w:t>acción</w:t>
      </w:r>
      <w:r w:rsidRPr="004577BB">
        <w:rPr>
          <w:rFonts w:ascii="Times New Roman" w:hAnsi="Times New Roman" w:cs="Times New Roman"/>
          <w:sz w:val="24"/>
          <w:szCs w:val="24"/>
          <w:lang w:val="es-ES"/>
        </w:rPr>
        <w:t xml:space="preserve"> Gubernamental, e incluso, podría implicar una menor eficacia de las políticas definidas (Gramberger, 2016, p.24).</w:t>
      </w:r>
    </w:p>
    <w:p w14:paraId="6BBF1738" w14:textId="4401FC0B" w:rsidR="006F6F84" w:rsidRPr="004577BB" w:rsidRDefault="006F6F84" w:rsidP="006F6F84">
      <w:pPr>
        <w:spacing w:after="240" w:line="360" w:lineRule="auto"/>
        <w:jc w:val="both"/>
        <w:rPr>
          <w:rFonts w:ascii="Times New Roman" w:hAnsi="Times New Roman" w:cs="Times New Roman"/>
          <w:sz w:val="24"/>
          <w:szCs w:val="24"/>
          <w:lang w:val="es-ES"/>
        </w:rPr>
      </w:pPr>
      <w:r w:rsidRPr="004577BB">
        <w:rPr>
          <w:rFonts w:ascii="Times New Roman" w:hAnsi="Times New Roman" w:cs="Times New Roman"/>
          <w:sz w:val="24"/>
          <w:szCs w:val="24"/>
          <w:lang w:val="es-ES"/>
        </w:rPr>
        <w:t>A partir de lo expuesto, y de acuerdo con la información analizada, es posible concluir que la participación ciudadana en Costa Rica aún se encuentra en una etapa preliminar, y tiene muchos retos por superar; los cuales pasan por la creación de estructuras, mecanismos y canales de interacción; una adecuada gestión de sensibilización e información; y finalmente, de la creación de foros y espacios permanentes de discusión y análisis, no solo a nivel general, sino también a nivel institucional; con el fin de garantizar las posibilidades de diálogo para la recolección de aportes, validación de propuestas y la dotación de recursos para el desarrollo de procesos de co-creación.</w:t>
      </w:r>
    </w:p>
    <w:p w14:paraId="6FD7F7CB" w14:textId="77777777" w:rsidR="0076412D" w:rsidRPr="0076412D" w:rsidRDefault="0076412D" w:rsidP="00784077">
      <w:pPr>
        <w:spacing w:after="0" w:line="360" w:lineRule="auto"/>
        <w:jc w:val="both"/>
        <w:rPr>
          <w:rFonts w:ascii="Times New Roman" w:hAnsi="Times New Roman" w:cs="Times New Roman"/>
          <w:sz w:val="24"/>
          <w:szCs w:val="24"/>
        </w:rPr>
      </w:pPr>
    </w:p>
    <w:p w14:paraId="0D5F6436" w14:textId="49571D05" w:rsidR="00B2786C" w:rsidRPr="00283C74" w:rsidRDefault="005874E8" w:rsidP="006D37AA">
      <w:pPr>
        <w:pStyle w:val="Prrafodelista"/>
        <w:numPr>
          <w:ilvl w:val="0"/>
          <w:numId w:val="1"/>
        </w:numPr>
        <w:spacing w:after="0" w:line="360" w:lineRule="auto"/>
        <w:ind w:left="360" w:hanging="360"/>
        <w:rPr>
          <w:rFonts w:ascii="Times New Roman" w:hAnsi="Times New Roman" w:cs="Times New Roman"/>
          <w:b/>
          <w:bCs/>
          <w:sz w:val="24"/>
          <w:szCs w:val="24"/>
        </w:rPr>
      </w:pPr>
      <w:r w:rsidRPr="00283C74">
        <w:rPr>
          <w:rFonts w:ascii="Times New Roman" w:hAnsi="Times New Roman" w:cs="Times New Roman"/>
          <w:b/>
          <w:bCs/>
          <w:sz w:val="24"/>
          <w:szCs w:val="24"/>
        </w:rPr>
        <w:t>Conclusiones</w:t>
      </w:r>
    </w:p>
    <w:p w14:paraId="7671737C" w14:textId="77777777" w:rsidR="00F258A0" w:rsidRPr="00283C74" w:rsidRDefault="00F258A0" w:rsidP="006D37AA">
      <w:pPr>
        <w:spacing w:after="0" w:line="360" w:lineRule="auto"/>
        <w:jc w:val="both"/>
        <w:rPr>
          <w:rFonts w:ascii="Times New Roman" w:hAnsi="Times New Roman" w:cs="Times New Roman"/>
          <w:sz w:val="24"/>
          <w:szCs w:val="24"/>
        </w:rPr>
      </w:pPr>
      <w:r w:rsidRPr="00283C74">
        <w:rPr>
          <w:rFonts w:ascii="Times New Roman" w:hAnsi="Times New Roman" w:cs="Times New Roman"/>
          <w:sz w:val="24"/>
          <w:szCs w:val="24"/>
        </w:rPr>
        <w:t xml:space="preserve">La comunicación social tiene implicaciones complejas, las cuales pueden variar dependiendo del entorno cultural, político e incluso económico.  Asimismo, hay una diversidad de fenómenos sociales que pueden incidir en las motivaciones, relaciones de significancia y de legitimidad de los actores y procesos.  </w:t>
      </w:r>
    </w:p>
    <w:p w14:paraId="796851FB" w14:textId="77777777" w:rsidR="00F258A0" w:rsidRPr="00283C74" w:rsidRDefault="00F258A0" w:rsidP="006D37AA">
      <w:pPr>
        <w:spacing w:after="0" w:line="360" w:lineRule="auto"/>
        <w:jc w:val="both"/>
        <w:rPr>
          <w:rFonts w:ascii="Times New Roman" w:hAnsi="Times New Roman" w:cs="Times New Roman"/>
          <w:sz w:val="24"/>
          <w:szCs w:val="24"/>
        </w:rPr>
      </w:pPr>
    </w:p>
    <w:p w14:paraId="321E06CA" w14:textId="77777777" w:rsidR="00F258A0" w:rsidRPr="00283C74" w:rsidRDefault="00F258A0" w:rsidP="006D37AA">
      <w:pPr>
        <w:spacing w:after="0" w:line="360" w:lineRule="auto"/>
        <w:jc w:val="both"/>
        <w:rPr>
          <w:rFonts w:ascii="Times New Roman" w:hAnsi="Times New Roman" w:cs="Times New Roman"/>
          <w:sz w:val="24"/>
          <w:szCs w:val="24"/>
        </w:rPr>
      </w:pPr>
      <w:r w:rsidRPr="00283C74">
        <w:rPr>
          <w:rFonts w:ascii="Times New Roman" w:hAnsi="Times New Roman" w:cs="Times New Roman"/>
          <w:sz w:val="24"/>
          <w:szCs w:val="24"/>
        </w:rPr>
        <w:t>Sin embargo, hay varias generalidades e inferencias que se pueden realizar, para efectos de establecer algunas tendencias y parámetros de análisis, en este caso, en materia de Gobierno abierto.</w:t>
      </w:r>
    </w:p>
    <w:p w14:paraId="44F74FEB" w14:textId="77777777" w:rsidR="00F258A0" w:rsidRPr="00283C74" w:rsidRDefault="00F258A0" w:rsidP="006D37AA">
      <w:pPr>
        <w:spacing w:after="0" w:line="360" w:lineRule="auto"/>
        <w:ind w:firstLine="360"/>
        <w:jc w:val="both"/>
        <w:rPr>
          <w:rFonts w:ascii="Times New Roman" w:hAnsi="Times New Roman" w:cs="Times New Roman"/>
          <w:sz w:val="24"/>
          <w:szCs w:val="24"/>
        </w:rPr>
      </w:pPr>
    </w:p>
    <w:p w14:paraId="742BD191" w14:textId="510C629A" w:rsidR="00F258A0" w:rsidRPr="00E36A4A" w:rsidRDefault="00E36A4A" w:rsidP="00E36A4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Es oportuno indicar que l</w:t>
      </w:r>
      <w:r w:rsidR="00F258A0" w:rsidRPr="00E36A4A">
        <w:rPr>
          <w:rFonts w:ascii="Times New Roman" w:hAnsi="Times New Roman" w:cs="Times New Roman"/>
          <w:sz w:val="24"/>
          <w:szCs w:val="24"/>
        </w:rPr>
        <w:t>a sociedad civil, y la ciudadanía en general, tienen la posibilidad de consolidarse como un contrapeso de la gestión política, impulsando la búsqueda del bien común y contribuyendo a combatir la corrupción.</w:t>
      </w:r>
    </w:p>
    <w:p w14:paraId="5013AFBF" w14:textId="77777777" w:rsidR="00F258A0" w:rsidRPr="00283C74" w:rsidRDefault="00F258A0" w:rsidP="006D37AA">
      <w:pPr>
        <w:pStyle w:val="Prrafodelista"/>
        <w:spacing w:after="0"/>
        <w:rPr>
          <w:rFonts w:ascii="Times New Roman" w:hAnsi="Times New Roman" w:cs="Times New Roman"/>
          <w:sz w:val="24"/>
          <w:szCs w:val="24"/>
        </w:rPr>
      </w:pPr>
    </w:p>
    <w:p w14:paraId="18F4E80E" w14:textId="0047F218" w:rsidR="00F258A0" w:rsidRPr="00283C74" w:rsidRDefault="00E36A4A" w:rsidP="00E36A4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No obstante, l</w:t>
      </w:r>
      <w:r w:rsidR="00F258A0" w:rsidRPr="00E36A4A">
        <w:rPr>
          <w:rFonts w:ascii="Times New Roman" w:hAnsi="Times New Roman" w:cs="Times New Roman"/>
          <w:sz w:val="24"/>
          <w:szCs w:val="24"/>
        </w:rPr>
        <w:t xml:space="preserve">a ciudadanía tendrá anuencia y disposición de participar en procesos de discusión y análisis de políticas públicas, en tanto los mecanismos de acceso a los puntos de encuentro definidos sean adecuados, la información sea fácilmente decodificable (obviando el uso de términos técnicos y facilitado la comprensión de temas de altos niveles de complejidad), y adicionalmente, exista una motivación o beneficio que pueda derivarse de su intervención.  </w:t>
      </w:r>
    </w:p>
    <w:p w14:paraId="0677304A" w14:textId="2E5636B7" w:rsidR="00F258A0" w:rsidRDefault="001863C1" w:rsidP="00E36A4A">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F258A0" w:rsidRPr="00E36A4A">
        <w:rPr>
          <w:rFonts w:ascii="Times New Roman" w:hAnsi="Times New Roman" w:cs="Times New Roman"/>
          <w:sz w:val="24"/>
          <w:szCs w:val="24"/>
        </w:rPr>
        <w:t>a participación ciudadana es un mecanismo presente en las nuevas tendencias de la administración pública, principalmente en materia de Gobierno abierto, dado que se ha reconocido como una de las principales formas de fortalecer la democracia, de impulsar la legitimidad de la gestión gubernamental y de recuperar la confianza en la institucionalidad.</w:t>
      </w:r>
    </w:p>
    <w:p w14:paraId="70F499EE" w14:textId="77777777" w:rsidR="00E36A4A" w:rsidRDefault="00E36A4A" w:rsidP="00E36A4A">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A partir de la información obtenida durante el proceso de investigación, es difícil establecer un parámetro de medición con respecto al nivel de incidencia de la población en la generación de políticas públicas, desde la gestión institucional, por cuanto no se cuenta con informes, reportes o datos que permitan evidenciar los resultados de los aportes generados en los respectivos procesos consultivos.</w:t>
      </w:r>
    </w:p>
    <w:p w14:paraId="59C02305" w14:textId="0D0D6829" w:rsidR="00E36A4A" w:rsidRPr="004577BB" w:rsidRDefault="00E36A4A" w:rsidP="00E36A4A">
      <w:pPr>
        <w:spacing w:line="360" w:lineRule="auto"/>
        <w:jc w:val="both"/>
        <w:rPr>
          <w:rFonts w:ascii="Times New Roman" w:hAnsi="Times New Roman" w:cs="Times New Roman"/>
          <w:sz w:val="24"/>
          <w:szCs w:val="24"/>
        </w:rPr>
      </w:pPr>
      <w:r w:rsidRPr="004577BB">
        <w:rPr>
          <w:rFonts w:ascii="Times New Roman" w:hAnsi="Times New Roman" w:cs="Times New Roman"/>
          <w:sz w:val="24"/>
          <w:szCs w:val="24"/>
        </w:rPr>
        <w:t xml:space="preserve">Por otra parte, ha quedado en evidencia que la agenda de los temas promovidos desde la gestión institucional obedecen de manera directa a las prioridades gubernamentales, lo cual debe ser replanteado, en función de generar espacios de participativos tanto para el diagnóstico de necesidades como para su respectiva priorización, garantizando además, que tanto las metodologías como procesos establecidos para los espacios de co-creación y consulta, sean abiertos, planificados con plazos viables de implementación, que sean inclusivos, transparentes y que sus respectivos alcances sean difundidos por las vías adecuadas, para dejar </w:t>
      </w:r>
      <w:r w:rsidR="008979CB">
        <w:rPr>
          <w:rFonts w:ascii="Times New Roman" w:hAnsi="Times New Roman" w:cs="Times New Roman"/>
          <w:sz w:val="24"/>
          <w:szCs w:val="24"/>
        </w:rPr>
        <w:t>una constancia d</w:t>
      </w:r>
      <w:r w:rsidRPr="004577BB">
        <w:rPr>
          <w:rFonts w:ascii="Times New Roman" w:hAnsi="Times New Roman" w:cs="Times New Roman"/>
          <w:sz w:val="24"/>
          <w:szCs w:val="24"/>
        </w:rPr>
        <w:t>el impacto de la participación ciudadana en cada uno de los procesos de análisis, valoración y determinación de las políticas públicas del país, garantizando la transparencia y legitimidad de las acciones implementadas.</w:t>
      </w:r>
    </w:p>
    <w:p w14:paraId="51F9B129" w14:textId="730E5F23" w:rsidR="00E36A4A" w:rsidRDefault="00E36A4A" w:rsidP="00E36A4A">
      <w:pPr>
        <w:spacing w:after="0" w:line="360" w:lineRule="auto"/>
        <w:jc w:val="both"/>
        <w:rPr>
          <w:rFonts w:ascii="Times New Roman" w:hAnsi="Times New Roman" w:cs="Times New Roman"/>
          <w:sz w:val="24"/>
          <w:szCs w:val="24"/>
        </w:rPr>
      </w:pPr>
    </w:p>
    <w:p w14:paraId="0964BB7A" w14:textId="7878F13D" w:rsidR="00E36A4A" w:rsidRDefault="00E36A4A" w:rsidP="00E36A4A">
      <w:pPr>
        <w:spacing w:after="0" w:line="360" w:lineRule="auto"/>
        <w:jc w:val="both"/>
        <w:rPr>
          <w:rFonts w:ascii="Times New Roman" w:hAnsi="Times New Roman" w:cs="Times New Roman"/>
          <w:sz w:val="24"/>
          <w:szCs w:val="24"/>
        </w:rPr>
      </w:pPr>
    </w:p>
    <w:p w14:paraId="52CB9AA9" w14:textId="77777777" w:rsidR="00E36A4A" w:rsidRPr="00E36A4A" w:rsidRDefault="00E36A4A" w:rsidP="00E36A4A">
      <w:pPr>
        <w:spacing w:after="0" w:line="360" w:lineRule="auto"/>
        <w:jc w:val="both"/>
        <w:rPr>
          <w:rFonts w:ascii="Times New Roman" w:hAnsi="Times New Roman" w:cs="Times New Roman"/>
          <w:sz w:val="24"/>
          <w:szCs w:val="24"/>
        </w:rPr>
      </w:pPr>
    </w:p>
    <w:p w14:paraId="2E0137DD" w14:textId="77777777" w:rsidR="00B2786C" w:rsidRPr="00283C74" w:rsidRDefault="00B2786C" w:rsidP="006D37AA">
      <w:pPr>
        <w:spacing w:after="0" w:line="360" w:lineRule="auto"/>
        <w:rPr>
          <w:rFonts w:ascii="Times New Roman" w:hAnsi="Times New Roman" w:cs="Times New Roman"/>
          <w:b/>
          <w:bCs/>
          <w:sz w:val="24"/>
          <w:szCs w:val="24"/>
        </w:rPr>
      </w:pPr>
    </w:p>
    <w:p w14:paraId="7ED8AF94" w14:textId="5661A038" w:rsidR="005874E8" w:rsidRDefault="005874E8" w:rsidP="006D37AA">
      <w:pPr>
        <w:pStyle w:val="Prrafodelista"/>
        <w:numPr>
          <w:ilvl w:val="0"/>
          <w:numId w:val="1"/>
        </w:numPr>
        <w:spacing w:after="0" w:line="360" w:lineRule="auto"/>
        <w:ind w:left="360" w:hanging="360"/>
        <w:rPr>
          <w:rFonts w:ascii="Times New Roman" w:hAnsi="Times New Roman" w:cs="Times New Roman"/>
          <w:b/>
          <w:bCs/>
          <w:sz w:val="24"/>
          <w:szCs w:val="24"/>
        </w:rPr>
      </w:pPr>
      <w:r w:rsidRPr="00283C74">
        <w:rPr>
          <w:rFonts w:ascii="Times New Roman" w:hAnsi="Times New Roman" w:cs="Times New Roman"/>
          <w:b/>
          <w:bCs/>
          <w:sz w:val="24"/>
          <w:szCs w:val="24"/>
        </w:rPr>
        <w:lastRenderedPageBreak/>
        <w:t>Referencias</w:t>
      </w:r>
    </w:p>
    <w:p w14:paraId="7A4C6E70" w14:textId="77777777" w:rsidR="008979CB" w:rsidRPr="00283C74" w:rsidRDefault="008979CB" w:rsidP="008979CB">
      <w:pPr>
        <w:pStyle w:val="Prrafodelista"/>
        <w:spacing w:after="0" w:line="360" w:lineRule="auto"/>
        <w:ind w:left="360"/>
        <w:rPr>
          <w:rFonts w:ascii="Times New Roman" w:hAnsi="Times New Roman" w:cs="Times New Roman"/>
          <w:b/>
          <w:bCs/>
          <w:sz w:val="24"/>
          <w:szCs w:val="24"/>
        </w:rPr>
      </w:pPr>
    </w:p>
    <w:p w14:paraId="5A67655C"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Camou, A. y Pagani, M. (2017)  Debates teóricos y metodológicos actuales sobre políticas públicas.  Universidad Nacional de la Plata, Argentina.  </w:t>
      </w:r>
      <w:hyperlink r:id="rId17" w:history="1">
        <w:r w:rsidRPr="00E22BFC">
          <w:rPr>
            <w:rFonts w:ascii="Times New Roman" w:hAnsi="Times New Roman" w:cs="Times New Roman"/>
            <w:sz w:val="24"/>
            <w:szCs w:val="24"/>
          </w:rPr>
          <w:t>http://www.memoria.fahce.unlp.edu.ar/libros/pm.546/pm.546.pdf</w:t>
        </w:r>
      </w:hyperlink>
      <w:r w:rsidRPr="00E22BFC">
        <w:rPr>
          <w:rFonts w:ascii="Times New Roman" w:hAnsi="Times New Roman" w:cs="Times New Roman"/>
          <w:sz w:val="24"/>
          <w:szCs w:val="24"/>
        </w:rPr>
        <w:t xml:space="preserve"> </w:t>
      </w:r>
    </w:p>
    <w:p w14:paraId="4BA85430"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CEPAL.  (2017).  </w:t>
      </w:r>
      <w:r w:rsidRPr="00E22BFC">
        <w:rPr>
          <w:rFonts w:ascii="Times New Roman" w:hAnsi="Times New Roman" w:cs="Times New Roman"/>
          <w:i/>
          <w:sz w:val="24"/>
          <w:szCs w:val="24"/>
        </w:rPr>
        <w:t>Plan de Gobierno abierto:  una hoja de ruta para los gobiernos de la región</w:t>
      </w:r>
      <w:r w:rsidRPr="00E22BFC">
        <w:rPr>
          <w:rFonts w:ascii="Times New Roman" w:hAnsi="Times New Roman" w:cs="Times New Roman"/>
          <w:sz w:val="24"/>
          <w:szCs w:val="24"/>
        </w:rPr>
        <w:t xml:space="preserve">.  Naciones Unidas.  </w:t>
      </w:r>
      <w:hyperlink r:id="rId18" w:history="1">
        <w:r w:rsidRPr="00E22BFC">
          <w:rPr>
            <w:rFonts w:ascii="Times New Roman" w:hAnsi="Times New Roman" w:cs="Times New Roman"/>
            <w:sz w:val="24"/>
            <w:szCs w:val="24"/>
          </w:rPr>
          <w:t>https://repositorio.cepal.org/bitstream/handle/11362/36665/4/S1700687_es.pdf</w:t>
        </w:r>
      </w:hyperlink>
    </w:p>
    <w:p w14:paraId="13B28025"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Gramberger, M. (2006):  </w:t>
      </w:r>
      <w:r w:rsidRPr="00E22BFC">
        <w:rPr>
          <w:rFonts w:ascii="Times New Roman" w:hAnsi="Times New Roman" w:cs="Times New Roman"/>
          <w:i/>
          <w:iCs/>
          <w:sz w:val="24"/>
          <w:szCs w:val="24"/>
        </w:rPr>
        <w:t>Participación ciudadana:  Manual de la OCDE sobre información, consulta y participación en la elaboración de políticas públicas</w:t>
      </w:r>
      <w:r w:rsidRPr="00E22BFC">
        <w:rPr>
          <w:rFonts w:ascii="Times New Roman" w:hAnsi="Times New Roman" w:cs="Times New Roman"/>
          <w:sz w:val="24"/>
          <w:szCs w:val="24"/>
        </w:rPr>
        <w:t xml:space="preserve">.  OCDE </w:t>
      </w:r>
      <w:hyperlink r:id="rId19" w:history="1">
        <w:r w:rsidRPr="00E22BFC">
          <w:rPr>
            <w:rFonts w:ascii="Times New Roman" w:hAnsi="Times New Roman" w:cs="Times New Roman"/>
            <w:sz w:val="24"/>
            <w:szCs w:val="24"/>
          </w:rPr>
          <w:t>https://www.oecd.org/centrodemexico/publicaciones/37873406.pdf</w:t>
        </w:r>
      </w:hyperlink>
      <w:r w:rsidRPr="00E22BFC">
        <w:rPr>
          <w:rFonts w:ascii="Times New Roman" w:hAnsi="Times New Roman" w:cs="Times New Roman"/>
          <w:sz w:val="24"/>
          <w:szCs w:val="24"/>
        </w:rPr>
        <w:t xml:space="preserve"> </w:t>
      </w:r>
    </w:p>
    <w:p w14:paraId="41EAC297"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Grzybowski, C. (2004).  El rol de la sociedad civil.  En P.d., </w:t>
      </w:r>
      <w:r w:rsidRPr="00E22BFC">
        <w:rPr>
          <w:rFonts w:ascii="Times New Roman" w:hAnsi="Times New Roman" w:cs="Times New Roman"/>
          <w:i/>
          <w:iCs/>
          <w:sz w:val="24"/>
          <w:szCs w:val="24"/>
        </w:rPr>
        <w:t>La Democracia en América Latina:  hacia una democracia de ciudadanos y ciudadanas</w:t>
      </w:r>
      <w:r w:rsidRPr="00E22BFC">
        <w:rPr>
          <w:rFonts w:ascii="Times New Roman" w:hAnsi="Times New Roman" w:cs="Times New Roman"/>
          <w:sz w:val="24"/>
          <w:szCs w:val="24"/>
        </w:rPr>
        <w:t xml:space="preserve"> (2da. Ed.).</w:t>
      </w:r>
    </w:p>
    <w:p w14:paraId="6637E8B4" w14:textId="77777777" w:rsidR="00E22BFC" w:rsidRPr="00E22BFC" w:rsidRDefault="00E22BFC" w:rsidP="00E22BFC">
      <w:pPr>
        <w:ind w:left="540" w:hanging="540"/>
        <w:jc w:val="both"/>
        <w:rPr>
          <w:rFonts w:ascii="Times New Roman" w:hAnsi="Times New Roman" w:cs="Times New Roman"/>
          <w:sz w:val="24"/>
          <w:szCs w:val="24"/>
        </w:rPr>
      </w:pPr>
      <w:bookmarkStart w:id="7" w:name="_Hlk75415217"/>
      <w:r w:rsidRPr="00E22BFC">
        <w:rPr>
          <w:rFonts w:ascii="Times New Roman" w:hAnsi="Times New Roman" w:cs="Times New Roman"/>
          <w:sz w:val="24"/>
          <w:szCs w:val="24"/>
        </w:rPr>
        <w:t xml:space="preserve">Ministerio de Planificación y Política Económica -MIDEPLAN-  (2021).  </w:t>
      </w:r>
      <w:r w:rsidRPr="00E22BFC">
        <w:rPr>
          <w:rFonts w:ascii="Times New Roman" w:hAnsi="Times New Roman" w:cs="Times New Roman"/>
          <w:i/>
          <w:iCs/>
          <w:sz w:val="24"/>
          <w:szCs w:val="24"/>
        </w:rPr>
        <w:t xml:space="preserve">Repositorio de políticas públicas.  </w:t>
      </w:r>
      <w:hyperlink r:id="rId20" w:tgtFrame="_blank" w:history="1">
        <w:r w:rsidRPr="00E22BFC">
          <w:rPr>
            <w:rFonts w:ascii="Times New Roman" w:hAnsi="Times New Roman" w:cs="Times New Roman"/>
            <w:sz w:val="24"/>
            <w:szCs w:val="24"/>
          </w:rPr>
          <w:t>https://repositorio-snp.mideplan.go.cr/</w:t>
        </w:r>
      </w:hyperlink>
    </w:p>
    <w:p w14:paraId="09E73708"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Ministerio de Planificación y Política Económica -MIDEPLAN-  (2020).  </w:t>
      </w:r>
      <w:r w:rsidRPr="00E22BFC">
        <w:rPr>
          <w:rFonts w:ascii="Times New Roman" w:hAnsi="Times New Roman" w:cs="Times New Roman"/>
          <w:i/>
          <w:iCs/>
          <w:sz w:val="24"/>
          <w:szCs w:val="24"/>
        </w:rPr>
        <w:t>Guía Nacional para la publicación de datos abiertos</w:t>
      </w:r>
      <w:r w:rsidRPr="00E22BFC">
        <w:rPr>
          <w:rFonts w:ascii="Times New Roman" w:hAnsi="Times New Roman" w:cs="Times New Roman"/>
          <w:sz w:val="24"/>
          <w:szCs w:val="24"/>
        </w:rPr>
        <w:t xml:space="preserve">.  </w:t>
      </w:r>
      <w:hyperlink r:id="rId21" w:history="1">
        <w:r w:rsidRPr="00E22BFC">
          <w:rPr>
            <w:rFonts w:ascii="Times New Roman" w:hAnsi="Times New Roman" w:cs="Times New Roman"/>
            <w:sz w:val="24"/>
            <w:szCs w:val="24"/>
          </w:rPr>
          <w:t>https://drive.google.com/file/d/1pVaj0tTyZ3kWhM-o-YZj2ibcnVCVezqK/view</w:t>
        </w:r>
      </w:hyperlink>
      <w:r w:rsidRPr="00E22BFC">
        <w:rPr>
          <w:rFonts w:ascii="Times New Roman" w:hAnsi="Times New Roman" w:cs="Times New Roman"/>
          <w:sz w:val="24"/>
          <w:szCs w:val="24"/>
        </w:rPr>
        <w:t xml:space="preserve">Ministerio de Planificación y Política Económica -MIDEPLAN- (2019).  </w:t>
      </w:r>
      <w:r w:rsidRPr="00E22BFC">
        <w:rPr>
          <w:rFonts w:ascii="Times New Roman" w:hAnsi="Times New Roman" w:cs="Times New Roman"/>
          <w:i/>
          <w:iCs/>
          <w:sz w:val="24"/>
          <w:szCs w:val="24"/>
        </w:rPr>
        <w:t xml:space="preserve">Políticas públicas. </w:t>
      </w:r>
      <w:r w:rsidRPr="00E22BFC">
        <w:rPr>
          <w:rFonts w:ascii="Times New Roman" w:hAnsi="Times New Roman" w:cs="Times New Roman"/>
          <w:sz w:val="24"/>
          <w:szCs w:val="24"/>
        </w:rPr>
        <w:t xml:space="preserve"> </w:t>
      </w:r>
      <w:hyperlink r:id="rId22" w:history="1">
        <w:r w:rsidRPr="00E22BFC">
          <w:rPr>
            <w:rFonts w:ascii="Times New Roman" w:hAnsi="Times New Roman" w:cs="Times New Roman"/>
            <w:sz w:val="24"/>
            <w:szCs w:val="24"/>
          </w:rPr>
          <w:t>https://www.mideplan.go.cr/politicas-publicas</w:t>
        </w:r>
      </w:hyperlink>
    </w:p>
    <w:p w14:paraId="0636E821"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Ministerio de Planificación y Política Económica -MIDEPLAN- </w:t>
      </w:r>
      <w:bookmarkEnd w:id="7"/>
      <w:r w:rsidRPr="00E22BFC">
        <w:rPr>
          <w:rFonts w:ascii="Times New Roman" w:hAnsi="Times New Roman" w:cs="Times New Roman"/>
          <w:sz w:val="24"/>
          <w:szCs w:val="24"/>
        </w:rPr>
        <w:t xml:space="preserve">(2016).  </w:t>
      </w:r>
      <w:r w:rsidRPr="00E22BFC">
        <w:rPr>
          <w:rFonts w:ascii="Times New Roman" w:hAnsi="Times New Roman" w:cs="Times New Roman"/>
          <w:i/>
          <w:iCs/>
          <w:sz w:val="24"/>
          <w:szCs w:val="24"/>
        </w:rPr>
        <w:t>Guía para la elaboración de políticas públicas.</w:t>
      </w:r>
      <w:r w:rsidRPr="00E22BFC">
        <w:rPr>
          <w:rFonts w:ascii="Times New Roman" w:hAnsi="Times New Roman" w:cs="Times New Roman"/>
          <w:sz w:val="24"/>
          <w:szCs w:val="24"/>
        </w:rPr>
        <w:t xml:space="preserve">  San José, Costa Rica.    </w:t>
      </w:r>
      <w:hyperlink r:id="rId23" w:history="1">
        <w:r w:rsidRPr="00E22BFC">
          <w:rPr>
            <w:rFonts w:ascii="Times New Roman" w:hAnsi="Times New Roman" w:cs="Times New Roman"/>
            <w:sz w:val="24"/>
            <w:szCs w:val="24"/>
          </w:rPr>
          <w:t>https://www.inder.go.cr/acerca_del_inder/politicas_publicas/documentos/Guia-de-Elaboracion-de-PP.pdf</w:t>
        </w:r>
      </w:hyperlink>
      <w:r w:rsidRPr="00E22BFC">
        <w:rPr>
          <w:rFonts w:ascii="Times New Roman" w:hAnsi="Times New Roman" w:cs="Times New Roman"/>
          <w:sz w:val="24"/>
          <w:szCs w:val="24"/>
        </w:rPr>
        <w:t xml:space="preserve">  </w:t>
      </w:r>
    </w:p>
    <w:p w14:paraId="0373F2A3"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Mori, M. (2009).  Responsabilidad Social.  Una mirada desde la psicología comunitaria.  </w:t>
      </w:r>
      <w:r w:rsidRPr="00E22BFC">
        <w:rPr>
          <w:rFonts w:ascii="Times New Roman" w:hAnsi="Times New Roman" w:cs="Times New Roman"/>
          <w:i/>
          <w:iCs/>
          <w:sz w:val="24"/>
          <w:szCs w:val="24"/>
        </w:rPr>
        <w:t>Revista Liberabit,</w:t>
      </w:r>
      <w:r w:rsidRPr="00E22BFC">
        <w:rPr>
          <w:rFonts w:ascii="Times New Roman" w:hAnsi="Times New Roman" w:cs="Times New Roman"/>
          <w:sz w:val="24"/>
          <w:szCs w:val="24"/>
        </w:rPr>
        <w:t xml:space="preserve"> Facultad de Ciencias de la Comunicación Turismo y Psicología de la Universidad San Martín de Porres.  Perú.  15(2). </w:t>
      </w:r>
    </w:p>
    <w:p w14:paraId="123016FB"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lang w:val="en-US"/>
        </w:rPr>
        <w:t xml:space="preserve">Open Government Partnership -OGP-  (s.f.)  </w:t>
      </w:r>
      <w:r w:rsidRPr="00E22BFC">
        <w:rPr>
          <w:rFonts w:ascii="Times New Roman" w:hAnsi="Times New Roman" w:cs="Times New Roman"/>
          <w:i/>
          <w:iCs/>
          <w:sz w:val="24"/>
          <w:szCs w:val="24"/>
        </w:rPr>
        <w:t>Estándares de participación y co-creación.</w:t>
      </w:r>
      <w:r w:rsidRPr="00E22BFC">
        <w:rPr>
          <w:rFonts w:ascii="Times New Roman" w:hAnsi="Times New Roman" w:cs="Times New Roman"/>
          <w:sz w:val="24"/>
          <w:szCs w:val="24"/>
        </w:rPr>
        <w:t xml:space="preserve">  </w:t>
      </w:r>
      <w:hyperlink r:id="rId24" w:history="1">
        <w:r w:rsidRPr="00E22BFC">
          <w:rPr>
            <w:rFonts w:ascii="Times New Roman" w:hAnsi="Times New Roman" w:cs="Times New Roman"/>
            <w:sz w:val="24"/>
            <w:szCs w:val="24"/>
          </w:rPr>
          <w:t>https://www.opengovpartnership.org</w:t>
        </w:r>
      </w:hyperlink>
    </w:p>
    <w:p w14:paraId="59EE64C3"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 xml:space="preserve">Velásquez, J. (2014).  La comunicación:  Fundamento de las políticas públicas.  </w:t>
      </w:r>
      <w:r w:rsidRPr="00E22BFC">
        <w:rPr>
          <w:rFonts w:ascii="Times New Roman" w:hAnsi="Times New Roman" w:cs="Times New Roman"/>
          <w:i/>
          <w:iCs/>
          <w:sz w:val="24"/>
          <w:szCs w:val="24"/>
        </w:rPr>
        <w:t>Revista Comunicación,</w:t>
      </w:r>
      <w:r w:rsidRPr="00E22BFC">
        <w:rPr>
          <w:rFonts w:ascii="Times New Roman" w:hAnsi="Times New Roman" w:cs="Times New Roman"/>
          <w:sz w:val="24"/>
          <w:szCs w:val="24"/>
        </w:rPr>
        <w:t xml:space="preserve"> (30), 23-33.   </w:t>
      </w:r>
    </w:p>
    <w:p w14:paraId="299C74EB"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t>Von Marshall, C. Entrevista personal realizada el 22 de julio de 2021.   Jefe de la Unidad de Análisis Prospectivo de Políticas Públicas de MIDEPLAN.</w:t>
      </w:r>
    </w:p>
    <w:p w14:paraId="723E1A4F" w14:textId="77777777" w:rsidR="00E22BFC" w:rsidRPr="00E22BFC" w:rsidRDefault="00E22BFC" w:rsidP="00E22BFC">
      <w:pPr>
        <w:ind w:left="540" w:hanging="540"/>
        <w:jc w:val="both"/>
        <w:rPr>
          <w:rFonts w:ascii="Times New Roman" w:hAnsi="Times New Roman" w:cs="Times New Roman"/>
          <w:sz w:val="24"/>
          <w:szCs w:val="24"/>
        </w:rPr>
      </w:pPr>
      <w:r w:rsidRPr="00E22BFC">
        <w:rPr>
          <w:rFonts w:ascii="Times New Roman" w:hAnsi="Times New Roman" w:cs="Times New Roman"/>
          <w:sz w:val="24"/>
          <w:szCs w:val="24"/>
        </w:rPr>
        <w:lastRenderedPageBreak/>
        <w:t>Zúñiga, A.G. Entrevista personal realizada el 13 de agosto del 2018.  Audio disponible en el siguiente enlace:  https://www.dropbox.com/sh/6994m2bndg1wlui/AACtfK76RUDQDOzbYpFE2K43a?dl=0d</w:t>
      </w:r>
    </w:p>
    <w:p w14:paraId="1CBCA3FE" w14:textId="1934CEC7" w:rsidR="00D92A9B" w:rsidRPr="00283C74" w:rsidRDefault="0066247C" w:rsidP="006D37AA">
      <w:pPr>
        <w:spacing w:after="0" w:line="259" w:lineRule="auto"/>
        <w:rPr>
          <w:rFonts w:ascii="Times New Roman" w:hAnsi="Times New Roman" w:cs="Times New Roman"/>
          <w:b/>
          <w:bCs/>
          <w:sz w:val="24"/>
          <w:szCs w:val="24"/>
        </w:rPr>
      </w:pPr>
      <w:r w:rsidRPr="00283C74">
        <w:rPr>
          <w:rFonts w:ascii="Times New Roman" w:hAnsi="Times New Roman" w:cs="Times New Roman"/>
          <w:b/>
          <w:bCs/>
          <w:noProof/>
          <w:sz w:val="24"/>
          <w:szCs w:val="24"/>
        </w:rPr>
        <mc:AlternateContent>
          <mc:Choice Requires="wps">
            <w:drawing>
              <wp:anchor distT="0" distB="0" distL="114300" distR="114300" simplePos="0" relativeHeight="251673600" behindDoc="0" locked="0" layoutInCell="1" allowOverlap="1" wp14:anchorId="43784D45" wp14:editId="0FD27DE7">
                <wp:simplePos x="0" y="0"/>
                <wp:positionH relativeFrom="column">
                  <wp:posOffset>3810</wp:posOffset>
                </wp:positionH>
                <wp:positionV relativeFrom="paragraph">
                  <wp:posOffset>76200</wp:posOffset>
                </wp:positionV>
                <wp:extent cx="6176010" cy="8255"/>
                <wp:effectExtent l="0" t="0" r="34290" b="29845"/>
                <wp:wrapNone/>
                <wp:docPr id="1" name="Straight Connector 1"/>
                <wp:cNvGraphicFramePr/>
                <a:graphic xmlns:a="http://schemas.openxmlformats.org/drawingml/2006/main">
                  <a:graphicData uri="http://schemas.microsoft.com/office/word/2010/wordprocessingShape">
                    <wps:wsp>
                      <wps:cNvCnPr/>
                      <wps:spPr>
                        <a:xfrm flipV="1">
                          <a:off x="0" y="0"/>
                          <a:ext cx="6176010" cy="825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2C4AF9" id="Straight Connector 1" o:spid="_x0000_s1026" style="position:absolute;flip:y;z-index:251673600;visibility:visible;mso-wrap-style:square;mso-wrap-distance-left:9pt;mso-wrap-distance-top:0;mso-wrap-distance-right:9pt;mso-wrap-distance-bottom:0;mso-position-horizontal:absolute;mso-position-horizontal-relative:text;mso-position-vertical:absolute;mso-position-vertical-relative:text" from=".3pt,6pt" to="486.6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" strokecolor="#4472c4 [3204]" strokeweight=".5pt">
                <v:stroke joinstyle="miter"/>
              </v:line>
            </w:pict>
          </mc:Fallback>
        </mc:AlternateContent>
      </w:r>
      <w:r w:rsidRPr="00283C74">
        <w:rPr>
          <w:rFonts w:ascii="Times New Roman" w:hAnsi="Times New Roman" w:cs="Times New Roman"/>
          <w:b/>
          <w:bCs/>
          <w:noProof/>
          <w:sz w:val="24"/>
          <w:szCs w:val="24"/>
        </w:rPr>
        <mc:AlternateContent>
          <mc:Choice Requires="wps">
            <w:drawing>
              <wp:anchor distT="0" distB="0" distL="114300" distR="114300" simplePos="0" relativeHeight="251675648" behindDoc="0" locked="0" layoutInCell="1" allowOverlap="1" wp14:anchorId="1DFD2115" wp14:editId="7D0DA727">
                <wp:simplePos x="0" y="0"/>
                <wp:positionH relativeFrom="margin">
                  <wp:posOffset>38100</wp:posOffset>
                </wp:positionH>
                <wp:positionV relativeFrom="paragraph">
                  <wp:posOffset>124460</wp:posOffset>
                </wp:positionV>
                <wp:extent cx="6176514" cy="8626"/>
                <wp:effectExtent l="0" t="0" r="34290" b="29845"/>
                <wp:wrapNone/>
                <wp:docPr id="2" name="Straight Connector 2"/>
                <wp:cNvGraphicFramePr/>
                <a:graphic xmlns:a="http://schemas.openxmlformats.org/drawingml/2006/main">
                  <a:graphicData uri="http://schemas.microsoft.com/office/word/2010/wordprocessingShape">
                    <wps:wsp>
                      <wps:cNvCnPr/>
                      <wps:spPr>
                        <a:xfrm flipV="1">
                          <a:off x="0" y="0"/>
                          <a:ext cx="6176514" cy="862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53C342" id="Straight Connector 2" o:spid="_x0000_s1026" style="position:absolute;flip:y;z-index:251675648;visibility:visible;mso-wrap-style:square;mso-wrap-distance-left:9pt;mso-wrap-distance-top:0;mso-wrap-distance-right:9pt;mso-wrap-distance-bottom:0;mso-position-horizontal:absolute;mso-position-horizontal-relative:margin;mso-position-vertical:absolute;mso-position-vertical-relative:text" from="3pt,9.8pt" to="489.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" strokecolor="#4472c4 [3204]" strokeweight=".5pt">
                <v:stroke joinstyle="miter"/>
                <w10:wrap anchorx="margin"/>
              </v:line>
            </w:pict>
          </mc:Fallback>
        </mc:AlternateContent>
      </w:r>
    </w:p>
    <w:sectPr w:rsidR="00D92A9B" w:rsidRPr="00283C74" w:rsidSect="00EE219B">
      <w:headerReference w:type="default" r:id="rId25"/>
      <w:footerReference w:type="default" r:id="rId26"/>
      <w:headerReference w:type="first" r:id="rId27"/>
      <w:pgSz w:w="12240" w:h="15840"/>
      <w:pgMar w:top="1440" w:right="1728" w:bottom="1440" w:left="172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0F40A6" w14:textId="77777777" w:rsidR="00210891" w:rsidRDefault="00210891" w:rsidP="00B2786C">
      <w:pPr>
        <w:spacing w:after="0" w:line="240" w:lineRule="auto"/>
      </w:pPr>
      <w:r>
        <w:separator/>
      </w:r>
    </w:p>
  </w:endnote>
  <w:endnote w:type="continuationSeparator" w:id="0">
    <w:p w14:paraId="26FFF11D" w14:textId="77777777" w:rsidR="00210891" w:rsidRDefault="00210891" w:rsidP="00B278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5174106"/>
      <w:docPartObj>
        <w:docPartGallery w:val="Page Numbers (Bottom of Page)"/>
        <w:docPartUnique/>
      </w:docPartObj>
    </w:sdtPr>
    <w:sdtEndPr>
      <w:rPr>
        <w:noProof/>
      </w:rPr>
    </w:sdtEndPr>
    <w:sdtContent>
      <w:p w14:paraId="72AE0E17" w14:textId="5C34FCA5" w:rsidR="00EE219B" w:rsidRDefault="00EE219B">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14:paraId="787E5DE3" w14:textId="77777777" w:rsidR="00EE219B" w:rsidRDefault="00EE219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C7400" w14:textId="77777777" w:rsidR="00210891" w:rsidRDefault="00210891" w:rsidP="00B2786C">
      <w:pPr>
        <w:spacing w:after="0" w:line="240" w:lineRule="auto"/>
      </w:pPr>
      <w:r>
        <w:separator/>
      </w:r>
    </w:p>
  </w:footnote>
  <w:footnote w:type="continuationSeparator" w:id="0">
    <w:p w14:paraId="208564DE" w14:textId="77777777" w:rsidR="00210891" w:rsidRDefault="00210891" w:rsidP="00B2786C">
      <w:pPr>
        <w:spacing w:after="0" w:line="240" w:lineRule="auto"/>
      </w:pPr>
      <w:r>
        <w:continuationSeparator/>
      </w:r>
    </w:p>
  </w:footnote>
  <w:footnote w:id="1">
    <w:p w14:paraId="0CED9C77" w14:textId="70B473FF" w:rsidR="009D0BB5" w:rsidRDefault="009D0BB5">
      <w:pPr>
        <w:pStyle w:val="Textonotapie"/>
      </w:pPr>
      <w:r>
        <w:rPr>
          <w:rStyle w:val="Refdenotaalpie"/>
        </w:rPr>
        <w:footnoteRef/>
      </w:r>
      <w:r>
        <w:t xml:space="preserve"> </w:t>
      </w:r>
      <w:r w:rsidRPr="00FC3CD0">
        <w:t xml:space="preserve">MAG, MINAE, MICITT (2 respuestas), M. de Comercio Exterior, MCJD (2 respuestas), MEP, M. de Hacienda, M. de Justicia y Paz, MIDEPLAN, M. de la Presidencia, M. de Relaciones Exteriores y Culto, M. de Salud, M. de Trabajo, M. de Vivienda y Asentamientos Urbanos, MEIC, M. de Gobernación y Policía, MOPT, Ministerio Público, M. de Desarrollo Humano e Inclusión Social*, M. del Deporte* (3 respuestas), M. de Turismo*, M. de Comunicación*, M. de la Condición de la Mujer* y M. de la Niñez y la Adolescencia*.  </w:t>
      </w:r>
      <w:r w:rsidRPr="00FC3CD0">
        <w:rPr>
          <w:rFonts w:cstheme="minorHAnsi"/>
        </w:rPr>
        <w:t>|</w:t>
      </w:r>
      <w:r w:rsidRPr="00FC3CD0">
        <w:t xml:space="preserve">  </w:t>
      </w:r>
      <w:r w:rsidRPr="00FC3CD0">
        <w:rPr>
          <w:b/>
          <w:bCs/>
        </w:rPr>
        <w:t>*Ministerios sin cartera.</w:t>
      </w:r>
    </w:p>
  </w:footnote>
  <w:footnote w:id="2">
    <w:p w14:paraId="68C3FF54" w14:textId="77777777" w:rsidR="006F6F84" w:rsidRPr="00E50DD4" w:rsidRDefault="006F6F84" w:rsidP="006F6F84">
      <w:pPr>
        <w:pStyle w:val="Textonotapie"/>
        <w:jc w:val="both"/>
      </w:pPr>
      <w:r w:rsidRPr="00FC3CD0">
        <w:rPr>
          <w:rStyle w:val="Refdenotaalpie"/>
        </w:rPr>
        <w:footnoteRef/>
      </w:r>
      <w:r w:rsidRPr="00FC3CD0">
        <w:t xml:space="preserve"> MAG, MINAE, MICITT, M. de Comercio Exterior, MCJD, MEP, M. de Hacienda, M. de Justicia y Paz, MIDEPLAN, M. de la Presidencia, M. de Relaciones Exteriores y Culto, M. de Salud, M. de Trabajo, M. de Vivienda y Asentamientos Urbanos, MEIC, M. de Gobernación y Policía, MOPT, Ministerio Público, M. de Desarrollo Humano e Inclusión Social*, M. del Deporte*, M. de Turismo*, M. de Comunicación*, M. de la Condición de la Mujer* y M. de la Niñez y la Adolescencia*.  </w:t>
      </w:r>
      <w:r w:rsidRPr="00FC3CD0">
        <w:rPr>
          <w:rFonts w:cstheme="minorHAnsi"/>
        </w:rPr>
        <w:t>|</w:t>
      </w:r>
      <w:r w:rsidRPr="00FC3CD0">
        <w:t xml:space="preserve">  </w:t>
      </w:r>
      <w:r w:rsidRPr="00FC3CD0">
        <w:rPr>
          <w:b/>
          <w:bCs/>
        </w:rPr>
        <w:t>*Ministerios sin cartera.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4A1F2" w14:textId="428E2BCD" w:rsidR="00B741CC" w:rsidRDefault="00B741CC">
    <w:pPr>
      <w:pStyle w:val="Encabezado"/>
      <w:jc w:val="right"/>
    </w:pPr>
  </w:p>
  <w:p w14:paraId="255AF154" w14:textId="77777777" w:rsidR="00F258A0" w:rsidRDefault="00F258A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A24F6" w14:textId="3188934D" w:rsidR="00B741CC" w:rsidRDefault="00B741CC">
    <w:pPr>
      <w:pStyle w:val="Encabezado"/>
    </w:pPr>
  </w:p>
  <w:p w14:paraId="5F87BADA" w14:textId="77777777" w:rsidR="00B741CC" w:rsidRDefault="00B741C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9BC2F90E"/>
    <w:lvl w:ilvl="0">
      <w:start w:val="5"/>
      <w:numFmt w:val="lowerLetter"/>
      <w:lvlText w:val="%1)"/>
      <w:lvlJc w:val="left"/>
      <w:pPr>
        <w:ind w:left="720" w:hanging="360"/>
      </w:pPr>
      <w:rPr>
        <w:rFonts w:hint="default"/>
        <w:b w:val="0"/>
        <w:bCs w:val="0"/>
        <w:i w:val="0"/>
        <w:iCs w:val="0"/>
        <w:strike w:val="0"/>
        <w:color w:val="auto"/>
        <w:sz w:val="22"/>
        <w:szCs w:val="22"/>
        <w:u w:val="none"/>
      </w:rPr>
    </w:lvl>
    <w:lvl w:ilvl="1">
      <w:start w:val="1"/>
      <w:numFmt w:val="lowerLetter"/>
      <w:lvlText w:val="%2)"/>
      <w:lvlJc w:val="left"/>
      <w:pPr>
        <w:ind w:left="1080" w:hanging="360"/>
      </w:pPr>
      <w:rPr>
        <w:rFonts w:hint="default"/>
        <w:b w:val="0"/>
        <w:bCs w:val="0"/>
        <w:i w:val="0"/>
        <w:iCs w:val="0"/>
        <w:strike w:val="0"/>
        <w:color w:val="auto"/>
        <w:sz w:val="22"/>
        <w:szCs w:val="22"/>
        <w:u w:val="none"/>
      </w:rPr>
    </w:lvl>
    <w:lvl w:ilvl="2">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324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600" w:hanging="360"/>
      </w:pPr>
      <w:rPr>
        <w:rFonts w:ascii="Symbol" w:hAnsi="Symbol" w:cs="Symbol" w:hint="default"/>
        <w:b w:val="0"/>
        <w:bCs w:val="0"/>
        <w:i w:val="0"/>
        <w:iCs w:val="0"/>
        <w:strike w:val="0"/>
        <w:color w:val="auto"/>
        <w:sz w:val="22"/>
        <w:szCs w:val="22"/>
        <w:u w:val="none"/>
      </w:rPr>
    </w:lvl>
  </w:abstractNum>
  <w:abstractNum w:abstractNumId="1" w15:restartNumberingAfterBreak="0">
    <w:nsid w:val="08EF74E2"/>
    <w:multiLevelType w:val="hybridMultilevel"/>
    <w:tmpl w:val="826CF230"/>
    <w:lvl w:ilvl="0" w:tplc="0409001B">
      <w:start w:val="1"/>
      <w:numFmt w:val="lowerRoman"/>
      <w:lvlText w:val="%1."/>
      <w:lvlJc w:val="right"/>
      <w:pPr>
        <w:ind w:left="2520" w:hanging="360"/>
      </w:pPr>
    </w:lvl>
    <w:lvl w:ilvl="1" w:tplc="140A0019" w:tentative="1">
      <w:start w:val="1"/>
      <w:numFmt w:val="lowerLetter"/>
      <w:lvlText w:val="%2."/>
      <w:lvlJc w:val="left"/>
      <w:pPr>
        <w:ind w:left="3240" w:hanging="360"/>
      </w:pPr>
    </w:lvl>
    <w:lvl w:ilvl="2" w:tplc="140A001B" w:tentative="1">
      <w:start w:val="1"/>
      <w:numFmt w:val="lowerRoman"/>
      <w:lvlText w:val="%3."/>
      <w:lvlJc w:val="right"/>
      <w:pPr>
        <w:ind w:left="3960" w:hanging="180"/>
      </w:pPr>
    </w:lvl>
    <w:lvl w:ilvl="3" w:tplc="140A000F" w:tentative="1">
      <w:start w:val="1"/>
      <w:numFmt w:val="decimal"/>
      <w:lvlText w:val="%4."/>
      <w:lvlJc w:val="left"/>
      <w:pPr>
        <w:ind w:left="4680" w:hanging="360"/>
      </w:pPr>
    </w:lvl>
    <w:lvl w:ilvl="4" w:tplc="140A0019" w:tentative="1">
      <w:start w:val="1"/>
      <w:numFmt w:val="lowerLetter"/>
      <w:lvlText w:val="%5."/>
      <w:lvlJc w:val="left"/>
      <w:pPr>
        <w:ind w:left="5400" w:hanging="360"/>
      </w:pPr>
    </w:lvl>
    <w:lvl w:ilvl="5" w:tplc="140A001B" w:tentative="1">
      <w:start w:val="1"/>
      <w:numFmt w:val="lowerRoman"/>
      <w:lvlText w:val="%6."/>
      <w:lvlJc w:val="right"/>
      <w:pPr>
        <w:ind w:left="6120" w:hanging="180"/>
      </w:pPr>
    </w:lvl>
    <w:lvl w:ilvl="6" w:tplc="140A000F" w:tentative="1">
      <w:start w:val="1"/>
      <w:numFmt w:val="decimal"/>
      <w:lvlText w:val="%7."/>
      <w:lvlJc w:val="left"/>
      <w:pPr>
        <w:ind w:left="6840" w:hanging="360"/>
      </w:pPr>
    </w:lvl>
    <w:lvl w:ilvl="7" w:tplc="140A0019" w:tentative="1">
      <w:start w:val="1"/>
      <w:numFmt w:val="lowerLetter"/>
      <w:lvlText w:val="%8."/>
      <w:lvlJc w:val="left"/>
      <w:pPr>
        <w:ind w:left="7560" w:hanging="360"/>
      </w:pPr>
    </w:lvl>
    <w:lvl w:ilvl="8" w:tplc="140A001B" w:tentative="1">
      <w:start w:val="1"/>
      <w:numFmt w:val="lowerRoman"/>
      <w:lvlText w:val="%9."/>
      <w:lvlJc w:val="right"/>
      <w:pPr>
        <w:ind w:left="8280" w:hanging="180"/>
      </w:pPr>
    </w:lvl>
  </w:abstractNum>
  <w:abstractNum w:abstractNumId="2" w15:restartNumberingAfterBreak="0">
    <w:nsid w:val="0ED36B6A"/>
    <w:multiLevelType w:val="hybridMultilevel"/>
    <w:tmpl w:val="14D80F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27C50DC"/>
    <w:multiLevelType w:val="hybridMultilevel"/>
    <w:tmpl w:val="7BB08A66"/>
    <w:lvl w:ilvl="0" w:tplc="6DAE10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1E05DF"/>
    <w:multiLevelType w:val="hybridMultilevel"/>
    <w:tmpl w:val="72C8FA30"/>
    <w:lvl w:ilvl="0" w:tplc="0409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DAB6716"/>
    <w:multiLevelType w:val="hybridMultilevel"/>
    <w:tmpl w:val="0F3257C4"/>
    <w:lvl w:ilvl="0" w:tplc="0409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213A5A7A"/>
    <w:multiLevelType w:val="hybridMultilevel"/>
    <w:tmpl w:val="72C8FA30"/>
    <w:lvl w:ilvl="0" w:tplc="0409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1AE3EC8"/>
    <w:multiLevelType w:val="hybridMultilevel"/>
    <w:tmpl w:val="5406F4B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22C056A2"/>
    <w:multiLevelType w:val="hybridMultilevel"/>
    <w:tmpl w:val="B8EE2F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F731470"/>
    <w:multiLevelType w:val="hybridMultilevel"/>
    <w:tmpl w:val="A51E1B54"/>
    <w:lvl w:ilvl="0" w:tplc="04090017">
      <w:start w:val="1"/>
      <w:numFmt w:val="lowerLetter"/>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FAE66BC"/>
    <w:multiLevelType w:val="hybridMultilevel"/>
    <w:tmpl w:val="3754E64A"/>
    <w:lvl w:ilvl="0" w:tplc="7BB40710">
      <w:numFmt w:val="bullet"/>
      <w:lvlText w:val="-"/>
      <w:lvlJc w:val="left"/>
      <w:pPr>
        <w:ind w:left="720" w:hanging="360"/>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34183AF3"/>
    <w:multiLevelType w:val="hybridMultilevel"/>
    <w:tmpl w:val="88106822"/>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375C0FA3"/>
    <w:multiLevelType w:val="multilevel"/>
    <w:tmpl w:val="51E67CA6"/>
    <w:lvl w:ilvl="0">
      <w:start w:val="1"/>
      <w:numFmt w:val="decimal"/>
      <w:lvlText w:val="%1."/>
      <w:lvlJc w:val="right"/>
      <w:pPr>
        <w:ind w:left="720" w:hanging="72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3" w15:restartNumberingAfterBreak="0">
    <w:nsid w:val="42E22975"/>
    <w:multiLevelType w:val="hybridMultilevel"/>
    <w:tmpl w:val="3314EF6A"/>
    <w:lvl w:ilvl="0" w:tplc="8D6CD2E2">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4E36969"/>
    <w:multiLevelType w:val="hybridMultilevel"/>
    <w:tmpl w:val="810C45DE"/>
    <w:lvl w:ilvl="0" w:tplc="0409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47496D17"/>
    <w:multiLevelType w:val="hybridMultilevel"/>
    <w:tmpl w:val="9DB6C2F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4FA81479"/>
    <w:multiLevelType w:val="hybridMultilevel"/>
    <w:tmpl w:val="8104FE8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500F0A0D"/>
    <w:multiLevelType w:val="hybridMultilevel"/>
    <w:tmpl w:val="0D2EEC2C"/>
    <w:lvl w:ilvl="0" w:tplc="E668AA54">
      <w:start w:val="1"/>
      <w:numFmt w:val="low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510330FA"/>
    <w:multiLevelType w:val="hybridMultilevel"/>
    <w:tmpl w:val="130ABCAC"/>
    <w:lvl w:ilvl="0" w:tplc="5A5AB736">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5223592B"/>
    <w:multiLevelType w:val="hybridMultilevel"/>
    <w:tmpl w:val="05421520"/>
    <w:lvl w:ilvl="0" w:tplc="0409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576C0EBD"/>
    <w:multiLevelType w:val="hybridMultilevel"/>
    <w:tmpl w:val="14EE61AC"/>
    <w:lvl w:ilvl="0" w:tplc="04090017">
      <w:start w:val="1"/>
      <w:numFmt w:val="lowerLetter"/>
      <w:lvlText w:val="%1)"/>
      <w:lvlJc w:val="left"/>
      <w:pPr>
        <w:ind w:left="720" w:hanging="360"/>
      </w:pPr>
      <w:rPr>
        <w:rFont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AB107FE"/>
    <w:multiLevelType w:val="hybridMultilevel"/>
    <w:tmpl w:val="2BB2D498"/>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5B046602"/>
    <w:multiLevelType w:val="hybridMultilevel"/>
    <w:tmpl w:val="3488A236"/>
    <w:lvl w:ilvl="0" w:tplc="04090017">
      <w:start w:val="1"/>
      <w:numFmt w:val="lowerLetter"/>
      <w:lvlText w:val="%1)"/>
      <w:lvlJc w:val="left"/>
      <w:pPr>
        <w:ind w:left="1080" w:hanging="360"/>
      </w:pPr>
      <w:rPr>
        <w:rFonts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3" w15:restartNumberingAfterBreak="0">
    <w:nsid w:val="5E1F24A6"/>
    <w:multiLevelType w:val="hybridMultilevel"/>
    <w:tmpl w:val="37FAE064"/>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EC8780F"/>
    <w:multiLevelType w:val="hybridMultilevel"/>
    <w:tmpl w:val="316C86C4"/>
    <w:lvl w:ilvl="0" w:tplc="38E8AA8C">
      <w:start w:val="2"/>
      <w:numFmt w:val="upperRoman"/>
      <w:lvlText w:val="%1."/>
      <w:lvlJc w:val="left"/>
      <w:pPr>
        <w:ind w:left="1800" w:hanging="720"/>
      </w:pPr>
      <w:rPr>
        <w:rFonts w:hint="default"/>
      </w:r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25" w15:restartNumberingAfterBreak="0">
    <w:nsid w:val="64F85D0F"/>
    <w:multiLevelType w:val="hybridMultilevel"/>
    <w:tmpl w:val="A8AEC946"/>
    <w:lvl w:ilvl="0" w:tplc="6876E66E">
      <w:numFmt w:val="bullet"/>
      <w:lvlText w:val="-"/>
      <w:lvlJc w:val="left"/>
      <w:pPr>
        <w:ind w:left="99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2911DD"/>
    <w:multiLevelType w:val="multilevel"/>
    <w:tmpl w:val="070A6D34"/>
    <w:lvl w:ilvl="0">
      <w:start w:val="1"/>
      <w:numFmt w:val="bullet"/>
      <w:lvlText w:val="o"/>
      <w:lvlJc w:val="left"/>
      <w:pPr>
        <w:ind w:left="1800" w:hanging="360"/>
      </w:pPr>
      <w:rPr>
        <w:rFonts w:ascii="Courier New" w:hAnsi="Courier New" w:cs="Courier New" w:hint="default"/>
        <w:b w:val="0"/>
        <w:bCs w:val="0"/>
        <w:i w:val="0"/>
        <w:iCs w:val="0"/>
        <w:strike w:val="0"/>
        <w:color w:val="auto"/>
        <w:sz w:val="22"/>
        <w:szCs w:val="22"/>
        <w:u w:val="none"/>
      </w:rPr>
    </w:lvl>
    <w:lvl w:ilvl="1">
      <w:start w:val="1"/>
      <w:numFmt w:val="decimal"/>
      <w:lvlText w:val="%2."/>
      <w:lvlJc w:val="left"/>
      <w:pPr>
        <w:ind w:left="2160" w:hanging="360"/>
      </w:pPr>
      <w:rPr>
        <w:rFonts w:ascii="Calibri" w:hAnsi="Calibri" w:cs="Calibri"/>
        <w:b w:val="0"/>
        <w:bCs w:val="0"/>
        <w:i w:val="0"/>
        <w:iCs w:val="0"/>
        <w:strike w:val="0"/>
        <w:color w:val="auto"/>
        <w:sz w:val="22"/>
        <w:szCs w:val="22"/>
        <w:u w:val="none"/>
      </w:rPr>
    </w:lvl>
    <w:lvl w:ilvl="2">
      <w:start w:val="1"/>
      <w:numFmt w:val="decimal"/>
      <w:lvlText w:val="%3."/>
      <w:lvlJc w:val="left"/>
      <w:pPr>
        <w:ind w:left="2520" w:hanging="360"/>
      </w:pPr>
      <w:rPr>
        <w:rFonts w:ascii="Calibri" w:hAnsi="Calibri" w:cs="Calibri"/>
        <w:b w:val="0"/>
        <w:bCs w:val="0"/>
        <w:i w:val="0"/>
        <w:iCs w:val="0"/>
        <w:strike w:val="0"/>
        <w:color w:val="auto"/>
        <w:sz w:val="22"/>
        <w:szCs w:val="22"/>
        <w:u w:val="none"/>
      </w:rPr>
    </w:lvl>
    <w:lvl w:ilvl="3">
      <w:start w:val="1"/>
      <w:numFmt w:val="decimal"/>
      <w:lvlText w:val="%4."/>
      <w:lvlJc w:val="left"/>
      <w:pPr>
        <w:ind w:left="2880" w:hanging="360"/>
      </w:pPr>
      <w:rPr>
        <w:rFonts w:ascii="Calibri" w:hAnsi="Calibri" w:cs="Calibri"/>
        <w:b w:val="0"/>
        <w:bCs w:val="0"/>
        <w:i w:val="0"/>
        <w:iCs w:val="0"/>
        <w:strike w:val="0"/>
        <w:color w:val="auto"/>
        <w:sz w:val="22"/>
        <w:szCs w:val="22"/>
        <w:u w:val="none"/>
      </w:rPr>
    </w:lvl>
    <w:lvl w:ilvl="4">
      <w:start w:val="1"/>
      <w:numFmt w:val="decimal"/>
      <w:lvlText w:val="%5."/>
      <w:lvlJc w:val="left"/>
      <w:pPr>
        <w:ind w:left="3240" w:hanging="360"/>
      </w:pPr>
      <w:rPr>
        <w:rFonts w:ascii="Calibri" w:hAnsi="Calibri" w:cs="Calibri"/>
        <w:b w:val="0"/>
        <w:bCs w:val="0"/>
        <w:i w:val="0"/>
        <w:iCs w:val="0"/>
        <w:strike w:val="0"/>
        <w:color w:val="auto"/>
        <w:sz w:val="22"/>
        <w:szCs w:val="22"/>
        <w:u w:val="none"/>
      </w:rPr>
    </w:lvl>
    <w:lvl w:ilvl="5">
      <w:start w:val="1"/>
      <w:numFmt w:val="decimal"/>
      <w:lvlText w:val="%6."/>
      <w:lvlJc w:val="left"/>
      <w:pPr>
        <w:ind w:left="3600" w:hanging="360"/>
      </w:pPr>
      <w:rPr>
        <w:rFonts w:ascii="Calibri" w:hAnsi="Calibri" w:cs="Calibri"/>
        <w:b w:val="0"/>
        <w:bCs w:val="0"/>
        <w:i w:val="0"/>
        <w:iCs w:val="0"/>
        <w:strike w:val="0"/>
        <w:color w:val="auto"/>
        <w:sz w:val="22"/>
        <w:szCs w:val="22"/>
        <w:u w:val="none"/>
      </w:rPr>
    </w:lvl>
    <w:lvl w:ilvl="6">
      <w:start w:val="1"/>
      <w:numFmt w:val="decimal"/>
      <w:lvlText w:val="%7."/>
      <w:lvlJc w:val="left"/>
      <w:pPr>
        <w:ind w:left="3960" w:hanging="360"/>
      </w:pPr>
      <w:rPr>
        <w:rFonts w:ascii="Calibri" w:hAnsi="Calibri" w:cs="Calibri"/>
        <w:b w:val="0"/>
        <w:bCs w:val="0"/>
        <w:i w:val="0"/>
        <w:iCs w:val="0"/>
        <w:strike w:val="0"/>
        <w:color w:val="auto"/>
        <w:sz w:val="22"/>
        <w:szCs w:val="22"/>
        <w:u w:val="none"/>
      </w:rPr>
    </w:lvl>
    <w:lvl w:ilvl="7">
      <w:start w:val="1"/>
      <w:numFmt w:val="decimal"/>
      <w:lvlText w:val="%8."/>
      <w:lvlJc w:val="left"/>
      <w:pPr>
        <w:ind w:left="4320" w:hanging="360"/>
      </w:pPr>
      <w:rPr>
        <w:rFonts w:ascii="Calibri" w:hAnsi="Calibri" w:cs="Calibri"/>
        <w:b w:val="0"/>
        <w:bCs w:val="0"/>
        <w:i w:val="0"/>
        <w:iCs w:val="0"/>
        <w:strike w:val="0"/>
        <w:color w:val="auto"/>
        <w:sz w:val="22"/>
        <w:szCs w:val="22"/>
        <w:u w:val="none"/>
      </w:rPr>
    </w:lvl>
    <w:lvl w:ilvl="8">
      <w:start w:val="1"/>
      <w:numFmt w:val="decimal"/>
      <w:lvlText w:val="%9."/>
      <w:lvlJc w:val="left"/>
      <w:pPr>
        <w:ind w:left="4680" w:hanging="360"/>
      </w:pPr>
      <w:rPr>
        <w:rFonts w:ascii="Calibri" w:hAnsi="Calibri" w:cs="Calibri"/>
        <w:b w:val="0"/>
        <w:bCs w:val="0"/>
        <w:i w:val="0"/>
        <w:iCs w:val="0"/>
        <w:strike w:val="0"/>
        <w:color w:val="auto"/>
        <w:sz w:val="22"/>
        <w:szCs w:val="22"/>
        <w:u w:val="none"/>
      </w:rPr>
    </w:lvl>
  </w:abstractNum>
  <w:abstractNum w:abstractNumId="27" w15:restartNumberingAfterBreak="0">
    <w:nsid w:val="71B215F3"/>
    <w:multiLevelType w:val="hybridMultilevel"/>
    <w:tmpl w:val="5EC04510"/>
    <w:lvl w:ilvl="0" w:tplc="04090017">
      <w:start w:val="1"/>
      <w:numFmt w:val="lowerLetter"/>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7CE356A4"/>
    <w:multiLevelType w:val="hybridMultilevel"/>
    <w:tmpl w:val="EBACC53C"/>
    <w:lvl w:ilvl="0" w:tplc="31C48C24">
      <w:start w:val="1"/>
      <w:numFmt w:val="lowerRoman"/>
      <w:pStyle w:val="Ttulo5"/>
      <w:lvlText w:val="%1."/>
      <w:lvlJc w:val="left"/>
      <w:pPr>
        <w:ind w:left="81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632180222">
    <w:abstractNumId w:val="18"/>
  </w:num>
  <w:num w:numId="2" w16cid:durableId="792944573">
    <w:abstractNumId w:val="1"/>
  </w:num>
  <w:num w:numId="3" w16cid:durableId="281695624">
    <w:abstractNumId w:val="21"/>
  </w:num>
  <w:num w:numId="4" w16cid:durableId="2134060207">
    <w:abstractNumId w:val="11"/>
  </w:num>
  <w:num w:numId="5" w16cid:durableId="2106613044">
    <w:abstractNumId w:val="13"/>
  </w:num>
  <w:num w:numId="6" w16cid:durableId="293485546">
    <w:abstractNumId w:val="25"/>
  </w:num>
  <w:num w:numId="7" w16cid:durableId="314646992">
    <w:abstractNumId w:val="3"/>
  </w:num>
  <w:num w:numId="8" w16cid:durableId="924650817">
    <w:abstractNumId w:val="15"/>
  </w:num>
  <w:num w:numId="9" w16cid:durableId="1748651959">
    <w:abstractNumId w:val="8"/>
  </w:num>
  <w:num w:numId="10" w16cid:durableId="138500693">
    <w:abstractNumId w:val="17"/>
  </w:num>
  <w:num w:numId="11" w16cid:durableId="674110765">
    <w:abstractNumId w:val="12"/>
  </w:num>
  <w:num w:numId="12" w16cid:durableId="1449081147">
    <w:abstractNumId w:val="7"/>
  </w:num>
  <w:num w:numId="13" w16cid:durableId="1738553951">
    <w:abstractNumId w:val="19"/>
  </w:num>
  <w:num w:numId="14" w16cid:durableId="1225291410">
    <w:abstractNumId w:val="5"/>
  </w:num>
  <w:num w:numId="15" w16cid:durableId="209344951">
    <w:abstractNumId w:val="20"/>
  </w:num>
  <w:num w:numId="16" w16cid:durableId="2142728520">
    <w:abstractNumId w:val="14"/>
  </w:num>
  <w:num w:numId="17" w16cid:durableId="1078743630">
    <w:abstractNumId w:val="9"/>
  </w:num>
  <w:num w:numId="18" w16cid:durableId="1719473827">
    <w:abstractNumId w:val="27"/>
  </w:num>
  <w:num w:numId="19" w16cid:durableId="790171177">
    <w:abstractNumId w:val="22"/>
  </w:num>
  <w:num w:numId="20" w16cid:durableId="1017468318">
    <w:abstractNumId w:val="0"/>
  </w:num>
  <w:num w:numId="21" w16cid:durableId="1179923828">
    <w:abstractNumId w:val="26"/>
  </w:num>
  <w:num w:numId="22" w16cid:durableId="711268607">
    <w:abstractNumId w:val="2"/>
  </w:num>
  <w:num w:numId="23" w16cid:durableId="1421637127">
    <w:abstractNumId w:val="6"/>
  </w:num>
  <w:num w:numId="24" w16cid:durableId="511184830">
    <w:abstractNumId w:val="4"/>
  </w:num>
  <w:num w:numId="25" w16cid:durableId="471024150">
    <w:abstractNumId w:val="16"/>
  </w:num>
  <w:num w:numId="26" w16cid:durableId="108742388">
    <w:abstractNumId w:val="24"/>
  </w:num>
  <w:num w:numId="27" w16cid:durableId="1839226155">
    <w:abstractNumId w:val="23"/>
  </w:num>
  <w:num w:numId="28" w16cid:durableId="1529101283">
    <w:abstractNumId w:val="10"/>
  </w:num>
  <w:num w:numId="29" w16cid:durableId="1111974584">
    <w:abstractNumId w:val="28"/>
  </w:num>
  <w:num w:numId="30" w16cid:durableId="1569224242">
    <w:abstractNumId w:val="28"/>
    <w:lvlOverride w:ilvl="0">
      <w:startOverride w:val="1"/>
    </w:lvlOverride>
  </w:num>
  <w:num w:numId="31" w16cid:durableId="845553803">
    <w:abstractNumId w:val="2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4E8"/>
    <w:rsid w:val="000340B3"/>
    <w:rsid w:val="0004111F"/>
    <w:rsid w:val="00041448"/>
    <w:rsid w:val="0006109F"/>
    <w:rsid w:val="000812B2"/>
    <w:rsid w:val="000A6B42"/>
    <w:rsid w:val="00104658"/>
    <w:rsid w:val="00150A03"/>
    <w:rsid w:val="001863C1"/>
    <w:rsid w:val="001A0024"/>
    <w:rsid w:val="001C2BC6"/>
    <w:rsid w:val="001C7390"/>
    <w:rsid w:val="001E5806"/>
    <w:rsid w:val="00210891"/>
    <w:rsid w:val="002238E3"/>
    <w:rsid w:val="0022460F"/>
    <w:rsid w:val="00277A5D"/>
    <w:rsid w:val="00283C74"/>
    <w:rsid w:val="002B12B3"/>
    <w:rsid w:val="002B23EB"/>
    <w:rsid w:val="002D1328"/>
    <w:rsid w:val="002D662F"/>
    <w:rsid w:val="002F7283"/>
    <w:rsid w:val="003168CA"/>
    <w:rsid w:val="003230DB"/>
    <w:rsid w:val="003265AA"/>
    <w:rsid w:val="00346B8C"/>
    <w:rsid w:val="00360765"/>
    <w:rsid w:val="00364874"/>
    <w:rsid w:val="00377742"/>
    <w:rsid w:val="003D079D"/>
    <w:rsid w:val="00423AC6"/>
    <w:rsid w:val="00427BAE"/>
    <w:rsid w:val="00435D99"/>
    <w:rsid w:val="004A1F4A"/>
    <w:rsid w:val="004A5F47"/>
    <w:rsid w:val="004D493A"/>
    <w:rsid w:val="004D581D"/>
    <w:rsid w:val="00530D2C"/>
    <w:rsid w:val="00531541"/>
    <w:rsid w:val="005429E7"/>
    <w:rsid w:val="0057124B"/>
    <w:rsid w:val="00584840"/>
    <w:rsid w:val="0058504B"/>
    <w:rsid w:val="005874E8"/>
    <w:rsid w:val="00595034"/>
    <w:rsid w:val="005B11F0"/>
    <w:rsid w:val="005C2897"/>
    <w:rsid w:val="005E58AF"/>
    <w:rsid w:val="0061523F"/>
    <w:rsid w:val="0063739C"/>
    <w:rsid w:val="006538D4"/>
    <w:rsid w:val="0066247C"/>
    <w:rsid w:val="00667D32"/>
    <w:rsid w:val="006B7672"/>
    <w:rsid w:val="006D37AA"/>
    <w:rsid w:val="006E6D40"/>
    <w:rsid w:val="006F6F84"/>
    <w:rsid w:val="0076412D"/>
    <w:rsid w:val="007662F0"/>
    <w:rsid w:val="00782817"/>
    <w:rsid w:val="00784077"/>
    <w:rsid w:val="007D4F81"/>
    <w:rsid w:val="007F3349"/>
    <w:rsid w:val="00822A82"/>
    <w:rsid w:val="00824B9E"/>
    <w:rsid w:val="00834D17"/>
    <w:rsid w:val="00857C7D"/>
    <w:rsid w:val="0086065F"/>
    <w:rsid w:val="00873173"/>
    <w:rsid w:val="008812A3"/>
    <w:rsid w:val="00884EAE"/>
    <w:rsid w:val="008979CB"/>
    <w:rsid w:val="008A5D3F"/>
    <w:rsid w:val="008B1667"/>
    <w:rsid w:val="008B434F"/>
    <w:rsid w:val="008E5CC9"/>
    <w:rsid w:val="009018BF"/>
    <w:rsid w:val="00907682"/>
    <w:rsid w:val="00916189"/>
    <w:rsid w:val="009B3E7C"/>
    <w:rsid w:val="009B59D8"/>
    <w:rsid w:val="009D0BB5"/>
    <w:rsid w:val="009E358F"/>
    <w:rsid w:val="009E6BCA"/>
    <w:rsid w:val="00A2797D"/>
    <w:rsid w:val="00A434AA"/>
    <w:rsid w:val="00A62963"/>
    <w:rsid w:val="00AA6241"/>
    <w:rsid w:val="00AB7D9C"/>
    <w:rsid w:val="00B139BC"/>
    <w:rsid w:val="00B2786C"/>
    <w:rsid w:val="00B45454"/>
    <w:rsid w:val="00B741CC"/>
    <w:rsid w:val="00BC088E"/>
    <w:rsid w:val="00C4486E"/>
    <w:rsid w:val="00C52CEF"/>
    <w:rsid w:val="00C91474"/>
    <w:rsid w:val="00CA74AE"/>
    <w:rsid w:val="00CF62A2"/>
    <w:rsid w:val="00D00509"/>
    <w:rsid w:val="00D015F7"/>
    <w:rsid w:val="00D26178"/>
    <w:rsid w:val="00D92A9B"/>
    <w:rsid w:val="00D9657F"/>
    <w:rsid w:val="00DB24CA"/>
    <w:rsid w:val="00DB6044"/>
    <w:rsid w:val="00DD040D"/>
    <w:rsid w:val="00DE1300"/>
    <w:rsid w:val="00E22BFC"/>
    <w:rsid w:val="00E26491"/>
    <w:rsid w:val="00E30DBF"/>
    <w:rsid w:val="00E36A4A"/>
    <w:rsid w:val="00E46554"/>
    <w:rsid w:val="00E6058C"/>
    <w:rsid w:val="00EB6023"/>
    <w:rsid w:val="00ED1A1A"/>
    <w:rsid w:val="00EE219B"/>
    <w:rsid w:val="00F258A0"/>
    <w:rsid w:val="00F42870"/>
    <w:rsid w:val="00F77F27"/>
    <w:rsid w:val="00F950A3"/>
    <w:rsid w:val="00FB1EE4"/>
    <w:rsid w:val="00FE1D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BEACE"/>
  <w15:chartTrackingRefBased/>
  <w15:docId w15:val="{77C566B7-DDAF-4960-98A4-4D4CCE3CD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4E8"/>
    <w:pPr>
      <w:spacing w:after="200" w:line="276" w:lineRule="auto"/>
    </w:pPr>
    <w:rPr>
      <w:lang w:val="es-CR"/>
    </w:rPr>
  </w:style>
  <w:style w:type="paragraph" w:styleId="Ttulo5">
    <w:name w:val="heading 5"/>
    <w:basedOn w:val="Normal"/>
    <w:next w:val="Normal"/>
    <w:link w:val="Ttulo5Car"/>
    <w:uiPriority w:val="9"/>
    <w:unhideWhenUsed/>
    <w:qFormat/>
    <w:rsid w:val="006F6F84"/>
    <w:pPr>
      <w:keepNext/>
      <w:keepLines/>
      <w:numPr>
        <w:numId w:val="29"/>
      </w:numPr>
      <w:spacing w:before="40" w:after="0" w:line="259" w:lineRule="auto"/>
      <w:outlineLvl w:val="4"/>
    </w:pPr>
    <w:rPr>
      <w:rFonts w:ascii="Times New Roman" w:eastAsiaTheme="majorEastAsia" w:hAnsi="Times New Roman" w:cstheme="majorBidi"/>
      <w:color w:val="000000" w:themeColor="text1"/>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86C"/>
    <w:pPr>
      <w:ind w:left="720"/>
      <w:contextualSpacing/>
    </w:pPr>
  </w:style>
  <w:style w:type="paragraph" w:styleId="Encabezado">
    <w:name w:val="header"/>
    <w:basedOn w:val="Normal"/>
    <w:link w:val="EncabezadoCar"/>
    <w:uiPriority w:val="99"/>
    <w:unhideWhenUsed/>
    <w:rsid w:val="00B2786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B2786C"/>
    <w:rPr>
      <w:lang w:val="es-CR"/>
    </w:rPr>
  </w:style>
  <w:style w:type="paragraph" w:styleId="Piedepgina">
    <w:name w:val="footer"/>
    <w:basedOn w:val="Normal"/>
    <w:link w:val="PiedepginaCar"/>
    <w:uiPriority w:val="99"/>
    <w:unhideWhenUsed/>
    <w:rsid w:val="00B2786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B2786C"/>
    <w:rPr>
      <w:lang w:val="es-CR"/>
    </w:rPr>
  </w:style>
  <w:style w:type="table" w:styleId="Tablaconcuadrcula">
    <w:name w:val="Table Grid"/>
    <w:basedOn w:val="Tablanormal"/>
    <w:uiPriority w:val="59"/>
    <w:rsid w:val="004D581D"/>
    <w:pPr>
      <w:spacing w:after="0" w:line="240" w:lineRule="auto"/>
      <w:jc w:val="both"/>
    </w:pPr>
    <w:rPr>
      <w:lang w:val="es-C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sinformato">
    <w:name w:val="Plain Text"/>
    <w:basedOn w:val="Normal"/>
    <w:link w:val="TextosinformatoCar"/>
    <w:uiPriority w:val="99"/>
    <w:semiHidden/>
    <w:unhideWhenUsed/>
    <w:rsid w:val="00F258A0"/>
    <w:pPr>
      <w:spacing w:after="0" w:line="240" w:lineRule="auto"/>
    </w:pPr>
    <w:rPr>
      <w:rFonts w:ascii="Calibri" w:hAnsi="Calibri"/>
      <w:szCs w:val="21"/>
    </w:rPr>
  </w:style>
  <w:style w:type="character" w:customStyle="1" w:styleId="TextosinformatoCar">
    <w:name w:val="Texto sin formato Car"/>
    <w:basedOn w:val="Fuentedeprrafopredeter"/>
    <w:link w:val="Textosinformato"/>
    <w:uiPriority w:val="99"/>
    <w:semiHidden/>
    <w:rsid w:val="00F258A0"/>
    <w:rPr>
      <w:rFonts w:ascii="Calibri" w:hAnsi="Calibri"/>
      <w:szCs w:val="21"/>
      <w:lang w:val="es-CR"/>
    </w:rPr>
  </w:style>
  <w:style w:type="paragraph" w:customStyle="1" w:styleId="Default">
    <w:name w:val="Default"/>
    <w:rsid w:val="00EB6023"/>
    <w:pPr>
      <w:autoSpaceDE w:val="0"/>
      <w:autoSpaceDN w:val="0"/>
      <w:adjustRightInd w:val="0"/>
      <w:spacing w:after="0" w:line="240" w:lineRule="auto"/>
    </w:pPr>
    <w:rPr>
      <w:rFonts w:ascii="Segoe UI" w:eastAsia="MS Mincho" w:hAnsi="Segoe UI" w:cs="Segoe UI"/>
      <w:color w:val="000000"/>
      <w:sz w:val="24"/>
      <w:szCs w:val="24"/>
    </w:rPr>
  </w:style>
  <w:style w:type="paragraph" w:styleId="Textonotapie">
    <w:name w:val="footnote text"/>
    <w:basedOn w:val="Normal"/>
    <w:link w:val="TextonotapieCar"/>
    <w:uiPriority w:val="99"/>
    <w:semiHidden/>
    <w:unhideWhenUsed/>
    <w:rsid w:val="009D0B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D0BB5"/>
    <w:rPr>
      <w:sz w:val="20"/>
      <w:szCs w:val="20"/>
      <w:lang w:val="es-CR"/>
    </w:rPr>
  </w:style>
  <w:style w:type="character" w:styleId="Refdenotaalpie">
    <w:name w:val="footnote reference"/>
    <w:basedOn w:val="Fuentedeprrafopredeter"/>
    <w:uiPriority w:val="99"/>
    <w:semiHidden/>
    <w:unhideWhenUsed/>
    <w:rsid w:val="009D0BB5"/>
    <w:rPr>
      <w:vertAlign w:val="superscript"/>
    </w:rPr>
  </w:style>
  <w:style w:type="character" w:customStyle="1" w:styleId="Ttulo5Car">
    <w:name w:val="Título 5 Car"/>
    <w:basedOn w:val="Fuentedeprrafopredeter"/>
    <w:link w:val="Ttulo5"/>
    <w:uiPriority w:val="9"/>
    <w:rsid w:val="006F6F84"/>
    <w:rPr>
      <w:rFonts w:ascii="Times New Roman" w:eastAsiaTheme="majorEastAsia" w:hAnsi="Times New Roman" w:cstheme="majorBidi"/>
      <w:color w:val="000000" w:themeColor="text1"/>
    </w:rPr>
  </w:style>
  <w:style w:type="paragraph" w:customStyle="1" w:styleId="Figura1">
    <w:name w:val="Figura 1"/>
    <w:basedOn w:val="Normal"/>
    <w:link w:val="Figura1Char"/>
    <w:qFormat/>
    <w:rsid w:val="006F6F84"/>
    <w:pPr>
      <w:spacing w:after="0" w:line="240" w:lineRule="auto"/>
      <w:ind w:firstLine="360"/>
      <w:jc w:val="center"/>
    </w:pPr>
    <w:rPr>
      <w:rFonts w:ascii="Times New Roman" w:hAnsi="Times New Roman" w:cs="Times New Roman"/>
      <w:b/>
      <w:bCs/>
      <w:sz w:val="24"/>
      <w:szCs w:val="24"/>
      <w:lang w:val="es-ES"/>
    </w:rPr>
  </w:style>
  <w:style w:type="character" w:customStyle="1" w:styleId="Figura1Char">
    <w:name w:val="Figura 1 Char"/>
    <w:basedOn w:val="Fuentedeprrafopredeter"/>
    <w:link w:val="Figura1"/>
    <w:rsid w:val="006F6F84"/>
    <w:rPr>
      <w:rFonts w:ascii="Times New Roman" w:hAnsi="Times New Roman" w:cs="Times New Roman"/>
      <w:b/>
      <w:b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sitorio-snp.mideplan.go.cr/" TargetMode="External"/><Relationship Id="rId13" Type="http://schemas.openxmlformats.org/officeDocument/2006/relationships/chart" Target="charts/chart4.xml"/><Relationship Id="rId18" Type="http://schemas.openxmlformats.org/officeDocument/2006/relationships/hyperlink" Target="https://repositorio.cepal.org/bitstream/handle/11362/36665/4/S1700687_es.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drive.google.com/file/d/1pVaj0tTyZ3kWhM-o-YZj2ibcnVCVezqK/view"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www.memoria.fahce.unlp.edu.ar/libros/pm.546/pm.546.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repositorio-snp.mideplan.go.cr/"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opengovpartnership.org"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www.inder.go.cr/acerca_del_inder/politicas_publicas/documentos/Guia-de-Elaboracion-de-PP.pdf" TargetMode="Externa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www.oecd.org/centrodemexico/publicaciones/37873406.pdf" TargetMode="External"/><Relationship Id="rId4" Type="http://schemas.openxmlformats.org/officeDocument/2006/relationships/settings" Target="settings.xml"/><Relationship Id="rId9" Type="http://schemas.openxmlformats.org/officeDocument/2006/relationships/hyperlink" Target="https://www.mideplan.go.cr/politicas-publicas" TargetMode="External"/><Relationship Id="rId14" Type="http://schemas.openxmlformats.org/officeDocument/2006/relationships/chart" Target="charts/chart5.xml"/><Relationship Id="rId22" Type="http://schemas.openxmlformats.org/officeDocument/2006/relationships/hyperlink" Target="https://www.mideplan.go.cr/politicas-publicas" TargetMode="External"/><Relationship Id="rId27"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gmcos\Documents\A%20TESIS%20DOCTORAL%20HHH%202020\TESIS%20DOCTORAL%202021\CAPITULO%20POL&#205;TICAS%20P&#218;BLICAS\Recolecci&#243;n%20de%20datos%20Pol&#237;ticas%20P&#250;blicas\Tabla%2015%20respuestas%20-%20Cuestionario%20-%20Pol&#237;ticas%20P&#250;blicas.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1'!$B$22:$B$23</c:f>
              <c:strCache>
                <c:ptCount val="2"/>
                <c:pt idx="0">
                  <c:v>Sí</c:v>
                </c:pt>
                <c:pt idx="1">
                  <c:v>No</c:v>
                </c:pt>
              </c:strCache>
            </c:strRef>
          </c:cat>
          <c:val>
            <c:numRef>
              <c:f>'Respuestas de formulario 1'!$C$22:$C$23</c:f>
              <c:numCache>
                <c:formatCode>General</c:formatCode>
                <c:ptCount val="2"/>
                <c:pt idx="0">
                  <c:v>23</c:v>
                </c:pt>
                <c:pt idx="1">
                  <c:v>5</c:v>
                </c:pt>
              </c:numCache>
            </c:numRef>
          </c:val>
          <c:extLst>
            <c:ext xmlns:c16="http://schemas.microsoft.com/office/drawing/2014/chart" uri="{C3380CC4-5D6E-409C-BE32-E72D297353CC}">
              <c16:uniqueId val="{00000000-D926-48CE-92BF-932109230F42}"/>
            </c:ext>
          </c:extLst>
        </c:ser>
        <c:dLbls>
          <c:showLegendKey val="0"/>
          <c:showVal val="0"/>
          <c:showCatName val="0"/>
          <c:showSerName val="0"/>
          <c:showPercent val="0"/>
          <c:showBubbleSize val="0"/>
        </c:dLbls>
        <c:gapWidth val="219"/>
        <c:overlap val="-27"/>
        <c:axId val="1111837952"/>
        <c:axId val="1111814240"/>
      </c:barChart>
      <c:catAx>
        <c:axId val="1111837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11814240"/>
        <c:crosses val="autoZero"/>
        <c:auto val="1"/>
        <c:lblAlgn val="ctr"/>
        <c:lblOffset val="100"/>
        <c:noMultiLvlLbl val="0"/>
      </c:catAx>
      <c:valAx>
        <c:axId val="1111814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11837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1'!$B$35:$B$37</c:f>
              <c:strCache>
                <c:ptCount val="3"/>
                <c:pt idx="0">
                  <c:v>Sí</c:v>
                </c:pt>
                <c:pt idx="1">
                  <c:v>No</c:v>
                </c:pt>
                <c:pt idx="2">
                  <c:v>NS/NR</c:v>
                </c:pt>
              </c:strCache>
            </c:strRef>
          </c:cat>
          <c:val>
            <c:numRef>
              <c:f>'Respuestas de formulario 1'!$C$35:$C$37</c:f>
              <c:numCache>
                <c:formatCode>General</c:formatCode>
                <c:ptCount val="3"/>
                <c:pt idx="0">
                  <c:v>25</c:v>
                </c:pt>
                <c:pt idx="1">
                  <c:v>2</c:v>
                </c:pt>
                <c:pt idx="2">
                  <c:v>1</c:v>
                </c:pt>
              </c:numCache>
            </c:numRef>
          </c:val>
          <c:extLst>
            <c:ext xmlns:c16="http://schemas.microsoft.com/office/drawing/2014/chart" uri="{C3380CC4-5D6E-409C-BE32-E72D297353CC}">
              <c16:uniqueId val="{00000000-2351-4043-955A-20E4A1E0C016}"/>
            </c:ext>
          </c:extLst>
        </c:ser>
        <c:dLbls>
          <c:showLegendKey val="0"/>
          <c:showVal val="0"/>
          <c:showCatName val="0"/>
          <c:showSerName val="0"/>
          <c:showPercent val="0"/>
          <c:showBubbleSize val="0"/>
        </c:dLbls>
        <c:gapWidth val="219"/>
        <c:overlap val="-27"/>
        <c:axId val="1042500512"/>
        <c:axId val="1042495520"/>
      </c:barChart>
      <c:catAx>
        <c:axId val="1042500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042495520"/>
        <c:crosses val="autoZero"/>
        <c:auto val="1"/>
        <c:lblAlgn val="ctr"/>
        <c:lblOffset val="100"/>
        <c:noMultiLvlLbl val="0"/>
      </c:catAx>
      <c:valAx>
        <c:axId val="1042495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042500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1'!$B$97:$B$98</c:f>
              <c:strCache>
                <c:ptCount val="2"/>
                <c:pt idx="0">
                  <c:v>Importante</c:v>
                </c:pt>
                <c:pt idx="1">
                  <c:v>Muy importante</c:v>
                </c:pt>
              </c:strCache>
            </c:strRef>
          </c:cat>
          <c:val>
            <c:numRef>
              <c:f>'Respuestas de formulario 1'!$C$97:$C$98</c:f>
              <c:numCache>
                <c:formatCode>General</c:formatCode>
                <c:ptCount val="2"/>
                <c:pt idx="0">
                  <c:v>6</c:v>
                </c:pt>
                <c:pt idx="1">
                  <c:v>10</c:v>
                </c:pt>
              </c:numCache>
            </c:numRef>
          </c:val>
          <c:extLst>
            <c:ext xmlns:c16="http://schemas.microsoft.com/office/drawing/2014/chart" uri="{C3380CC4-5D6E-409C-BE32-E72D297353CC}">
              <c16:uniqueId val="{00000000-C4F8-444D-B56A-EA8CEF6CF815}"/>
            </c:ext>
          </c:extLst>
        </c:ser>
        <c:dLbls>
          <c:showLegendKey val="0"/>
          <c:showVal val="0"/>
          <c:showCatName val="0"/>
          <c:showSerName val="0"/>
          <c:showPercent val="0"/>
          <c:showBubbleSize val="0"/>
        </c:dLbls>
        <c:gapWidth val="219"/>
        <c:overlap val="-27"/>
        <c:axId val="1111842944"/>
        <c:axId val="1111843360"/>
      </c:barChart>
      <c:catAx>
        <c:axId val="1111842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11843360"/>
        <c:crosses val="autoZero"/>
        <c:auto val="1"/>
        <c:lblAlgn val="ctr"/>
        <c:lblOffset val="100"/>
        <c:noMultiLvlLbl val="0"/>
      </c:catAx>
      <c:valAx>
        <c:axId val="1111843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11842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1'!$B$67:$B$74</c:f>
              <c:strCache>
                <c:ptCount val="8"/>
                <c:pt idx="0">
                  <c:v>Chats en línea</c:v>
                </c:pt>
                <c:pt idx="1">
                  <c:v>Ninguna de las anteriores</c:v>
                </c:pt>
                <c:pt idx="2">
                  <c:v>Líneas de atención telefónica</c:v>
                </c:pt>
                <c:pt idx="3">
                  <c:v>Otro</c:v>
                </c:pt>
                <c:pt idx="4">
                  <c:v>Redes sociales</c:v>
                </c:pt>
                <c:pt idx="5">
                  <c:v>Talleres</c:v>
                </c:pt>
                <c:pt idx="6">
                  <c:v>Correo electrónico</c:v>
                </c:pt>
                <c:pt idx="7">
                  <c:v>Espacios dentro del sitio WEB</c:v>
                </c:pt>
              </c:strCache>
            </c:strRef>
          </c:cat>
          <c:val>
            <c:numRef>
              <c:f>'Respuestas de formulario 1'!$C$67:$C$74</c:f>
              <c:numCache>
                <c:formatCode>General</c:formatCode>
                <c:ptCount val="8"/>
                <c:pt idx="0">
                  <c:v>3</c:v>
                </c:pt>
                <c:pt idx="1">
                  <c:v>3</c:v>
                </c:pt>
                <c:pt idx="2">
                  <c:v>4</c:v>
                </c:pt>
                <c:pt idx="3">
                  <c:v>7</c:v>
                </c:pt>
                <c:pt idx="4">
                  <c:v>14</c:v>
                </c:pt>
                <c:pt idx="5">
                  <c:v>15</c:v>
                </c:pt>
                <c:pt idx="6">
                  <c:v>16</c:v>
                </c:pt>
                <c:pt idx="7">
                  <c:v>17</c:v>
                </c:pt>
              </c:numCache>
            </c:numRef>
          </c:val>
          <c:extLst>
            <c:ext xmlns:c16="http://schemas.microsoft.com/office/drawing/2014/chart" uri="{C3380CC4-5D6E-409C-BE32-E72D297353CC}">
              <c16:uniqueId val="{00000000-5186-4BC3-A401-D03D6DE7AEA8}"/>
            </c:ext>
          </c:extLst>
        </c:ser>
        <c:dLbls>
          <c:showLegendKey val="0"/>
          <c:showVal val="0"/>
          <c:showCatName val="0"/>
          <c:showSerName val="0"/>
          <c:showPercent val="0"/>
          <c:showBubbleSize val="0"/>
        </c:dLbls>
        <c:gapWidth val="182"/>
        <c:axId val="1589820816"/>
        <c:axId val="1589842864"/>
      </c:barChart>
      <c:catAx>
        <c:axId val="15898208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42864"/>
        <c:crosses val="autoZero"/>
        <c:auto val="1"/>
        <c:lblAlgn val="ctr"/>
        <c:lblOffset val="100"/>
        <c:noMultiLvlLbl val="0"/>
      </c:catAx>
      <c:valAx>
        <c:axId val="15898428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20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1'!$B$123:$B$127</c:f>
              <c:strCache>
                <c:ptCount val="5"/>
                <c:pt idx="0">
                  <c:v>Nada efectivos</c:v>
                </c:pt>
                <c:pt idx="1">
                  <c:v>Poco efectivos</c:v>
                </c:pt>
                <c:pt idx="2">
                  <c:v>Efectivos</c:v>
                </c:pt>
                <c:pt idx="3">
                  <c:v>Regularmente efectivos</c:v>
                </c:pt>
                <c:pt idx="4">
                  <c:v>Muy efectivos</c:v>
                </c:pt>
              </c:strCache>
            </c:strRef>
          </c:cat>
          <c:val>
            <c:numRef>
              <c:f>'Respuestas de formulario 1'!$C$123:$C$127</c:f>
              <c:numCache>
                <c:formatCode>General</c:formatCode>
                <c:ptCount val="5"/>
                <c:pt idx="0">
                  <c:v>0</c:v>
                </c:pt>
                <c:pt idx="1">
                  <c:v>1</c:v>
                </c:pt>
                <c:pt idx="2">
                  <c:v>7</c:v>
                </c:pt>
                <c:pt idx="3">
                  <c:v>9</c:v>
                </c:pt>
                <c:pt idx="4">
                  <c:v>11</c:v>
                </c:pt>
              </c:numCache>
            </c:numRef>
          </c:val>
          <c:extLst>
            <c:ext xmlns:c16="http://schemas.microsoft.com/office/drawing/2014/chart" uri="{C3380CC4-5D6E-409C-BE32-E72D297353CC}">
              <c16:uniqueId val="{00000000-4C7F-49EA-A1D9-4CB6ADD2506E}"/>
            </c:ext>
          </c:extLst>
        </c:ser>
        <c:dLbls>
          <c:showLegendKey val="0"/>
          <c:showVal val="0"/>
          <c:showCatName val="0"/>
          <c:showSerName val="0"/>
          <c:showPercent val="0"/>
          <c:showBubbleSize val="0"/>
        </c:dLbls>
        <c:gapWidth val="182"/>
        <c:axId val="1589845360"/>
        <c:axId val="1589848688"/>
      </c:barChart>
      <c:catAx>
        <c:axId val="1589845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48688"/>
        <c:crosses val="autoZero"/>
        <c:auto val="1"/>
        <c:lblAlgn val="ctr"/>
        <c:lblOffset val="100"/>
        <c:noMultiLvlLbl val="0"/>
      </c:catAx>
      <c:valAx>
        <c:axId val="15898486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45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1'!$B$110:$B$113</c:f>
              <c:strCache>
                <c:ptCount val="4"/>
                <c:pt idx="0">
                  <c:v>Otra</c:v>
                </c:pt>
                <c:pt idx="1">
                  <c:v>Ciudadanos independientes</c:v>
                </c:pt>
                <c:pt idx="2">
                  <c:v>Represeentantes de comunidades o sectores específicos</c:v>
                </c:pt>
                <c:pt idx="3">
                  <c:v>Representantes de grupos organizados (Sociedad Civil)</c:v>
                </c:pt>
              </c:strCache>
            </c:strRef>
          </c:cat>
          <c:val>
            <c:numRef>
              <c:f>'Respuestas de formulario 1'!$C$110:$C$113</c:f>
              <c:numCache>
                <c:formatCode>General</c:formatCode>
                <c:ptCount val="4"/>
                <c:pt idx="0">
                  <c:v>6</c:v>
                </c:pt>
                <c:pt idx="1">
                  <c:v>10</c:v>
                </c:pt>
                <c:pt idx="2">
                  <c:v>19</c:v>
                </c:pt>
                <c:pt idx="3">
                  <c:v>21</c:v>
                </c:pt>
              </c:numCache>
            </c:numRef>
          </c:val>
          <c:extLst>
            <c:ext xmlns:c16="http://schemas.microsoft.com/office/drawing/2014/chart" uri="{C3380CC4-5D6E-409C-BE32-E72D297353CC}">
              <c16:uniqueId val="{00000000-C7BB-408E-8238-8D9A2D36B639}"/>
            </c:ext>
          </c:extLst>
        </c:ser>
        <c:dLbls>
          <c:showLegendKey val="0"/>
          <c:showVal val="0"/>
          <c:showCatName val="0"/>
          <c:showSerName val="0"/>
          <c:showPercent val="0"/>
          <c:showBubbleSize val="0"/>
        </c:dLbls>
        <c:gapWidth val="182"/>
        <c:axId val="1589825392"/>
        <c:axId val="1589829968"/>
      </c:barChart>
      <c:catAx>
        <c:axId val="15898253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29968"/>
        <c:crosses val="autoZero"/>
        <c:auto val="1"/>
        <c:lblAlgn val="ctr"/>
        <c:lblOffset val="100"/>
        <c:noMultiLvlLbl val="0"/>
      </c:catAx>
      <c:valAx>
        <c:axId val="1589829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25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1'!$B$139:$B$141</c:f>
              <c:strCache>
                <c:ptCount val="3"/>
                <c:pt idx="0">
                  <c:v>Insuficientes</c:v>
                </c:pt>
                <c:pt idx="1">
                  <c:v>Término medio</c:v>
                </c:pt>
                <c:pt idx="2">
                  <c:v>Suficientes</c:v>
                </c:pt>
              </c:strCache>
            </c:strRef>
          </c:cat>
          <c:val>
            <c:numRef>
              <c:f>'Respuestas de formulario 1'!$C$139:$C$141</c:f>
              <c:numCache>
                <c:formatCode>General</c:formatCode>
                <c:ptCount val="3"/>
                <c:pt idx="0">
                  <c:v>4</c:v>
                </c:pt>
                <c:pt idx="1">
                  <c:v>15</c:v>
                </c:pt>
                <c:pt idx="2">
                  <c:v>8</c:v>
                </c:pt>
              </c:numCache>
            </c:numRef>
          </c:val>
          <c:extLst>
            <c:ext xmlns:c16="http://schemas.microsoft.com/office/drawing/2014/chart" uri="{C3380CC4-5D6E-409C-BE32-E72D297353CC}">
              <c16:uniqueId val="{00000000-B0A8-4544-9D73-BC472CD44335}"/>
            </c:ext>
          </c:extLst>
        </c:ser>
        <c:dLbls>
          <c:showLegendKey val="0"/>
          <c:showVal val="0"/>
          <c:showCatName val="0"/>
          <c:showSerName val="0"/>
          <c:showPercent val="0"/>
          <c:showBubbleSize val="0"/>
        </c:dLbls>
        <c:gapWidth val="219"/>
        <c:overlap val="-27"/>
        <c:axId val="1589822064"/>
        <c:axId val="1589842448"/>
      </c:barChart>
      <c:catAx>
        <c:axId val="1589822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42448"/>
        <c:crosses val="autoZero"/>
        <c:auto val="1"/>
        <c:lblAlgn val="ctr"/>
        <c:lblOffset val="100"/>
        <c:noMultiLvlLbl val="0"/>
      </c:catAx>
      <c:valAx>
        <c:axId val="1589842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89822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F0F0E1-9916-468D-BBBE-E7FB97C02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26</Pages>
  <Words>6519</Words>
  <Characters>35856</Characters>
  <Application>Microsoft Office Word</Application>
  <DocSecurity>0</DocSecurity>
  <Lines>298</Lines>
  <Paragraphs>84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Harold Hutt</dc:creator>
  <cp:keywords/>
  <dc:description/>
  <cp:lastModifiedBy>Harold Hutt</cp:lastModifiedBy>
  <cp:revision>22</cp:revision>
  <dcterms:created xsi:type="dcterms:W3CDTF">2022-08-18T19:59:00Z</dcterms:created>
  <dcterms:modified xsi:type="dcterms:W3CDTF">2022-08-26T00:47:00Z</dcterms:modified>
</cp:coreProperties>
</file>