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7BD" w:rsidRPr="00AE1527" w:rsidRDefault="00BA2C31" w:rsidP="00BA2C31">
      <w:pPr>
        <w:jc w:val="center"/>
        <w:rPr>
          <w:rFonts w:ascii="Arial" w:hAnsi="Arial" w:cs="Arial"/>
          <w:b/>
          <w:sz w:val="24"/>
          <w:szCs w:val="24"/>
          <w:lang w:val="es-CR"/>
        </w:rPr>
      </w:pPr>
      <w:r w:rsidRPr="00AE1527">
        <w:rPr>
          <w:rFonts w:ascii="Arial" w:hAnsi="Arial" w:cs="Arial"/>
          <w:b/>
          <w:sz w:val="24"/>
          <w:szCs w:val="24"/>
          <w:lang w:val="es-CR"/>
        </w:rPr>
        <w:t>Bibliografía comentada sobre Guanacaste</w:t>
      </w:r>
    </w:p>
    <w:p w:rsidR="00BA2C31" w:rsidRPr="00BA2C31" w:rsidRDefault="00BA2C31" w:rsidP="00BA2C31">
      <w:pPr>
        <w:jc w:val="right"/>
        <w:rPr>
          <w:rFonts w:ascii="Arial" w:hAnsi="Arial" w:cs="Arial"/>
          <w:i/>
          <w:sz w:val="24"/>
          <w:szCs w:val="24"/>
          <w:lang w:val="es-CR"/>
        </w:rPr>
      </w:pPr>
      <w:r w:rsidRPr="00BA2C31">
        <w:rPr>
          <w:rFonts w:ascii="Arial" w:hAnsi="Arial" w:cs="Arial"/>
          <w:i/>
          <w:sz w:val="24"/>
          <w:szCs w:val="24"/>
          <w:lang w:val="es-CR"/>
        </w:rPr>
        <w:t>Dr. Edgar Solano Muñoz</w:t>
      </w:r>
    </w:p>
    <w:p w:rsidR="00BA2C31" w:rsidRDefault="00BA2C31">
      <w:pPr>
        <w:rPr>
          <w:rFonts w:ascii="Arial" w:hAnsi="Arial" w:cs="Arial"/>
          <w:sz w:val="24"/>
          <w:szCs w:val="24"/>
          <w:lang w:val="es-CR"/>
        </w:rPr>
      </w:pPr>
    </w:p>
    <w:p w:rsidR="00BA2C31" w:rsidRDefault="00BA2C31">
      <w:pPr>
        <w:rPr>
          <w:rFonts w:ascii="Arial" w:hAnsi="Arial" w:cs="Arial"/>
          <w:sz w:val="24"/>
          <w:szCs w:val="24"/>
          <w:lang w:val="es-CR"/>
        </w:rPr>
      </w:pPr>
      <w:r>
        <w:rPr>
          <w:rFonts w:ascii="Arial" w:hAnsi="Arial" w:cs="Arial"/>
          <w:sz w:val="24"/>
          <w:szCs w:val="24"/>
          <w:lang w:val="es-CR"/>
        </w:rPr>
        <w:t xml:space="preserve">Introducción </w:t>
      </w:r>
    </w:p>
    <w:p w:rsidR="00BA2C31" w:rsidRDefault="00BA2C31" w:rsidP="002B2063">
      <w:pPr>
        <w:spacing w:line="480" w:lineRule="auto"/>
        <w:ind w:firstLine="708"/>
        <w:jc w:val="both"/>
        <w:rPr>
          <w:rFonts w:ascii="Arial" w:hAnsi="Arial" w:cs="Arial"/>
          <w:sz w:val="24"/>
          <w:szCs w:val="24"/>
          <w:lang w:val="es-CR"/>
        </w:rPr>
      </w:pPr>
      <w:r>
        <w:rPr>
          <w:rFonts w:ascii="Arial" w:hAnsi="Arial" w:cs="Arial"/>
          <w:sz w:val="24"/>
          <w:szCs w:val="24"/>
          <w:lang w:val="es-CR"/>
        </w:rPr>
        <w:t xml:space="preserve">La producción escrita </w:t>
      </w:r>
      <w:r w:rsidR="00C532B6">
        <w:rPr>
          <w:rFonts w:ascii="Arial" w:hAnsi="Arial" w:cs="Arial"/>
          <w:sz w:val="24"/>
          <w:szCs w:val="24"/>
          <w:lang w:val="es-CR"/>
        </w:rPr>
        <w:t>relacionada a</w:t>
      </w:r>
      <w:r>
        <w:rPr>
          <w:rFonts w:ascii="Arial" w:hAnsi="Arial" w:cs="Arial"/>
          <w:sz w:val="24"/>
          <w:szCs w:val="24"/>
          <w:lang w:val="es-CR"/>
        </w:rPr>
        <w:t xml:space="preserve"> la provincia de Guanacaste es amplia y diversa. Sobre esta región de Costa Rica, pesa una fuerte tradición escrita de una amplia gama de especialidades. Desde la antropología hasta la geología y pasando por la historia, es posible hallar investigaciones</w:t>
      </w:r>
      <w:r w:rsidR="009C5F20">
        <w:rPr>
          <w:rFonts w:ascii="Arial" w:hAnsi="Arial" w:cs="Arial"/>
          <w:sz w:val="24"/>
          <w:szCs w:val="24"/>
          <w:lang w:val="es-CR"/>
        </w:rPr>
        <w:t xml:space="preserve"> de todo propósito y alcance. </w:t>
      </w:r>
      <w:r>
        <w:rPr>
          <w:rFonts w:ascii="Arial" w:hAnsi="Arial" w:cs="Arial"/>
          <w:sz w:val="24"/>
          <w:szCs w:val="24"/>
          <w:lang w:val="es-CR"/>
        </w:rPr>
        <w:t xml:space="preserve"> </w:t>
      </w:r>
    </w:p>
    <w:p w:rsidR="009C5F20" w:rsidRDefault="009C5F20" w:rsidP="002B2063">
      <w:pPr>
        <w:spacing w:line="480" w:lineRule="auto"/>
        <w:ind w:firstLine="708"/>
        <w:jc w:val="both"/>
        <w:rPr>
          <w:rFonts w:ascii="Arial" w:hAnsi="Arial" w:cs="Arial"/>
          <w:sz w:val="24"/>
          <w:szCs w:val="24"/>
          <w:lang w:val="es-CR"/>
        </w:rPr>
      </w:pPr>
      <w:r>
        <w:rPr>
          <w:rFonts w:ascii="Arial" w:hAnsi="Arial" w:cs="Arial"/>
          <w:sz w:val="24"/>
          <w:szCs w:val="24"/>
          <w:lang w:val="es-CR"/>
        </w:rPr>
        <w:t xml:space="preserve">En este texto </w:t>
      </w:r>
      <w:r w:rsidR="001D5BF7">
        <w:rPr>
          <w:rFonts w:ascii="Arial" w:hAnsi="Arial" w:cs="Arial"/>
          <w:sz w:val="24"/>
          <w:szCs w:val="24"/>
          <w:lang w:val="es-CR"/>
        </w:rPr>
        <w:t>está escrito con dos propósitos</w:t>
      </w:r>
      <w:r w:rsidR="003C79A0">
        <w:rPr>
          <w:rFonts w:ascii="Arial" w:hAnsi="Arial" w:cs="Arial"/>
          <w:sz w:val="24"/>
          <w:szCs w:val="24"/>
          <w:lang w:val="es-CR"/>
        </w:rPr>
        <w:t xml:space="preserve">: 1. hacer una reflexión sobre las </w:t>
      </w:r>
      <w:r w:rsidR="00262490">
        <w:rPr>
          <w:rFonts w:ascii="Arial" w:hAnsi="Arial" w:cs="Arial"/>
          <w:sz w:val="24"/>
          <w:szCs w:val="24"/>
          <w:lang w:val="es-CR"/>
        </w:rPr>
        <w:t xml:space="preserve">ópticas o dimensiones de análisis </w:t>
      </w:r>
      <w:r w:rsidR="003C79A0">
        <w:rPr>
          <w:rFonts w:ascii="Arial" w:hAnsi="Arial" w:cs="Arial"/>
          <w:sz w:val="24"/>
          <w:szCs w:val="24"/>
          <w:lang w:val="es-CR"/>
        </w:rPr>
        <w:t xml:space="preserve">desde las cuales se ha abordado la historia de Guanacaste  y, 2. presentar una bibliografía comentada sobre historia de Guanacaste. </w:t>
      </w:r>
      <w:r>
        <w:rPr>
          <w:rFonts w:ascii="Arial" w:hAnsi="Arial" w:cs="Arial"/>
          <w:sz w:val="24"/>
          <w:szCs w:val="24"/>
          <w:lang w:val="es-CR"/>
        </w:rPr>
        <w:t>A pesar de la enorme cantidad de textos disponibles</w:t>
      </w:r>
      <w:r w:rsidR="00262490">
        <w:rPr>
          <w:rFonts w:ascii="Arial" w:hAnsi="Arial" w:cs="Arial"/>
          <w:sz w:val="24"/>
          <w:szCs w:val="24"/>
          <w:lang w:val="es-CR"/>
        </w:rPr>
        <w:t xml:space="preserve">, </w:t>
      </w:r>
      <w:r>
        <w:rPr>
          <w:rFonts w:ascii="Arial" w:hAnsi="Arial" w:cs="Arial"/>
          <w:sz w:val="24"/>
          <w:szCs w:val="24"/>
          <w:lang w:val="es-CR"/>
        </w:rPr>
        <w:t xml:space="preserve"> es evidente la inexistencia un texto o una colección </w:t>
      </w:r>
      <w:r w:rsidR="00262490">
        <w:rPr>
          <w:rFonts w:ascii="Arial" w:hAnsi="Arial" w:cs="Arial"/>
          <w:sz w:val="24"/>
          <w:szCs w:val="24"/>
          <w:lang w:val="es-CR"/>
        </w:rPr>
        <w:t xml:space="preserve">de ellos </w:t>
      </w:r>
      <w:r>
        <w:rPr>
          <w:rFonts w:ascii="Arial" w:hAnsi="Arial" w:cs="Arial"/>
          <w:sz w:val="24"/>
          <w:szCs w:val="24"/>
          <w:lang w:val="es-CR"/>
        </w:rPr>
        <w:t xml:space="preserve">que nos ofrezca una visión general de la historia de la región. </w:t>
      </w:r>
      <w:r w:rsidR="000B6D32">
        <w:rPr>
          <w:rFonts w:ascii="Arial" w:hAnsi="Arial" w:cs="Arial"/>
          <w:sz w:val="24"/>
          <w:szCs w:val="24"/>
          <w:lang w:val="es-CR"/>
        </w:rPr>
        <w:t>Esta misma carencia se da en otras regiones del país. Esto se debe al peso que el “vallecentralismo” ha tenido sobre la producción de la historia nacional. Escribir la historia de las regiones “desde las regiones” es una postura metodológica que ha tomado vigencia en la actualidad</w:t>
      </w:r>
      <w:r w:rsidR="003471D9">
        <w:rPr>
          <w:rFonts w:ascii="Arial" w:hAnsi="Arial" w:cs="Arial"/>
          <w:sz w:val="24"/>
          <w:szCs w:val="24"/>
          <w:lang w:val="es-CR"/>
        </w:rPr>
        <w:t xml:space="preserve"> y de la cual ya se observan importantes frutos</w:t>
      </w:r>
      <w:r w:rsidR="000B6D32">
        <w:rPr>
          <w:rFonts w:ascii="Arial" w:hAnsi="Arial" w:cs="Arial"/>
          <w:sz w:val="24"/>
          <w:szCs w:val="24"/>
          <w:lang w:val="es-CR"/>
        </w:rPr>
        <w:t xml:space="preserve">. </w:t>
      </w:r>
      <w:r w:rsidR="00F4013E">
        <w:rPr>
          <w:rStyle w:val="Refdenotaalpie"/>
          <w:rFonts w:ascii="Arial" w:hAnsi="Arial" w:cs="Arial"/>
          <w:sz w:val="24"/>
          <w:szCs w:val="24"/>
          <w:lang w:val="es-CR"/>
        </w:rPr>
        <w:footnoteReference w:id="1"/>
      </w:r>
      <w:r w:rsidR="000B6D32">
        <w:rPr>
          <w:rFonts w:ascii="Arial" w:hAnsi="Arial" w:cs="Arial"/>
          <w:sz w:val="24"/>
          <w:szCs w:val="24"/>
          <w:lang w:val="es-CR"/>
        </w:rPr>
        <w:t xml:space="preserve"> </w:t>
      </w:r>
      <w:r>
        <w:rPr>
          <w:rFonts w:ascii="Arial" w:hAnsi="Arial" w:cs="Arial"/>
          <w:sz w:val="24"/>
          <w:szCs w:val="24"/>
          <w:lang w:val="es-CR"/>
        </w:rPr>
        <w:t xml:space="preserve"> </w:t>
      </w:r>
      <w:r w:rsidR="00AE1527">
        <w:rPr>
          <w:rFonts w:ascii="Arial" w:hAnsi="Arial" w:cs="Arial"/>
          <w:sz w:val="24"/>
          <w:szCs w:val="24"/>
          <w:lang w:val="es-CR"/>
        </w:rPr>
        <w:t xml:space="preserve"> </w:t>
      </w:r>
    </w:p>
    <w:p w:rsidR="00C532B6" w:rsidRDefault="00C532B6" w:rsidP="008B5153">
      <w:pPr>
        <w:spacing w:line="480" w:lineRule="auto"/>
        <w:ind w:firstLine="708"/>
        <w:jc w:val="both"/>
        <w:rPr>
          <w:rFonts w:ascii="Arial" w:hAnsi="Arial" w:cs="Arial"/>
          <w:sz w:val="24"/>
          <w:szCs w:val="24"/>
          <w:lang w:val="es-CR"/>
        </w:rPr>
      </w:pPr>
    </w:p>
    <w:p w:rsidR="008B5153" w:rsidRDefault="000474E3" w:rsidP="008B5153">
      <w:pPr>
        <w:spacing w:line="480" w:lineRule="auto"/>
        <w:ind w:firstLine="708"/>
        <w:jc w:val="both"/>
        <w:rPr>
          <w:rFonts w:ascii="Arial" w:hAnsi="Arial" w:cs="Arial"/>
          <w:sz w:val="24"/>
          <w:szCs w:val="24"/>
          <w:lang w:val="es-CR"/>
        </w:rPr>
      </w:pPr>
      <w:r>
        <w:rPr>
          <w:rFonts w:ascii="Arial" w:hAnsi="Arial" w:cs="Arial"/>
          <w:sz w:val="24"/>
          <w:szCs w:val="24"/>
          <w:lang w:val="es-CR"/>
        </w:rPr>
        <w:lastRenderedPageBreak/>
        <w:t xml:space="preserve">En el análisis de la producción escrita sobre la historia </w:t>
      </w:r>
      <w:r w:rsidR="00262490">
        <w:rPr>
          <w:rFonts w:ascii="Arial" w:hAnsi="Arial" w:cs="Arial"/>
          <w:sz w:val="24"/>
          <w:szCs w:val="24"/>
          <w:lang w:val="es-CR"/>
        </w:rPr>
        <w:t xml:space="preserve">de </w:t>
      </w:r>
      <w:r>
        <w:rPr>
          <w:rFonts w:ascii="Arial" w:hAnsi="Arial" w:cs="Arial"/>
          <w:sz w:val="24"/>
          <w:szCs w:val="24"/>
          <w:lang w:val="es-CR"/>
        </w:rPr>
        <w:t xml:space="preserve">Guanacaste, hay que considerar dos factores: los estudios por localidad y los ámbitos de trabajo. En cuanto al primero, cabe señalar que existen zonas de la región (como por ejemplo Nicoya, Liberia y Santa Cruz), que han sido sujetas </w:t>
      </w:r>
      <w:r w:rsidR="006D1A41">
        <w:rPr>
          <w:rFonts w:ascii="Arial" w:hAnsi="Arial" w:cs="Arial"/>
          <w:sz w:val="24"/>
          <w:szCs w:val="24"/>
          <w:lang w:val="es-CR"/>
        </w:rPr>
        <w:t>a</w:t>
      </w:r>
      <w:r>
        <w:rPr>
          <w:rFonts w:ascii="Arial" w:hAnsi="Arial" w:cs="Arial"/>
          <w:sz w:val="24"/>
          <w:szCs w:val="24"/>
          <w:lang w:val="es-CR"/>
        </w:rPr>
        <w:t xml:space="preserve"> constante investigación histórica, y que por lo tanto ofrecen más posibilidades de ser analizadas</w:t>
      </w:r>
      <w:r w:rsidR="006D1A41">
        <w:rPr>
          <w:rFonts w:ascii="Arial" w:hAnsi="Arial" w:cs="Arial"/>
          <w:sz w:val="24"/>
          <w:szCs w:val="24"/>
          <w:lang w:val="es-CR"/>
        </w:rPr>
        <w:t xml:space="preserve"> y comparadas con otras del país</w:t>
      </w:r>
      <w:r>
        <w:rPr>
          <w:rFonts w:ascii="Arial" w:hAnsi="Arial" w:cs="Arial"/>
          <w:sz w:val="24"/>
          <w:szCs w:val="24"/>
          <w:lang w:val="es-CR"/>
        </w:rPr>
        <w:t>. Sin embargo</w:t>
      </w:r>
      <w:r w:rsidR="006D1A41">
        <w:rPr>
          <w:rFonts w:ascii="Arial" w:hAnsi="Arial" w:cs="Arial"/>
          <w:sz w:val="24"/>
          <w:szCs w:val="24"/>
          <w:lang w:val="es-CR"/>
        </w:rPr>
        <w:t>,</w:t>
      </w:r>
      <w:r>
        <w:rPr>
          <w:rFonts w:ascii="Arial" w:hAnsi="Arial" w:cs="Arial"/>
          <w:sz w:val="24"/>
          <w:szCs w:val="24"/>
          <w:lang w:val="es-CR"/>
        </w:rPr>
        <w:t xml:space="preserve"> existen otras zonas (de creación más reciente) como por ejemplo La Cruz u Hojancha, sobre las cuales se ha generado muy poca investigación histórica</w:t>
      </w:r>
      <w:r w:rsidR="000E6687">
        <w:rPr>
          <w:rFonts w:ascii="Arial" w:hAnsi="Arial" w:cs="Arial"/>
          <w:sz w:val="24"/>
          <w:szCs w:val="24"/>
          <w:lang w:val="es-CR"/>
        </w:rPr>
        <w:t xml:space="preserve">, dejando de relieve que es necesario </w:t>
      </w:r>
      <w:r w:rsidR="001D5BF7">
        <w:rPr>
          <w:rFonts w:ascii="Arial" w:hAnsi="Arial" w:cs="Arial"/>
          <w:sz w:val="24"/>
          <w:szCs w:val="24"/>
          <w:lang w:val="es-CR"/>
        </w:rPr>
        <w:t>realizar estudios de base para luego considerar la posibilidad de estructurar una obra de carácter general sobre la historia de Gua</w:t>
      </w:r>
      <w:r w:rsidR="0045612A">
        <w:rPr>
          <w:rFonts w:ascii="Arial" w:hAnsi="Arial" w:cs="Arial"/>
          <w:sz w:val="24"/>
          <w:szCs w:val="24"/>
          <w:lang w:val="es-CR"/>
        </w:rPr>
        <w:t xml:space="preserve">nacaste.  </w:t>
      </w:r>
      <w:r w:rsidR="00901FCD">
        <w:rPr>
          <w:rFonts w:ascii="Arial" w:hAnsi="Arial" w:cs="Arial"/>
          <w:sz w:val="24"/>
          <w:szCs w:val="24"/>
          <w:lang w:val="es-CR"/>
        </w:rPr>
        <w:t xml:space="preserve">En cuanto a los </w:t>
      </w:r>
      <w:r w:rsidR="0014700E">
        <w:rPr>
          <w:rFonts w:ascii="Arial" w:hAnsi="Arial" w:cs="Arial"/>
          <w:sz w:val="24"/>
          <w:szCs w:val="24"/>
          <w:lang w:val="es-CR"/>
        </w:rPr>
        <w:t xml:space="preserve">niveles de </w:t>
      </w:r>
      <w:r w:rsidR="00733C2D">
        <w:rPr>
          <w:rFonts w:ascii="Arial" w:hAnsi="Arial" w:cs="Arial"/>
          <w:sz w:val="24"/>
          <w:szCs w:val="24"/>
          <w:lang w:val="es-CR"/>
        </w:rPr>
        <w:t>análisis</w:t>
      </w:r>
      <w:r w:rsidR="00901FCD">
        <w:rPr>
          <w:rFonts w:ascii="Arial" w:hAnsi="Arial" w:cs="Arial"/>
          <w:sz w:val="24"/>
          <w:szCs w:val="24"/>
          <w:lang w:val="es-CR"/>
        </w:rPr>
        <w:t xml:space="preserve">, </w:t>
      </w:r>
      <w:r w:rsidR="0045612A">
        <w:rPr>
          <w:rFonts w:ascii="Arial" w:hAnsi="Arial" w:cs="Arial"/>
          <w:sz w:val="24"/>
          <w:szCs w:val="24"/>
          <w:lang w:val="es-CR"/>
        </w:rPr>
        <w:t xml:space="preserve">consideramos </w:t>
      </w:r>
      <w:r w:rsidR="00901FCD">
        <w:rPr>
          <w:rFonts w:ascii="Arial" w:hAnsi="Arial" w:cs="Arial"/>
          <w:sz w:val="24"/>
          <w:szCs w:val="24"/>
          <w:lang w:val="es-CR"/>
        </w:rPr>
        <w:t xml:space="preserve">que los textos se concentran en cinco </w:t>
      </w:r>
      <w:r w:rsidR="0014700E">
        <w:rPr>
          <w:rFonts w:ascii="Arial" w:hAnsi="Arial" w:cs="Arial"/>
          <w:sz w:val="24"/>
          <w:szCs w:val="24"/>
          <w:lang w:val="es-CR"/>
        </w:rPr>
        <w:t>grupos</w:t>
      </w:r>
      <w:r w:rsidR="00901FCD">
        <w:rPr>
          <w:rFonts w:ascii="Arial" w:hAnsi="Arial" w:cs="Arial"/>
          <w:sz w:val="24"/>
          <w:szCs w:val="24"/>
          <w:lang w:val="es-CR"/>
        </w:rPr>
        <w:t xml:space="preserve">: </w:t>
      </w:r>
      <w:r w:rsidR="00BF7EFD">
        <w:rPr>
          <w:rFonts w:ascii="Arial" w:hAnsi="Arial" w:cs="Arial"/>
          <w:sz w:val="24"/>
          <w:szCs w:val="24"/>
          <w:lang w:val="es-CR"/>
        </w:rPr>
        <w:t>1.</w:t>
      </w:r>
      <w:r w:rsidR="00161DE8">
        <w:rPr>
          <w:rFonts w:ascii="Arial" w:hAnsi="Arial" w:cs="Arial"/>
          <w:sz w:val="24"/>
          <w:szCs w:val="24"/>
          <w:lang w:val="es-CR"/>
        </w:rPr>
        <w:t>representaciones sociales, imaginario colectivo y religiosidad</w:t>
      </w:r>
      <w:r w:rsidR="00BF7EFD">
        <w:rPr>
          <w:rFonts w:ascii="Arial" w:hAnsi="Arial" w:cs="Arial"/>
          <w:sz w:val="24"/>
          <w:szCs w:val="24"/>
          <w:lang w:val="es-CR"/>
        </w:rPr>
        <w:t>,</w:t>
      </w:r>
      <w:r w:rsidR="00161DE8">
        <w:rPr>
          <w:rFonts w:ascii="Arial" w:hAnsi="Arial" w:cs="Arial"/>
          <w:sz w:val="24"/>
          <w:szCs w:val="24"/>
          <w:lang w:val="es-CR"/>
        </w:rPr>
        <w:t xml:space="preserve"> </w:t>
      </w:r>
      <w:r w:rsidR="00D62F35">
        <w:rPr>
          <w:rFonts w:ascii="Arial" w:hAnsi="Arial" w:cs="Arial"/>
          <w:sz w:val="24"/>
          <w:szCs w:val="24"/>
          <w:lang w:val="es-CR"/>
        </w:rPr>
        <w:t>2</w:t>
      </w:r>
      <w:r w:rsidR="00BF7EFD">
        <w:rPr>
          <w:rFonts w:ascii="Arial" w:hAnsi="Arial" w:cs="Arial"/>
          <w:sz w:val="24"/>
          <w:szCs w:val="24"/>
          <w:lang w:val="es-CR"/>
        </w:rPr>
        <w:t>.</w:t>
      </w:r>
      <w:r w:rsidR="00381533">
        <w:rPr>
          <w:rFonts w:ascii="Arial" w:hAnsi="Arial" w:cs="Arial"/>
          <w:sz w:val="24"/>
          <w:szCs w:val="24"/>
          <w:lang w:val="es-CR"/>
        </w:rPr>
        <w:t xml:space="preserve">estudios coloniales, </w:t>
      </w:r>
      <w:r w:rsidR="00D62F35">
        <w:rPr>
          <w:rFonts w:ascii="Arial" w:hAnsi="Arial" w:cs="Arial"/>
          <w:sz w:val="24"/>
          <w:szCs w:val="24"/>
          <w:lang w:val="es-CR"/>
        </w:rPr>
        <w:t>3</w:t>
      </w:r>
      <w:r w:rsidR="00BF7EFD">
        <w:rPr>
          <w:rFonts w:ascii="Arial" w:hAnsi="Arial" w:cs="Arial"/>
          <w:sz w:val="24"/>
          <w:szCs w:val="24"/>
          <w:lang w:val="es-CR"/>
        </w:rPr>
        <w:t>.</w:t>
      </w:r>
      <w:r w:rsidR="00381533">
        <w:rPr>
          <w:rFonts w:ascii="Arial" w:hAnsi="Arial" w:cs="Arial"/>
          <w:sz w:val="24"/>
          <w:szCs w:val="24"/>
          <w:lang w:val="es-CR"/>
        </w:rPr>
        <w:t>historias locales</w:t>
      </w:r>
      <w:r w:rsidR="00CA7FB7">
        <w:rPr>
          <w:rFonts w:ascii="Arial" w:hAnsi="Arial" w:cs="Arial"/>
          <w:sz w:val="24"/>
          <w:szCs w:val="24"/>
          <w:lang w:val="es-CR"/>
        </w:rPr>
        <w:t>,</w:t>
      </w:r>
      <w:r w:rsidR="00381533">
        <w:rPr>
          <w:rFonts w:ascii="Arial" w:hAnsi="Arial" w:cs="Arial"/>
          <w:sz w:val="24"/>
          <w:szCs w:val="24"/>
          <w:lang w:val="es-CR"/>
        </w:rPr>
        <w:t xml:space="preserve"> </w:t>
      </w:r>
      <w:r w:rsidR="00D62F35">
        <w:rPr>
          <w:rFonts w:ascii="Arial" w:hAnsi="Arial" w:cs="Arial"/>
          <w:sz w:val="24"/>
          <w:szCs w:val="24"/>
          <w:lang w:val="es-CR"/>
        </w:rPr>
        <w:t>4</w:t>
      </w:r>
      <w:r w:rsidR="00CA7FB7">
        <w:rPr>
          <w:rFonts w:ascii="Arial" w:hAnsi="Arial" w:cs="Arial"/>
          <w:sz w:val="24"/>
          <w:szCs w:val="24"/>
          <w:lang w:val="es-CR"/>
        </w:rPr>
        <w:t>.</w:t>
      </w:r>
      <w:r w:rsidR="00161DE8">
        <w:rPr>
          <w:rFonts w:ascii="Arial" w:hAnsi="Arial" w:cs="Arial"/>
          <w:sz w:val="24"/>
          <w:szCs w:val="24"/>
          <w:lang w:val="es-CR"/>
        </w:rPr>
        <w:t>historia regional</w:t>
      </w:r>
      <w:r w:rsidR="00BF7EFD">
        <w:rPr>
          <w:rFonts w:ascii="Arial" w:hAnsi="Arial" w:cs="Arial"/>
          <w:sz w:val="24"/>
          <w:szCs w:val="24"/>
          <w:lang w:val="es-CR"/>
        </w:rPr>
        <w:t xml:space="preserve"> y, </w:t>
      </w:r>
      <w:r w:rsidR="00D62F35">
        <w:rPr>
          <w:rFonts w:ascii="Arial" w:hAnsi="Arial" w:cs="Arial"/>
          <w:sz w:val="24"/>
          <w:szCs w:val="24"/>
          <w:lang w:val="es-CR"/>
        </w:rPr>
        <w:t>5</w:t>
      </w:r>
      <w:r w:rsidR="00BF7EFD">
        <w:rPr>
          <w:rFonts w:ascii="Arial" w:hAnsi="Arial" w:cs="Arial"/>
          <w:sz w:val="24"/>
          <w:szCs w:val="24"/>
          <w:lang w:val="es-CR"/>
        </w:rPr>
        <w:t>.</w:t>
      </w:r>
      <w:r w:rsidR="008B5153">
        <w:rPr>
          <w:rFonts w:ascii="Arial" w:hAnsi="Arial" w:cs="Arial"/>
          <w:sz w:val="24"/>
          <w:szCs w:val="24"/>
          <w:lang w:val="es-CR"/>
        </w:rPr>
        <w:t xml:space="preserve">colonización agrícola, hacienda ganadera, </w:t>
      </w:r>
      <w:r w:rsidR="00381533">
        <w:rPr>
          <w:rFonts w:ascii="Arial" w:hAnsi="Arial" w:cs="Arial"/>
          <w:sz w:val="24"/>
          <w:szCs w:val="24"/>
          <w:lang w:val="es-CR"/>
        </w:rPr>
        <w:t xml:space="preserve">tierra y </w:t>
      </w:r>
      <w:r w:rsidR="008B5153">
        <w:rPr>
          <w:rFonts w:ascii="Arial" w:hAnsi="Arial" w:cs="Arial"/>
          <w:sz w:val="24"/>
          <w:szCs w:val="24"/>
          <w:lang w:val="es-CR"/>
        </w:rPr>
        <w:t>conflict</w:t>
      </w:r>
      <w:r w:rsidR="00870817">
        <w:rPr>
          <w:rFonts w:ascii="Arial" w:hAnsi="Arial" w:cs="Arial"/>
          <w:sz w:val="24"/>
          <w:szCs w:val="24"/>
          <w:lang w:val="es-CR"/>
        </w:rPr>
        <w:t xml:space="preserve">ividad social. </w:t>
      </w:r>
      <w:r w:rsidR="0091375E">
        <w:rPr>
          <w:rFonts w:ascii="Arial" w:hAnsi="Arial" w:cs="Arial"/>
          <w:sz w:val="24"/>
          <w:szCs w:val="24"/>
          <w:lang w:val="es-CR"/>
        </w:rPr>
        <w:t xml:space="preserve">  </w:t>
      </w:r>
    </w:p>
    <w:p w:rsidR="009C5F20" w:rsidRDefault="008B5153" w:rsidP="003C6843">
      <w:pPr>
        <w:spacing w:line="480" w:lineRule="auto"/>
        <w:ind w:firstLine="708"/>
        <w:jc w:val="both"/>
        <w:rPr>
          <w:rFonts w:ascii="Arial" w:hAnsi="Arial" w:cs="Arial"/>
          <w:sz w:val="24"/>
          <w:szCs w:val="24"/>
          <w:lang w:val="es-CR"/>
        </w:rPr>
      </w:pPr>
      <w:r>
        <w:rPr>
          <w:rFonts w:ascii="Arial" w:hAnsi="Arial" w:cs="Arial"/>
          <w:sz w:val="24"/>
          <w:szCs w:val="24"/>
          <w:lang w:val="es-CR"/>
        </w:rPr>
        <w:t>E</w:t>
      </w:r>
      <w:r w:rsidR="0030224D">
        <w:rPr>
          <w:rFonts w:ascii="Arial" w:hAnsi="Arial" w:cs="Arial"/>
          <w:sz w:val="24"/>
          <w:szCs w:val="24"/>
          <w:lang w:val="es-CR"/>
        </w:rPr>
        <w:t>n e</w:t>
      </w:r>
      <w:r>
        <w:rPr>
          <w:rFonts w:ascii="Arial" w:hAnsi="Arial" w:cs="Arial"/>
          <w:sz w:val="24"/>
          <w:szCs w:val="24"/>
          <w:lang w:val="es-CR"/>
        </w:rPr>
        <w:t xml:space="preserve">ste informe </w:t>
      </w:r>
      <w:r w:rsidR="003A6899">
        <w:rPr>
          <w:rFonts w:ascii="Arial" w:hAnsi="Arial" w:cs="Arial"/>
          <w:sz w:val="24"/>
          <w:szCs w:val="24"/>
          <w:lang w:val="es-CR"/>
        </w:rPr>
        <w:t xml:space="preserve">se hará una presentación de lo que denominamos los </w:t>
      </w:r>
      <w:r w:rsidR="00B34F8C">
        <w:rPr>
          <w:rFonts w:ascii="Arial" w:hAnsi="Arial" w:cs="Arial"/>
          <w:sz w:val="24"/>
          <w:szCs w:val="24"/>
          <w:lang w:val="es-CR"/>
        </w:rPr>
        <w:t>“</w:t>
      </w:r>
      <w:r w:rsidR="003A6899">
        <w:rPr>
          <w:rFonts w:ascii="Arial" w:hAnsi="Arial" w:cs="Arial"/>
          <w:sz w:val="24"/>
          <w:szCs w:val="24"/>
          <w:lang w:val="es-CR"/>
        </w:rPr>
        <w:t xml:space="preserve">niveles de análisis </w:t>
      </w:r>
      <w:r w:rsidR="004561A6">
        <w:rPr>
          <w:rFonts w:ascii="Arial" w:hAnsi="Arial" w:cs="Arial"/>
          <w:sz w:val="24"/>
          <w:szCs w:val="24"/>
          <w:lang w:val="es-CR"/>
        </w:rPr>
        <w:t>en la historia de Guanacaste</w:t>
      </w:r>
      <w:r w:rsidR="00B34F8C">
        <w:rPr>
          <w:rFonts w:ascii="Arial" w:hAnsi="Arial" w:cs="Arial"/>
          <w:sz w:val="24"/>
          <w:szCs w:val="24"/>
          <w:lang w:val="es-CR"/>
        </w:rPr>
        <w:t>”,</w:t>
      </w:r>
      <w:r w:rsidR="0030224D">
        <w:rPr>
          <w:rFonts w:ascii="Arial" w:hAnsi="Arial" w:cs="Arial"/>
          <w:sz w:val="24"/>
          <w:szCs w:val="24"/>
          <w:lang w:val="es-CR"/>
        </w:rPr>
        <w:t xml:space="preserve"> incorporando ocasionalmente alguno de sus aportes. El formato que se ha elegido para la elaboración del texto, ha sido el de </w:t>
      </w:r>
      <w:r w:rsidR="003C6843">
        <w:rPr>
          <w:rFonts w:ascii="Arial" w:hAnsi="Arial" w:cs="Arial"/>
          <w:sz w:val="24"/>
          <w:szCs w:val="24"/>
          <w:lang w:val="es-CR"/>
        </w:rPr>
        <w:t xml:space="preserve">una </w:t>
      </w:r>
      <w:r w:rsidR="0030224D">
        <w:rPr>
          <w:rFonts w:ascii="Arial" w:hAnsi="Arial" w:cs="Arial"/>
          <w:sz w:val="24"/>
          <w:szCs w:val="24"/>
          <w:lang w:val="es-CR"/>
        </w:rPr>
        <w:t>“</w:t>
      </w:r>
      <w:r w:rsidR="003C6843">
        <w:rPr>
          <w:rFonts w:ascii="Arial" w:hAnsi="Arial" w:cs="Arial"/>
          <w:sz w:val="24"/>
          <w:szCs w:val="24"/>
          <w:lang w:val="es-CR"/>
        </w:rPr>
        <w:t>bibliografía comentada</w:t>
      </w:r>
      <w:r w:rsidR="0030224D">
        <w:rPr>
          <w:rFonts w:ascii="Arial" w:hAnsi="Arial" w:cs="Arial"/>
          <w:sz w:val="24"/>
          <w:szCs w:val="24"/>
          <w:lang w:val="es-CR"/>
        </w:rPr>
        <w:t xml:space="preserve">” mediante la cual se muestran las diversas producciones relacionadas a los tópicos escritos sobre la historia de Guanacaste. </w:t>
      </w:r>
      <w:r w:rsidR="00E34566">
        <w:rPr>
          <w:rFonts w:ascii="Arial" w:hAnsi="Arial" w:cs="Arial"/>
          <w:sz w:val="24"/>
          <w:szCs w:val="24"/>
          <w:lang w:val="es-CR"/>
        </w:rPr>
        <w:t xml:space="preserve"> </w:t>
      </w:r>
      <w:r w:rsidR="003C6843">
        <w:rPr>
          <w:rFonts w:ascii="Arial" w:hAnsi="Arial" w:cs="Arial"/>
          <w:sz w:val="24"/>
          <w:szCs w:val="24"/>
          <w:lang w:val="es-CR"/>
        </w:rPr>
        <w:t xml:space="preserve"> </w:t>
      </w:r>
    </w:p>
    <w:p w:rsidR="009C5F20" w:rsidRDefault="009C5F20" w:rsidP="009C5F20">
      <w:pPr>
        <w:spacing w:line="480" w:lineRule="auto"/>
        <w:rPr>
          <w:rFonts w:ascii="Arial" w:hAnsi="Arial" w:cs="Arial"/>
          <w:sz w:val="24"/>
          <w:szCs w:val="24"/>
          <w:lang w:val="es-CR"/>
        </w:rPr>
      </w:pPr>
    </w:p>
    <w:p w:rsidR="009C5F20" w:rsidRDefault="009C5F20" w:rsidP="009C5F20">
      <w:pPr>
        <w:spacing w:line="480" w:lineRule="auto"/>
        <w:rPr>
          <w:rFonts w:ascii="Arial" w:hAnsi="Arial" w:cs="Arial"/>
          <w:sz w:val="24"/>
          <w:szCs w:val="24"/>
          <w:lang w:val="es-CR"/>
        </w:rPr>
      </w:pPr>
    </w:p>
    <w:p w:rsidR="009C5F20" w:rsidRPr="00733C2D" w:rsidRDefault="00733C2D" w:rsidP="00733C2D">
      <w:pPr>
        <w:spacing w:line="240" w:lineRule="auto"/>
        <w:jc w:val="center"/>
        <w:rPr>
          <w:rFonts w:ascii="Arial" w:hAnsi="Arial" w:cs="Arial"/>
          <w:b/>
          <w:sz w:val="24"/>
          <w:szCs w:val="24"/>
          <w:lang w:val="es-CR"/>
        </w:rPr>
      </w:pPr>
      <w:r w:rsidRPr="00733C2D">
        <w:rPr>
          <w:rFonts w:ascii="Arial" w:hAnsi="Arial" w:cs="Arial"/>
          <w:b/>
          <w:sz w:val="24"/>
          <w:szCs w:val="24"/>
          <w:lang w:val="es-CR"/>
        </w:rPr>
        <w:lastRenderedPageBreak/>
        <w:t>Niveles de análisis en la construcción del conocimiento histórico respecto a la historia de Guanacaste</w:t>
      </w:r>
    </w:p>
    <w:p w:rsidR="004A03D1" w:rsidRDefault="004A03D1" w:rsidP="004A03D1">
      <w:pPr>
        <w:spacing w:line="240" w:lineRule="auto"/>
        <w:jc w:val="both"/>
        <w:rPr>
          <w:rFonts w:ascii="Arial" w:hAnsi="Arial" w:cs="Arial"/>
          <w:i/>
          <w:sz w:val="24"/>
          <w:szCs w:val="24"/>
          <w:lang w:val="es-CR"/>
        </w:rPr>
      </w:pPr>
    </w:p>
    <w:p w:rsidR="009100EF" w:rsidRPr="004A03D1" w:rsidRDefault="004A03D1" w:rsidP="004A03D1">
      <w:pPr>
        <w:spacing w:line="240" w:lineRule="auto"/>
        <w:jc w:val="both"/>
        <w:rPr>
          <w:rFonts w:ascii="Arial" w:hAnsi="Arial" w:cs="Arial"/>
          <w:i/>
          <w:sz w:val="24"/>
          <w:szCs w:val="24"/>
          <w:lang w:val="es-CR"/>
        </w:rPr>
      </w:pPr>
      <w:r>
        <w:rPr>
          <w:rFonts w:ascii="Arial" w:hAnsi="Arial" w:cs="Arial"/>
          <w:i/>
          <w:sz w:val="24"/>
          <w:szCs w:val="24"/>
          <w:lang w:val="es-CR"/>
        </w:rPr>
        <w:t xml:space="preserve">1. </w:t>
      </w:r>
      <w:r w:rsidRPr="004A03D1">
        <w:rPr>
          <w:rFonts w:ascii="Arial" w:hAnsi="Arial" w:cs="Arial"/>
          <w:i/>
          <w:sz w:val="24"/>
          <w:szCs w:val="24"/>
          <w:lang w:val="es-CR"/>
        </w:rPr>
        <w:t>I</w:t>
      </w:r>
      <w:r w:rsidR="006D5607" w:rsidRPr="004A03D1">
        <w:rPr>
          <w:rFonts w:ascii="Arial" w:hAnsi="Arial" w:cs="Arial"/>
          <w:i/>
          <w:sz w:val="24"/>
          <w:szCs w:val="24"/>
          <w:lang w:val="es-CR"/>
        </w:rPr>
        <w:t>maginario colectivo, religiosidad y representaciones soci</w:t>
      </w:r>
      <w:r w:rsidRPr="004A03D1">
        <w:rPr>
          <w:rFonts w:ascii="Arial" w:hAnsi="Arial" w:cs="Arial"/>
          <w:i/>
          <w:sz w:val="24"/>
          <w:szCs w:val="24"/>
          <w:lang w:val="es-CR"/>
        </w:rPr>
        <w:t>a</w:t>
      </w:r>
      <w:r w:rsidR="006D5607" w:rsidRPr="004A03D1">
        <w:rPr>
          <w:rFonts w:ascii="Arial" w:hAnsi="Arial" w:cs="Arial"/>
          <w:i/>
          <w:sz w:val="24"/>
          <w:szCs w:val="24"/>
          <w:lang w:val="es-CR"/>
        </w:rPr>
        <w:t xml:space="preserve">les en la historia de Guanacaste. </w:t>
      </w:r>
    </w:p>
    <w:p w:rsidR="00B4483C" w:rsidRDefault="00DF6127" w:rsidP="009100EF">
      <w:pPr>
        <w:spacing w:line="480" w:lineRule="auto"/>
        <w:ind w:firstLine="708"/>
        <w:jc w:val="both"/>
        <w:rPr>
          <w:rFonts w:ascii="Arial" w:hAnsi="Arial" w:cs="Arial"/>
          <w:sz w:val="24"/>
          <w:szCs w:val="24"/>
          <w:lang w:val="es-CR"/>
        </w:rPr>
      </w:pPr>
      <w:r>
        <w:rPr>
          <w:rFonts w:ascii="Arial" w:hAnsi="Arial" w:cs="Arial"/>
          <w:sz w:val="24"/>
          <w:szCs w:val="24"/>
          <w:lang w:val="es-CR"/>
        </w:rPr>
        <w:t>La historia de Guanacaste vista a través de la o</w:t>
      </w:r>
      <w:r w:rsidR="00314AC4">
        <w:rPr>
          <w:rFonts w:ascii="Arial" w:hAnsi="Arial" w:cs="Arial"/>
          <w:sz w:val="24"/>
          <w:szCs w:val="24"/>
          <w:lang w:val="es-CR"/>
        </w:rPr>
        <w:t xml:space="preserve">bra escrita relacionada con las representaciones sociales, el imaginario colectivo y la religiosidad </w:t>
      </w:r>
      <w:r w:rsidR="00B4483C">
        <w:rPr>
          <w:rFonts w:ascii="Arial" w:hAnsi="Arial" w:cs="Arial"/>
          <w:sz w:val="24"/>
          <w:szCs w:val="24"/>
          <w:lang w:val="es-CR"/>
        </w:rPr>
        <w:t>presenta poco desarrollo. Si bien es cierto, en cada pueblo se producen buena cantidad de textos sobre tradiciones, folclor, costumbres y en general trabajos que podríamos calificar de “etnográficos”, lo cierto es que tod</w:t>
      </w:r>
      <w:r w:rsidR="008013D8">
        <w:rPr>
          <w:rFonts w:ascii="Arial" w:hAnsi="Arial" w:cs="Arial"/>
          <w:sz w:val="24"/>
          <w:szCs w:val="24"/>
          <w:lang w:val="es-CR"/>
        </w:rPr>
        <w:t>avía se carece de investigaciones históricas que pongan en evidencia los elementos representativos de la construcción de las representac</w:t>
      </w:r>
      <w:r w:rsidR="0035620D">
        <w:rPr>
          <w:rFonts w:ascii="Arial" w:hAnsi="Arial" w:cs="Arial"/>
          <w:sz w:val="24"/>
          <w:szCs w:val="24"/>
          <w:lang w:val="es-CR"/>
        </w:rPr>
        <w:t xml:space="preserve">iones colectivas en Guanacaste. </w:t>
      </w:r>
      <w:r w:rsidR="0035620D">
        <w:rPr>
          <w:rStyle w:val="Refdenotaalpie"/>
          <w:rFonts w:ascii="Arial" w:hAnsi="Arial" w:cs="Arial"/>
          <w:sz w:val="24"/>
          <w:szCs w:val="24"/>
          <w:lang w:val="es-CR"/>
        </w:rPr>
        <w:footnoteReference w:id="2"/>
      </w:r>
      <w:r w:rsidR="00197473">
        <w:rPr>
          <w:rFonts w:ascii="Arial" w:hAnsi="Arial" w:cs="Arial"/>
          <w:sz w:val="24"/>
          <w:szCs w:val="24"/>
          <w:lang w:val="es-CR"/>
        </w:rPr>
        <w:t xml:space="preserve"> </w:t>
      </w:r>
    </w:p>
    <w:p w:rsidR="00197473" w:rsidRDefault="00197473" w:rsidP="009100EF">
      <w:pPr>
        <w:spacing w:line="480" w:lineRule="auto"/>
        <w:ind w:firstLine="708"/>
        <w:jc w:val="both"/>
        <w:rPr>
          <w:rFonts w:ascii="Arial" w:hAnsi="Arial" w:cs="Arial"/>
          <w:sz w:val="24"/>
          <w:szCs w:val="24"/>
          <w:lang w:val="es-CR"/>
        </w:rPr>
      </w:pPr>
      <w:r>
        <w:rPr>
          <w:rFonts w:ascii="Arial" w:hAnsi="Arial" w:cs="Arial"/>
          <w:sz w:val="24"/>
          <w:szCs w:val="24"/>
          <w:lang w:val="es-CR"/>
        </w:rPr>
        <w:t xml:space="preserve">En </w:t>
      </w:r>
      <w:r w:rsidR="0098491B">
        <w:rPr>
          <w:rFonts w:ascii="Arial" w:hAnsi="Arial" w:cs="Arial"/>
          <w:sz w:val="24"/>
          <w:szCs w:val="24"/>
          <w:lang w:val="es-CR"/>
        </w:rPr>
        <w:t xml:space="preserve">la </w:t>
      </w:r>
      <w:r>
        <w:rPr>
          <w:rFonts w:ascii="Arial" w:hAnsi="Arial" w:cs="Arial"/>
          <w:sz w:val="24"/>
          <w:szCs w:val="24"/>
          <w:lang w:val="es-CR"/>
        </w:rPr>
        <w:t xml:space="preserve">línea de investigación </w:t>
      </w:r>
      <w:r w:rsidR="0098491B">
        <w:rPr>
          <w:rFonts w:ascii="Arial" w:hAnsi="Arial" w:cs="Arial"/>
          <w:sz w:val="24"/>
          <w:szCs w:val="24"/>
          <w:lang w:val="es-CR"/>
        </w:rPr>
        <w:t xml:space="preserve">anterior </w:t>
      </w:r>
      <w:r>
        <w:rPr>
          <w:rFonts w:ascii="Arial" w:hAnsi="Arial" w:cs="Arial"/>
          <w:sz w:val="24"/>
          <w:szCs w:val="24"/>
          <w:lang w:val="es-CR"/>
        </w:rPr>
        <w:t>podemos ubicar los textos de Carlos Ar</w:t>
      </w:r>
      <w:r w:rsidR="00EB5F53">
        <w:rPr>
          <w:rFonts w:ascii="Arial" w:hAnsi="Arial" w:cs="Arial"/>
          <w:sz w:val="24"/>
          <w:szCs w:val="24"/>
          <w:lang w:val="es-CR"/>
        </w:rPr>
        <w:t>a</w:t>
      </w:r>
      <w:r>
        <w:rPr>
          <w:rFonts w:ascii="Arial" w:hAnsi="Arial" w:cs="Arial"/>
          <w:sz w:val="24"/>
          <w:szCs w:val="24"/>
          <w:lang w:val="es-CR"/>
        </w:rPr>
        <w:t>uz</w:t>
      </w:r>
      <w:r w:rsidR="0057209D">
        <w:rPr>
          <w:rFonts w:ascii="Arial" w:hAnsi="Arial" w:cs="Arial"/>
          <w:sz w:val="24"/>
          <w:szCs w:val="24"/>
          <w:lang w:val="es-CR"/>
        </w:rPr>
        <w:t xml:space="preserve"> </w:t>
      </w:r>
      <w:r w:rsidR="0057209D">
        <w:rPr>
          <w:rStyle w:val="Refdenotaalpie"/>
          <w:rFonts w:ascii="Arial" w:hAnsi="Arial" w:cs="Arial"/>
          <w:sz w:val="24"/>
          <w:szCs w:val="24"/>
          <w:lang w:val="es-CR"/>
        </w:rPr>
        <w:footnoteReference w:id="3"/>
      </w:r>
      <w:r w:rsidR="0057209D">
        <w:rPr>
          <w:rFonts w:ascii="Arial" w:hAnsi="Arial" w:cs="Arial"/>
          <w:sz w:val="24"/>
          <w:szCs w:val="24"/>
          <w:lang w:val="es-CR"/>
        </w:rPr>
        <w:t>, Julio César Jaén</w:t>
      </w:r>
      <w:r w:rsidR="00EB5F53">
        <w:rPr>
          <w:rStyle w:val="Refdenotaalpie"/>
          <w:rFonts w:ascii="Arial" w:hAnsi="Arial" w:cs="Arial"/>
          <w:sz w:val="24"/>
          <w:szCs w:val="24"/>
          <w:lang w:val="es-CR"/>
        </w:rPr>
        <w:footnoteReference w:id="4"/>
      </w:r>
      <w:r w:rsidR="00EB5F53">
        <w:rPr>
          <w:rFonts w:ascii="Arial" w:hAnsi="Arial" w:cs="Arial"/>
          <w:sz w:val="24"/>
          <w:szCs w:val="24"/>
          <w:lang w:val="es-CR"/>
        </w:rPr>
        <w:t xml:space="preserve">  ; así como de Luis Efrén y Guillermo García</w:t>
      </w:r>
      <w:r w:rsidR="00EB5F53">
        <w:rPr>
          <w:rStyle w:val="Refdenotaalpie"/>
          <w:rFonts w:ascii="Arial" w:hAnsi="Arial" w:cs="Arial"/>
          <w:sz w:val="24"/>
          <w:szCs w:val="24"/>
          <w:lang w:val="es-CR"/>
        </w:rPr>
        <w:footnoteReference w:id="5"/>
      </w:r>
      <w:r w:rsidR="00EB5F53">
        <w:rPr>
          <w:rFonts w:ascii="Arial" w:hAnsi="Arial" w:cs="Arial"/>
          <w:sz w:val="24"/>
          <w:szCs w:val="24"/>
          <w:lang w:val="es-CR"/>
        </w:rPr>
        <w:t xml:space="preserve">. </w:t>
      </w:r>
      <w:r w:rsidR="004E55A8">
        <w:rPr>
          <w:rFonts w:ascii="Arial" w:hAnsi="Arial" w:cs="Arial"/>
          <w:sz w:val="24"/>
          <w:szCs w:val="24"/>
          <w:lang w:val="es-CR"/>
        </w:rPr>
        <w:t xml:space="preserve">En este </w:t>
      </w:r>
      <w:r w:rsidR="00F30CFF">
        <w:rPr>
          <w:rFonts w:ascii="Arial" w:hAnsi="Arial" w:cs="Arial"/>
          <w:sz w:val="24"/>
          <w:szCs w:val="24"/>
          <w:lang w:val="es-CR"/>
        </w:rPr>
        <w:t xml:space="preserve">ámbito, </w:t>
      </w:r>
      <w:r w:rsidR="004E55A8">
        <w:rPr>
          <w:rFonts w:ascii="Arial" w:hAnsi="Arial" w:cs="Arial"/>
          <w:sz w:val="24"/>
          <w:szCs w:val="24"/>
          <w:lang w:val="es-CR"/>
        </w:rPr>
        <w:t xml:space="preserve">también han surgido obras relacionadas con la gastronomía y las actividades artísticas en la provincia, tal es el caso de los trabajos de </w:t>
      </w:r>
      <w:r w:rsidR="00E94008">
        <w:rPr>
          <w:rFonts w:ascii="Arial" w:hAnsi="Arial" w:cs="Arial"/>
          <w:sz w:val="24"/>
          <w:szCs w:val="24"/>
          <w:lang w:val="es-CR"/>
        </w:rPr>
        <w:t>Guillermo García</w:t>
      </w:r>
      <w:r w:rsidR="00E94008">
        <w:rPr>
          <w:rStyle w:val="Refdenotaalpie"/>
          <w:rFonts w:ascii="Arial" w:hAnsi="Arial" w:cs="Arial"/>
          <w:sz w:val="24"/>
          <w:szCs w:val="24"/>
          <w:lang w:val="es-CR"/>
        </w:rPr>
        <w:footnoteReference w:id="6"/>
      </w:r>
      <w:r w:rsidR="00E94008">
        <w:rPr>
          <w:rFonts w:ascii="Arial" w:hAnsi="Arial" w:cs="Arial"/>
          <w:sz w:val="24"/>
          <w:szCs w:val="24"/>
          <w:lang w:val="es-CR"/>
        </w:rPr>
        <w:t xml:space="preserve">, así como de algunos grupos artísticos de la región. </w:t>
      </w:r>
      <w:r w:rsidR="00E94008">
        <w:rPr>
          <w:rStyle w:val="Refdenotaalpie"/>
          <w:rFonts w:ascii="Arial" w:hAnsi="Arial" w:cs="Arial"/>
          <w:sz w:val="24"/>
          <w:szCs w:val="24"/>
          <w:lang w:val="es-CR"/>
        </w:rPr>
        <w:footnoteReference w:id="7"/>
      </w:r>
      <w:r w:rsidR="00E94008">
        <w:rPr>
          <w:rFonts w:ascii="Arial" w:hAnsi="Arial" w:cs="Arial"/>
          <w:sz w:val="24"/>
          <w:szCs w:val="24"/>
          <w:lang w:val="es-CR"/>
        </w:rPr>
        <w:t xml:space="preserve"> </w:t>
      </w:r>
      <w:r w:rsidR="00EB5F53">
        <w:rPr>
          <w:rFonts w:ascii="Arial" w:hAnsi="Arial" w:cs="Arial"/>
          <w:sz w:val="24"/>
          <w:szCs w:val="24"/>
          <w:lang w:val="es-CR"/>
        </w:rPr>
        <w:t xml:space="preserve"> </w:t>
      </w:r>
    </w:p>
    <w:p w:rsidR="00A239E7" w:rsidRDefault="001F5237" w:rsidP="009100EF">
      <w:pPr>
        <w:spacing w:line="480" w:lineRule="auto"/>
        <w:jc w:val="both"/>
        <w:rPr>
          <w:rFonts w:ascii="Arial" w:hAnsi="Arial" w:cs="Arial"/>
          <w:bCs/>
          <w:sz w:val="24"/>
          <w:szCs w:val="24"/>
        </w:rPr>
      </w:pPr>
      <w:r>
        <w:rPr>
          <w:rFonts w:ascii="Arial" w:hAnsi="Arial" w:cs="Arial"/>
          <w:bCs/>
          <w:sz w:val="24"/>
          <w:szCs w:val="24"/>
        </w:rPr>
        <w:tab/>
      </w:r>
    </w:p>
    <w:p w:rsidR="00EB5F53" w:rsidRDefault="001F5237" w:rsidP="00A239E7">
      <w:pPr>
        <w:spacing w:line="480" w:lineRule="auto"/>
        <w:ind w:firstLine="708"/>
        <w:jc w:val="both"/>
        <w:rPr>
          <w:rFonts w:ascii="Arial" w:hAnsi="Arial" w:cs="Arial"/>
          <w:bCs/>
          <w:sz w:val="24"/>
          <w:szCs w:val="24"/>
        </w:rPr>
      </w:pPr>
      <w:r>
        <w:rPr>
          <w:rFonts w:ascii="Arial" w:hAnsi="Arial" w:cs="Arial"/>
          <w:bCs/>
          <w:sz w:val="24"/>
          <w:szCs w:val="24"/>
        </w:rPr>
        <w:lastRenderedPageBreak/>
        <w:t xml:space="preserve">En cuanto a estudios que analicen de forma integral la temática de la historia religiosa de Guanacaste todavía no aparecen obras </w:t>
      </w:r>
      <w:r w:rsidR="00092627">
        <w:rPr>
          <w:rFonts w:ascii="Arial" w:hAnsi="Arial" w:cs="Arial"/>
          <w:bCs/>
          <w:sz w:val="24"/>
          <w:szCs w:val="24"/>
        </w:rPr>
        <w:t>en esa dirección. La temática es tocada marginalmente en investigaciones elaboradas para otros propósitos</w:t>
      </w:r>
      <w:r w:rsidR="00A239E7">
        <w:rPr>
          <w:rFonts w:ascii="Arial" w:hAnsi="Arial" w:cs="Arial"/>
          <w:bCs/>
          <w:sz w:val="24"/>
          <w:szCs w:val="24"/>
        </w:rPr>
        <w:t>;</w:t>
      </w:r>
      <w:r w:rsidR="00092627">
        <w:rPr>
          <w:rFonts w:ascii="Arial" w:hAnsi="Arial" w:cs="Arial"/>
          <w:bCs/>
          <w:sz w:val="24"/>
          <w:szCs w:val="24"/>
        </w:rPr>
        <w:t xml:space="preserve"> tal</w:t>
      </w:r>
      <w:r w:rsidR="00A239E7">
        <w:rPr>
          <w:rFonts w:ascii="Arial" w:hAnsi="Arial" w:cs="Arial"/>
          <w:bCs/>
          <w:sz w:val="24"/>
          <w:szCs w:val="24"/>
        </w:rPr>
        <w:t xml:space="preserve"> y </w:t>
      </w:r>
      <w:r w:rsidR="00092627">
        <w:rPr>
          <w:rFonts w:ascii="Arial" w:hAnsi="Arial" w:cs="Arial"/>
          <w:bCs/>
          <w:sz w:val="24"/>
          <w:szCs w:val="24"/>
        </w:rPr>
        <w:t xml:space="preserve">como </w:t>
      </w:r>
      <w:r w:rsidR="00A239E7">
        <w:rPr>
          <w:rFonts w:ascii="Arial" w:hAnsi="Arial" w:cs="Arial"/>
          <w:bCs/>
          <w:sz w:val="24"/>
          <w:szCs w:val="24"/>
        </w:rPr>
        <w:t xml:space="preserve">sucede con los textos de </w:t>
      </w:r>
      <w:r w:rsidR="00092627">
        <w:rPr>
          <w:rFonts w:ascii="Arial" w:hAnsi="Arial" w:cs="Arial"/>
          <w:bCs/>
          <w:sz w:val="24"/>
          <w:szCs w:val="24"/>
        </w:rPr>
        <w:t>Miguel Picado</w:t>
      </w:r>
      <w:r w:rsidR="00092627">
        <w:rPr>
          <w:rStyle w:val="Refdenotaalpie"/>
          <w:rFonts w:ascii="Arial" w:hAnsi="Arial" w:cs="Arial"/>
          <w:bCs/>
          <w:sz w:val="24"/>
          <w:szCs w:val="24"/>
        </w:rPr>
        <w:footnoteReference w:id="8"/>
      </w:r>
      <w:r w:rsidR="00797F16">
        <w:rPr>
          <w:rFonts w:ascii="Arial" w:hAnsi="Arial" w:cs="Arial"/>
          <w:bCs/>
          <w:sz w:val="24"/>
          <w:szCs w:val="24"/>
        </w:rPr>
        <w:t xml:space="preserve">, </w:t>
      </w:r>
      <w:r w:rsidR="00ED2D51">
        <w:rPr>
          <w:rFonts w:ascii="Arial" w:hAnsi="Arial" w:cs="Arial"/>
          <w:bCs/>
          <w:sz w:val="24"/>
          <w:szCs w:val="24"/>
        </w:rPr>
        <w:t xml:space="preserve"> </w:t>
      </w:r>
      <w:r w:rsidR="00797F16">
        <w:rPr>
          <w:rFonts w:ascii="Arial" w:hAnsi="Arial" w:cs="Arial"/>
          <w:bCs/>
          <w:sz w:val="24"/>
          <w:szCs w:val="24"/>
        </w:rPr>
        <w:t xml:space="preserve">así como </w:t>
      </w:r>
      <w:r w:rsidR="00A239E7">
        <w:rPr>
          <w:rFonts w:ascii="Arial" w:hAnsi="Arial" w:cs="Arial"/>
          <w:bCs/>
          <w:sz w:val="24"/>
          <w:szCs w:val="24"/>
        </w:rPr>
        <w:t xml:space="preserve">en otras </w:t>
      </w:r>
      <w:r w:rsidR="00797F16">
        <w:rPr>
          <w:rFonts w:ascii="Arial" w:hAnsi="Arial" w:cs="Arial"/>
          <w:bCs/>
          <w:sz w:val="24"/>
          <w:szCs w:val="24"/>
        </w:rPr>
        <w:t>publicaci</w:t>
      </w:r>
      <w:r w:rsidR="00A239E7">
        <w:rPr>
          <w:rFonts w:ascii="Arial" w:hAnsi="Arial" w:cs="Arial"/>
          <w:bCs/>
          <w:sz w:val="24"/>
          <w:szCs w:val="24"/>
        </w:rPr>
        <w:t xml:space="preserve">ones </w:t>
      </w:r>
      <w:r w:rsidR="00797F16">
        <w:rPr>
          <w:rFonts w:ascii="Arial" w:hAnsi="Arial" w:cs="Arial"/>
          <w:bCs/>
          <w:sz w:val="24"/>
          <w:szCs w:val="24"/>
        </w:rPr>
        <w:t xml:space="preserve">del Departamento Ecuménico de Investigaciones. </w:t>
      </w:r>
      <w:r w:rsidR="00797F16">
        <w:rPr>
          <w:rStyle w:val="Refdenotaalpie"/>
          <w:rFonts w:ascii="Arial" w:hAnsi="Arial" w:cs="Arial"/>
          <w:bCs/>
          <w:sz w:val="24"/>
          <w:szCs w:val="24"/>
        </w:rPr>
        <w:footnoteReference w:id="9"/>
      </w:r>
      <w:r w:rsidR="00A239E7">
        <w:rPr>
          <w:rFonts w:ascii="Arial" w:hAnsi="Arial" w:cs="Arial"/>
          <w:bCs/>
          <w:sz w:val="24"/>
          <w:szCs w:val="24"/>
        </w:rPr>
        <w:t xml:space="preserve"> </w:t>
      </w:r>
      <w:r w:rsidR="00797F16">
        <w:rPr>
          <w:rFonts w:ascii="Arial" w:hAnsi="Arial" w:cs="Arial"/>
          <w:bCs/>
          <w:sz w:val="24"/>
          <w:szCs w:val="24"/>
        </w:rPr>
        <w:t xml:space="preserve"> </w:t>
      </w:r>
      <w:r w:rsidR="00A239E7">
        <w:rPr>
          <w:rFonts w:ascii="Arial" w:hAnsi="Arial" w:cs="Arial"/>
          <w:bCs/>
          <w:sz w:val="24"/>
          <w:szCs w:val="24"/>
        </w:rPr>
        <w:t>Con relación a la religiosidad popular destaca la obra de Cerdas y González</w:t>
      </w:r>
      <w:r w:rsidR="00A239E7">
        <w:rPr>
          <w:rStyle w:val="Refdenotaalpie"/>
          <w:rFonts w:ascii="Arial" w:hAnsi="Arial" w:cs="Arial"/>
          <w:bCs/>
          <w:sz w:val="24"/>
          <w:szCs w:val="24"/>
        </w:rPr>
        <w:footnoteReference w:id="10"/>
      </w:r>
      <w:r w:rsidR="00A239E7">
        <w:rPr>
          <w:rFonts w:ascii="Arial" w:hAnsi="Arial" w:cs="Arial"/>
          <w:bCs/>
          <w:sz w:val="24"/>
          <w:szCs w:val="24"/>
        </w:rPr>
        <w:t>,</w:t>
      </w:r>
      <w:r w:rsidR="00ED2D51">
        <w:rPr>
          <w:rFonts w:ascii="Arial" w:hAnsi="Arial" w:cs="Arial"/>
          <w:bCs/>
          <w:sz w:val="24"/>
          <w:szCs w:val="24"/>
        </w:rPr>
        <w:t xml:space="preserve"> </w:t>
      </w:r>
      <w:r w:rsidR="00A239E7">
        <w:rPr>
          <w:rFonts w:ascii="Arial" w:hAnsi="Arial" w:cs="Arial"/>
          <w:bCs/>
          <w:sz w:val="24"/>
          <w:szCs w:val="24"/>
        </w:rPr>
        <w:t xml:space="preserve">y en lo relacionado con las tradiciones religiosas, Carlos Meléndez hizo también su aporte. </w:t>
      </w:r>
      <w:r w:rsidR="00A239E7">
        <w:rPr>
          <w:rStyle w:val="Refdenotaalpie"/>
          <w:rFonts w:ascii="Arial" w:hAnsi="Arial" w:cs="Arial"/>
          <w:bCs/>
          <w:sz w:val="24"/>
          <w:szCs w:val="24"/>
        </w:rPr>
        <w:footnoteReference w:id="11"/>
      </w:r>
      <w:r w:rsidR="00A239E7">
        <w:rPr>
          <w:rFonts w:ascii="Arial" w:hAnsi="Arial" w:cs="Arial"/>
          <w:bCs/>
          <w:sz w:val="24"/>
          <w:szCs w:val="24"/>
        </w:rPr>
        <w:t xml:space="preserve"> </w:t>
      </w:r>
      <w:r w:rsidR="00805F54">
        <w:rPr>
          <w:rFonts w:ascii="Arial" w:hAnsi="Arial" w:cs="Arial"/>
          <w:bCs/>
          <w:sz w:val="24"/>
          <w:szCs w:val="24"/>
        </w:rPr>
        <w:t xml:space="preserve"> </w:t>
      </w:r>
    </w:p>
    <w:p w:rsidR="005D5F59" w:rsidRDefault="00805F54" w:rsidP="005D5F59">
      <w:pPr>
        <w:spacing w:line="480" w:lineRule="auto"/>
        <w:ind w:firstLine="708"/>
        <w:jc w:val="both"/>
        <w:rPr>
          <w:rFonts w:ascii="Arial" w:hAnsi="Arial" w:cs="Arial"/>
          <w:sz w:val="24"/>
          <w:szCs w:val="24"/>
        </w:rPr>
      </w:pPr>
      <w:r>
        <w:rPr>
          <w:rFonts w:ascii="Arial" w:hAnsi="Arial" w:cs="Arial"/>
          <w:sz w:val="24"/>
          <w:szCs w:val="24"/>
        </w:rPr>
        <w:t xml:space="preserve">Finalmente, </w:t>
      </w:r>
      <w:r w:rsidR="00926C55">
        <w:rPr>
          <w:rFonts w:ascii="Arial" w:hAnsi="Arial" w:cs="Arial"/>
          <w:sz w:val="24"/>
          <w:szCs w:val="24"/>
        </w:rPr>
        <w:t xml:space="preserve">cabe señalar </w:t>
      </w:r>
      <w:r>
        <w:rPr>
          <w:rFonts w:ascii="Arial" w:hAnsi="Arial" w:cs="Arial"/>
          <w:sz w:val="24"/>
          <w:szCs w:val="24"/>
        </w:rPr>
        <w:t>que la obra escrita relacionada a las tradiciones, folclor, música, poesía, costumbres y gastronomía entre otros, es diversa y amplia.</w:t>
      </w:r>
      <w:r>
        <w:rPr>
          <w:rStyle w:val="Refdenotaalpie"/>
          <w:rFonts w:ascii="Arial" w:hAnsi="Arial" w:cs="Arial"/>
          <w:sz w:val="24"/>
          <w:szCs w:val="24"/>
        </w:rPr>
        <w:footnoteReference w:id="12"/>
      </w:r>
      <w:r>
        <w:rPr>
          <w:rFonts w:ascii="Arial" w:hAnsi="Arial" w:cs="Arial"/>
          <w:sz w:val="24"/>
          <w:szCs w:val="24"/>
        </w:rPr>
        <w:t xml:space="preserve">  A nuestro juicio, dicha veta temática merece por sí misma una investigación especializada.  </w:t>
      </w:r>
      <w:r w:rsidR="00926C55">
        <w:rPr>
          <w:rFonts w:ascii="Arial" w:hAnsi="Arial" w:cs="Arial"/>
          <w:sz w:val="24"/>
          <w:szCs w:val="24"/>
        </w:rPr>
        <w:t xml:space="preserve">Empero, ya han surgido desde la investigación histórica obras de carácter comprensivo sobre dicha temática. Hablamos por ejemplo de Soili Buska </w:t>
      </w:r>
      <w:r w:rsidR="00926C55">
        <w:rPr>
          <w:rStyle w:val="Refdenotaalpie"/>
          <w:rFonts w:ascii="Arial" w:hAnsi="Arial" w:cs="Arial"/>
          <w:sz w:val="24"/>
          <w:szCs w:val="24"/>
        </w:rPr>
        <w:footnoteReference w:id="13"/>
      </w:r>
      <w:r w:rsidR="00926C55">
        <w:rPr>
          <w:rFonts w:ascii="Arial" w:hAnsi="Arial" w:cs="Arial"/>
          <w:sz w:val="24"/>
          <w:szCs w:val="24"/>
        </w:rPr>
        <w:t xml:space="preserve">, Marc Edelman </w:t>
      </w:r>
      <w:r w:rsidR="00926C55">
        <w:rPr>
          <w:rStyle w:val="Refdenotaalpie"/>
          <w:rFonts w:ascii="Arial" w:hAnsi="Arial" w:cs="Arial"/>
          <w:sz w:val="24"/>
          <w:szCs w:val="24"/>
        </w:rPr>
        <w:footnoteReference w:id="14"/>
      </w:r>
      <w:r w:rsidR="00926C55">
        <w:rPr>
          <w:rFonts w:ascii="Arial" w:hAnsi="Arial" w:cs="Arial"/>
          <w:sz w:val="24"/>
          <w:szCs w:val="24"/>
        </w:rPr>
        <w:t xml:space="preserve"> y Roberto Cabrera</w:t>
      </w:r>
      <w:r w:rsidR="005370DA">
        <w:rPr>
          <w:rFonts w:ascii="Arial" w:hAnsi="Arial" w:cs="Arial"/>
          <w:sz w:val="24"/>
          <w:szCs w:val="24"/>
        </w:rPr>
        <w:t>.</w:t>
      </w:r>
      <w:r w:rsidR="00926C55">
        <w:rPr>
          <w:rFonts w:ascii="Arial" w:hAnsi="Arial" w:cs="Arial"/>
          <w:sz w:val="24"/>
          <w:szCs w:val="24"/>
        </w:rPr>
        <w:t xml:space="preserve"> </w:t>
      </w:r>
      <w:r w:rsidR="00926C55">
        <w:rPr>
          <w:rStyle w:val="Refdenotaalpie"/>
          <w:rFonts w:ascii="Arial" w:hAnsi="Arial" w:cs="Arial"/>
          <w:sz w:val="24"/>
          <w:szCs w:val="24"/>
        </w:rPr>
        <w:footnoteReference w:id="15"/>
      </w:r>
      <w:r>
        <w:rPr>
          <w:rFonts w:ascii="Arial" w:hAnsi="Arial" w:cs="Arial"/>
          <w:sz w:val="24"/>
          <w:szCs w:val="24"/>
        </w:rPr>
        <w:t xml:space="preserve"> </w:t>
      </w:r>
    </w:p>
    <w:p w:rsidR="0098491B" w:rsidRPr="005D5F59" w:rsidRDefault="005D5F59" w:rsidP="00EB1C13">
      <w:pPr>
        <w:spacing w:after="0" w:line="240" w:lineRule="auto"/>
        <w:jc w:val="both"/>
        <w:rPr>
          <w:rFonts w:ascii="Arial" w:eastAsia="Times New Roman" w:hAnsi="Arial" w:cs="Arial"/>
          <w:i/>
          <w:color w:val="000000"/>
          <w:sz w:val="24"/>
          <w:szCs w:val="24"/>
          <w:lang w:eastAsia="es-CR"/>
        </w:rPr>
      </w:pPr>
      <w:r w:rsidRPr="005D5F59">
        <w:rPr>
          <w:rFonts w:ascii="Arial" w:eastAsia="Times New Roman" w:hAnsi="Arial" w:cs="Arial"/>
          <w:i/>
          <w:color w:val="000000"/>
          <w:sz w:val="24"/>
          <w:szCs w:val="24"/>
          <w:lang w:eastAsia="es-CR"/>
        </w:rPr>
        <w:lastRenderedPageBreak/>
        <w:t xml:space="preserve">2. Los estudios </w:t>
      </w:r>
      <w:r w:rsidR="00EB1C13">
        <w:rPr>
          <w:rFonts w:ascii="Arial" w:eastAsia="Times New Roman" w:hAnsi="Arial" w:cs="Arial"/>
          <w:i/>
          <w:color w:val="000000"/>
          <w:sz w:val="24"/>
          <w:szCs w:val="24"/>
          <w:lang w:eastAsia="es-CR"/>
        </w:rPr>
        <w:t>prehispánicos y coloniales c</w:t>
      </w:r>
      <w:r w:rsidRPr="005D5F59">
        <w:rPr>
          <w:rFonts w:ascii="Arial" w:eastAsia="Times New Roman" w:hAnsi="Arial" w:cs="Arial"/>
          <w:i/>
          <w:color w:val="000000"/>
          <w:sz w:val="24"/>
          <w:szCs w:val="24"/>
          <w:lang w:eastAsia="es-CR"/>
        </w:rPr>
        <w:t xml:space="preserve">omo parte de la historia de Guanacaste. </w:t>
      </w:r>
    </w:p>
    <w:p w:rsidR="00EB1C13" w:rsidRDefault="00EB1C13" w:rsidP="00EB1C13">
      <w:pPr>
        <w:spacing w:after="0" w:line="480" w:lineRule="auto"/>
        <w:ind w:firstLine="708"/>
        <w:jc w:val="both"/>
        <w:rPr>
          <w:rFonts w:ascii="Arial" w:eastAsia="Times New Roman" w:hAnsi="Arial" w:cs="Arial"/>
          <w:color w:val="000000"/>
          <w:sz w:val="24"/>
          <w:szCs w:val="24"/>
          <w:lang w:eastAsia="es-CR"/>
        </w:rPr>
      </w:pPr>
    </w:p>
    <w:p w:rsidR="001B1BD5" w:rsidRDefault="00CA6044" w:rsidP="00EB1C13">
      <w:pPr>
        <w:spacing w:after="0" w:line="48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En esta vertiente de la producción historiográfica, se encuentran investigaciones que en primer término, abordan la región durante la época pre-hispánica. Acá</w:t>
      </w:r>
      <w:r w:rsidR="00B665BC">
        <w:rPr>
          <w:rFonts w:ascii="Arial" w:eastAsia="Times New Roman" w:hAnsi="Arial" w:cs="Arial"/>
          <w:color w:val="000000"/>
          <w:sz w:val="24"/>
          <w:szCs w:val="24"/>
          <w:lang w:eastAsia="es-CR"/>
        </w:rPr>
        <w:t>,</w:t>
      </w:r>
      <w:r>
        <w:rPr>
          <w:rFonts w:ascii="Arial" w:eastAsia="Times New Roman" w:hAnsi="Arial" w:cs="Arial"/>
          <w:color w:val="000000"/>
          <w:sz w:val="24"/>
          <w:szCs w:val="24"/>
          <w:lang w:eastAsia="es-CR"/>
        </w:rPr>
        <w:t xml:space="preserve"> los aportes se dan desde la antropología, </w:t>
      </w:r>
      <w:r w:rsidR="00B665BC">
        <w:rPr>
          <w:rFonts w:ascii="Arial" w:eastAsia="Times New Roman" w:hAnsi="Arial" w:cs="Arial"/>
          <w:color w:val="000000"/>
          <w:sz w:val="24"/>
          <w:szCs w:val="24"/>
          <w:lang w:eastAsia="es-CR"/>
        </w:rPr>
        <w:t xml:space="preserve">la arqueología y la historia antigua. </w:t>
      </w:r>
      <w:r w:rsidR="005D5F59">
        <w:rPr>
          <w:rFonts w:ascii="Arial" w:eastAsia="Times New Roman" w:hAnsi="Arial" w:cs="Arial"/>
          <w:color w:val="000000"/>
          <w:sz w:val="24"/>
          <w:szCs w:val="24"/>
          <w:lang w:eastAsia="es-CR"/>
        </w:rPr>
        <w:t>Por ello</w:t>
      </w:r>
      <w:r w:rsidR="008B5822">
        <w:rPr>
          <w:rFonts w:ascii="Arial" w:eastAsia="Times New Roman" w:hAnsi="Arial" w:cs="Arial"/>
          <w:color w:val="000000"/>
          <w:sz w:val="24"/>
          <w:szCs w:val="24"/>
          <w:lang w:eastAsia="es-CR"/>
        </w:rPr>
        <w:t>,</w:t>
      </w:r>
      <w:r w:rsidR="005D5F59">
        <w:rPr>
          <w:rFonts w:ascii="Arial" w:eastAsia="Times New Roman" w:hAnsi="Arial" w:cs="Arial"/>
          <w:color w:val="000000"/>
          <w:sz w:val="24"/>
          <w:szCs w:val="24"/>
          <w:lang w:eastAsia="es-CR"/>
        </w:rPr>
        <w:t xml:space="preserve"> hay que considerar como </w:t>
      </w:r>
      <w:r w:rsidR="008B5822">
        <w:rPr>
          <w:rFonts w:ascii="Arial" w:eastAsia="Times New Roman" w:hAnsi="Arial" w:cs="Arial"/>
          <w:color w:val="000000"/>
          <w:sz w:val="24"/>
          <w:szCs w:val="24"/>
          <w:lang w:eastAsia="es-CR"/>
        </w:rPr>
        <w:t xml:space="preserve">centrales </w:t>
      </w:r>
      <w:r w:rsidR="005D5F59">
        <w:rPr>
          <w:rFonts w:ascii="Arial" w:eastAsia="Times New Roman" w:hAnsi="Arial" w:cs="Arial"/>
          <w:color w:val="000000"/>
          <w:sz w:val="24"/>
          <w:szCs w:val="24"/>
          <w:lang w:eastAsia="es-CR"/>
        </w:rPr>
        <w:t>los estudios de Frederick Lange</w:t>
      </w:r>
      <w:r w:rsidR="005D5F59">
        <w:rPr>
          <w:rStyle w:val="Refdenotaalpie"/>
          <w:rFonts w:ascii="Arial" w:eastAsia="Times New Roman" w:hAnsi="Arial" w:cs="Arial"/>
          <w:color w:val="000000"/>
          <w:sz w:val="24"/>
          <w:szCs w:val="24"/>
          <w:lang w:eastAsia="es-CR"/>
        </w:rPr>
        <w:footnoteReference w:id="16"/>
      </w:r>
      <w:r w:rsidR="005D5F59">
        <w:rPr>
          <w:rFonts w:ascii="Arial" w:eastAsia="Times New Roman" w:hAnsi="Arial" w:cs="Arial"/>
          <w:color w:val="000000"/>
          <w:sz w:val="24"/>
          <w:szCs w:val="24"/>
          <w:lang w:eastAsia="es-CR"/>
        </w:rPr>
        <w:t xml:space="preserve"> </w:t>
      </w:r>
      <w:r w:rsidR="001F2F2F">
        <w:rPr>
          <w:rFonts w:ascii="Arial" w:eastAsia="Times New Roman" w:hAnsi="Arial" w:cs="Arial"/>
          <w:color w:val="000000"/>
          <w:sz w:val="24"/>
          <w:szCs w:val="24"/>
          <w:lang w:eastAsia="es-CR"/>
        </w:rPr>
        <w:t>y Eugenia Ibarra</w:t>
      </w:r>
      <w:r w:rsidR="008B5822">
        <w:rPr>
          <w:rStyle w:val="Refdenotaalpie"/>
          <w:rFonts w:ascii="Arial" w:eastAsia="Times New Roman" w:hAnsi="Arial" w:cs="Arial"/>
          <w:color w:val="000000"/>
          <w:sz w:val="24"/>
          <w:szCs w:val="24"/>
          <w:lang w:eastAsia="es-CR"/>
        </w:rPr>
        <w:footnoteReference w:id="17"/>
      </w:r>
      <w:r w:rsidR="008B5822">
        <w:rPr>
          <w:rFonts w:ascii="Arial" w:eastAsia="Times New Roman" w:hAnsi="Arial" w:cs="Arial"/>
          <w:color w:val="000000"/>
          <w:sz w:val="24"/>
          <w:szCs w:val="24"/>
          <w:lang w:eastAsia="es-CR"/>
        </w:rPr>
        <w:t>, así como los de Elizet Paine</w:t>
      </w:r>
      <w:r w:rsidR="008B5822">
        <w:rPr>
          <w:rStyle w:val="Refdenotaalpie"/>
          <w:rFonts w:ascii="Arial" w:eastAsia="Times New Roman" w:hAnsi="Arial" w:cs="Arial"/>
          <w:color w:val="000000"/>
          <w:sz w:val="24"/>
          <w:szCs w:val="24"/>
          <w:lang w:eastAsia="es-CR"/>
        </w:rPr>
        <w:footnoteReference w:id="18"/>
      </w:r>
      <w:r w:rsidR="001B1BD5">
        <w:rPr>
          <w:rFonts w:ascii="Arial" w:eastAsia="Times New Roman" w:hAnsi="Arial" w:cs="Arial"/>
          <w:color w:val="000000"/>
          <w:sz w:val="24"/>
          <w:szCs w:val="24"/>
          <w:lang w:eastAsia="es-CR"/>
        </w:rPr>
        <w:t>. En torno a ellos y otros que se señalarán a continuación, se tejen las explicaciones sobre la configuración y vida de las sociedades autóctonas en esta zona del país. Jorge Lines</w:t>
      </w:r>
      <w:r w:rsidR="001B1BD5">
        <w:rPr>
          <w:rStyle w:val="Refdenotaalpie"/>
          <w:rFonts w:ascii="Arial" w:eastAsia="Times New Roman" w:hAnsi="Arial" w:cs="Arial"/>
          <w:color w:val="000000"/>
          <w:sz w:val="24"/>
          <w:szCs w:val="24"/>
          <w:lang w:eastAsia="es-CR"/>
        </w:rPr>
        <w:footnoteReference w:id="19"/>
      </w:r>
      <w:r w:rsidR="001B1BD5">
        <w:rPr>
          <w:rFonts w:ascii="Arial" w:eastAsia="Times New Roman" w:hAnsi="Arial" w:cs="Arial"/>
          <w:color w:val="000000"/>
          <w:sz w:val="24"/>
          <w:szCs w:val="24"/>
          <w:lang w:eastAsia="es-CR"/>
        </w:rPr>
        <w:t>,  Jane Stevenson</w:t>
      </w:r>
      <w:r w:rsidR="001B1BD5">
        <w:rPr>
          <w:rStyle w:val="Refdenotaalpie"/>
          <w:rFonts w:ascii="Arial" w:eastAsia="Times New Roman" w:hAnsi="Arial" w:cs="Arial"/>
          <w:color w:val="000000"/>
          <w:sz w:val="24"/>
          <w:szCs w:val="24"/>
          <w:lang w:eastAsia="es-CR"/>
        </w:rPr>
        <w:footnoteReference w:id="20"/>
      </w:r>
      <w:r w:rsidR="006C2F30">
        <w:rPr>
          <w:rFonts w:ascii="Arial" w:eastAsia="Times New Roman" w:hAnsi="Arial" w:cs="Arial"/>
          <w:color w:val="000000"/>
          <w:sz w:val="24"/>
          <w:szCs w:val="24"/>
          <w:lang w:eastAsia="es-CR"/>
        </w:rPr>
        <w:t xml:space="preserve">, Edgard Espinoza </w:t>
      </w:r>
      <w:r w:rsidR="006C2F30">
        <w:rPr>
          <w:rStyle w:val="Refdenotaalpie"/>
          <w:rFonts w:ascii="Arial" w:eastAsia="Times New Roman" w:hAnsi="Arial" w:cs="Arial"/>
          <w:color w:val="000000"/>
          <w:sz w:val="24"/>
          <w:szCs w:val="24"/>
          <w:lang w:eastAsia="es-CR"/>
        </w:rPr>
        <w:footnoteReference w:id="21"/>
      </w:r>
      <w:r w:rsidR="005E7AE0">
        <w:rPr>
          <w:rFonts w:ascii="Arial" w:eastAsia="Times New Roman" w:hAnsi="Arial" w:cs="Arial"/>
          <w:color w:val="000000"/>
          <w:sz w:val="24"/>
          <w:szCs w:val="24"/>
          <w:lang w:eastAsia="es-CR"/>
        </w:rPr>
        <w:t xml:space="preserve"> y </w:t>
      </w:r>
      <w:r w:rsidR="001B1BD5">
        <w:rPr>
          <w:rFonts w:ascii="Arial" w:eastAsia="Times New Roman" w:hAnsi="Arial" w:cs="Arial"/>
          <w:color w:val="000000"/>
          <w:sz w:val="24"/>
          <w:szCs w:val="24"/>
          <w:lang w:eastAsia="es-CR"/>
        </w:rPr>
        <w:t xml:space="preserve"> </w:t>
      </w:r>
      <w:r w:rsidR="005E7AE0">
        <w:rPr>
          <w:rFonts w:ascii="Arial" w:eastAsia="Times New Roman" w:hAnsi="Arial" w:cs="Arial"/>
          <w:color w:val="000000"/>
          <w:sz w:val="24"/>
          <w:szCs w:val="24"/>
          <w:lang w:eastAsia="es-CR"/>
        </w:rPr>
        <w:t xml:space="preserve">Francisco Corrales </w:t>
      </w:r>
      <w:r w:rsidR="005E7AE0">
        <w:rPr>
          <w:rStyle w:val="Refdenotaalpie"/>
          <w:rFonts w:ascii="Arial" w:eastAsia="Times New Roman" w:hAnsi="Arial" w:cs="Arial"/>
          <w:color w:val="000000"/>
          <w:sz w:val="24"/>
          <w:szCs w:val="24"/>
          <w:lang w:eastAsia="es-CR"/>
        </w:rPr>
        <w:footnoteReference w:id="22"/>
      </w:r>
      <w:r w:rsidR="00EB1C13">
        <w:rPr>
          <w:rFonts w:ascii="Arial" w:eastAsia="Times New Roman" w:hAnsi="Arial" w:cs="Arial"/>
          <w:color w:val="000000"/>
          <w:sz w:val="24"/>
          <w:szCs w:val="24"/>
          <w:lang w:eastAsia="es-CR"/>
        </w:rPr>
        <w:t xml:space="preserve"> también se ubican en esta línea temática. </w:t>
      </w:r>
    </w:p>
    <w:p w:rsidR="001B1BD5" w:rsidRDefault="00B064A8" w:rsidP="00B064A8">
      <w:pPr>
        <w:spacing w:after="0" w:line="48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lastRenderedPageBreak/>
        <w:t xml:space="preserve">El periodo colonial es rico en cuanto a la producción histórica, no solo para Guanacaste, sino para todo el país. </w:t>
      </w:r>
      <w:r w:rsidR="00D31637">
        <w:rPr>
          <w:rFonts w:ascii="Arial" w:eastAsia="Times New Roman" w:hAnsi="Arial" w:cs="Arial"/>
          <w:color w:val="000000"/>
          <w:sz w:val="24"/>
          <w:szCs w:val="24"/>
          <w:lang w:eastAsia="es-CR"/>
        </w:rPr>
        <w:t>Entre los textos clásicos –de consulta obligatoria- hallamos la obra de Luis Ferrero</w:t>
      </w:r>
      <w:r w:rsidR="00D31637">
        <w:rPr>
          <w:rStyle w:val="Refdenotaalpie"/>
          <w:rFonts w:ascii="Arial" w:eastAsia="Times New Roman" w:hAnsi="Arial" w:cs="Arial"/>
          <w:color w:val="000000"/>
          <w:sz w:val="24"/>
          <w:szCs w:val="24"/>
          <w:lang w:eastAsia="es-CR"/>
        </w:rPr>
        <w:footnoteReference w:id="23"/>
      </w:r>
      <w:r w:rsidR="00D31637">
        <w:rPr>
          <w:rFonts w:ascii="Arial" w:eastAsia="Times New Roman" w:hAnsi="Arial" w:cs="Arial"/>
          <w:color w:val="000000"/>
          <w:sz w:val="24"/>
          <w:szCs w:val="24"/>
          <w:lang w:eastAsia="es-CR"/>
        </w:rPr>
        <w:t>, las interpretaciones sobre la configuración colonial de Costa Rica de Juan Carlos Solórzano</w:t>
      </w:r>
      <w:r w:rsidR="00D31637">
        <w:rPr>
          <w:rStyle w:val="Refdenotaalpie"/>
          <w:rFonts w:ascii="Arial" w:eastAsia="Times New Roman" w:hAnsi="Arial" w:cs="Arial"/>
          <w:color w:val="000000"/>
          <w:sz w:val="24"/>
          <w:szCs w:val="24"/>
          <w:lang w:eastAsia="es-CR"/>
        </w:rPr>
        <w:footnoteReference w:id="24"/>
      </w:r>
      <w:r w:rsidR="00D31637">
        <w:rPr>
          <w:rFonts w:ascii="Arial" w:eastAsia="Times New Roman" w:hAnsi="Arial" w:cs="Arial"/>
          <w:color w:val="000000"/>
          <w:sz w:val="24"/>
          <w:szCs w:val="24"/>
          <w:lang w:eastAsia="es-CR"/>
        </w:rPr>
        <w:t xml:space="preserve"> </w:t>
      </w:r>
      <w:r w:rsidR="002E7C6B">
        <w:rPr>
          <w:rFonts w:ascii="Arial" w:eastAsia="Times New Roman" w:hAnsi="Arial" w:cs="Arial"/>
          <w:color w:val="000000"/>
          <w:sz w:val="24"/>
          <w:szCs w:val="24"/>
          <w:lang w:eastAsia="es-CR"/>
        </w:rPr>
        <w:t xml:space="preserve"> y s</w:t>
      </w:r>
      <w:r>
        <w:rPr>
          <w:rFonts w:ascii="Arial" w:eastAsia="Times New Roman" w:hAnsi="Arial" w:cs="Arial"/>
          <w:color w:val="000000"/>
          <w:sz w:val="24"/>
          <w:szCs w:val="24"/>
          <w:lang w:eastAsia="es-CR"/>
        </w:rPr>
        <w:t>in duda Claudia Quirós</w:t>
      </w:r>
      <w:r>
        <w:rPr>
          <w:rStyle w:val="Refdenotaalpie"/>
          <w:rFonts w:ascii="Arial" w:eastAsia="Times New Roman" w:hAnsi="Arial" w:cs="Arial"/>
          <w:color w:val="000000"/>
          <w:sz w:val="24"/>
          <w:szCs w:val="24"/>
          <w:lang w:eastAsia="es-CR"/>
        </w:rPr>
        <w:footnoteReference w:id="25"/>
      </w:r>
      <w:r>
        <w:rPr>
          <w:rFonts w:ascii="Arial" w:eastAsia="Times New Roman" w:hAnsi="Arial" w:cs="Arial"/>
          <w:color w:val="000000"/>
          <w:sz w:val="24"/>
          <w:szCs w:val="24"/>
          <w:lang w:eastAsia="es-CR"/>
        </w:rPr>
        <w:t>,  juega un papel central en las investigaciones de dicho periodo. De la misma forma, es notable el aporte que Mario Matarrita</w:t>
      </w:r>
      <w:r>
        <w:rPr>
          <w:rStyle w:val="Refdenotaalpie"/>
          <w:rFonts w:ascii="Arial" w:eastAsia="Times New Roman" w:hAnsi="Arial" w:cs="Arial"/>
          <w:color w:val="000000"/>
          <w:sz w:val="24"/>
          <w:szCs w:val="24"/>
          <w:lang w:eastAsia="es-CR"/>
        </w:rPr>
        <w:footnoteReference w:id="26"/>
      </w:r>
      <w:r>
        <w:rPr>
          <w:rFonts w:ascii="Arial" w:eastAsia="Times New Roman" w:hAnsi="Arial" w:cs="Arial"/>
          <w:color w:val="000000"/>
          <w:sz w:val="24"/>
          <w:szCs w:val="24"/>
          <w:lang w:eastAsia="es-CR"/>
        </w:rPr>
        <w:t xml:space="preserve">, hace a la comprensión de la constitución colonial de la hacienda ganadera. </w:t>
      </w:r>
      <w:r w:rsidR="00D31637">
        <w:rPr>
          <w:rFonts w:ascii="Arial" w:eastAsia="Times New Roman" w:hAnsi="Arial" w:cs="Arial"/>
          <w:color w:val="000000"/>
          <w:sz w:val="24"/>
          <w:szCs w:val="24"/>
          <w:lang w:eastAsia="es-CR"/>
        </w:rPr>
        <w:t xml:space="preserve">De manera adicional, cabe señalar </w:t>
      </w:r>
      <w:r w:rsidR="00623B9D">
        <w:rPr>
          <w:rFonts w:ascii="Arial" w:eastAsia="Times New Roman" w:hAnsi="Arial" w:cs="Arial"/>
          <w:color w:val="000000"/>
          <w:sz w:val="24"/>
          <w:szCs w:val="24"/>
          <w:lang w:eastAsia="es-CR"/>
        </w:rPr>
        <w:t>a</w:t>
      </w:r>
      <w:r w:rsidR="00D31637">
        <w:rPr>
          <w:rFonts w:ascii="Arial" w:eastAsia="Times New Roman" w:hAnsi="Arial" w:cs="Arial"/>
          <w:color w:val="000000"/>
          <w:sz w:val="24"/>
          <w:szCs w:val="24"/>
          <w:lang w:eastAsia="es-CR"/>
        </w:rPr>
        <w:t xml:space="preserve"> Elizabeth Fonseca</w:t>
      </w:r>
      <w:r w:rsidR="00623B9D">
        <w:rPr>
          <w:rStyle w:val="Refdenotaalpie"/>
          <w:rFonts w:ascii="Arial" w:eastAsia="Times New Roman" w:hAnsi="Arial" w:cs="Arial"/>
          <w:color w:val="000000"/>
          <w:sz w:val="24"/>
          <w:szCs w:val="24"/>
          <w:lang w:eastAsia="es-CR"/>
        </w:rPr>
        <w:footnoteReference w:id="27"/>
      </w:r>
      <w:r w:rsidR="00623B9D">
        <w:rPr>
          <w:rFonts w:ascii="Arial" w:eastAsia="Times New Roman" w:hAnsi="Arial" w:cs="Arial"/>
          <w:color w:val="000000"/>
          <w:sz w:val="24"/>
          <w:szCs w:val="24"/>
          <w:lang w:eastAsia="es-CR"/>
        </w:rPr>
        <w:t xml:space="preserve">, y sus estudios sobre la relación entre poder y formas de apropiación de la tierra en la colonia. </w:t>
      </w:r>
      <w:r>
        <w:rPr>
          <w:rFonts w:ascii="Arial" w:eastAsia="Times New Roman" w:hAnsi="Arial" w:cs="Arial"/>
          <w:color w:val="000000"/>
          <w:sz w:val="24"/>
          <w:szCs w:val="24"/>
          <w:lang w:eastAsia="es-CR"/>
        </w:rPr>
        <w:t xml:space="preserve">  </w:t>
      </w:r>
    </w:p>
    <w:p w:rsidR="001B1BD5" w:rsidRPr="00B82E3F" w:rsidRDefault="00B82E3F" w:rsidP="00B82E3F">
      <w:pPr>
        <w:spacing w:after="0" w:line="480" w:lineRule="auto"/>
        <w:jc w:val="both"/>
        <w:rPr>
          <w:rFonts w:ascii="Arial" w:eastAsia="Times New Roman" w:hAnsi="Arial" w:cs="Arial"/>
          <w:i/>
          <w:color w:val="000000"/>
          <w:sz w:val="24"/>
          <w:szCs w:val="24"/>
          <w:lang w:eastAsia="es-CR"/>
        </w:rPr>
      </w:pPr>
      <w:r w:rsidRPr="00B82E3F">
        <w:rPr>
          <w:rFonts w:ascii="Arial" w:eastAsia="Times New Roman" w:hAnsi="Arial" w:cs="Arial"/>
          <w:i/>
          <w:color w:val="000000"/>
          <w:sz w:val="24"/>
          <w:szCs w:val="24"/>
          <w:lang w:eastAsia="es-CR"/>
        </w:rPr>
        <w:t>3. Las historias locales</w:t>
      </w:r>
    </w:p>
    <w:p w:rsidR="001B1BD5" w:rsidRDefault="00873446" w:rsidP="001B1BD5">
      <w:pPr>
        <w:spacing w:after="0" w:line="48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El desarrollo de la historia local en Costa Rica, tomó auge desde la década de los años setenta del siglo pasado. Su importancia </w:t>
      </w:r>
      <w:r w:rsidR="004C7F96">
        <w:rPr>
          <w:rFonts w:ascii="Arial" w:eastAsia="Times New Roman" w:hAnsi="Arial" w:cs="Arial"/>
          <w:color w:val="000000"/>
          <w:sz w:val="24"/>
          <w:szCs w:val="24"/>
          <w:lang w:eastAsia="es-CR"/>
        </w:rPr>
        <w:t xml:space="preserve">radica </w:t>
      </w:r>
      <w:r>
        <w:rPr>
          <w:rFonts w:ascii="Arial" w:eastAsia="Times New Roman" w:hAnsi="Arial" w:cs="Arial"/>
          <w:color w:val="000000"/>
          <w:sz w:val="24"/>
          <w:szCs w:val="24"/>
          <w:lang w:eastAsia="es-CR"/>
        </w:rPr>
        <w:t>en que nos ayuda a conocer y estudiar las identidades locales</w:t>
      </w:r>
      <w:r w:rsidR="004C7F96">
        <w:rPr>
          <w:rFonts w:ascii="Arial" w:eastAsia="Times New Roman" w:hAnsi="Arial" w:cs="Arial"/>
          <w:color w:val="000000"/>
          <w:sz w:val="24"/>
          <w:szCs w:val="24"/>
          <w:lang w:eastAsia="es-CR"/>
        </w:rPr>
        <w:t xml:space="preserve">. La zona de Guanacaste, por su aporte a la construcción de la identidad costarricense es un espacio privilegiado para desarrollar estudios desde dicha perspectiva. Por ello, Francisco Henríquez ha señalado que “la historia local es una microhistoria, en cuanto centra los esfuerzos en analizar el proceso de desarrollo de una comunidad y no del país en general o </w:t>
      </w:r>
      <w:r w:rsidR="004C7F96">
        <w:rPr>
          <w:rFonts w:ascii="Arial" w:eastAsia="Times New Roman" w:hAnsi="Arial" w:cs="Arial"/>
          <w:color w:val="000000"/>
          <w:sz w:val="24"/>
          <w:szCs w:val="24"/>
          <w:lang w:eastAsia="es-CR"/>
        </w:rPr>
        <w:lastRenderedPageBreak/>
        <w:t xml:space="preserve">macrohistoria. Así, se concibe a la comunidad en estudio como una unidad debidamente delimitada, en la cual se analizan todos sus componentes”. </w:t>
      </w:r>
      <w:r w:rsidR="004C7F96">
        <w:rPr>
          <w:rStyle w:val="Refdenotaalpie"/>
          <w:rFonts w:ascii="Arial" w:eastAsia="Times New Roman" w:hAnsi="Arial" w:cs="Arial"/>
          <w:color w:val="000000"/>
          <w:sz w:val="24"/>
          <w:szCs w:val="24"/>
          <w:lang w:eastAsia="es-CR"/>
        </w:rPr>
        <w:footnoteReference w:id="28"/>
      </w:r>
      <w:r w:rsidR="004C7F96">
        <w:rPr>
          <w:rFonts w:ascii="Arial" w:eastAsia="Times New Roman" w:hAnsi="Arial" w:cs="Arial"/>
          <w:color w:val="000000"/>
          <w:sz w:val="24"/>
          <w:szCs w:val="24"/>
          <w:lang w:eastAsia="es-CR"/>
        </w:rPr>
        <w:t xml:space="preserve">   </w:t>
      </w:r>
    </w:p>
    <w:p w:rsidR="001B1BD5" w:rsidRDefault="006C3477" w:rsidP="00EA7FFC">
      <w:pPr>
        <w:spacing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0"/>
          <w:szCs w:val="20"/>
          <w:lang w:eastAsia="es-CR"/>
        </w:rPr>
        <w:tab/>
      </w:r>
      <w:r w:rsidRPr="006C3477">
        <w:rPr>
          <w:rFonts w:ascii="Arial" w:eastAsia="Times New Roman" w:hAnsi="Arial" w:cs="Arial"/>
          <w:color w:val="000000"/>
          <w:sz w:val="24"/>
          <w:szCs w:val="24"/>
          <w:lang w:eastAsia="es-CR"/>
        </w:rPr>
        <w:t>En lo que toca a la historia local</w:t>
      </w:r>
      <w:r>
        <w:rPr>
          <w:rFonts w:ascii="Arial" w:eastAsia="Times New Roman" w:hAnsi="Arial" w:cs="Arial"/>
          <w:color w:val="000000"/>
          <w:sz w:val="24"/>
          <w:szCs w:val="24"/>
          <w:lang w:eastAsia="es-CR"/>
        </w:rPr>
        <w:t xml:space="preserve">, Guanacaste posee una notable cantidad de obras. Por lo general, responden al patrón de monografías en las cuales se presentan los orígenes de los pueblos, sus tradiciones y su cultura. Hay pocos esfuerzos que muestren enfoques históricos especializados, como por ejemplo, desde la historia social, económica, política, de las mentalidades y ambiental.  </w:t>
      </w:r>
      <w:r w:rsidR="00EA7FFC">
        <w:rPr>
          <w:rFonts w:ascii="Arial" w:eastAsia="Times New Roman" w:hAnsi="Arial" w:cs="Arial"/>
          <w:color w:val="000000"/>
          <w:sz w:val="24"/>
          <w:szCs w:val="24"/>
          <w:lang w:eastAsia="es-CR"/>
        </w:rPr>
        <w:t xml:space="preserve">No obstante, el valor de dichos estudios es relevante en tanto constituyen estudios que aportan datos importantes sobre las comunidades; así como por el uso de fuentes orales de valiosa cuantía. </w:t>
      </w:r>
      <w:r w:rsidRPr="006C3477">
        <w:rPr>
          <w:rFonts w:ascii="Arial" w:eastAsia="Times New Roman" w:hAnsi="Arial" w:cs="Arial"/>
          <w:color w:val="000000"/>
          <w:sz w:val="24"/>
          <w:szCs w:val="24"/>
          <w:lang w:eastAsia="es-CR"/>
        </w:rPr>
        <w:t xml:space="preserve"> </w:t>
      </w:r>
    </w:p>
    <w:p w:rsidR="00675A99" w:rsidRDefault="00675A99" w:rsidP="00EA7FFC">
      <w:pPr>
        <w:spacing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ab/>
        <w:t xml:space="preserve">Los estudios sobre la historia de Liberia han mostrado un sustancial aumento en la última década. El perfil que siguen es el de establecer los mecanismos a través de los cuales surgió y se desarrolló la obra material del pueblo. En esta perspectiva ubicamos los aportes de </w:t>
      </w:r>
      <w:r w:rsidR="00D11163">
        <w:rPr>
          <w:rFonts w:ascii="Arial" w:eastAsia="Times New Roman" w:hAnsi="Arial" w:cs="Arial"/>
          <w:color w:val="000000"/>
          <w:sz w:val="24"/>
          <w:szCs w:val="24"/>
          <w:lang w:eastAsia="es-CR"/>
        </w:rPr>
        <w:t>la Municipalidad liberiana</w:t>
      </w:r>
      <w:r w:rsidR="00D11163">
        <w:rPr>
          <w:rStyle w:val="Refdenotaalpie"/>
          <w:rFonts w:ascii="Arial" w:eastAsia="Times New Roman" w:hAnsi="Arial" w:cs="Arial"/>
          <w:color w:val="000000"/>
          <w:sz w:val="24"/>
          <w:szCs w:val="24"/>
          <w:lang w:eastAsia="es-CR"/>
        </w:rPr>
        <w:footnoteReference w:id="29"/>
      </w:r>
      <w:r w:rsidR="00D11163">
        <w:rPr>
          <w:rFonts w:ascii="Arial" w:eastAsia="Times New Roman" w:hAnsi="Arial" w:cs="Arial"/>
          <w:color w:val="000000"/>
          <w:sz w:val="24"/>
          <w:szCs w:val="24"/>
          <w:lang w:eastAsia="es-CR"/>
        </w:rPr>
        <w:t xml:space="preserve"> , Rony Pizarro</w:t>
      </w:r>
      <w:r w:rsidR="00D11163">
        <w:rPr>
          <w:rStyle w:val="Refdenotaalpie"/>
          <w:rFonts w:ascii="Arial" w:eastAsia="Times New Roman" w:hAnsi="Arial" w:cs="Arial"/>
          <w:color w:val="000000"/>
          <w:sz w:val="24"/>
          <w:szCs w:val="24"/>
          <w:lang w:eastAsia="es-CR"/>
        </w:rPr>
        <w:footnoteReference w:id="30"/>
      </w:r>
      <w:r w:rsidR="00D11163">
        <w:rPr>
          <w:rFonts w:ascii="Arial" w:eastAsia="Times New Roman" w:hAnsi="Arial" w:cs="Arial"/>
          <w:color w:val="000000"/>
          <w:sz w:val="24"/>
          <w:szCs w:val="24"/>
          <w:lang w:eastAsia="es-CR"/>
        </w:rPr>
        <w:t>,  Nathaniel Richardson</w:t>
      </w:r>
      <w:r w:rsidR="00D11163">
        <w:rPr>
          <w:rStyle w:val="Refdenotaalpie"/>
          <w:rFonts w:ascii="Arial" w:eastAsia="Times New Roman" w:hAnsi="Arial" w:cs="Arial"/>
          <w:color w:val="000000"/>
          <w:sz w:val="24"/>
          <w:szCs w:val="24"/>
          <w:lang w:eastAsia="es-CR"/>
        </w:rPr>
        <w:footnoteReference w:id="31"/>
      </w:r>
      <w:r w:rsidR="00D11163">
        <w:rPr>
          <w:rFonts w:ascii="Arial" w:eastAsia="Times New Roman" w:hAnsi="Arial" w:cs="Arial"/>
          <w:color w:val="000000"/>
          <w:sz w:val="24"/>
          <w:szCs w:val="24"/>
          <w:lang w:eastAsia="es-CR"/>
        </w:rPr>
        <w:t xml:space="preserve"> y Edgar Solano</w:t>
      </w:r>
      <w:r w:rsidR="00D11163">
        <w:rPr>
          <w:rStyle w:val="Refdenotaalpie"/>
          <w:rFonts w:ascii="Arial" w:eastAsia="Times New Roman" w:hAnsi="Arial" w:cs="Arial"/>
          <w:color w:val="000000"/>
          <w:sz w:val="24"/>
          <w:szCs w:val="24"/>
          <w:lang w:eastAsia="es-CR"/>
        </w:rPr>
        <w:footnoteReference w:id="32"/>
      </w:r>
      <w:r w:rsidR="003850EB">
        <w:rPr>
          <w:rFonts w:ascii="Arial" w:eastAsia="Times New Roman" w:hAnsi="Arial" w:cs="Arial"/>
          <w:color w:val="000000"/>
          <w:sz w:val="24"/>
          <w:szCs w:val="24"/>
          <w:lang w:eastAsia="es-CR"/>
        </w:rPr>
        <w:t xml:space="preserve">. </w:t>
      </w:r>
      <w:r w:rsidR="00D11163">
        <w:rPr>
          <w:rFonts w:ascii="Arial" w:eastAsia="Times New Roman" w:hAnsi="Arial" w:cs="Arial"/>
          <w:color w:val="000000"/>
          <w:sz w:val="24"/>
          <w:szCs w:val="24"/>
          <w:lang w:eastAsia="es-CR"/>
        </w:rPr>
        <w:t xml:space="preserve"> </w:t>
      </w:r>
      <w:r w:rsidR="002D7153">
        <w:rPr>
          <w:rFonts w:ascii="Arial" w:eastAsia="Times New Roman" w:hAnsi="Arial" w:cs="Arial"/>
          <w:color w:val="000000"/>
          <w:sz w:val="24"/>
          <w:szCs w:val="24"/>
          <w:lang w:eastAsia="es-CR"/>
        </w:rPr>
        <w:t xml:space="preserve">El cantón de Nicoya también ha sido explorado en sucesivas investigaciones de historia local. Sin duda, la vida del corregimiento de Nicoya y la anexión, junto  a la hacienda </w:t>
      </w:r>
      <w:r w:rsidR="002D7153">
        <w:rPr>
          <w:rFonts w:ascii="Arial" w:eastAsia="Times New Roman" w:hAnsi="Arial" w:cs="Arial"/>
          <w:color w:val="000000"/>
          <w:sz w:val="24"/>
          <w:szCs w:val="24"/>
          <w:lang w:eastAsia="es-CR"/>
        </w:rPr>
        <w:lastRenderedPageBreak/>
        <w:t xml:space="preserve">ganadera han sido las vetas más explotadas respecto a dicha población. Así tenemos estudios tales como los de </w:t>
      </w:r>
      <w:r w:rsidR="00027798">
        <w:rPr>
          <w:rFonts w:ascii="Arial" w:eastAsia="Times New Roman" w:hAnsi="Arial" w:cs="Arial"/>
          <w:color w:val="000000"/>
          <w:sz w:val="24"/>
          <w:szCs w:val="24"/>
          <w:lang w:eastAsia="es-CR"/>
        </w:rPr>
        <w:t>Ligia Arauz</w:t>
      </w:r>
      <w:r w:rsidR="00027798">
        <w:rPr>
          <w:rStyle w:val="Refdenotaalpie"/>
          <w:rFonts w:ascii="Arial" w:eastAsia="Times New Roman" w:hAnsi="Arial" w:cs="Arial"/>
          <w:color w:val="000000"/>
          <w:sz w:val="24"/>
          <w:szCs w:val="24"/>
          <w:lang w:eastAsia="es-CR"/>
        </w:rPr>
        <w:footnoteReference w:id="33"/>
      </w:r>
      <w:r w:rsidR="00027798">
        <w:rPr>
          <w:rFonts w:ascii="Arial" w:eastAsia="Times New Roman" w:hAnsi="Arial" w:cs="Arial"/>
          <w:color w:val="000000"/>
          <w:sz w:val="24"/>
          <w:szCs w:val="24"/>
          <w:lang w:eastAsia="es-CR"/>
        </w:rPr>
        <w:t>, Julio César Jaén</w:t>
      </w:r>
      <w:r w:rsidR="00027798">
        <w:rPr>
          <w:rStyle w:val="Refdenotaalpie"/>
          <w:rFonts w:ascii="Arial" w:eastAsia="Times New Roman" w:hAnsi="Arial" w:cs="Arial"/>
          <w:color w:val="000000"/>
          <w:sz w:val="24"/>
          <w:szCs w:val="24"/>
          <w:lang w:eastAsia="es-CR"/>
        </w:rPr>
        <w:footnoteReference w:id="34"/>
      </w:r>
      <w:r w:rsidR="006163EB">
        <w:rPr>
          <w:rFonts w:ascii="Arial" w:eastAsia="Times New Roman" w:hAnsi="Arial" w:cs="Arial"/>
          <w:color w:val="000000"/>
          <w:sz w:val="24"/>
          <w:szCs w:val="24"/>
          <w:lang w:eastAsia="es-CR"/>
        </w:rPr>
        <w:t>, Chester Zelaya y Luis Fernando Sibaja</w:t>
      </w:r>
      <w:r w:rsidR="006163EB">
        <w:rPr>
          <w:rStyle w:val="Refdenotaalpie"/>
          <w:rFonts w:ascii="Arial" w:eastAsia="Times New Roman" w:hAnsi="Arial" w:cs="Arial"/>
          <w:color w:val="000000"/>
          <w:sz w:val="24"/>
          <w:szCs w:val="24"/>
          <w:lang w:eastAsia="es-CR"/>
        </w:rPr>
        <w:footnoteReference w:id="35"/>
      </w:r>
      <w:r w:rsidR="00184A61">
        <w:rPr>
          <w:rFonts w:ascii="Arial" w:eastAsia="Times New Roman" w:hAnsi="Arial" w:cs="Arial"/>
          <w:color w:val="000000"/>
          <w:sz w:val="24"/>
          <w:szCs w:val="24"/>
          <w:lang w:eastAsia="es-CR"/>
        </w:rPr>
        <w:t>; así como algún aporte de instituciones de educación pública</w:t>
      </w:r>
      <w:r w:rsidR="00B544B0">
        <w:rPr>
          <w:rStyle w:val="Refdenotaalpie"/>
          <w:rFonts w:ascii="Arial" w:eastAsia="Times New Roman" w:hAnsi="Arial" w:cs="Arial"/>
          <w:color w:val="000000"/>
          <w:sz w:val="24"/>
          <w:szCs w:val="24"/>
          <w:lang w:eastAsia="es-CR"/>
        </w:rPr>
        <w:footnoteReference w:id="36"/>
      </w:r>
      <w:r w:rsidR="00B544B0">
        <w:rPr>
          <w:rFonts w:ascii="Arial" w:eastAsia="Times New Roman" w:hAnsi="Arial" w:cs="Arial"/>
          <w:color w:val="000000"/>
          <w:sz w:val="24"/>
          <w:szCs w:val="24"/>
          <w:lang w:eastAsia="es-CR"/>
        </w:rPr>
        <w:t xml:space="preserve">. </w:t>
      </w:r>
      <w:r w:rsidR="006163EB">
        <w:rPr>
          <w:rFonts w:ascii="Arial" w:eastAsia="Times New Roman" w:hAnsi="Arial" w:cs="Arial"/>
          <w:color w:val="000000"/>
          <w:sz w:val="24"/>
          <w:szCs w:val="24"/>
          <w:lang w:eastAsia="es-CR"/>
        </w:rPr>
        <w:t xml:space="preserve"> </w:t>
      </w:r>
    </w:p>
    <w:p w:rsidR="003E47BD" w:rsidRDefault="00AC2668" w:rsidP="00EA7FFC">
      <w:pPr>
        <w:spacing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ab/>
        <w:t>El cantó</w:t>
      </w:r>
      <w:r w:rsidR="0003328C">
        <w:rPr>
          <w:rFonts w:ascii="Arial" w:eastAsia="Times New Roman" w:hAnsi="Arial" w:cs="Arial"/>
          <w:color w:val="000000"/>
          <w:sz w:val="24"/>
          <w:szCs w:val="24"/>
          <w:lang w:eastAsia="es-CR"/>
        </w:rPr>
        <w:t>n</w:t>
      </w:r>
      <w:r>
        <w:rPr>
          <w:rFonts w:ascii="Arial" w:eastAsia="Times New Roman" w:hAnsi="Arial" w:cs="Arial"/>
          <w:color w:val="000000"/>
          <w:sz w:val="24"/>
          <w:szCs w:val="24"/>
          <w:lang w:eastAsia="es-CR"/>
        </w:rPr>
        <w:t xml:space="preserve"> de Santa Cruz y sus comunidades colindantes, también han sido objeto de estudio en este ámbito de investigación. Destaca la obra de Roberto Cabrera</w:t>
      </w:r>
      <w:r w:rsidR="002E6094">
        <w:rPr>
          <w:rStyle w:val="Refdenotaalpie"/>
          <w:rFonts w:ascii="Arial" w:eastAsia="Times New Roman" w:hAnsi="Arial" w:cs="Arial"/>
          <w:color w:val="000000"/>
          <w:sz w:val="24"/>
          <w:szCs w:val="24"/>
          <w:lang w:eastAsia="es-CR"/>
        </w:rPr>
        <w:footnoteReference w:id="37"/>
      </w:r>
      <w:r w:rsidR="00E07559">
        <w:rPr>
          <w:rFonts w:ascii="Arial" w:eastAsia="Times New Roman" w:hAnsi="Arial" w:cs="Arial"/>
          <w:color w:val="000000"/>
          <w:sz w:val="24"/>
          <w:szCs w:val="24"/>
          <w:lang w:eastAsia="es-CR"/>
        </w:rPr>
        <w:t>,</w:t>
      </w:r>
      <w:r>
        <w:rPr>
          <w:rFonts w:ascii="Arial" w:eastAsia="Times New Roman" w:hAnsi="Arial" w:cs="Arial"/>
          <w:color w:val="000000"/>
          <w:sz w:val="24"/>
          <w:szCs w:val="24"/>
          <w:lang w:eastAsia="es-CR"/>
        </w:rPr>
        <w:t xml:space="preserve"> </w:t>
      </w:r>
      <w:r w:rsidR="002E6094">
        <w:rPr>
          <w:rFonts w:ascii="Arial" w:eastAsia="Times New Roman" w:hAnsi="Arial" w:cs="Arial"/>
          <w:color w:val="000000"/>
          <w:sz w:val="24"/>
          <w:szCs w:val="24"/>
          <w:lang w:eastAsia="es-CR"/>
        </w:rPr>
        <w:t xml:space="preserve">que se constituye en una extensa y detallada </w:t>
      </w:r>
      <w:r w:rsidR="0003328C">
        <w:rPr>
          <w:rFonts w:ascii="Arial" w:eastAsia="Times New Roman" w:hAnsi="Arial" w:cs="Arial"/>
          <w:color w:val="000000"/>
          <w:sz w:val="24"/>
          <w:szCs w:val="24"/>
          <w:lang w:eastAsia="es-CR"/>
        </w:rPr>
        <w:t xml:space="preserve">producción </w:t>
      </w:r>
      <w:r w:rsidR="002E6094">
        <w:rPr>
          <w:rFonts w:ascii="Arial" w:eastAsia="Times New Roman" w:hAnsi="Arial" w:cs="Arial"/>
          <w:color w:val="000000"/>
          <w:sz w:val="24"/>
          <w:szCs w:val="24"/>
          <w:lang w:eastAsia="es-CR"/>
        </w:rPr>
        <w:t>histórica sobre la ganadería y la cultura santacru</w:t>
      </w:r>
      <w:r w:rsidR="0003328C">
        <w:rPr>
          <w:rFonts w:ascii="Arial" w:eastAsia="Times New Roman" w:hAnsi="Arial" w:cs="Arial"/>
          <w:color w:val="000000"/>
          <w:sz w:val="24"/>
          <w:szCs w:val="24"/>
          <w:lang w:eastAsia="es-CR"/>
        </w:rPr>
        <w:t>ceña. El tema del sitio geográfico de la fundación de la ciudad de Santa Cruz, ha sido el objeto de una reciente polémica, debido a la utilización de nuevas fuentes documentales. En esa línea interpretativa se ubica el texto de José Marcos Iglesias Iñigo</w:t>
      </w:r>
      <w:r w:rsidR="0003328C">
        <w:rPr>
          <w:rStyle w:val="Refdenotaalpie"/>
          <w:rFonts w:ascii="Arial" w:eastAsia="Times New Roman" w:hAnsi="Arial" w:cs="Arial"/>
          <w:color w:val="000000"/>
          <w:sz w:val="24"/>
          <w:szCs w:val="24"/>
          <w:lang w:eastAsia="es-CR"/>
        </w:rPr>
        <w:footnoteReference w:id="38"/>
      </w:r>
      <w:r w:rsidR="004322AB">
        <w:rPr>
          <w:rFonts w:ascii="Arial" w:eastAsia="Times New Roman" w:hAnsi="Arial" w:cs="Arial"/>
          <w:color w:val="000000"/>
          <w:sz w:val="24"/>
          <w:szCs w:val="24"/>
          <w:lang w:eastAsia="es-CR"/>
        </w:rPr>
        <w:t xml:space="preserve">, </w:t>
      </w:r>
      <w:r w:rsidR="00E07559">
        <w:rPr>
          <w:rFonts w:ascii="Arial" w:eastAsia="Times New Roman" w:hAnsi="Arial" w:cs="Arial"/>
          <w:color w:val="000000"/>
          <w:sz w:val="24"/>
          <w:szCs w:val="24"/>
          <w:lang w:eastAsia="es-CR"/>
        </w:rPr>
        <w:t xml:space="preserve">y una parte de los textos producidos por </w:t>
      </w:r>
      <w:r w:rsidR="004322AB">
        <w:rPr>
          <w:rFonts w:ascii="Arial" w:eastAsia="Times New Roman" w:hAnsi="Arial" w:cs="Arial"/>
          <w:color w:val="000000"/>
          <w:sz w:val="24"/>
          <w:szCs w:val="24"/>
          <w:lang w:eastAsia="es-CR"/>
        </w:rPr>
        <w:t>Edgar Leal</w:t>
      </w:r>
      <w:r w:rsidR="004322AB">
        <w:rPr>
          <w:rStyle w:val="Refdenotaalpie"/>
          <w:rFonts w:ascii="Arial" w:eastAsia="Times New Roman" w:hAnsi="Arial" w:cs="Arial"/>
          <w:color w:val="000000"/>
          <w:sz w:val="24"/>
          <w:szCs w:val="24"/>
          <w:lang w:eastAsia="es-CR"/>
        </w:rPr>
        <w:footnoteReference w:id="39"/>
      </w:r>
      <w:r w:rsidR="004322AB">
        <w:rPr>
          <w:rFonts w:ascii="Arial" w:eastAsia="Times New Roman" w:hAnsi="Arial" w:cs="Arial"/>
          <w:color w:val="000000"/>
          <w:sz w:val="24"/>
          <w:szCs w:val="24"/>
          <w:lang w:eastAsia="es-CR"/>
        </w:rPr>
        <w:t xml:space="preserve">. </w:t>
      </w:r>
      <w:r>
        <w:rPr>
          <w:rFonts w:ascii="Arial" w:eastAsia="Times New Roman" w:hAnsi="Arial" w:cs="Arial"/>
          <w:color w:val="000000"/>
          <w:sz w:val="24"/>
          <w:szCs w:val="24"/>
          <w:lang w:eastAsia="es-CR"/>
        </w:rPr>
        <w:t xml:space="preserve"> </w:t>
      </w:r>
      <w:r w:rsidR="00E07559">
        <w:rPr>
          <w:rFonts w:ascii="Arial" w:eastAsia="Times New Roman" w:hAnsi="Arial" w:cs="Arial"/>
          <w:color w:val="000000"/>
          <w:sz w:val="24"/>
          <w:szCs w:val="24"/>
          <w:lang w:eastAsia="es-CR"/>
        </w:rPr>
        <w:t xml:space="preserve">Por ejemplo, sobre la fundación y colonización de Santa Cruz señala dicho autor que </w:t>
      </w:r>
      <w:r w:rsidR="00E07559">
        <w:rPr>
          <w:rFonts w:ascii="Arial" w:hAnsi="Arial" w:cs="Arial"/>
          <w:bCs/>
          <w:sz w:val="24"/>
          <w:szCs w:val="24"/>
        </w:rPr>
        <w:t>“si nos adentramos en la historia de Costa Rica …daremos cuenta que la colonización de la Gran Nicoya (Guanacaste) empezó unos cuarenta años antes que la del valle central”</w:t>
      </w:r>
      <w:r w:rsidR="00345966">
        <w:rPr>
          <w:rFonts w:ascii="Arial" w:hAnsi="Arial" w:cs="Arial"/>
          <w:bCs/>
          <w:sz w:val="24"/>
          <w:szCs w:val="24"/>
        </w:rPr>
        <w:t>.</w:t>
      </w:r>
      <w:r w:rsidR="00E07559">
        <w:rPr>
          <w:rStyle w:val="Refdenotaalpie"/>
          <w:rFonts w:ascii="Arial" w:hAnsi="Arial" w:cs="Arial"/>
          <w:bCs/>
          <w:sz w:val="24"/>
          <w:szCs w:val="24"/>
        </w:rPr>
        <w:footnoteReference w:id="40"/>
      </w:r>
      <w:r w:rsidR="00E07559">
        <w:rPr>
          <w:rFonts w:ascii="Arial" w:hAnsi="Arial" w:cs="Arial"/>
          <w:bCs/>
          <w:sz w:val="24"/>
          <w:szCs w:val="24"/>
        </w:rPr>
        <w:t xml:space="preserve"> </w:t>
      </w:r>
      <w:r>
        <w:rPr>
          <w:rFonts w:ascii="Arial" w:eastAsia="Times New Roman" w:hAnsi="Arial" w:cs="Arial"/>
          <w:color w:val="000000"/>
          <w:sz w:val="24"/>
          <w:szCs w:val="24"/>
          <w:lang w:eastAsia="es-CR"/>
        </w:rPr>
        <w:t xml:space="preserve"> </w:t>
      </w:r>
    </w:p>
    <w:p w:rsidR="00345966" w:rsidRPr="008C7277" w:rsidRDefault="00345966" w:rsidP="008C7277">
      <w:pPr>
        <w:spacing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lastRenderedPageBreak/>
        <w:tab/>
        <w:t>Un estudio de tipo monográfico de Vera Vargas León</w:t>
      </w:r>
      <w:r>
        <w:rPr>
          <w:rStyle w:val="Refdenotaalpie"/>
          <w:rFonts w:ascii="Arial" w:eastAsia="Times New Roman" w:hAnsi="Arial" w:cs="Arial"/>
          <w:color w:val="000000"/>
          <w:sz w:val="24"/>
          <w:szCs w:val="24"/>
          <w:lang w:eastAsia="es-CR"/>
        </w:rPr>
        <w:footnoteReference w:id="41"/>
      </w:r>
      <w:r w:rsidR="008C7277">
        <w:rPr>
          <w:rFonts w:ascii="Arial" w:eastAsia="Times New Roman" w:hAnsi="Arial" w:cs="Arial"/>
          <w:color w:val="000000"/>
          <w:sz w:val="24"/>
          <w:szCs w:val="24"/>
          <w:lang w:eastAsia="es-CR"/>
        </w:rPr>
        <w:t xml:space="preserve">, nos lleva hasta los orígenes de Hojancha. De forma descriptiva y detallada, la autora presenta los como desde </w:t>
      </w:r>
      <w:r>
        <w:rPr>
          <w:rFonts w:ascii="Arial" w:hAnsi="Arial" w:cs="Arial"/>
          <w:bCs/>
          <w:sz w:val="24"/>
          <w:szCs w:val="24"/>
        </w:rPr>
        <w:t xml:space="preserve">“finales del siglo XIX y principios del siglo XX tanto a nivel nacional como en lo interno del país sucedían una serie de movimientos migratorios, que debían en su mayoría a la necesidad de buscar nuevas tierras en la periferia del valle central para crear nuevos asentamientos y poblaciones, que permitieran desarrollar la labor agrícola y satisfacer a las familias sus necesidades básicas. Así se fue poblando, el extremo sur de la Península de Nicoya, más allá de donde se encontraban los puertos del golfo que para ese entonces ya existían: puerto Jesús y puerto San Pablo –más cercano con la isla de Chira- y por los que se comercializaba el tabaco con Puntarenas y el Valle Central”. </w:t>
      </w:r>
      <w:r w:rsidR="00F50AE3">
        <w:rPr>
          <w:rStyle w:val="Refdenotaalpie"/>
          <w:rFonts w:ascii="Arial" w:hAnsi="Arial" w:cs="Arial"/>
          <w:bCs/>
          <w:sz w:val="24"/>
          <w:szCs w:val="24"/>
        </w:rPr>
        <w:footnoteReference w:id="42"/>
      </w:r>
      <w:r>
        <w:rPr>
          <w:rFonts w:ascii="Arial" w:hAnsi="Arial" w:cs="Arial"/>
          <w:bCs/>
          <w:sz w:val="24"/>
          <w:szCs w:val="24"/>
        </w:rPr>
        <w:t xml:space="preserve"> </w:t>
      </w:r>
      <w:r w:rsidR="008C7277">
        <w:rPr>
          <w:rFonts w:ascii="Arial" w:hAnsi="Arial" w:cs="Arial"/>
          <w:bCs/>
          <w:sz w:val="24"/>
          <w:szCs w:val="24"/>
        </w:rPr>
        <w:t xml:space="preserve"> </w:t>
      </w:r>
    </w:p>
    <w:p w:rsidR="0001578E" w:rsidRPr="008A35C7" w:rsidRDefault="00F50AE3" w:rsidP="00992933">
      <w:pPr>
        <w:spacing w:line="480" w:lineRule="auto"/>
        <w:ind w:firstLine="708"/>
        <w:jc w:val="both"/>
        <w:rPr>
          <w:rFonts w:ascii="Arial" w:hAnsi="Arial" w:cs="Arial"/>
          <w:sz w:val="24"/>
          <w:szCs w:val="24"/>
          <w:lang w:val="es-CR"/>
        </w:rPr>
      </w:pPr>
      <w:r>
        <w:rPr>
          <w:rFonts w:ascii="Arial" w:hAnsi="Arial" w:cs="Arial"/>
          <w:bCs/>
          <w:sz w:val="24"/>
          <w:szCs w:val="24"/>
        </w:rPr>
        <w:t>Tal y como quedó en evidencia en páginas atrás la historia local sirve como plataforma para la conservación de la identidad de los pueblos. Esta constante está presente en todos los textos de éste segmento. El rescate de los orígenes de los pueblos, sus tradiciones, su conexión con las culturas autóctonas y su identidad, son por lo general el eje de sus preocupaciones. En la mayoría de los casos –sobre todo en los cantones de tradición ganadera- la construcción de</w:t>
      </w:r>
      <w:r w:rsidR="00AF3A3D">
        <w:rPr>
          <w:rFonts w:ascii="Arial" w:hAnsi="Arial" w:cs="Arial"/>
          <w:bCs/>
          <w:sz w:val="24"/>
          <w:szCs w:val="24"/>
        </w:rPr>
        <w:t>l</w:t>
      </w:r>
      <w:r>
        <w:rPr>
          <w:rFonts w:ascii="Arial" w:hAnsi="Arial" w:cs="Arial"/>
          <w:bCs/>
          <w:sz w:val="24"/>
          <w:szCs w:val="24"/>
        </w:rPr>
        <w:t xml:space="preserve"> discurso histórico local</w:t>
      </w:r>
      <w:r w:rsidR="00AF3A3D">
        <w:rPr>
          <w:rFonts w:ascii="Arial" w:hAnsi="Arial" w:cs="Arial"/>
          <w:bCs/>
          <w:sz w:val="24"/>
          <w:szCs w:val="24"/>
        </w:rPr>
        <w:t>,</w:t>
      </w:r>
      <w:r>
        <w:rPr>
          <w:rFonts w:ascii="Arial" w:hAnsi="Arial" w:cs="Arial"/>
          <w:bCs/>
          <w:sz w:val="24"/>
          <w:szCs w:val="24"/>
        </w:rPr>
        <w:t xml:space="preserve"> está ligado a la ganadería y la agricultura, que son las actividades centrales de la economía guanacasteca; sin embargo, el caso de Abangares presenta una cualidad adicional, buena parte de su conformación como poblado se debe a la minería. Por ello, los estudios de historia local, enfatizan en </w:t>
      </w:r>
      <w:r>
        <w:rPr>
          <w:rFonts w:ascii="Arial" w:hAnsi="Arial" w:cs="Arial"/>
          <w:bCs/>
          <w:sz w:val="24"/>
          <w:szCs w:val="24"/>
        </w:rPr>
        <w:lastRenderedPageBreak/>
        <w:t xml:space="preserve">la relación entre identidad local-modo de vida del pueblo-minería. </w:t>
      </w:r>
      <w:r w:rsidR="0001578E" w:rsidRPr="008A35C7">
        <w:rPr>
          <w:rFonts w:ascii="Arial" w:hAnsi="Arial" w:cs="Arial"/>
          <w:sz w:val="24"/>
          <w:szCs w:val="24"/>
          <w:lang w:val="es-CR"/>
        </w:rPr>
        <w:t xml:space="preserve">Las minas de abangares. Historia de una doble explotación. </w:t>
      </w:r>
      <w:r w:rsidR="0001578E">
        <w:rPr>
          <w:rFonts w:ascii="Arial" w:hAnsi="Arial" w:cs="Arial"/>
          <w:sz w:val="24"/>
          <w:szCs w:val="24"/>
          <w:lang w:val="es-CR"/>
        </w:rPr>
        <w:t xml:space="preserve">Por ejemplo, </w:t>
      </w:r>
      <w:r w:rsidR="0001578E" w:rsidRPr="008A35C7">
        <w:rPr>
          <w:rFonts w:ascii="Arial" w:hAnsi="Arial" w:cs="Arial"/>
          <w:sz w:val="24"/>
          <w:szCs w:val="24"/>
          <w:lang w:val="es-CR"/>
        </w:rPr>
        <w:t>Guillermo García</w:t>
      </w:r>
      <w:r w:rsidR="0001578E">
        <w:rPr>
          <w:rFonts w:ascii="Arial" w:hAnsi="Arial" w:cs="Arial"/>
          <w:sz w:val="24"/>
          <w:szCs w:val="24"/>
          <w:lang w:val="es-CR"/>
        </w:rPr>
        <w:t xml:space="preserve"> aduce que la fundación de Abangares se debe a </w:t>
      </w:r>
      <w:r w:rsidR="0001578E" w:rsidRPr="008A35C7">
        <w:rPr>
          <w:rFonts w:ascii="Arial" w:hAnsi="Arial" w:cs="Arial"/>
          <w:sz w:val="24"/>
          <w:szCs w:val="24"/>
          <w:lang w:val="es-CR"/>
        </w:rPr>
        <w:t xml:space="preserve">“Juan Vicente Acosta Chaves. El 24 de noviembre de 1884 denunció ante el juez de Hacienda, una mina de oro situada en jurisdicción de Cañas, como a legua y media al norte de la Hacienda “La tutela”, hoy –San Juan de abangares, donde se encontraba la única casa de sesteo para los viajeros que se dirigían a Nicaragua.  El 8 de abril de 1885 al alcalde constitucional de Cañas le dio posesión de la mina, la cual se componía de dos vetas: una al norte y otra al sur. </w:t>
      </w:r>
      <w:r w:rsidR="00992933">
        <w:rPr>
          <w:rFonts w:ascii="Arial" w:hAnsi="Arial" w:cs="Arial"/>
          <w:sz w:val="24"/>
          <w:szCs w:val="24"/>
          <w:lang w:val="es-CR"/>
        </w:rPr>
        <w:t xml:space="preserve"> </w:t>
      </w:r>
      <w:r w:rsidR="00992933">
        <w:rPr>
          <w:rStyle w:val="Refdenotaalpie"/>
          <w:rFonts w:ascii="Arial" w:hAnsi="Arial" w:cs="Arial"/>
          <w:sz w:val="24"/>
          <w:szCs w:val="24"/>
          <w:lang w:val="es-CR"/>
        </w:rPr>
        <w:footnoteReference w:id="43"/>
      </w:r>
      <w:r w:rsidR="00992933">
        <w:rPr>
          <w:rFonts w:ascii="Arial" w:hAnsi="Arial" w:cs="Arial"/>
          <w:sz w:val="24"/>
          <w:szCs w:val="24"/>
          <w:lang w:val="es-CR"/>
        </w:rPr>
        <w:t xml:space="preserve">  </w:t>
      </w:r>
    </w:p>
    <w:p w:rsidR="00F50AE3" w:rsidRDefault="00AF3A3D" w:rsidP="0045182B">
      <w:pPr>
        <w:spacing w:line="480" w:lineRule="auto"/>
        <w:ind w:firstLine="708"/>
        <w:jc w:val="both"/>
        <w:rPr>
          <w:rFonts w:ascii="Arial" w:hAnsi="Arial" w:cs="Arial"/>
          <w:bCs/>
          <w:sz w:val="24"/>
          <w:szCs w:val="24"/>
        </w:rPr>
      </w:pPr>
      <w:r>
        <w:rPr>
          <w:rFonts w:ascii="Arial" w:hAnsi="Arial" w:cs="Arial"/>
          <w:bCs/>
          <w:sz w:val="24"/>
          <w:szCs w:val="24"/>
        </w:rPr>
        <w:t>Dicha relación argumental queda plasmada en la obra del historiador Antonio Castillo</w:t>
      </w:r>
      <w:r>
        <w:rPr>
          <w:rStyle w:val="Refdenotaalpie"/>
          <w:rFonts w:ascii="Arial" w:hAnsi="Arial" w:cs="Arial"/>
          <w:bCs/>
          <w:sz w:val="24"/>
          <w:szCs w:val="24"/>
        </w:rPr>
        <w:footnoteReference w:id="44"/>
      </w:r>
      <w:r>
        <w:rPr>
          <w:rFonts w:ascii="Arial" w:hAnsi="Arial" w:cs="Arial"/>
          <w:bCs/>
          <w:sz w:val="24"/>
          <w:szCs w:val="24"/>
        </w:rPr>
        <w:t xml:space="preserve">, </w:t>
      </w:r>
      <w:r w:rsidR="00DB2871">
        <w:rPr>
          <w:rFonts w:ascii="Arial" w:hAnsi="Arial" w:cs="Arial"/>
          <w:bCs/>
          <w:sz w:val="24"/>
          <w:szCs w:val="24"/>
        </w:rPr>
        <w:t>quien ha invertido buena parte de su labor investigativa en al análisis del trabajo de los coligalleros, su modo de vida y la constitución del pueblo de Abangares. Junto a Castillo, existe otro trabajo que toma la temática de la minería desde la óptica de la relaciones de producción</w:t>
      </w:r>
      <w:r w:rsidR="0045182B">
        <w:rPr>
          <w:rFonts w:ascii="Arial" w:hAnsi="Arial" w:cs="Arial"/>
          <w:bCs/>
          <w:sz w:val="24"/>
          <w:szCs w:val="24"/>
        </w:rPr>
        <w:t>.</w:t>
      </w:r>
      <w:r w:rsidR="00DB2871">
        <w:rPr>
          <w:rStyle w:val="Refdenotaalpie"/>
          <w:rFonts w:ascii="Arial" w:hAnsi="Arial" w:cs="Arial"/>
          <w:bCs/>
          <w:sz w:val="24"/>
          <w:szCs w:val="24"/>
        </w:rPr>
        <w:footnoteReference w:id="45"/>
      </w:r>
      <w:r w:rsidR="00DB2871">
        <w:rPr>
          <w:rFonts w:ascii="Arial" w:hAnsi="Arial" w:cs="Arial"/>
          <w:bCs/>
          <w:sz w:val="24"/>
          <w:szCs w:val="24"/>
        </w:rPr>
        <w:t xml:space="preserve"> </w:t>
      </w:r>
      <w:r w:rsidR="0045182B">
        <w:rPr>
          <w:rFonts w:ascii="Arial" w:hAnsi="Arial" w:cs="Arial"/>
          <w:bCs/>
          <w:sz w:val="24"/>
          <w:szCs w:val="24"/>
        </w:rPr>
        <w:t xml:space="preserve"> Finalmente, en cuanto a los cantones de Cañas, Bagaces y La Cruz, </w:t>
      </w:r>
      <w:r w:rsidR="00DB2871">
        <w:rPr>
          <w:rFonts w:ascii="Arial" w:hAnsi="Arial" w:cs="Arial"/>
          <w:bCs/>
          <w:sz w:val="24"/>
          <w:szCs w:val="24"/>
        </w:rPr>
        <w:t xml:space="preserve"> </w:t>
      </w:r>
      <w:r w:rsidR="00335D23">
        <w:rPr>
          <w:rFonts w:ascii="Arial" w:hAnsi="Arial" w:cs="Arial"/>
          <w:bCs/>
          <w:sz w:val="24"/>
          <w:szCs w:val="24"/>
        </w:rPr>
        <w:t xml:space="preserve">se puede indicar que su historia local ha sido comprendida dentro de obras relacionadas a la ganadería, razón por la cual se hará mención de ellas en el apartado de colonización agrícola, y conflictos </w:t>
      </w:r>
      <w:r w:rsidR="00335D23">
        <w:rPr>
          <w:rFonts w:ascii="Arial" w:hAnsi="Arial" w:cs="Arial"/>
          <w:bCs/>
          <w:sz w:val="24"/>
          <w:szCs w:val="24"/>
        </w:rPr>
        <w:lastRenderedPageBreak/>
        <w:t>sociales. No obstante, cabe mencionar trabajos muy próximos a la investigación histórica como es el caso de Hortensia Meza</w:t>
      </w:r>
      <w:r w:rsidR="00335D23">
        <w:rPr>
          <w:rStyle w:val="Refdenotaalpie"/>
          <w:rFonts w:ascii="Arial" w:hAnsi="Arial" w:cs="Arial"/>
          <w:bCs/>
          <w:sz w:val="24"/>
          <w:szCs w:val="24"/>
        </w:rPr>
        <w:footnoteReference w:id="46"/>
      </w:r>
      <w:r w:rsidR="00335D23">
        <w:rPr>
          <w:rFonts w:ascii="Arial" w:hAnsi="Arial" w:cs="Arial"/>
          <w:bCs/>
          <w:sz w:val="24"/>
          <w:szCs w:val="24"/>
        </w:rPr>
        <w:t>, y José Barboza</w:t>
      </w:r>
      <w:r w:rsidR="001A14A8">
        <w:rPr>
          <w:rFonts w:ascii="Arial" w:hAnsi="Arial" w:cs="Arial"/>
          <w:bCs/>
          <w:sz w:val="24"/>
          <w:szCs w:val="24"/>
        </w:rPr>
        <w:t>.</w:t>
      </w:r>
      <w:r w:rsidR="00335D23">
        <w:rPr>
          <w:rStyle w:val="Refdenotaalpie"/>
          <w:rFonts w:ascii="Arial" w:hAnsi="Arial" w:cs="Arial"/>
          <w:bCs/>
          <w:sz w:val="24"/>
          <w:szCs w:val="24"/>
        </w:rPr>
        <w:footnoteReference w:id="47"/>
      </w:r>
      <w:r w:rsidR="00335D23">
        <w:rPr>
          <w:rFonts w:ascii="Arial" w:hAnsi="Arial" w:cs="Arial"/>
          <w:bCs/>
          <w:sz w:val="24"/>
          <w:szCs w:val="24"/>
        </w:rPr>
        <w:t xml:space="preserve"> </w:t>
      </w:r>
    </w:p>
    <w:p w:rsidR="001A14A8" w:rsidRPr="001A14A8" w:rsidRDefault="001A14A8" w:rsidP="007D68EF">
      <w:pPr>
        <w:spacing w:line="240" w:lineRule="auto"/>
        <w:rPr>
          <w:rFonts w:ascii="Arial" w:eastAsia="Times New Roman" w:hAnsi="Arial" w:cs="Arial"/>
          <w:i/>
          <w:color w:val="000000"/>
          <w:sz w:val="24"/>
          <w:szCs w:val="24"/>
          <w:lang w:eastAsia="es-CR"/>
        </w:rPr>
      </w:pPr>
      <w:r w:rsidRPr="001A14A8">
        <w:rPr>
          <w:rFonts w:ascii="Arial" w:eastAsia="Times New Roman" w:hAnsi="Arial" w:cs="Arial"/>
          <w:i/>
          <w:color w:val="000000"/>
          <w:sz w:val="24"/>
          <w:szCs w:val="24"/>
          <w:lang w:eastAsia="es-CR"/>
        </w:rPr>
        <w:t>4. Las interpretaciones regionales de la historia de Guanacaste</w:t>
      </w:r>
    </w:p>
    <w:p w:rsidR="0020099D" w:rsidRDefault="00AD7118" w:rsidP="001A2801">
      <w:pPr>
        <w:spacing w:line="48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La producción histórica relacionada con Guanacaste carece al día de hoy, de una obra que ofrezca al menos una interpretación integral de los procesos de su conformación histórica. Ante la carencia de </w:t>
      </w:r>
      <w:r w:rsidR="00995AE2">
        <w:rPr>
          <w:rFonts w:ascii="Arial" w:eastAsia="Times New Roman" w:hAnsi="Arial" w:cs="Arial"/>
          <w:color w:val="000000"/>
          <w:sz w:val="24"/>
          <w:szCs w:val="24"/>
          <w:lang w:eastAsia="es-CR"/>
        </w:rPr>
        <w:t xml:space="preserve">dichas </w:t>
      </w:r>
      <w:r w:rsidR="00B31DC1">
        <w:rPr>
          <w:rFonts w:ascii="Arial" w:eastAsia="Times New Roman" w:hAnsi="Arial" w:cs="Arial"/>
          <w:color w:val="000000"/>
          <w:sz w:val="24"/>
          <w:szCs w:val="24"/>
          <w:lang w:eastAsia="es-CR"/>
        </w:rPr>
        <w:t>interpretaciones</w:t>
      </w:r>
      <w:r>
        <w:rPr>
          <w:rFonts w:ascii="Arial" w:eastAsia="Times New Roman" w:hAnsi="Arial" w:cs="Arial"/>
          <w:color w:val="000000"/>
          <w:sz w:val="24"/>
          <w:szCs w:val="24"/>
          <w:lang w:eastAsia="es-CR"/>
        </w:rPr>
        <w:t xml:space="preserve">, se tiene un conjunto de obras que dan explicaciones de tipo global a partir de tópicos específicos. De esta forma es como se cuenta con </w:t>
      </w:r>
      <w:r w:rsidR="00CC0B45">
        <w:rPr>
          <w:rFonts w:ascii="Arial" w:eastAsia="Times New Roman" w:hAnsi="Arial" w:cs="Arial"/>
          <w:color w:val="000000"/>
          <w:sz w:val="24"/>
          <w:szCs w:val="24"/>
          <w:lang w:eastAsia="es-CR"/>
        </w:rPr>
        <w:t xml:space="preserve">textos de tipo regional elaborados desde temas como: </w:t>
      </w:r>
      <w:r w:rsidR="00B6055A">
        <w:rPr>
          <w:rFonts w:ascii="Arial" w:eastAsia="Times New Roman" w:hAnsi="Arial" w:cs="Arial"/>
          <w:color w:val="000000"/>
          <w:sz w:val="24"/>
          <w:szCs w:val="24"/>
          <w:lang w:eastAsia="es-CR"/>
        </w:rPr>
        <w:t>la ganadería, la agricultura, la minería, la anexión del partido de Nicoya a Costa Rica, la identidad guanacasteca y su aporte a la identidad costarricense, las tradiciones guanacastecas y otr</w:t>
      </w:r>
      <w:r w:rsidR="007217E7">
        <w:rPr>
          <w:rFonts w:ascii="Arial" w:eastAsia="Times New Roman" w:hAnsi="Arial" w:cs="Arial"/>
          <w:color w:val="000000"/>
          <w:sz w:val="24"/>
          <w:szCs w:val="24"/>
          <w:lang w:eastAsia="es-CR"/>
        </w:rPr>
        <w:t>o</w:t>
      </w:r>
      <w:r w:rsidR="00B6055A">
        <w:rPr>
          <w:rFonts w:ascii="Arial" w:eastAsia="Times New Roman" w:hAnsi="Arial" w:cs="Arial"/>
          <w:color w:val="000000"/>
          <w:sz w:val="24"/>
          <w:szCs w:val="24"/>
          <w:lang w:eastAsia="es-CR"/>
        </w:rPr>
        <w:t xml:space="preserve">s. </w:t>
      </w:r>
      <w:r w:rsidR="008F4E69">
        <w:rPr>
          <w:rFonts w:ascii="Arial" w:eastAsia="Times New Roman" w:hAnsi="Arial" w:cs="Arial"/>
          <w:color w:val="000000"/>
          <w:sz w:val="24"/>
          <w:szCs w:val="24"/>
          <w:lang w:eastAsia="es-CR"/>
        </w:rPr>
        <w:t xml:space="preserve"> </w:t>
      </w:r>
    </w:p>
    <w:p w:rsidR="001A14A8" w:rsidRDefault="008F4E69" w:rsidP="006F16A6">
      <w:pPr>
        <w:spacing w:line="480" w:lineRule="auto"/>
        <w:ind w:firstLine="708"/>
        <w:jc w:val="both"/>
        <w:rPr>
          <w:rFonts w:ascii="Arial" w:hAnsi="Arial" w:cs="Arial"/>
          <w:bCs/>
          <w:sz w:val="24"/>
          <w:szCs w:val="24"/>
        </w:rPr>
      </w:pPr>
      <w:r>
        <w:rPr>
          <w:rFonts w:ascii="Arial" w:eastAsia="Times New Roman" w:hAnsi="Arial" w:cs="Arial"/>
          <w:color w:val="000000"/>
          <w:sz w:val="24"/>
          <w:szCs w:val="24"/>
          <w:lang w:eastAsia="es-CR"/>
        </w:rPr>
        <w:t xml:space="preserve"> </w:t>
      </w:r>
      <w:r w:rsidR="00767F23">
        <w:rPr>
          <w:rFonts w:ascii="Arial" w:eastAsia="Times New Roman" w:hAnsi="Arial" w:cs="Arial"/>
          <w:color w:val="000000"/>
          <w:sz w:val="24"/>
          <w:szCs w:val="24"/>
          <w:lang w:eastAsia="es-CR"/>
        </w:rPr>
        <w:t xml:space="preserve"> </w:t>
      </w:r>
      <w:r w:rsidR="001A14A8">
        <w:rPr>
          <w:rFonts w:ascii="Arial" w:eastAsia="Times New Roman" w:hAnsi="Arial" w:cs="Arial"/>
          <w:color w:val="000000"/>
          <w:sz w:val="24"/>
          <w:szCs w:val="24"/>
          <w:lang w:eastAsia="es-CR"/>
        </w:rPr>
        <w:t xml:space="preserve"> </w:t>
      </w:r>
      <w:r w:rsidR="00F23B43">
        <w:rPr>
          <w:rFonts w:ascii="Arial" w:eastAsia="Times New Roman" w:hAnsi="Arial" w:cs="Arial"/>
          <w:color w:val="000000"/>
          <w:sz w:val="24"/>
          <w:szCs w:val="24"/>
          <w:lang w:eastAsia="es-CR"/>
        </w:rPr>
        <w:t xml:space="preserve">Este tipo de investigaciones por lo general definen a Guanacaste como una zona agrícola en “que </w:t>
      </w:r>
      <w:r w:rsidR="00F23B43" w:rsidRPr="006C198C">
        <w:rPr>
          <w:rFonts w:ascii="Arial" w:hAnsi="Arial" w:cs="Arial"/>
          <w:bCs/>
          <w:sz w:val="24"/>
          <w:szCs w:val="24"/>
        </w:rPr>
        <w:t>desde épocas muy tempranas de la colonia, sobresalieron extensas unidades territoriales, tradicionalmente denominadas haciendas, algunas de las cuales llegaban a medir varios miles de hectáreas que eran dedicadas fundamentalmente a la actividad ganadera”.</w:t>
      </w:r>
      <w:r w:rsidR="00F23B43">
        <w:rPr>
          <w:rFonts w:ascii="Arial" w:hAnsi="Arial" w:cs="Arial"/>
          <w:bCs/>
          <w:sz w:val="24"/>
          <w:szCs w:val="24"/>
        </w:rPr>
        <w:t xml:space="preserve"> </w:t>
      </w:r>
      <w:r w:rsidR="006F16A6">
        <w:rPr>
          <w:rStyle w:val="Refdenotaalpie"/>
          <w:rFonts w:ascii="Arial" w:hAnsi="Arial" w:cs="Arial"/>
          <w:bCs/>
          <w:sz w:val="24"/>
          <w:szCs w:val="24"/>
        </w:rPr>
        <w:footnoteReference w:id="48"/>
      </w:r>
      <w:r w:rsidR="006F16A6">
        <w:rPr>
          <w:rFonts w:ascii="Arial" w:hAnsi="Arial" w:cs="Arial"/>
          <w:bCs/>
          <w:sz w:val="24"/>
          <w:szCs w:val="24"/>
        </w:rPr>
        <w:t xml:space="preserve"> </w:t>
      </w:r>
    </w:p>
    <w:p w:rsidR="006F16A6" w:rsidRPr="006C198C" w:rsidRDefault="006F16A6" w:rsidP="006F16A6">
      <w:pPr>
        <w:spacing w:line="480" w:lineRule="auto"/>
        <w:ind w:firstLine="708"/>
        <w:jc w:val="both"/>
        <w:rPr>
          <w:rFonts w:ascii="Arial" w:hAnsi="Arial" w:cs="Arial"/>
          <w:bCs/>
          <w:sz w:val="24"/>
          <w:szCs w:val="24"/>
        </w:rPr>
      </w:pPr>
      <w:r>
        <w:rPr>
          <w:rFonts w:ascii="Arial" w:hAnsi="Arial" w:cs="Arial"/>
          <w:bCs/>
          <w:sz w:val="24"/>
          <w:szCs w:val="24"/>
        </w:rPr>
        <w:t xml:space="preserve">De la misma forma, la referencia al espacio geográfico de análisis que denominamos Guanacaste, ha sido señalado con claridad, </w:t>
      </w:r>
      <w:r w:rsidRPr="006C198C">
        <w:rPr>
          <w:rFonts w:ascii="Arial" w:hAnsi="Arial" w:cs="Arial"/>
          <w:bCs/>
          <w:sz w:val="24"/>
          <w:szCs w:val="24"/>
        </w:rPr>
        <w:t xml:space="preserve">“Un estudioso de la ganadería guanacasteca ha señalado que las haciendas en esa región, hasta el </w:t>
      </w:r>
      <w:r w:rsidRPr="006C198C">
        <w:rPr>
          <w:rFonts w:ascii="Arial" w:hAnsi="Arial" w:cs="Arial"/>
          <w:bCs/>
          <w:sz w:val="24"/>
          <w:szCs w:val="24"/>
        </w:rPr>
        <w:lastRenderedPageBreak/>
        <w:t xml:space="preserve">límite del río Salto, fueron durante el periodo colonial, de vecinos del Valle central de </w:t>
      </w:r>
      <w:r w:rsidR="007E678B">
        <w:rPr>
          <w:rFonts w:ascii="Arial" w:hAnsi="Arial" w:cs="Arial"/>
          <w:bCs/>
          <w:sz w:val="24"/>
          <w:szCs w:val="24"/>
        </w:rPr>
        <w:t>Costa Rica</w:t>
      </w:r>
      <w:r w:rsidRPr="006C198C">
        <w:rPr>
          <w:rFonts w:ascii="Arial" w:hAnsi="Arial" w:cs="Arial"/>
          <w:bCs/>
          <w:sz w:val="24"/>
          <w:szCs w:val="24"/>
        </w:rPr>
        <w:t xml:space="preserve">, mientras que al norte del citado río y en la península, el control sobre ellas lo ejercía la Iglesia y selectas familias nicaragüenses”. </w:t>
      </w:r>
      <w:r>
        <w:rPr>
          <w:rStyle w:val="Refdenotaalpie"/>
          <w:rFonts w:ascii="Arial" w:hAnsi="Arial" w:cs="Arial"/>
          <w:bCs/>
          <w:sz w:val="24"/>
          <w:szCs w:val="24"/>
        </w:rPr>
        <w:footnoteReference w:id="49"/>
      </w:r>
      <w:r>
        <w:rPr>
          <w:rFonts w:ascii="Arial" w:hAnsi="Arial" w:cs="Arial"/>
          <w:bCs/>
          <w:sz w:val="24"/>
          <w:szCs w:val="24"/>
        </w:rPr>
        <w:t xml:space="preserve">  </w:t>
      </w:r>
    </w:p>
    <w:p w:rsidR="007E678B" w:rsidRDefault="00B376DC" w:rsidP="00B376DC">
      <w:pPr>
        <w:spacing w:line="480" w:lineRule="auto"/>
        <w:ind w:firstLine="708"/>
        <w:jc w:val="both"/>
        <w:rPr>
          <w:rFonts w:ascii="Arial" w:hAnsi="Arial" w:cs="Arial"/>
          <w:sz w:val="24"/>
          <w:szCs w:val="24"/>
        </w:rPr>
      </w:pPr>
      <w:r>
        <w:rPr>
          <w:rFonts w:ascii="Arial" w:eastAsia="Times New Roman" w:hAnsi="Arial" w:cs="Arial"/>
          <w:color w:val="000000"/>
          <w:sz w:val="24"/>
          <w:szCs w:val="24"/>
          <w:lang w:eastAsia="es-CR"/>
        </w:rPr>
        <w:t xml:space="preserve">El antropólogo norteamericano Marc Edelman, quien ha desarrollado el tema del latifundio guanacasteco, también ha hecho su aporte en la comprensión de dicha zona geográfica del país como unidad de análisis. Por ejemplo señala que </w:t>
      </w:r>
      <w:r w:rsidRPr="008A35C7">
        <w:rPr>
          <w:rFonts w:ascii="Arial" w:hAnsi="Arial" w:cs="Arial"/>
        </w:rPr>
        <w:t>“</w:t>
      </w:r>
      <w:r w:rsidRPr="008A35C7">
        <w:rPr>
          <w:rFonts w:ascii="Arial" w:hAnsi="Arial" w:cs="Arial"/>
          <w:sz w:val="24"/>
          <w:szCs w:val="24"/>
        </w:rPr>
        <w:t>Un siglo atrás, Guanacaste era una zona fronteriza escasamente poblada, cubierta de bosques, con pocos caminos, una mínima presencia estatal y una limitada importancia económica: poco más que una estación de paso en donde engordar las reses importadas  de Nicaragua para los mercados del valle central  de Costa Rica. En años posteriores la región sufrió una profunda  transformación, primero a causa de su mayor integración al estado y al economía nacionales, y más tarde porque costa rica dejo de ser  importador de carne para convertirse en exportador, y también debido a la reorganización de muchos procesos de producción  según líneas capitalistas”.</w:t>
      </w:r>
      <w:r>
        <w:rPr>
          <w:rFonts w:ascii="Arial" w:hAnsi="Arial" w:cs="Arial"/>
          <w:sz w:val="24"/>
          <w:szCs w:val="24"/>
        </w:rPr>
        <w:t xml:space="preserve"> </w:t>
      </w:r>
      <w:r w:rsidR="00995AE2">
        <w:rPr>
          <w:rStyle w:val="Refdenotaalpie"/>
          <w:rFonts w:ascii="Arial" w:hAnsi="Arial" w:cs="Arial"/>
          <w:sz w:val="24"/>
          <w:szCs w:val="24"/>
        </w:rPr>
        <w:footnoteReference w:id="50"/>
      </w:r>
    </w:p>
    <w:p w:rsidR="002D70E5" w:rsidRPr="002D70E5" w:rsidRDefault="00164654" w:rsidP="00396B93">
      <w:pPr>
        <w:spacing w:line="480" w:lineRule="auto"/>
        <w:ind w:firstLine="708"/>
        <w:jc w:val="both"/>
        <w:rPr>
          <w:rFonts w:ascii="Arial" w:hAnsi="Arial" w:cs="Arial"/>
          <w:sz w:val="20"/>
          <w:szCs w:val="20"/>
        </w:rPr>
      </w:pPr>
      <w:r>
        <w:rPr>
          <w:rFonts w:ascii="Arial" w:hAnsi="Arial" w:cs="Arial"/>
          <w:sz w:val="24"/>
          <w:szCs w:val="24"/>
        </w:rPr>
        <w:t>La hacienda ganadera, ha sido entonces el eje central en la definición y comprensión de Guanacaste como unidad de análisis. Sucesivas investigaciones de tipo histórico se sustentan en dicho patrón de estudio. Por ejemplo</w:t>
      </w:r>
      <w:r w:rsidR="00396B93">
        <w:rPr>
          <w:rFonts w:ascii="Arial" w:hAnsi="Arial" w:cs="Arial"/>
          <w:sz w:val="24"/>
          <w:szCs w:val="24"/>
        </w:rPr>
        <w:t>,</w:t>
      </w:r>
      <w:r>
        <w:rPr>
          <w:rFonts w:ascii="Arial" w:hAnsi="Arial" w:cs="Arial"/>
          <w:sz w:val="24"/>
          <w:szCs w:val="24"/>
        </w:rPr>
        <w:t xml:space="preserve"> en esta </w:t>
      </w:r>
      <w:r>
        <w:rPr>
          <w:rFonts w:ascii="Arial" w:hAnsi="Arial" w:cs="Arial"/>
          <w:sz w:val="24"/>
          <w:szCs w:val="24"/>
        </w:rPr>
        <w:lastRenderedPageBreak/>
        <w:t>línea encontramos los textos de  Wilder Sequeira</w:t>
      </w:r>
      <w:r w:rsidR="00605447">
        <w:rPr>
          <w:rStyle w:val="Refdenotaalpie"/>
          <w:rFonts w:ascii="Arial" w:hAnsi="Arial" w:cs="Arial"/>
          <w:sz w:val="24"/>
          <w:szCs w:val="24"/>
        </w:rPr>
        <w:footnoteReference w:id="51"/>
      </w:r>
      <w:r w:rsidR="00605447">
        <w:rPr>
          <w:rFonts w:ascii="Arial" w:hAnsi="Arial" w:cs="Arial"/>
          <w:sz w:val="24"/>
          <w:szCs w:val="24"/>
        </w:rPr>
        <w:t>, Reinaldo Carcanholo</w:t>
      </w:r>
      <w:r w:rsidR="00605447">
        <w:rPr>
          <w:rStyle w:val="Refdenotaalpie"/>
          <w:rFonts w:ascii="Arial" w:hAnsi="Arial" w:cs="Arial"/>
          <w:sz w:val="24"/>
          <w:szCs w:val="24"/>
        </w:rPr>
        <w:footnoteReference w:id="52"/>
      </w:r>
      <w:r w:rsidR="002D70E5">
        <w:rPr>
          <w:rFonts w:ascii="Arial" w:hAnsi="Arial" w:cs="Arial"/>
          <w:sz w:val="24"/>
          <w:szCs w:val="24"/>
        </w:rPr>
        <w:t>, Rodrigo Castro</w:t>
      </w:r>
      <w:r w:rsidR="002D70E5">
        <w:rPr>
          <w:rStyle w:val="Refdenotaalpie"/>
          <w:rFonts w:ascii="Arial" w:hAnsi="Arial" w:cs="Arial"/>
          <w:sz w:val="24"/>
          <w:szCs w:val="24"/>
        </w:rPr>
        <w:footnoteReference w:id="53"/>
      </w:r>
      <w:r w:rsidR="00836915">
        <w:rPr>
          <w:rFonts w:ascii="Arial" w:hAnsi="Arial" w:cs="Arial"/>
          <w:sz w:val="24"/>
          <w:szCs w:val="24"/>
        </w:rPr>
        <w:t xml:space="preserve"> y </w:t>
      </w:r>
      <w:r w:rsidR="002D70E5">
        <w:rPr>
          <w:rFonts w:ascii="Arial" w:hAnsi="Arial" w:cs="Arial"/>
          <w:sz w:val="24"/>
          <w:szCs w:val="24"/>
        </w:rPr>
        <w:t xml:space="preserve"> Lowell </w:t>
      </w:r>
      <w:r w:rsidR="002D70E5" w:rsidRPr="00836915">
        <w:rPr>
          <w:rFonts w:ascii="Arial" w:hAnsi="Arial" w:cs="Arial"/>
          <w:sz w:val="24"/>
          <w:szCs w:val="24"/>
        </w:rPr>
        <w:t>Gudmundson</w:t>
      </w:r>
      <w:r w:rsidR="002D70E5" w:rsidRPr="00836915">
        <w:rPr>
          <w:rStyle w:val="Refdenotaalpie"/>
          <w:rFonts w:ascii="Arial" w:hAnsi="Arial" w:cs="Arial"/>
          <w:sz w:val="24"/>
          <w:szCs w:val="24"/>
        </w:rPr>
        <w:footnoteReference w:id="54"/>
      </w:r>
      <w:r w:rsidR="002D70E5" w:rsidRPr="00836915">
        <w:rPr>
          <w:rFonts w:ascii="Arial" w:hAnsi="Arial" w:cs="Arial"/>
          <w:sz w:val="24"/>
          <w:szCs w:val="24"/>
        </w:rPr>
        <w:t xml:space="preserve"> </w:t>
      </w:r>
      <w:r w:rsidR="00836915" w:rsidRPr="00836915">
        <w:rPr>
          <w:rFonts w:ascii="Arial" w:hAnsi="Arial" w:cs="Arial"/>
          <w:sz w:val="24"/>
          <w:szCs w:val="24"/>
        </w:rPr>
        <w:t xml:space="preserve"> solo por citar algunos.</w:t>
      </w:r>
      <w:r w:rsidR="00836915">
        <w:rPr>
          <w:rFonts w:ascii="Arial" w:hAnsi="Arial" w:cs="Arial"/>
          <w:sz w:val="20"/>
          <w:szCs w:val="20"/>
        </w:rPr>
        <w:t xml:space="preserve"> </w:t>
      </w:r>
    </w:p>
    <w:p w:rsidR="00164654" w:rsidRDefault="0015097E" w:rsidP="00F26708">
      <w:pPr>
        <w:spacing w:line="480" w:lineRule="auto"/>
        <w:ind w:firstLine="708"/>
        <w:jc w:val="both"/>
        <w:rPr>
          <w:rFonts w:ascii="Arial" w:hAnsi="Arial" w:cs="Arial"/>
          <w:sz w:val="24"/>
          <w:szCs w:val="24"/>
        </w:rPr>
      </w:pPr>
      <w:r>
        <w:rPr>
          <w:rFonts w:ascii="Arial" w:hAnsi="Arial" w:cs="Arial"/>
          <w:sz w:val="24"/>
          <w:szCs w:val="24"/>
        </w:rPr>
        <w:t xml:space="preserve">Otra veta temática que ha servido para la comprensión de Guanacaste como una sola unidad de análisis ha sido la anexión del partido de Nicoya a Costa Rica. </w:t>
      </w:r>
      <w:r w:rsidR="000D25B0">
        <w:rPr>
          <w:rFonts w:ascii="Arial" w:hAnsi="Arial" w:cs="Arial"/>
          <w:sz w:val="24"/>
          <w:szCs w:val="24"/>
        </w:rPr>
        <w:t>Aunque la temática refiere a una efeméride local, lo cierto es que sus repercusiones son de alcance nacional, de modo que en torno a ella, han surgido una buena cantidad de textos. Basta señalar los aportes de Luis Fernando Sibaja y Chester Zelaya</w:t>
      </w:r>
      <w:r w:rsidR="000D25B0">
        <w:rPr>
          <w:rStyle w:val="Refdenotaalpie"/>
          <w:rFonts w:ascii="Arial" w:hAnsi="Arial" w:cs="Arial"/>
          <w:sz w:val="24"/>
          <w:szCs w:val="24"/>
        </w:rPr>
        <w:footnoteReference w:id="55"/>
      </w:r>
      <w:r w:rsidR="000D25B0">
        <w:rPr>
          <w:rFonts w:ascii="Arial" w:hAnsi="Arial" w:cs="Arial"/>
          <w:sz w:val="24"/>
          <w:szCs w:val="24"/>
        </w:rPr>
        <w:t>, Víctor Cabrera</w:t>
      </w:r>
      <w:r w:rsidR="000D25B0">
        <w:rPr>
          <w:rStyle w:val="Refdenotaalpie"/>
          <w:rFonts w:ascii="Arial" w:hAnsi="Arial" w:cs="Arial"/>
          <w:sz w:val="24"/>
          <w:szCs w:val="24"/>
        </w:rPr>
        <w:footnoteReference w:id="56"/>
      </w:r>
      <w:r w:rsidR="000D25B0">
        <w:rPr>
          <w:rFonts w:ascii="Arial" w:hAnsi="Arial" w:cs="Arial"/>
          <w:sz w:val="24"/>
          <w:szCs w:val="24"/>
        </w:rPr>
        <w:t xml:space="preserve">, </w:t>
      </w:r>
      <w:r w:rsidR="00102568">
        <w:rPr>
          <w:rFonts w:ascii="Arial" w:hAnsi="Arial" w:cs="Arial"/>
          <w:sz w:val="24"/>
          <w:szCs w:val="24"/>
        </w:rPr>
        <w:t>Juan Bautista Corrales Briceño</w:t>
      </w:r>
      <w:r w:rsidR="00102568">
        <w:rPr>
          <w:rStyle w:val="Refdenotaalpie"/>
          <w:rFonts w:ascii="Arial" w:hAnsi="Arial" w:cs="Arial"/>
          <w:sz w:val="24"/>
          <w:szCs w:val="24"/>
        </w:rPr>
        <w:footnoteReference w:id="57"/>
      </w:r>
      <w:r w:rsidR="002314C2">
        <w:rPr>
          <w:rFonts w:ascii="Arial" w:hAnsi="Arial" w:cs="Arial"/>
          <w:sz w:val="24"/>
          <w:szCs w:val="24"/>
        </w:rPr>
        <w:t xml:space="preserve"> y Martha Garnier</w:t>
      </w:r>
      <w:r w:rsidR="002314C2">
        <w:rPr>
          <w:rStyle w:val="Refdenotaalpie"/>
          <w:rFonts w:ascii="Arial" w:hAnsi="Arial" w:cs="Arial"/>
          <w:sz w:val="24"/>
          <w:szCs w:val="24"/>
        </w:rPr>
        <w:footnoteReference w:id="58"/>
      </w:r>
      <w:r w:rsidR="00A75D40" w:rsidRPr="00A75D40">
        <w:rPr>
          <w:rFonts w:ascii="Arial" w:hAnsi="Arial" w:cs="Arial"/>
          <w:sz w:val="24"/>
          <w:szCs w:val="24"/>
        </w:rPr>
        <w:t xml:space="preserve"> </w:t>
      </w:r>
      <w:r w:rsidR="00A75D40">
        <w:rPr>
          <w:rFonts w:ascii="Arial" w:hAnsi="Arial" w:cs="Arial"/>
          <w:sz w:val="24"/>
          <w:szCs w:val="24"/>
        </w:rPr>
        <w:t xml:space="preserve"> y  Leonidas Briceño</w:t>
      </w:r>
      <w:r w:rsidR="00A75D40">
        <w:rPr>
          <w:rStyle w:val="Refdenotaalpie"/>
          <w:rFonts w:ascii="Arial" w:hAnsi="Arial" w:cs="Arial"/>
          <w:sz w:val="24"/>
          <w:szCs w:val="24"/>
        </w:rPr>
        <w:footnoteReference w:id="59"/>
      </w:r>
      <w:r w:rsidR="00A75D40">
        <w:rPr>
          <w:rFonts w:ascii="Arial" w:hAnsi="Arial" w:cs="Arial"/>
          <w:sz w:val="24"/>
          <w:szCs w:val="24"/>
        </w:rPr>
        <w:t>.</w:t>
      </w:r>
    </w:p>
    <w:p w:rsidR="00DD2875" w:rsidRDefault="00DD2875" w:rsidP="00F26708">
      <w:pPr>
        <w:spacing w:line="480" w:lineRule="auto"/>
        <w:ind w:firstLine="708"/>
        <w:jc w:val="both"/>
        <w:rPr>
          <w:rFonts w:ascii="Arial" w:hAnsi="Arial" w:cs="Arial"/>
          <w:sz w:val="24"/>
          <w:szCs w:val="24"/>
        </w:rPr>
      </w:pPr>
      <w:r>
        <w:rPr>
          <w:rFonts w:ascii="Arial" w:hAnsi="Arial" w:cs="Arial"/>
          <w:sz w:val="24"/>
          <w:szCs w:val="24"/>
        </w:rPr>
        <w:t xml:space="preserve">Respecto a la “Anexión del Partido de Nicoya”, el último autor, menciona que  </w:t>
      </w:r>
      <w:r w:rsidRPr="008A35C7">
        <w:rPr>
          <w:rFonts w:ascii="Arial" w:hAnsi="Arial" w:cs="Arial"/>
          <w:sz w:val="24"/>
          <w:szCs w:val="24"/>
          <w:lang w:val="es-CR"/>
        </w:rPr>
        <w:t xml:space="preserve">“los ricos hacendados de Nicoya, Santa Cruz y en general los hombres de orden meditaron acerca de los hechos que en la vecindad se sucedían, pensaron </w:t>
      </w:r>
      <w:r w:rsidRPr="008A35C7">
        <w:rPr>
          <w:rFonts w:ascii="Arial" w:hAnsi="Arial" w:cs="Arial"/>
          <w:sz w:val="24"/>
          <w:szCs w:val="24"/>
          <w:lang w:val="es-CR"/>
        </w:rPr>
        <w:lastRenderedPageBreak/>
        <w:t>seriamente en el porvenir del departamento, tuvieron sesiones privadas, cambiaron ideas, y concluyeron por tomar una resolución definitiva”</w:t>
      </w:r>
      <w:r w:rsidR="000F583D">
        <w:rPr>
          <w:rFonts w:ascii="Arial" w:hAnsi="Arial" w:cs="Arial"/>
          <w:sz w:val="24"/>
          <w:szCs w:val="24"/>
          <w:lang w:val="es-CR"/>
        </w:rPr>
        <w:t xml:space="preserve">. </w:t>
      </w:r>
      <w:r w:rsidR="000F583D">
        <w:rPr>
          <w:rStyle w:val="Refdenotaalpie"/>
          <w:rFonts w:ascii="Arial" w:hAnsi="Arial" w:cs="Arial"/>
          <w:sz w:val="24"/>
          <w:szCs w:val="24"/>
          <w:lang w:val="es-CR"/>
        </w:rPr>
        <w:footnoteReference w:id="60"/>
      </w:r>
    </w:p>
    <w:p w:rsidR="00164654" w:rsidRDefault="00616B73" w:rsidP="00616B73">
      <w:pPr>
        <w:spacing w:line="480" w:lineRule="auto"/>
        <w:ind w:firstLine="708"/>
        <w:jc w:val="both"/>
        <w:rPr>
          <w:rFonts w:ascii="Arial" w:hAnsi="Arial" w:cs="Arial"/>
          <w:sz w:val="24"/>
          <w:szCs w:val="24"/>
        </w:rPr>
      </w:pPr>
      <w:r>
        <w:rPr>
          <w:rFonts w:ascii="Arial" w:hAnsi="Arial" w:cs="Arial"/>
          <w:sz w:val="24"/>
          <w:szCs w:val="24"/>
        </w:rPr>
        <w:t>Además de los dos grupos de textos –citados con anterioridad- que asumen a Guanacaste como una solo unidad de análisis, también existen un conjunto de recopilaciones de viajeros y monografías sobre la provincia. Dichas publicaciones, poseen importancia como fuente para la realización de investigación histórica</w:t>
      </w:r>
      <w:r w:rsidR="00282D73">
        <w:rPr>
          <w:rFonts w:ascii="Arial" w:hAnsi="Arial" w:cs="Arial"/>
          <w:sz w:val="24"/>
          <w:szCs w:val="24"/>
        </w:rPr>
        <w:t>,</w:t>
      </w:r>
      <w:r>
        <w:rPr>
          <w:rFonts w:ascii="Arial" w:hAnsi="Arial" w:cs="Arial"/>
          <w:sz w:val="24"/>
          <w:szCs w:val="24"/>
        </w:rPr>
        <w:t xml:space="preserve"> </w:t>
      </w:r>
      <w:r w:rsidR="0002768F">
        <w:rPr>
          <w:rFonts w:ascii="Arial" w:hAnsi="Arial" w:cs="Arial"/>
          <w:sz w:val="24"/>
          <w:szCs w:val="24"/>
        </w:rPr>
        <w:t xml:space="preserve">debido que aportan descripciones de gran valía. </w:t>
      </w:r>
      <w:r w:rsidR="00282D73">
        <w:rPr>
          <w:rFonts w:ascii="Arial" w:hAnsi="Arial" w:cs="Arial"/>
          <w:sz w:val="24"/>
          <w:szCs w:val="24"/>
        </w:rPr>
        <w:t>Basta con señalar los trabajos de Carlos Meléndez</w:t>
      </w:r>
      <w:r w:rsidR="00282D73">
        <w:rPr>
          <w:rStyle w:val="Refdenotaalpie"/>
          <w:rFonts w:ascii="Arial" w:hAnsi="Arial" w:cs="Arial"/>
          <w:sz w:val="24"/>
          <w:szCs w:val="24"/>
        </w:rPr>
        <w:footnoteReference w:id="61"/>
      </w:r>
      <w:r w:rsidR="00282D73">
        <w:rPr>
          <w:rFonts w:ascii="Arial" w:hAnsi="Arial" w:cs="Arial"/>
          <w:sz w:val="24"/>
          <w:szCs w:val="24"/>
        </w:rPr>
        <w:t xml:space="preserve"> y Ricardo Fernández Guardia</w:t>
      </w:r>
      <w:r w:rsidR="00282D73">
        <w:rPr>
          <w:rStyle w:val="Refdenotaalpie"/>
          <w:rFonts w:ascii="Arial" w:hAnsi="Arial" w:cs="Arial"/>
          <w:sz w:val="24"/>
          <w:szCs w:val="24"/>
        </w:rPr>
        <w:footnoteReference w:id="62"/>
      </w:r>
      <w:r w:rsidR="00282D73">
        <w:rPr>
          <w:rFonts w:ascii="Arial" w:hAnsi="Arial" w:cs="Arial"/>
          <w:sz w:val="24"/>
          <w:szCs w:val="24"/>
        </w:rPr>
        <w:t xml:space="preserve">, para hacerse una idea de sus  aportaciones.  </w:t>
      </w:r>
    </w:p>
    <w:p w:rsidR="009E656B" w:rsidRPr="00203215" w:rsidRDefault="00203215" w:rsidP="00203215">
      <w:pPr>
        <w:spacing w:after="0"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0"/>
          <w:szCs w:val="20"/>
          <w:lang w:eastAsia="es-CR"/>
        </w:rPr>
        <w:tab/>
      </w:r>
      <w:r w:rsidRPr="00203215">
        <w:rPr>
          <w:rFonts w:ascii="Arial" w:eastAsia="Times New Roman" w:hAnsi="Arial" w:cs="Arial"/>
          <w:color w:val="000000"/>
          <w:sz w:val="24"/>
          <w:szCs w:val="24"/>
          <w:lang w:eastAsia="es-CR"/>
        </w:rPr>
        <w:t xml:space="preserve">Quizá una de las aportaciones más bellas y que </w:t>
      </w:r>
      <w:r w:rsidR="002B28AB">
        <w:rPr>
          <w:rFonts w:ascii="Arial" w:eastAsia="Times New Roman" w:hAnsi="Arial" w:cs="Arial"/>
          <w:color w:val="000000"/>
          <w:sz w:val="24"/>
          <w:szCs w:val="24"/>
          <w:lang w:eastAsia="es-CR"/>
        </w:rPr>
        <w:t xml:space="preserve">nos brinda </w:t>
      </w:r>
      <w:r w:rsidRPr="00203215">
        <w:rPr>
          <w:rFonts w:ascii="Arial" w:eastAsia="Times New Roman" w:hAnsi="Arial" w:cs="Arial"/>
          <w:color w:val="000000"/>
          <w:sz w:val="24"/>
          <w:szCs w:val="24"/>
          <w:lang w:eastAsia="es-CR"/>
        </w:rPr>
        <w:t>elementos relevantes para desarrollar un análisis de tipo histórico sobre Guanacaste</w:t>
      </w:r>
      <w:r w:rsidR="002B28AB">
        <w:rPr>
          <w:rFonts w:ascii="Arial" w:eastAsia="Times New Roman" w:hAnsi="Arial" w:cs="Arial"/>
          <w:color w:val="000000"/>
          <w:sz w:val="24"/>
          <w:szCs w:val="24"/>
          <w:lang w:eastAsia="es-CR"/>
        </w:rPr>
        <w:t xml:space="preserve">, </w:t>
      </w:r>
      <w:r w:rsidRPr="00203215">
        <w:rPr>
          <w:rFonts w:ascii="Arial" w:eastAsia="Times New Roman" w:hAnsi="Arial" w:cs="Arial"/>
          <w:color w:val="000000"/>
          <w:sz w:val="24"/>
          <w:szCs w:val="24"/>
          <w:lang w:eastAsia="es-CR"/>
        </w:rPr>
        <w:t xml:space="preserve"> la hallamos en un trabajo elaborado en la década de los años treinta del siglo pasado, por Salvador Villar.</w:t>
      </w:r>
      <w:r w:rsidR="002B28AB">
        <w:rPr>
          <w:rFonts w:ascii="Arial" w:eastAsia="Times New Roman" w:hAnsi="Arial" w:cs="Arial"/>
          <w:color w:val="000000"/>
          <w:sz w:val="24"/>
          <w:szCs w:val="24"/>
          <w:lang w:eastAsia="es-CR"/>
        </w:rPr>
        <w:t xml:space="preserve"> En su monografía, encontramos no solo un esfuerzo por </w:t>
      </w:r>
      <w:r w:rsidR="00E46174">
        <w:rPr>
          <w:rFonts w:ascii="Arial" w:eastAsia="Times New Roman" w:hAnsi="Arial" w:cs="Arial"/>
          <w:color w:val="000000"/>
          <w:sz w:val="24"/>
          <w:szCs w:val="24"/>
          <w:lang w:eastAsia="es-CR"/>
        </w:rPr>
        <w:t xml:space="preserve">describir cada una de las ciudades de la provincia sino que también </w:t>
      </w:r>
      <w:r w:rsidR="002B28AB">
        <w:rPr>
          <w:rFonts w:ascii="Arial" w:eastAsia="Times New Roman" w:hAnsi="Arial" w:cs="Arial"/>
          <w:color w:val="000000"/>
          <w:sz w:val="24"/>
          <w:szCs w:val="24"/>
          <w:lang w:eastAsia="es-CR"/>
        </w:rPr>
        <w:t xml:space="preserve"> una elocuente alusión a la identidad regional.  </w:t>
      </w:r>
    </w:p>
    <w:p w:rsidR="004351E7" w:rsidRPr="008A35C7" w:rsidRDefault="004351E7" w:rsidP="004351E7">
      <w:pPr>
        <w:spacing w:line="480" w:lineRule="auto"/>
        <w:jc w:val="both"/>
        <w:rPr>
          <w:rFonts w:ascii="Arial" w:hAnsi="Arial" w:cs="Arial"/>
          <w:sz w:val="24"/>
          <w:szCs w:val="24"/>
          <w:lang w:val="es-CR"/>
        </w:rPr>
      </w:pPr>
      <w:r>
        <w:rPr>
          <w:rFonts w:ascii="Arial" w:eastAsia="Times New Roman" w:hAnsi="Arial" w:cs="Arial"/>
          <w:color w:val="000000"/>
          <w:sz w:val="20"/>
          <w:szCs w:val="20"/>
          <w:lang w:eastAsia="es-CR"/>
        </w:rPr>
        <w:t xml:space="preserve"> </w:t>
      </w:r>
      <w:r w:rsidR="00E46174">
        <w:rPr>
          <w:rFonts w:ascii="Arial" w:eastAsia="Times New Roman" w:hAnsi="Arial" w:cs="Arial"/>
          <w:color w:val="000000"/>
          <w:sz w:val="20"/>
          <w:szCs w:val="20"/>
          <w:lang w:eastAsia="es-CR"/>
        </w:rPr>
        <w:tab/>
      </w:r>
      <w:r>
        <w:rPr>
          <w:rFonts w:ascii="Arial" w:eastAsia="Times New Roman" w:hAnsi="Arial" w:cs="Arial"/>
          <w:color w:val="000000"/>
          <w:sz w:val="24"/>
          <w:szCs w:val="24"/>
          <w:lang w:eastAsia="es-CR"/>
        </w:rPr>
        <w:t xml:space="preserve">Lo peculiar de la visión de Villar es que describe a cada cantón de la provincia a partir de su rasgo principal llevándonos mediante sus letras una imagen de primera mano de los pueblos. Por ejemplo, respecto a Liberia señala que </w:t>
      </w:r>
      <w:r w:rsidR="001E6F04">
        <w:rPr>
          <w:rFonts w:ascii="Arial" w:eastAsia="Times New Roman" w:hAnsi="Arial" w:cs="Arial"/>
          <w:color w:val="000000"/>
          <w:sz w:val="24"/>
          <w:szCs w:val="24"/>
          <w:lang w:eastAsia="es-CR"/>
        </w:rPr>
        <w:t xml:space="preserve"> </w:t>
      </w:r>
      <w:r w:rsidR="001E6F04" w:rsidRPr="008A35C7">
        <w:rPr>
          <w:rFonts w:ascii="Arial" w:hAnsi="Arial" w:cs="Arial"/>
          <w:sz w:val="24"/>
          <w:szCs w:val="24"/>
          <w:lang w:val="es-CR"/>
        </w:rPr>
        <w:t xml:space="preserve">“en el primero está la ciudad de Liberia capital de la provincia…el pavimento de sus calles planas provistas de aceras es de cascajo blanco, pintadas del mismo </w:t>
      </w:r>
      <w:r w:rsidR="001E6F04" w:rsidRPr="008A35C7">
        <w:rPr>
          <w:rFonts w:ascii="Arial" w:hAnsi="Arial" w:cs="Arial"/>
          <w:sz w:val="24"/>
          <w:szCs w:val="24"/>
          <w:lang w:val="es-CR"/>
        </w:rPr>
        <w:lastRenderedPageBreak/>
        <w:t xml:space="preserve">color están las casas por lo cual se le llama como a Cádiz, la ciudad blanca”. </w:t>
      </w:r>
      <w:r w:rsidR="001E6F04">
        <w:rPr>
          <w:rStyle w:val="Refdenotaalpie"/>
          <w:rFonts w:ascii="Arial" w:hAnsi="Arial" w:cs="Arial"/>
          <w:sz w:val="24"/>
          <w:szCs w:val="24"/>
          <w:lang w:val="es-CR"/>
        </w:rPr>
        <w:footnoteReference w:id="63"/>
      </w:r>
      <w:r w:rsidR="001E6F04">
        <w:rPr>
          <w:rFonts w:ascii="Arial" w:hAnsi="Arial" w:cs="Arial"/>
          <w:sz w:val="24"/>
          <w:szCs w:val="24"/>
          <w:lang w:val="es-CR"/>
        </w:rPr>
        <w:t xml:space="preserve"> </w:t>
      </w:r>
      <w:r w:rsidR="00503317">
        <w:rPr>
          <w:rFonts w:ascii="Arial" w:hAnsi="Arial" w:cs="Arial"/>
          <w:sz w:val="24"/>
          <w:szCs w:val="24"/>
          <w:lang w:val="es-CR"/>
        </w:rPr>
        <w:t xml:space="preserve"> </w:t>
      </w:r>
      <w:r>
        <w:rPr>
          <w:rFonts w:ascii="Arial" w:hAnsi="Arial" w:cs="Arial"/>
          <w:sz w:val="24"/>
          <w:szCs w:val="24"/>
          <w:lang w:val="es-CR"/>
        </w:rPr>
        <w:t>Posteriormente, cuando nos platica sobre Nicoya dice que “</w:t>
      </w:r>
      <w:r w:rsidRPr="008A35C7">
        <w:rPr>
          <w:rFonts w:ascii="Arial" w:hAnsi="Arial" w:cs="Arial"/>
          <w:sz w:val="24"/>
          <w:szCs w:val="24"/>
          <w:lang w:val="es-CR"/>
        </w:rPr>
        <w:t>es la cabecera del cantón del mismo nombre. Fue asiento de los Chorotegas y luego centro del mayor influjo del Partido de Nicoya durante los periodos colonial y de independencia”</w:t>
      </w:r>
      <w:r>
        <w:rPr>
          <w:rFonts w:ascii="Arial" w:hAnsi="Arial" w:cs="Arial"/>
          <w:sz w:val="24"/>
          <w:szCs w:val="24"/>
          <w:lang w:val="es-CR"/>
        </w:rPr>
        <w:t xml:space="preserve">. </w:t>
      </w:r>
      <w:r w:rsidR="0047620E">
        <w:rPr>
          <w:rStyle w:val="Refdenotaalpie"/>
          <w:rFonts w:ascii="Arial" w:hAnsi="Arial" w:cs="Arial"/>
          <w:sz w:val="24"/>
          <w:szCs w:val="24"/>
          <w:lang w:val="es-CR"/>
        </w:rPr>
        <w:footnoteReference w:id="64"/>
      </w:r>
      <w:r w:rsidRPr="008A35C7">
        <w:rPr>
          <w:rFonts w:ascii="Arial" w:hAnsi="Arial" w:cs="Arial"/>
          <w:sz w:val="24"/>
          <w:szCs w:val="24"/>
          <w:lang w:val="es-CR"/>
        </w:rPr>
        <w:t xml:space="preserve"> </w:t>
      </w:r>
    </w:p>
    <w:p w:rsidR="009E656B" w:rsidRDefault="00EE0FAB" w:rsidP="004C5B3F">
      <w:pPr>
        <w:spacing w:line="480" w:lineRule="auto"/>
        <w:ind w:firstLine="708"/>
        <w:jc w:val="both"/>
        <w:rPr>
          <w:rFonts w:ascii="Arial" w:hAnsi="Arial" w:cs="Arial"/>
          <w:sz w:val="24"/>
          <w:szCs w:val="24"/>
          <w:lang w:val="es-CR"/>
        </w:rPr>
      </w:pPr>
      <w:r>
        <w:rPr>
          <w:rFonts w:ascii="Arial" w:hAnsi="Arial" w:cs="Arial"/>
          <w:sz w:val="24"/>
          <w:szCs w:val="24"/>
          <w:lang w:val="es-CR"/>
        </w:rPr>
        <w:t xml:space="preserve">En cuanto a Santa Cruz y su folclor nos relata Villar que </w:t>
      </w:r>
      <w:r w:rsidR="004C5B3F">
        <w:rPr>
          <w:rFonts w:ascii="Arial" w:hAnsi="Arial" w:cs="Arial"/>
          <w:sz w:val="24"/>
          <w:szCs w:val="24"/>
          <w:lang w:val="es-CR"/>
        </w:rPr>
        <w:t>el “</w:t>
      </w:r>
      <w:r w:rsidR="009E656B" w:rsidRPr="008A35C7">
        <w:rPr>
          <w:rFonts w:ascii="Arial" w:hAnsi="Arial" w:cs="Arial"/>
          <w:sz w:val="24"/>
          <w:szCs w:val="24"/>
          <w:lang w:val="es-CR"/>
        </w:rPr>
        <w:t>cantón de Santa Cruz importante por su comercio y producción agrícola.</w:t>
      </w:r>
      <w:r w:rsidR="004C5B3F">
        <w:rPr>
          <w:rFonts w:ascii="Arial" w:hAnsi="Arial" w:cs="Arial"/>
          <w:sz w:val="24"/>
          <w:szCs w:val="24"/>
          <w:lang w:val="es-CR"/>
        </w:rPr>
        <w:t>.</w:t>
      </w:r>
      <w:r w:rsidR="009E656B" w:rsidRPr="008A35C7">
        <w:rPr>
          <w:rFonts w:ascii="Arial" w:hAnsi="Arial" w:cs="Arial"/>
          <w:sz w:val="24"/>
          <w:szCs w:val="24"/>
          <w:lang w:val="es-CR"/>
        </w:rPr>
        <w:t>.ciudad  espíritu alegre y expansivo, de calles anchas y a cuyas fiestas cívicas excepcionales por su gran concurrencia acuden todos los habitantes de numerosos distritos y muchos de la meseta central”.</w:t>
      </w:r>
      <w:r w:rsidR="004C5B3F">
        <w:rPr>
          <w:rFonts w:ascii="Arial" w:hAnsi="Arial" w:cs="Arial"/>
          <w:sz w:val="24"/>
          <w:szCs w:val="24"/>
          <w:lang w:val="es-CR"/>
        </w:rPr>
        <w:t xml:space="preserve"> </w:t>
      </w:r>
      <w:r w:rsidR="004C5B3F">
        <w:rPr>
          <w:rStyle w:val="Refdenotaalpie"/>
          <w:rFonts w:ascii="Arial" w:hAnsi="Arial" w:cs="Arial"/>
          <w:sz w:val="24"/>
          <w:szCs w:val="24"/>
          <w:lang w:val="es-CR"/>
        </w:rPr>
        <w:footnoteReference w:id="65"/>
      </w:r>
      <w:r w:rsidR="004C5B3F">
        <w:rPr>
          <w:rFonts w:ascii="Arial" w:hAnsi="Arial" w:cs="Arial"/>
          <w:sz w:val="24"/>
          <w:szCs w:val="24"/>
          <w:lang w:val="es-CR"/>
        </w:rPr>
        <w:t xml:space="preserve"> </w:t>
      </w:r>
      <w:r w:rsidR="009E656B" w:rsidRPr="008A35C7">
        <w:rPr>
          <w:rFonts w:ascii="Arial" w:hAnsi="Arial" w:cs="Arial"/>
          <w:sz w:val="24"/>
          <w:szCs w:val="24"/>
          <w:lang w:val="es-CR"/>
        </w:rPr>
        <w:t xml:space="preserve"> </w:t>
      </w:r>
    </w:p>
    <w:p w:rsidR="009E656B" w:rsidRPr="008A35C7" w:rsidRDefault="004C5B3F" w:rsidP="00C611FA">
      <w:pPr>
        <w:spacing w:line="480" w:lineRule="auto"/>
        <w:ind w:firstLine="708"/>
        <w:jc w:val="both"/>
        <w:rPr>
          <w:rFonts w:ascii="Arial" w:hAnsi="Arial" w:cs="Arial"/>
          <w:sz w:val="24"/>
          <w:szCs w:val="24"/>
          <w:lang w:val="es-CR"/>
        </w:rPr>
      </w:pPr>
      <w:r>
        <w:rPr>
          <w:rFonts w:ascii="Arial" w:hAnsi="Arial" w:cs="Arial"/>
          <w:sz w:val="24"/>
          <w:szCs w:val="24"/>
          <w:lang w:val="es-CR"/>
        </w:rPr>
        <w:t>Acerca de Bagaces y Cañas, Salvador Villar hace reparo en sus rasgos característicos, por ello dice que “l</w:t>
      </w:r>
      <w:r w:rsidR="009E656B" w:rsidRPr="008A35C7">
        <w:rPr>
          <w:rFonts w:ascii="Arial" w:hAnsi="Arial" w:cs="Arial"/>
          <w:sz w:val="24"/>
          <w:szCs w:val="24"/>
          <w:lang w:val="es-CR"/>
        </w:rPr>
        <w:t>a antigua villa de Bagaces es la cuna del expresidente de la República Tomás Guardia”</w:t>
      </w:r>
      <w:r>
        <w:rPr>
          <w:rFonts w:ascii="Arial" w:hAnsi="Arial" w:cs="Arial"/>
          <w:sz w:val="24"/>
          <w:szCs w:val="24"/>
          <w:lang w:val="es-CR"/>
        </w:rPr>
        <w:t xml:space="preserve">. </w:t>
      </w:r>
      <w:r>
        <w:rPr>
          <w:rStyle w:val="Refdenotaalpie"/>
          <w:rFonts w:ascii="Arial" w:hAnsi="Arial" w:cs="Arial"/>
          <w:sz w:val="24"/>
          <w:szCs w:val="24"/>
          <w:lang w:val="es-CR"/>
        </w:rPr>
        <w:footnoteReference w:id="66"/>
      </w:r>
      <w:r w:rsidR="00C20938">
        <w:rPr>
          <w:rFonts w:ascii="Arial" w:hAnsi="Arial" w:cs="Arial"/>
          <w:sz w:val="24"/>
          <w:szCs w:val="24"/>
          <w:lang w:val="es-CR"/>
        </w:rPr>
        <w:t xml:space="preserve">  Sobre Cañas,</w:t>
      </w:r>
      <w:r w:rsidR="002C0D6D">
        <w:rPr>
          <w:rFonts w:ascii="Arial" w:hAnsi="Arial" w:cs="Arial"/>
          <w:sz w:val="24"/>
          <w:szCs w:val="24"/>
          <w:lang w:val="es-CR"/>
        </w:rPr>
        <w:t xml:space="preserve"> nos escribe que “</w:t>
      </w:r>
      <w:r w:rsidR="009E656B" w:rsidRPr="008A35C7">
        <w:rPr>
          <w:rFonts w:ascii="Arial" w:hAnsi="Arial" w:cs="Arial"/>
          <w:sz w:val="24"/>
          <w:szCs w:val="24"/>
          <w:lang w:val="es-CR"/>
        </w:rPr>
        <w:t xml:space="preserve">la villa de Cañas </w:t>
      </w:r>
      <w:r w:rsidR="002C0D6D">
        <w:rPr>
          <w:rFonts w:ascii="Arial" w:hAnsi="Arial" w:cs="Arial"/>
          <w:sz w:val="24"/>
          <w:szCs w:val="24"/>
          <w:lang w:val="es-CR"/>
        </w:rPr>
        <w:t xml:space="preserve">es </w:t>
      </w:r>
      <w:r w:rsidR="009E656B" w:rsidRPr="008A35C7">
        <w:rPr>
          <w:rFonts w:ascii="Arial" w:hAnsi="Arial" w:cs="Arial"/>
          <w:sz w:val="24"/>
          <w:szCs w:val="24"/>
          <w:lang w:val="es-CR"/>
        </w:rPr>
        <w:t xml:space="preserve">una de las pequeñas poblaciones guanacastecas en donde se observa la entrada de un espíritu progresista el interés comunal y el esfuerzo colectivo de los habitantes. Cañas tiene cañería, alumbrado eléctrico, jardín público, filarmonía, hospital, calles de pavimento artificial”. </w:t>
      </w:r>
      <w:r w:rsidR="009675A0">
        <w:rPr>
          <w:rStyle w:val="Refdenotaalpie"/>
          <w:rFonts w:ascii="Arial" w:hAnsi="Arial" w:cs="Arial"/>
          <w:sz w:val="24"/>
          <w:szCs w:val="24"/>
          <w:lang w:val="es-CR"/>
        </w:rPr>
        <w:footnoteReference w:id="67"/>
      </w:r>
      <w:r w:rsidR="0084544C">
        <w:rPr>
          <w:rFonts w:ascii="Arial" w:hAnsi="Arial" w:cs="Arial"/>
          <w:sz w:val="24"/>
          <w:szCs w:val="24"/>
          <w:lang w:val="es-CR"/>
        </w:rPr>
        <w:t xml:space="preserve">  Finalmente, el autor en mención, nos hace alusión a Tilarán, -que por la época en la que se escribió este texto-, era pueblo de  más reciente creación.  </w:t>
      </w:r>
      <w:r w:rsidR="009E656B" w:rsidRPr="008A35C7">
        <w:rPr>
          <w:rFonts w:ascii="Arial" w:hAnsi="Arial" w:cs="Arial"/>
          <w:sz w:val="24"/>
          <w:szCs w:val="24"/>
          <w:lang w:val="es-CR"/>
        </w:rPr>
        <w:t xml:space="preserve">“El cantón de Tilarán es el más reciente de la provincia situado completamente sobre la altura de la </w:t>
      </w:r>
      <w:r w:rsidR="009E656B" w:rsidRPr="008A35C7">
        <w:rPr>
          <w:rFonts w:ascii="Arial" w:hAnsi="Arial" w:cs="Arial"/>
          <w:sz w:val="24"/>
          <w:szCs w:val="24"/>
          <w:lang w:val="es-CR"/>
        </w:rPr>
        <w:lastRenderedPageBreak/>
        <w:t xml:space="preserve">cordillera…magnifico clima excelente perspectiva de prosperidad agrícola, población laboriosa compuesta casi toda por familias provenientes del interior del país…abangares en el cantón de donde ha salido la mayor cantidad de oro extraído de las minas del país”. </w:t>
      </w:r>
      <w:r w:rsidR="00991274">
        <w:rPr>
          <w:rStyle w:val="Refdenotaalpie"/>
          <w:rFonts w:ascii="Arial" w:hAnsi="Arial" w:cs="Arial"/>
          <w:sz w:val="24"/>
          <w:szCs w:val="24"/>
          <w:lang w:val="es-CR"/>
        </w:rPr>
        <w:footnoteReference w:id="68"/>
      </w:r>
      <w:r w:rsidR="00C611FA">
        <w:rPr>
          <w:rFonts w:ascii="Arial" w:hAnsi="Arial" w:cs="Arial"/>
          <w:sz w:val="24"/>
          <w:szCs w:val="24"/>
          <w:lang w:val="es-CR"/>
        </w:rPr>
        <w:t xml:space="preserve">  </w:t>
      </w:r>
    </w:p>
    <w:p w:rsidR="007F6372" w:rsidRDefault="007F6372" w:rsidP="007F6372">
      <w:pPr>
        <w:spacing w:line="480" w:lineRule="auto"/>
        <w:jc w:val="both"/>
        <w:rPr>
          <w:rFonts w:ascii="Arial" w:hAnsi="Arial" w:cs="Arial"/>
          <w:sz w:val="24"/>
          <w:szCs w:val="24"/>
          <w:lang w:val="es-CR"/>
        </w:rPr>
      </w:pPr>
      <w:r>
        <w:rPr>
          <w:rFonts w:ascii="Arial" w:hAnsi="Arial" w:cs="Arial"/>
          <w:sz w:val="24"/>
          <w:szCs w:val="24"/>
          <w:lang w:val="es-CR"/>
        </w:rPr>
        <w:tab/>
        <w:t xml:space="preserve">La notable descripción que Salvador Villar hace de la provincia de Guanacaste, no solo incluye la cualidad principal de sus pueblos; sino que también realiza una aguda caracterización de su gente, costumbres y cultura. </w:t>
      </w:r>
      <w:r w:rsidR="009E656B" w:rsidRPr="008A35C7">
        <w:rPr>
          <w:rFonts w:ascii="Arial" w:hAnsi="Arial" w:cs="Arial"/>
          <w:sz w:val="24"/>
          <w:szCs w:val="24"/>
          <w:lang w:val="es-CR"/>
        </w:rPr>
        <w:t>“Se compone la población en su mayor parte  de mestizos de morena tez y cabellos lacios o ligeramente encrespados. Mulatos e indios de pura raza hay, pero en muy poca proporción. La gente blanca predomina en los cantones de Tilarán, Bagaces y Abangares y se nota que va en aumento también en los demás cantones.</w:t>
      </w:r>
      <w:r>
        <w:rPr>
          <w:rFonts w:ascii="Arial" w:hAnsi="Arial" w:cs="Arial"/>
          <w:sz w:val="24"/>
          <w:szCs w:val="24"/>
          <w:lang w:val="es-CR"/>
        </w:rPr>
        <w:t xml:space="preserve">” </w:t>
      </w:r>
      <w:r>
        <w:rPr>
          <w:rStyle w:val="Refdenotaalpie"/>
          <w:rFonts w:ascii="Arial" w:hAnsi="Arial" w:cs="Arial"/>
          <w:sz w:val="24"/>
          <w:szCs w:val="24"/>
          <w:lang w:val="es-CR"/>
        </w:rPr>
        <w:footnoteReference w:id="69"/>
      </w:r>
    </w:p>
    <w:p w:rsidR="009E656B" w:rsidRDefault="007F6372" w:rsidP="007F6372">
      <w:pPr>
        <w:spacing w:line="480" w:lineRule="auto"/>
        <w:ind w:firstLine="708"/>
        <w:jc w:val="both"/>
        <w:rPr>
          <w:rFonts w:ascii="Arial" w:hAnsi="Arial" w:cs="Arial"/>
          <w:sz w:val="24"/>
          <w:szCs w:val="24"/>
          <w:lang w:val="es-CR"/>
        </w:rPr>
      </w:pPr>
      <w:r>
        <w:rPr>
          <w:rFonts w:ascii="Arial" w:hAnsi="Arial" w:cs="Arial"/>
          <w:sz w:val="24"/>
          <w:szCs w:val="24"/>
          <w:lang w:val="es-CR"/>
        </w:rPr>
        <w:t xml:space="preserve">La imagen del guanacasteco y su forma de vida son aspectos que Villar expone con sólida precisión. Él habla del carácter hospitalario, alegre y justo de sus pobladores. </w:t>
      </w:r>
      <w:r w:rsidR="009E656B" w:rsidRPr="008A35C7">
        <w:rPr>
          <w:rFonts w:ascii="Arial" w:hAnsi="Arial" w:cs="Arial"/>
          <w:sz w:val="24"/>
          <w:szCs w:val="24"/>
          <w:lang w:val="es-CR"/>
        </w:rPr>
        <w:t xml:space="preserve"> Gusta mucho del baile, del canto y de la música. Tiene especial afición por la guitarra cuyo rasgueo se oye por las noches hasta en los tapancos o dormitorios de los peones sabaneros de las fincas. El atractivo de los bailes populares o parrandas lo constituyen las morenas con sus vestidos regionales olorosos a reseda y violeta y la marimba acompañada por la guitarra a cuyo compás bailan fox trots, tangos, valses danzones y sobre todo, aires típicos como la botijuela, el punto, el pavo, el acuartillado, la simpatía, en los cuajes los </w:t>
      </w:r>
      <w:r w:rsidR="009E656B" w:rsidRPr="008A35C7">
        <w:rPr>
          <w:rFonts w:ascii="Arial" w:hAnsi="Arial" w:cs="Arial"/>
          <w:sz w:val="24"/>
          <w:szCs w:val="24"/>
          <w:lang w:val="es-CR"/>
        </w:rPr>
        <w:lastRenderedPageBreak/>
        <w:t>bailarines van sueltos y las mujeres tienen oportunidad de lucir la flexibilidad y garbo de su talle”.</w:t>
      </w:r>
      <w:r>
        <w:rPr>
          <w:rFonts w:ascii="Arial" w:hAnsi="Arial" w:cs="Arial"/>
          <w:sz w:val="24"/>
          <w:szCs w:val="24"/>
          <w:lang w:val="es-CR"/>
        </w:rPr>
        <w:t xml:space="preserve"> </w:t>
      </w:r>
      <w:r>
        <w:rPr>
          <w:rStyle w:val="Refdenotaalpie"/>
          <w:rFonts w:ascii="Arial" w:hAnsi="Arial" w:cs="Arial"/>
          <w:sz w:val="24"/>
          <w:szCs w:val="24"/>
          <w:lang w:val="es-CR"/>
        </w:rPr>
        <w:footnoteReference w:id="70"/>
      </w:r>
      <w:r w:rsidR="009E656B" w:rsidRPr="008A35C7">
        <w:rPr>
          <w:rFonts w:ascii="Arial" w:hAnsi="Arial" w:cs="Arial"/>
          <w:sz w:val="24"/>
          <w:szCs w:val="24"/>
          <w:lang w:val="es-CR"/>
        </w:rPr>
        <w:t xml:space="preserve"> </w:t>
      </w:r>
      <w:r>
        <w:rPr>
          <w:rFonts w:ascii="Arial" w:hAnsi="Arial" w:cs="Arial"/>
          <w:sz w:val="24"/>
          <w:szCs w:val="24"/>
          <w:lang w:val="es-CR"/>
        </w:rPr>
        <w:t xml:space="preserve">    </w:t>
      </w:r>
    </w:p>
    <w:p w:rsidR="007A5075" w:rsidRDefault="007A5075" w:rsidP="007A5075">
      <w:pPr>
        <w:spacing w:line="480" w:lineRule="auto"/>
        <w:jc w:val="center"/>
        <w:rPr>
          <w:rFonts w:ascii="Arial" w:hAnsi="Arial" w:cs="Arial"/>
          <w:sz w:val="24"/>
          <w:szCs w:val="24"/>
          <w:lang w:val="es-CR"/>
        </w:rPr>
      </w:pPr>
      <w:r>
        <w:rPr>
          <w:rFonts w:ascii="Arial" w:hAnsi="Arial" w:cs="Arial"/>
          <w:noProof/>
          <w:sz w:val="24"/>
          <w:szCs w:val="24"/>
          <w:lang w:val="es-CR" w:eastAsia="es-CR"/>
        </w:rPr>
        <w:drawing>
          <wp:inline distT="0" distB="0" distL="0" distR="0">
            <wp:extent cx="4381500" cy="245745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381500" cy="2457450"/>
                    </a:xfrm>
                    <a:prstGeom prst="rect">
                      <a:avLst/>
                    </a:prstGeom>
                    <a:noFill/>
                    <a:ln w="9525">
                      <a:noFill/>
                      <a:miter lim="800000"/>
                      <a:headEnd/>
                      <a:tailEnd/>
                    </a:ln>
                  </pic:spPr>
                </pic:pic>
              </a:graphicData>
            </a:graphic>
          </wp:inline>
        </w:drawing>
      </w:r>
    </w:p>
    <w:p w:rsidR="007A5075" w:rsidRDefault="00156697" w:rsidP="00156697">
      <w:pPr>
        <w:spacing w:line="240" w:lineRule="auto"/>
        <w:ind w:firstLine="708"/>
        <w:jc w:val="both"/>
        <w:rPr>
          <w:rFonts w:ascii="Arial" w:hAnsi="Arial" w:cs="Arial"/>
          <w:i/>
          <w:sz w:val="20"/>
          <w:szCs w:val="20"/>
          <w:lang w:val="es-CR"/>
        </w:rPr>
      </w:pPr>
      <w:r w:rsidRPr="00156697">
        <w:rPr>
          <w:rFonts w:ascii="Arial" w:hAnsi="Arial" w:cs="Arial"/>
          <w:i/>
          <w:sz w:val="20"/>
          <w:szCs w:val="20"/>
          <w:lang w:val="es-CR"/>
        </w:rPr>
        <w:t>Durante sus fiestas cívicas y de Santiago da gusto ver el conjunto de briosos caballos lujosamente aperados con pellones, jáquimas, bragueros, gruperas y tapojos vistosos tejidos h</w:t>
      </w:r>
      <w:r>
        <w:rPr>
          <w:rFonts w:ascii="Arial" w:hAnsi="Arial" w:cs="Arial"/>
          <w:i/>
          <w:sz w:val="20"/>
          <w:szCs w:val="20"/>
          <w:lang w:val="es-CR"/>
        </w:rPr>
        <w:t>á</w:t>
      </w:r>
      <w:r w:rsidRPr="00156697">
        <w:rPr>
          <w:rFonts w:ascii="Arial" w:hAnsi="Arial" w:cs="Arial"/>
          <w:i/>
          <w:sz w:val="20"/>
          <w:szCs w:val="20"/>
          <w:lang w:val="es-CR"/>
        </w:rPr>
        <w:t>bilmente con crin y badana de color, montados por sabaneros de las diferentes haciendas que entran en competencia</w:t>
      </w:r>
      <w:r>
        <w:rPr>
          <w:rFonts w:ascii="Arial" w:hAnsi="Arial" w:cs="Arial"/>
          <w:i/>
          <w:sz w:val="20"/>
          <w:szCs w:val="20"/>
          <w:lang w:val="es-CR"/>
        </w:rPr>
        <w:t xml:space="preserve">. Fuente: Salvador Villar. Guanacaste Monografía histórica. San José: Imprenta Borrasé Hermanos, 1934. p.30 </w:t>
      </w:r>
    </w:p>
    <w:p w:rsidR="000252D5" w:rsidRDefault="000252D5" w:rsidP="00156697">
      <w:pPr>
        <w:spacing w:line="240" w:lineRule="auto"/>
        <w:ind w:firstLine="708"/>
        <w:jc w:val="both"/>
        <w:rPr>
          <w:rFonts w:ascii="Arial" w:hAnsi="Arial" w:cs="Arial"/>
          <w:i/>
          <w:sz w:val="20"/>
          <w:szCs w:val="20"/>
          <w:lang w:val="es-CR"/>
        </w:rPr>
      </w:pPr>
    </w:p>
    <w:p w:rsidR="007A5075" w:rsidRPr="008A35C7" w:rsidRDefault="000252D5" w:rsidP="007F6372">
      <w:pPr>
        <w:spacing w:line="480" w:lineRule="auto"/>
        <w:ind w:firstLine="708"/>
        <w:jc w:val="both"/>
        <w:rPr>
          <w:rFonts w:ascii="Arial" w:hAnsi="Arial" w:cs="Arial"/>
          <w:sz w:val="24"/>
          <w:szCs w:val="24"/>
          <w:lang w:val="es-CR"/>
        </w:rPr>
      </w:pPr>
      <w:r>
        <w:rPr>
          <w:rFonts w:ascii="Arial" w:hAnsi="Arial" w:cs="Arial"/>
          <w:sz w:val="24"/>
          <w:szCs w:val="24"/>
          <w:lang w:val="es-CR"/>
        </w:rPr>
        <w:t xml:space="preserve">La semblanza que </w:t>
      </w:r>
      <w:r w:rsidR="0001578E">
        <w:rPr>
          <w:rFonts w:ascii="Arial" w:hAnsi="Arial" w:cs="Arial"/>
          <w:sz w:val="24"/>
          <w:szCs w:val="24"/>
          <w:lang w:val="es-CR"/>
        </w:rPr>
        <w:t>S</w:t>
      </w:r>
      <w:r>
        <w:rPr>
          <w:rFonts w:ascii="Arial" w:hAnsi="Arial" w:cs="Arial"/>
          <w:sz w:val="24"/>
          <w:szCs w:val="24"/>
          <w:lang w:val="es-CR"/>
        </w:rPr>
        <w:t xml:space="preserve">alvador Villar hace de Guanacaste, </w:t>
      </w:r>
      <w:r w:rsidR="0001578E">
        <w:rPr>
          <w:rFonts w:ascii="Arial" w:hAnsi="Arial" w:cs="Arial"/>
          <w:sz w:val="24"/>
          <w:szCs w:val="24"/>
          <w:lang w:val="es-CR"/>
        </w:rPr>
        <w:t>representa una visión de la historia regional de gran valor. En ella, se pone e</w:t>
      </w:r>
      <w:r>
        <w:rPr>
          <w:rFonts w:ascii="Arial" w:hAnsi="Arial" w:cs="Arial"/>
          <w:sz w:val="24"/>
          <w:szCs w:val="24"/>
          <w:lang w:val="es-CR"/>
        </w:rPr>
        <w:t>n evidencia la riqueza cultural de</w:t>
      </w:r>
      <w:r w:rsidR="0001578E">
        <w:rPr>
          <w:rFonts w:ascii="Arial" w:hAnsi="Arial" w:cs="Arial"/>
          <w:sz w:val="24"/>
          <w:szCs w:val="24"/>
          <w:lang w:val="es-CR"/>
        </w:rPr>
        <w:t xml:space="preserve"> la zona, su historia y su modo de ser. </w:t>
      </w:r>
      <w:r>
        <w:rPr>
          <w:rFonts w:ascii="Arial" w:hAnsi="Arial" w:cs="Arial"/>
          <w:sz w:val="24"/>
          <w:szCs w:val="24"/>
          <w:lang w:val="es-CR"/>
        </w:rPr>
        <w:t xml:space="preserve">Se ha pasado revisión a una parte de sus aportes con la finalidad de que se pueda apreciar como un texto –en este caso de tipo monográfico- puede dar una visión de Guanacaste como una sola unidad. </w:t>
      </w:r>
    </w:p>
    <w:p w:rsidR="0019418F" w:rsidRDefault="0019418F" w:rsidP="00396B93">
      <w:pPr>
        <w:spacing w:after="0" w:line="240" w:lineRule="auto"/>
        <w:rPr>
          <w:rFonts w:ascii="Arial" w:eastAsia="Times New Roman" w:hAnsi="Arial" w:cs="Arial"/>
          <w:color w:val="000000"/>
          <w:sz w:val="24"/>
          <w:szCs w:val="24"/>
          <w:lang w:eastAsia="es-CR"/>
        </w:rPr>
      </w:pPr>
    </w:p>
    <w:p w:rsidR="00E847F6" w:rsidRDefault="00E847F6" w:rsidP="00396B93">
      <w:pPr>
        <w:spacing w:after="0" w:line="240" w:lineRule="auto"/>
        <w:rPr>
          <w:rFonts w:ascii="Arial" w:eastAsia="Times New Roman" w:hAnsi="Arial" w:cs="Arial"/>
          <w:color w:val="000000"/>
          <w:sz w:val="24"/>
          <w:szCs w:val="24"/>
          <w:lang w:eastAsia="es-CR"/>
        </w:rPr>
      </w:pPr>
    </w:p>
    <w:p w:rsidR="00E847F6" w:rsidRDefault="00E847F6" w:rsidP="00396B93">
      <w:pPr>
        <w:spacing w:after="0" w:line="240" w:lineRule="auto"/>
        <w:rPr>
          <w:rFonts w:ascii="Arial" w:eastAsia="Times New Roman" w:hAnsi="Arial" w:cs="Arial"/>
          <w:color w:val="000000"/>
          <w:sz w:val="24"/>
          <w:szCs w:val="24"/>
          <w:lang w:eastAsia="es-CR"/>
        </w:rPr>
      </w:pPr>
    </w:p>
    <w:p w:rsidR="00E847F6" w:rsidRDefault="00E847F6" w:rsidP="00396B93">
      <w:pPr>
        <w:spacing w:after="0" w:line="240" w:lineRule="auto"/>
        <w:rPr>
          <w:rFonts w:ascii="Arial" w:eastAsia="Times New Roman" w:hAnsi="Arial" w:cs="Arial"/>
          <w:color w:val="000000"/>
          <w:sz w:val="24"/>
          <w:szCs w:val="24"/>
          <w:lang w:eastAsia="es-CR"/>
        </w:rPr>
      </w:pPr>
    </w:p>
    <w:p w:rsidR="00E847F6" w:rsidRDefault="00E847F6" w:rsidP="00396B93">
      <w:pPr>
        <w:spacing w:after="0" w:line="240" w:lineRule="auto"/>
        <w:rPr>
          <w:rFonts w:ascii="Arial" w:eastAsia="Times New Roman" w:hAnsi="Arial" w:cs="Arial"/>
          <w:color w:val="000000"/>
          <w:sz w:val="24"/>
          <w:szCs w:val="24"/>
          <w:lang w:eastAsia="es-CR"/>
        </w:rPr>
      </w:pPr>
    </w:p>
    <w:p w:rsidR="00E847F6" w:rsidRPr="00BE71D5" w:rsidRDefault="00BE71D5" w:rsidP="00396B93">
      <w:pPr>
        <w:spacing w:after="0" w:line="240" w:lineRule="auto"/>
        <w:rPr>
          <w:rFonts w:ascii="Arial" w:eastAsia="Times New Roman" w:hAnsi="Arial" w:cs="Arial"/>
          <w:i/>
          <w:color w:val="000000"/>
          <w:sz w:val="24"/>
          <w:szCs w:val="24"/>
          <w:lang w:eastAsia="es-CR"/>
        </w:rPr>
      </w:pPr>
      <w:r w:rsidRPr="00BE71D5">
        <w:rPr>
          <w:rFonts w:ascii="Arial" w:eastAsia="Times New Roman" w:hAnsi="Arial" w:cs="Arial"/>
          <w:i/>
          <w:color w:val="000000"/>
          <w:sz w:val="24"/>
          <w:szCs w:val="24"/>
          <w:lang w:eastAsia="es-CR"/>
        </w:rPr>
        <w:lastRenderedPageBreak/>
        <w:t xml:space="preserve">5. La historia de Guanacaste vista desde los textos de </w:t>
      </w:r>
      <w:r w:rsidR="0004235B">
        <w:rPr>
          <w:rFonts w:ascii="Arial" w:eastAsia="Times New Roman" w:hAnsi="Arial" w:cs="Arial"/>
          <w:i/>
          <w:color w:val="000000"/>
          <w:sz w:val="24"/>
          <w:szCs w:val="24"/>
          <w:lang w:eastAsia="es-CR"/>
        </w:rPr>
        <w:t>h</w:t>
      </w:r>
      <w:r w:rsidRPr="00BE71D5">
        <w:rPr>
          <w:rFonts w:ascii="Arial" w:eastAsia="Times New Roman" w:hAnsi="Arial" w:cs="Arial"/>
          <w:i/>
          <w:color w:val="000000"/>
          <w:sz w:val="24"/>
          <w:szCs w:val="24"/>
          <w:lang w:eastAsia="es-CR"/>
        </w:rPr>
        <w:t>istoria agraria</w:t>
      </w:r>
    </w:p>
    <w:p w:rsidR="007D68EF" w:rsidRDefault="007D68EF" w:rsidP="006C198C">
      <w:pPr>
        <w:spacing w:after="0" w:line="240" w:lineRule="auto"/>
        <w:rPr>
          <w:rFonts w:ascii="Arial" w:eastAsia="Times New Roman" w:hAnsi="Arial" w:cs="Arial"/>
          <w:color w:val="000000"/>
          <w:sz w:val="24"/>
          <w:szCs w:val="24"/>
          <w:lang w:eastAsia="es-CR"/>
        </w:rPr>
      </w:pPr>
    </w:p>
    <w:p w:rsidR="00677E96" w:rsidRDefault="0004235B" w:rsidP="005B4214">
      <w:pPr>
        <w:spacing w:after="0"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ab/>
        <w:t xml:space="preserve">La historia agraria de Guanacaste </w:t>
      </w:r>
      <w:r w:rsidR="00A5171C">
        <w:rPr>
          <w:rFonts w:ascii="Arial" w:eastAsia="Times New Roman" w:hAnsi="Arial" w:cs="Arial"/>
          <w:color w:val="000000"/>
          <w:sz w:val="24"/>
          <w:szCs w:val="24"/>
          <w:lang w:eastAsia="es-CR"/>
        </w:rPr>
        <w:t xml:space="preserve">pasa por un grupo de temas obviamente ligados a la tierra. </w:t>
      </w:r>
      <w:r w:rsidR="009E2097">
        <w:rPr>
          <w:rStyle w:val="Refdenotaalpie"/>
          <w:rFonts w:ascii="Arial" w:eastAsia="Times New Roman" w:hAnsi="Arial" w:cs="Arial"/>
          <w:color w:val="000000"/>
          <w:sz w:val="24"/>
          <w:szCs w:val="24"/>
          <w:lang w:eastAsia="es-CR"/>
        </w:rPr>
        <w:footnoteReference w:id="71"/>
      </w:r>
      <w:r w:rsidR="009E2097">
        <w:rPr>
          <w:rFonts w:ascii="Arial" w:eastAsia="Times New Roman" w:hAnsi="Arial" w:cs="Arial"/>
          <w:color w:val="000000"/>
          <w:sz w:val="24"/>
          <w:szCs w:val="24"/>
          <w:lang w:eastAsia="es-CR"/>
        </w:rPr>
        <w:t xml:space="preserve">  </w:t>
      </w:r>
      <w:r w:rsidR="00A5171C">
        <w:rPr>
          <w:rFonts w:ascii="Arial" w:eastAsia="Times New Roman" w:hAnsi="Arial" w:cs="Arial"/>
          <w:color w:val="000000"/>
          <w:sz w:val="24"/>
          <w:szCs w:val="24"/>
          <w:lang w:eastAsia="es-CR"/>
        </w:rPr>
        <w:t xml:space="preserve">Es por ello que temas tales como </w:t>
      </w:r>
      <w:r>
        <w:rPr>
          <w:rFonts w:ascii="Arial" w:eastAsia="Times New Roman" w:hAnsi="Arial" w:cs="Arial"/>
          <w:color w:val="000000"/>
          <w:sz w:val="24"/>
          <w:szCs w:val="24"/>
          <w:lang w:eastAsia="es-CR"/>
        </w:rPr>
        <w:t>la hacienda ganadera, la producción de granos, caña de azúcar, la explotación maderera y la minería</w:t>
      </w:r>
      <w:r w:rsidR="00DC0A27">
        <w:rPr>
          <w:rFonts w:ascii="Arial" w:eastAsia="Times New Roman" w:hAnsi="Arial" w:cs="Arial"/>
          <w:color w:val="000000"/>
          <w:sz w:val="24"/>
          <w:szCs w:val="24"/>
          <w:lang w:eastAsia="es-CR"/>
        </w:rPr>
        <w:t>,</w:t>
      </w:r>
      <w:r w:rsidR="00A5171C">
        <w:rPr>
          <w:rFonts w:ascii="Arial" w:eastAsia="Times New Roman" w:hAnsi="Arial" w:cs="Arial"/>
          <w:color w:val="000000"/>
          <w:sz w:val="24"/>
          <w:szCs w:val="24"/>
          <w:lang w:eastAsia="es-CR"/>
        </w:rPr>
        <w:t xml:space="preserve"> son los más comunes de hallar en las investigaciones de este campo de estudios.</w:t>
      </w:r>
      <w:r>
        <w:rPr>
          <w:rFonts w:ascii="Arial" w:eastAsia="Times New Roman" w:hAnsi="Arial" w:cs="Arial"/>
          <w:color w:val="000000"/>
          <w:sz w:val="24"/>
          <w:szCs w:val="24"/>
          <w:lang w:eastAsia="es-CR"/>
        </w:rPr>
        <w:t xml:space="preserve"> </w:t>
      </w:r>
      <w:r w:rsidR="00DE34E0">
        <w:rPr>
          <w:rFonts w:ascii="Arial" w:eastAsia="Times New Roman" w:hAnsi="Arial" w:cs="Arial"/>
          <w:color w:val="000000"/>
          <w:sz w:val="24"/>
          <w:szCs w:val="24"/>
          <w:lang w:eastAsia="es-CR"/>
        </w:rPr>
        <w:t>Existe abundante información sobre la legislación y apropiación del suelo tal y como sucede con los textos de Lowell Gudmundson</w:t>
      </w:r>
      <w:r w:rsidR="00DE34E0">
        <w:rPr>
          <w:rStyle w:val="Refdenotaalpie"/>
          <w:rFonts w:ascii="Arial" w:eastAsia="Times New Roman" w:hAnsi="Arial" w:cs="Arial"/>
          <w:color w:val="000000"/>
          <w:sz w:val="24"/>
          <w:szCs w:val="24"/>
          <w:lang w:eastAsia="es-CR"/>
        </w:rPr>
        <w:footnoteReference w:id="72"/>
      </w:r>
      <w:r w:rsidR="00DE34E0">
        <w:rPr>
          <w:rFonts w:ascii="Arial" w:eastAsia="Times New Roman" w:hAnsi="Arial" w:cs="Arial"/>
          <w:color w:val="000000"/>
          <w:sz w:val="24"/>
          <w:szCs w:val="24"/>
          <w:lang w:eastAsia="es-CR"/>
        </w:rPr>
        <w:t>, Brunilda Hilje</w:t>
      </w:r>
      <w:r w:rsidR="00DE34E0">
        <w:rPr>
          <w:rStyle w:val="Refdenotaalpie"/>
          <w:rFonts w:ascii="Arial" w:eastAsia="Times New Roman" w:hAnsi="Arial" w:cs="Arial"/>
          <w:color w:val="000000"/>
          <w:sz w:val="24"/>
          <w:szCs w:val="24"/>
          <w:lang w:eastAsia="es-CR"/>
        </w:rPr>
        <w:footnoteReference w:id="73"/>
      </w:r>
      <w:r w:rsidR="00DE34E0">
        <w:rPr>
          <w:rFonts w:ascii="Arial" w:eastAsia="Times New Roman" w:hAnsi="Arial" w:cs="Arial"/>
          <w:color w:val="000000"/>
          <w:sz w:val="24"/>
          <w:szCs w:val="24"/>
          <w:lang w:eastAsia="es-CR"/>
        </w:rPr>
        <w:t>, Rubén Flores</w:t>
      </w:r>
      <w:r w:rsidR="00DE34E0">
        <w:rPr>
          <w:rStyle w:val="Refdenotaalpie"/>
          <w:rFonts w:ascii="Arial" w:eastAsia="Times New Roman" w:hAnsi="Arial" w:cs="Arial"/>
          <w:color w:val="000000"/>
          <w:sz w:val="24"/>
          <w:szCs w:val="24"/>
          <w:lang w:eastAsia="es-CR"/>
        </w:rPr>
        <w:footnoteReference w:id="74"/>
      </w:r>
      <w:r w:rsidR="000B0FC1">
        <w:rPr>
          <w:rFonts w:ascii="Arial" w:eastAsia="Times New Roman" w:hAnsi="Arial" w:cs="Arial"/>
          <w:color w:val="000000"/>
          <w:sz w:val="24"/>
          <w:szCs w:val="24"/>
          <w:lang w:eastAsia="es-CR"/>
        </w:rPr>
        <w:t>, Carlos Rodríguez</w:t>
      </w:r>
      <w:r w:rsidR="000B0FC1">
        <w:rPr>
          <w:rStyle w:val="Refdenotaalpie"/>
          <w:rFonts w:ascii="Arial" w:eastAsia="Times New Roman" w:hAnsi="Arial" w:cs="Arial"/>
          <w:color w:val="000000"/>
          <w:sz w:val="24"/>
          <w:szCs w:val="24"/>
          <w:lang w:eastAsia="es-CR"/>
        </w:rPr>
        <w:footnoteReference w:id="75"/>
      </w:r>
      <w:r w:rsidR="000B0FC1">
        <w:rPr>
          <w:rFonts w:ascii="Arial" w:eastAsia="Times New Roman" w:hAnsi="Arial" w:cs="Arial"/>
          <w:color w:val="000000"/>
          <w:sz w:val="24"/>
          <w:szCs w:val="24"/>
          <w:lang w:eastAsia="es-CR"/>
        </w:rPr>
        <w:t xml:space="preserve">  y por supuesto Roberto Cabrera. </w:t>
      </w:r>
      <w:r w:rsidR="000B0FC1">
        <w:rPr>
          <w:rStyle w:val="Refdenotaalpie"/>
          <w:rFonts w:ascii="Arial" w:eastAsia="Times New Roman" w:hAnsi="Arial" w:cs="Arial"/>
          <w:color w:val="000000"/>
          <w:sz w:val="24"/>
          <w:szCs w:val="24"/>
          <w:lang w:eastAsia="es-CR"/>
        </w:rPr>
        <w:footnoteReference w:id="76"/>
      </w:r>
    </w:p>
    <w:p w:rsidR="00A31183" w:rsidRDefault="00DC0A27" w:rsidP="003A6B73">
      <w:pPr>
        <w:spacing w:after="0" w:line="480" w:lineRule="auto"/>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ab/>
        <w:t xml:space="preserve">También los conflictos agrarios </w:t>
      </w:r>
      <w:r w:rsidR="008973B6">
        <w:rPr>
          <w:rFonts w:ascii="Arial" w:eastAsia="Times New Roman" w:hAnsi="Arial" w:cs="Arial"/>
          <w:color w:val="000000"/>
          <w:sz w:val="24"/>
          <w:szCs w:val="24"/>
          <w:lang w:eastAsia="es-CR"/>
        </w:rPr>
        <w:t>y la historia de las haciendas ganaderas han sido una vertiente de esta rama de estudios. Hilje</w:t>
      </w:r>
      <w:r w:rsidR="008973B6">
        <w:rPr>
          <w:rStyle w:val="Refdenotaalpie"/>
          <w:rFonts w:ascii="Arial" w:eastAsia="Times New Roman" w:hAnsi="Arial" w:cs="Arial"/>
          <w:color w:val="000000"/>
          <w:sz w:val="24"/>
          <w:szCs w:val="24"/>
          <w:lang w:eastAsia="es-CR"/>
        </w:rPr>
        <w:footnoteReference w:id="77"/>
      </w:r>
      <w:r w:rsidR="008973B6">
        <w:rPr>
          <w:rFonts w:ascii="Arial" w:eastAsia="Times New Roman" w:hAnsi="Arial" w:cs="Arial"/>
          <w:color w:val="000000"/>
          <w:sz w:val="24"/>
          <w:szCs w:val="24"/>
          <w:lang w:eastAsia="es-CR"/>
        </w:rPr>
        <w:t xml:space="preserve"> y Gudmundson</w:t>
      </w:r>
      <w:r w:rsidR="008973B6">
        <w:rPr>
          <w:rStyle w:val="Refdenotaalpie"/>
          <w:rFonts w:ascii="Arial" w:eastAsia="Times New Roman" w:hAnsi="Arial" w:cs="Arial"/>
          <w:color w:val="000000"/>
          <w:sz w:val="24"/>
          <w:szCs w:val="24"/>
          <w:lang w:eastAsia="es-CR"/>
        </w:rPr>
        <w:footnoteReference w:id="78"/>
      </w:r>
      <w:r w:rsidR="003A6B73">
        <w:rPr>
          <w:rFonts w:ascii="Arial" w:eastAsia="Times New Roman" w:hAnsi="Arial" w:cs="Arial"/>
          <w:color w:val="000000"/>
          <w:sz w:val="24"/>
          <w:szCs w:val="24"/>
          <w:lang w:eastAsia="es-CR"/>
        </w:rPr>
        <w:t xml:space="preserve"> junto con Fernández</w:t>
      </w:r>
      <w:r w:rsidR="003A6B73">
        <w:rPr>
          <w:rStyle w:val="Refdenotaalpie"/>
          <w:rFonts w:ascii="Arial" w:eastAsia="Times New Roman" w:hAnsi="Arial" w:cs="Arial"/>
          <w:color w:val="000000"/>
          <w:sz w:val="24"/>
          <w:szCs w:val="24"/>
          <w:lang w:eastAsia="es-CR"/>
        </w:rPr>
        <w:footnoteReference w:id="79"/>
      </w:r>
      <w:r w:rsidR="003A6B73">
        <w:rPr>
          <w:rFonts w:ascii="Arial" w:eastAsia="Times New Roman" w:hAnsi="Arial" w:cs="Arial"/>
          <w:color w:val="000000"/>
          <w:sz w:val="24"/>
          <w:szCs w:val="24"/>
          <w:lang w:eastAsia="es-CR"/>
        </w:rPr>
        <w:t xml:space="preserve">, han hecho su aporte en esta temática. </w:t>
      </w:r>
    </w:p>
    <w:p w:rsidR="00A31183" w:rsidRDefault="00A31183" w:rsidP="003A6B73">
      <w:pPr>
        <w:spacing w:after="0" w:line="480" w:lineRule="auto"/>
        <w:rPr>
          <w:rFonts w:ascii="Arial" w:eastAsia="Times New Roman" w:hAnsi="Arial" w:cs="Arial"/>
          <w:color w:val="000000"/>
          <w:sz w:val="24"/>
          <w:szCs w:val="24"/>
          <w:lang w:eastAsia="es-CR"/>
        </w:rPr>
      </w:pPr>
    </w:p>
    <w:p w:rsidR="00677E96" w:rsidRDefault="00A31183" w:rsidP="00A24B31">
      <w:pPr>
        <w:spacing w:after="0" w:line="480" w:lineRule="auto"/>
        <w:ind w:firstLine="708"/>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lastRenderedPageBreak/>
        <w:t xml:space="preserve">Las alusiones anteriores son solo una pequeña muestra de la producción historiográfica relacionada con los estudios agrarios de Guanacaste.  </w:t>
      </w:r>
      <w:r w:rsidR="00A24B31">
        <w:rPr>
          <w:rFonts w:ascii="Arial" w:eastAsia="Times New Roman" w:hAnsi="Arial" w:cs="Arial"/>
          <w:color w:val="000000"/>
          <w:sz w:val="24"/>
          <w:szCs w:val="24"/>
          <w:lang w:eastAsia="es-CR"/>
        </w:rPr>
        <w:t xml:space="preserve">Ya algunos textos fueron citados en los segmentos anteriores, pero no hay duda que este es un eje central en cualquier investigación de tipo histórica sobre Guanacaste. </w:t>
      </w:r>
    </w:p>
    <w:p w:rsidR="00A24B31" w:rsidRDefault="00A24B31" w:rsidP="00A24B31">
      <w:pPr>
        <w:spacing w:after="0" w:line="480" w:lineRule="auto"/>
        <w:ind w:firstLine="708"/>
        <w:jc w:val="both"/>
        <w:rPr>
          <w:rFonts w:ascii="Arial" w:eastAsia="Times New Roman" w:hAnsi="Arial" w:cs="Arial"/>
          <w:color w:val="000000"/>
          <w:sz w:val="24"/>
          <w:szCs w:val="24"/>
          <w:lang w:eastAsia="es-CR"/>
        </w:rPr>
      </w:pPr>
    </w:p>
    <w:p w:rsidR="00A24B31" w:rsidRDefault="00A24B31" w:rsidP="00A24B31">
      <w:pPr>
        <w:spacing w:after="0" w:line="480" w:lineRule="auto"/>
        <w:jc w:val="both"/>
        <w:rPr>
          <w:rFonts w:ascii="Arial" w:eastAsia="Times New Roman" w:hAnsi="Arial" w:cs="Arial"/>
          <w:color w:val="000000"/>
          <w:sz w:val="24"/>
          <w:szCs w:val="24"/>
          <w:lang w:eastAsia="es-CR"/>
        </w:rPr>
      </w:pPr>
      <w:r>
        <w:rPr>
          <w:rFonts w:ascii="Arial" w:eastAsia="Times New Roman" w:hAnsi="Arial" w:cs="Arial"/>
          <w:color w:val="000000"/>
          <w:sz w:val="24"/>
          <w:szCs w:val="24"/>
          <w:lang w:eastAsia="es-CR"/>
        </w:rPr>
        <w:t xml:space="preserve">Conclusión      </w:t>
      </w:r>
    </w:p>
    <w:p w:rsidR="00A24B31" w:rsidRDefault="00A24B31" w:rsidP="009A0AD9">
      <w:pPr>
        <w:spacing w:line="480" w:lineRule="auto"/>
        <w:ind w:firstLine="708"/>
        <w:jc w:val="both"/>
        <w:rPr>
          <w:rFonts w:ascii="Arial" w:hAnsi="Arial" w:cs="Arial"/>
          <w:sz w:val="24"/>
          <w:szCs w:val="24"/>
          <w:lang w:val="es-CR"/>
        </w:rPr>
      </w:pPr>
      <w:r>
        <w:rPr>
          <w:rFonts w:ascii="Arial" w:eastAsia="Times New Roman" w:hAnsi="Arial" w:cs="Arial"/>
          <w:color w:val="000000"/>
          <w:sz w:val="24"/>
          <w:szCs w:val="24"/>
          <w:lang w:eastAsia="es-CR"/>
        </w:rPr>
        <w:t xml:space="preserve">La revisión de diversas fuentes bibliográficas relacionadas con la historia de Guanacaste, representa un intento por señalar los caminos que han tomado los investigadores en la construcción de conocimiento relacionado con esta zona de Costa Rica. Hemos visto que existen cinco niveles de análisis: </w:t>
      </w:r>
      <w:r>
        <w:rPr>
          <w:rFonts w:ascii="Arial" w:hAnsi="Arial" w:cs="Arial"/>
          <w:sz w:val="24"/>
          <w:szCs w:val="24"/>
          <w:lang w:val="es-CR"/>
        </w:rPr>
        <w:t xml:space="preserve">1.representaciones sociales, imaginario colectivo y religiosidad, 2.estudios coloniales, 3.historias locales, 4.historia regional y, 5.colonización agrícola, hacienda ganadera, tierra y conflictividad social.   </w:t>
      </w:r>
    </w:p>
    <w:tbl>
      <w:tblPr>
        <w:tblW w:w="5000" w:type="pct"/>
        <w:jc w:val="center"/>
        <w:tblCellSpacing w:w="15" w:type="dxa"/>
        <w:tblCellMar>
          <w:top w:w="15" w:type="dxa"/>
          <w:left w:w="150" w:type="dxa"/>
          <w:bottom w:w="15" w:type="dxa"/>
          <w:right w:w="150" w:type="dxa"/>
        </w:tblCellMar>
        <w:tblLook w:val="04A0"/>
      </w:tblPr>
      <w:tblGrid>
        <w:gridCol w:w="9048"/>
      </w:tblGrid>
      <w:tr w:rsidR="00231860" w:rsidRPr="00254233" w:rsidTr="00231860">
        <w:trPr>
          <w:tblCellSpacing w:w="15" w:type="dxa"/>
          <w:jc w:val="center"/>
        </w:trPr>
        <w:tc>
          <w:tcPr>
            <w:tcW w:w="4967" w:type="pct"/>
            <w:tcMar>
              <w:top w:w="15" w:type="dxa"/>
              <w:left w:w="75" w:type="dxa"/>
              <w:bottom w:w="15" w:type="dxa"/>
              <w:right w:w="75" w:type="dxa"/>
            </w:tcMar>
            <w:vAlign w:val="center"/>
            <w:hideMark/>
          </w:tcPr>
          <w:p w:rsidR="00231860" w:rsidRPr="00254233" w:rsidRDefault="005D4173" w:rsidP="009A0AD9">
            <w:pPr>
              <w:spacing w:after="0" w:line="480" w:lineRule="auto"/>
              <w:jc w:val="both"/>
              <w:rPr>
                <w:rFonts w:ascii="Arial" w:eastAsia="Times New Roman" w:hAnsi="Arial" w:cs="Arial"/>
                <w:b/>
                <w:bCs/>
                <w:color w:val="006600"/>
                <w:sz w:val="24"/>
                <w:szCs w:val="24"/>
                <w:lang w:eastAsia="es-CR"/>
              </w:rPr>
            </w:pPr>
            <w:r>
              <w:rPr>
                <w:rFonts w:ascii="Arial" w:eastAsia="Times New Roman" w:hAnsi="Arial" w:cs="Arial"/>
                <w:color w:val="000000"/>
                <w:sz w:val="24"/>
                <w:szCs w:val="24"/>
                <w:lang w:val="es-CR" w:eastAsia="es-CR"/>
              </w:rPr>
              <w:t xml:space="preserve">            </w:t>
            </w:r>
            <w:r w:rsidR="00A24B31">
              <w:rPr>
                <w:rFonts w:ascii="Arial" w:eastAsia="Times New Roman" w:hAnsi="Arial" w:cs="Arial"/>
                <w:color w:val="000000"/>
                <w:sz w:val="24"/>
                <w:szCs w:val="24"/>
                <w:lang w:eastAsia="es-CR"/>
              </w:rPr>
              <w:t xml:space="preserve"> </w:t>
            </w:r>
            <w:r w:rsidR="0096347A">
              <w:rPr>
                <w:rFonts w:ascii="Arial" w:eastAsia="Times New Roman" w:hAnsi="Arial" w:cs="Arial"/>
                <w:color w:val="000000"/>
                <w:sz w:val="24"/>
                <w:szCs w:val="24"/>
                <w:lang w:eastAsia="es-CR"/>
              </w:rPr>
              <w:t xml:space="preserve">Sobre Guanacaste, existe una cantidad adicional de textos venidos de la sociología, </w:t>
            </w:r>
            <w:r w:rsidR="00C618E4">
              <w:rPr>
                <w:rFonts w:ascii="Arial" w:eastAsia="Times New Roman" w:hAnsi="Arial" w:cs="Arial"/>
                <w:color w:val="000000"/>
                <w:sz w:val="24"/>
                <w:szCs w:val="24"/>
                <w:lang w:eastAsia="es-CR"/>
              </w:rPr>
              <w:t xml:space="preserve">la </w:t>
            </w:r>
            <w:r w:rsidR="0096347A">
              <w:rPr>
                <w:rFonts w:ascii="Arial" w:eastAsia="Times New Roman" w:hAnsi="Arial" w:cs="Arial"/>
                <w:color w:val="000000"/>
                <w:sz w:val="24"/>
                <w:szCs w:val="24"/>
                <w:lang w:eastAsia="es-CR"/>
              </w:rPr>
              <w:t xml:space="preserve">educación, </w:t>
            </w:r>
            <w:r w:rsidR="00C618E4">
              <w:rPr>
                <w:rFonts w:ascii="Arial" w:eastAsia="Times New Roman" w:hAnsi="Arial" w:cs="Arial"/>
                <w:color w:val="000000"/>
                <w:sz w:val="24"/>
                <w:szCs w:val="24"/>
                <w:lang w:eastAsia="es-CR"/>
              </w:rPr>
              <w:t xml:space="preserve">la </w:t>
            </w:r>
            <w:r w:rsidR="0096347A">
              <w:rPr>
                <w:rFonts w:ascii="Arial" w:eastAsia="Times New Roman" w:hAnsi="Arial" w:cs="Arial"/>
                <w:color w:val="000000"/>
                <w:sz w:val="24"/>
                <w:szCs w:val="24"/>
                <w:lang w:eastAsia="es-CR"/>
              </w:rPr>
              <w:t xml:space="preserve">economía, </w:t>
            </w:r>
            <w:r w:rsidR="00C618E4">
              <w:rPr>
                <w:rFonts w:ascii="Arial" w:eastAsia="Times New Roman" w:hAnsi="Arial" w:cs="Arial"/>
                <w:color w:val="000000"/>
                <w:sz w:val="24"/>
                <w:szCs w:val="24"/>
                <w:lang w:eastAsia="es-CR"/>
              </w:rPr>
              <w:t xml:space="preserve">la </w:t>
            </w:r>
            <w:r w:rsidR="0096347A">
              <w:rPr>
                <w:rFonts w:ascii="Arial" w:eastAsia="Times New Roman" w:hAnsi="Arial" w:cs="Arial"/>
                <w:color w:val="000000"/>
                <w:sz w:val="24"/>
                <w:szCs w:val="24"/>
                <w:lang w:eastAsia="es-CR"/>
              </w:rPr>
              <w:t>administración y otras disciplinas de las ciencias sociales y exactas. Casi en todas ellas se hace mención a elementos de tipo histórico</w:t>
            </w:r>
            <w:r w:rsidR="009A0AD9">
              <w:rPr>
                <w:rFonts w:ascii="Arial" w:eastAsia="Times New Roman" w:hAnsi="Arial" w:cs="Arial"/>
                <w:color w:val="000000"/>
                <w:sz w:val="24"/>
                <w:szCs w:val="24"/>
                <w:lang w:eastAsia="es-CR"/>
              </w:rPr>
              <w:t xml:space="preserve">; empero en este texto se ha hecho mención exclusivamente a investigaciones de tipo histórico. Es justo señalar que este tipo de ejercicios se debe ampliar, dada la creciente importancia que la zona de Guanacaste tiene en  el concierto de la cultura costarricense. </w:t>
            </w:r>
            <w:r w:rsidR="0096347A">
              <w:rPr>
                <w:rFonts w:ascii="Arial" w:eastAsia="Times New Roman" w:hAnsi="Arial" w:cs="Arial"/>
                <w:color w:val="000000"/>
                <w:sz w:val="24"/>
                <w:szCs w:val="24"/>
                <w:lang w:eastAsia="es-CR"/>
              </w:rPr>
              <w:t xml:space="preserve"> </w:t>
            </w:r>
          </w:p>
        </w:tc>
      </w:tr>
      <w:tr w:rsidR="00231860" w:rsidRPr="00254233" w:rsidTr="003E47BD">
        <w:trPr>
          <w:tblCellSpacing w:w="15" w:type="dxa"/>
          <w:jc w:val="center"/>
        </w:trPr>
        <w:tc>
          <w:tcPr>
            <w:tcW w:w="0" w:type="auto"/>
            <w:tcMar>
              <w:top w:w="15" w:type="dxa"/>
              <w:left w:w="75" w:type="dxa"/>
              <w:bottom w:w="15" w:type="dxa"/>
              <w:right w:w="75" w:type="dxa"/>
            </w:tcMar>
            <w:vAlign w:val="center"/>
            <w:hideMark/>
          </w:tcPr>
          <w:p w:rsidR="00231860" w:rsidRPr="00254233" w:rsidRDefault="00231860" w:rsidP="005B6D78">
            <w:pPr>
              <w:spacing w:after="0" w:line="240" w:lineRule="auto"/>
              <w:rPr>
                <w:rFonts w:ascii="Arial" w:eastAsia="Times New Roman" w:hAnsi="Arial" w:cs="Arial"/>
                <w:color w:val="000000"/>
                <w:sz w:val="24"/>
                <w:szCs w:val="24"/>
                <w:lang w:eastAsia="es-CR"/>
              </w:rPr>
            </w:pPr>
          </w:p>
        </w:tc>
      </w:tr>
      <w:tr w:rsidR="00231860" w:rsidRPr="00254233" w:rsidTr="003E47BD">
        <w:trPr>
          <w:tblCellSpacing w:w="15" w:type="dxa"/>
          <w:jc w:val="center"/>
        </w:trPr>
        <w:tc>
          <w:tcPr>
            <w:tcW w:w="0" w:type="auto"/>
            <w:tcMar>
              <w:top w:w="15" w:type="dxa"/>
              <w:left w:w="75" w:type="dxa"/>
              <w:bottom w:w="15" w:type="dxa"/>
              <w:right w:w="75" w:type="dxa"/>
            </w:tcMar>
            <w:vAlign w:val="center"/>
            <w:hideMark/>
          </w:tcPr>
          <w:p w:rsidR="00231860" w:rsidRPr="00254233" w:rsidRDefault="00231860" w:rsidP="005B6D78">
            <w:pPr>
              <w:spacing w:after="0" w:line="240" w:lineRule="auto"/>
              <w:rPr>
                <w:rFonts w:ascii="Arial" w:eastAsia="Times New Roman" w:hAnsi="Arial" w:cs="Arial"/>
                <w:b/>
                <w:bCs/>
                <w:color w:val="006600"/>
                <w:sz w:val="24"/>
                <w:szCs w:val="24"/>
                <w:lang w:eastAsia="es-CR"/>
              </w:rPr>
            </w:pPr>
          </w:p>
        </w:tc>
      </w:tr>
      <w:tr w:rsidR="00231860" w:rsidRPr="009E656B" w:rsidTr="003E47BD">
        <w:trPr>
          <w:tblCellSpacing w:w="15" w:type="dxa"/>
          <w:jc w:val="center"/>
        </w:trPr>
        <w:tc>
          <w:tcPr>
            <w:tcW w:w="0" w:type="auto"/>
            <w:tcMar>
              <w:top w:w="15" w:type="dxa"/>
              <w:left w:w="75" w:type="dxa"/>
              <w:bottom w:w="15" w:type="dxa"/>
              <w:right w:w="75" w:type="dxa"/>
            </w:tcMar>
            <w:vAlign w:val="center"/>
            <w:hideMark/>
          </w:tcPr>
          <w:p w:rsidR="00231860" w:rsidRDefault="00231860" w:rsidP="00C93BBE">
            <w:pPr>
              <w:spacing w:after="0" w:line="240" w:lineRule="auto"/>
              <w:rPr>
                <w:rFonts w:ascii="Arial" w:eastAsia="Times New Roman" w:hAnsi="Arial" w:cs="Arial"/>
                <w:color w:val="000000"/>
                <w:sz w:val="20"/>
                <w:szCs w:val="20"/>
                <w:lang w:eastAsia="es-CR"/>
              </w:rPr>
            </w:pPr>
          </w:p>
          <w:p w:rsidR="00A24B31" w:rsidRDefault="00A24B31" w:rsidP="00C93BBE">
            <w:pPr>
              <w:spacing w:after="0" w:line="240" w:lineRule="auto"/>
              <w:rPr>
                <w:rFonts w:ascii="Arial" w:eastAsia="Times New Roman" w:hAnsi="Arial" w:cs="Arial"/>
                <w:color w:val="000000"/>
                <w:sz w:val="20"/>
                <w:szCs w:val="20"/>
                <w:lang w:eastAsia="es-CR"/>
              </w:rPr>
            </w:pPr>
          </w:p>
          <w:p w:rsidR="00A24B31" w:rsidRDefault="00A24B31" w:rsidP="00C93BBE">
            <w:pPr>
              <w:spacing w:after="0" w:line="240" w:lineRule="auto"/>
              <w:rPr>
                <w:rFonts w:ascii="Arial" w:eastAsia="Times New Roman" w:hAnsi="Arial" w:cs="Arial"/>
                <w:color w:val="000000"/>
                <w:sz w:val="20"/>
                <w:szCs w:val="20"/>
                <w:lang w:eastAsia="es-CR"/>
              </w:rPr>
            </w:pPr>
          </w:p>
          <w:p w:rsidR="00A24B31" w:rsidRDefault="00A24B31" w:rsidP="00C93BBE">
            <w:pPr>
              <w:spacing w:after="0" w:line="240" w:lineRule="auto"/>
              <w:rPr>
                <w:rFonts w:ascii="Arial" w:eastAsia="Times New Roman" w:hAnsi="Arial" w:cs="Arial"/>
                <w:color w:val="000000"/>
                <w:sz w:val="20"/>
                <w:szCs w:val="20"/>
                <w:lang w:eastAsia="es-CR"/>
              </w:rPr>
            </w:pPr>
          </w:p>
          <w:p w:rsidR="00A24B31" w:rsidRPr="009E656B" w:rsidRDefault="00A24B31" w:rsidP="00C93BBE">
            <w:pPr>
              <w:spacing w:after="0" w:line="240" w:lineRule="auto"/>
              <w:rPr>
                <w:rFonts w:ascii="Arial" w:eastAsia="Times New Roman" w:hAnsi="Arial" w:cs="Arial"/>
                <w:color w:val="000000"/>
                <w:sz w:val="20"/>
                <w:szCs w:val="20"/>
                <w:lang w:eastAsia="es-CR"/>
              </w:rPr>
            </w:pPr>
          </w:p>
        </w:tc>
      </w:tr>
    </w:tbl>
    <w:p w:rsidR="003267B3" w:rsidRPr="008A35C7" w:rsidRDefault="003267B3" w:rsidP="009A0AD9">
      <w:pPr>
        <w:rPr>
          <w:rFonts w:ascii="Arial" w:hAnsi="Arial" w:cs="Arial"/>
          <w:sz w:val="24"/>
          <w:szCs w:val="24"/>
          <w:lang w:val="es-CR"/>
        </w:rPr>
      </w:pPr>
    </w:p>
    <w:sectPr w:rsidR="003267B3" w:rsidRPr="008A35C7" w:rsidSect="006C2424">
      <w:footerReference w:type="default" r:id="rId9"/>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2EC0" w:rsidRDefault="00922EC0" w:rsidP="00F4013E">
      <w:pPr>
        <w:spacing w:after="0" w:line="240" w:lineRule="auto"/>
      </w:pPr>
      <w:r>
        <w:separator/>
      </w:r>
    </w:p>
  </w:endnote>
  <w:endnote w:type="continuationSeparator" w:id="0">
    <w:p w:rsidR="00922EC0" w:rsidRDefault="00922EC0" w:rsidP="00F401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91942"/>
      <w:docPartObj>
        <w:docPartGallery w:val="Page Numbers (Bottom of Page)"/>
        <w:docPartUnique/>
      </w:docPartObj>
    </w:sdtPr>
    <w:sdtContent>
      <w:p w:rsidR="005D4173" w:rsidRDefault="00F76F45">
        <w:pPr>
          <w:pStyle w:val="Piedepgina"/>
          <w:jc w:val="right"/>
        </w:pPr>
        <w:fldSimple w:instr=" PAGE   \* MERGEFORMAT ">
          <w:r w:rsidR="000A07A4">
            <w:rPr>
              <w:noProof/>
            </w:rPr>
            <w:t>19</w:t>
          </w:r>
        </w:fldSimple>
      </w:p>
    </w:sdtContent>
  </w:sdt>
  <w:p w:rsidR="005D4173" w:rsidRDefault="005D417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2EC0" w:rsidRDefault="00922EC0" w:rsidP="00F4013E">
      <w:pPr>
        <w:spacing w:after="0" w:line="240" w:lineRule="auto"/>
      </w:pPr>
      <w:r>
        <w:separator/>
      </w:r>
    </w:p>
  </w:footnote>
  <w:footnote w:type="continuationSeparator" w:id="0">
    <w:p w:rsidR="00922EC0" w:rsidRDefault="00922EC0" w:rsidP="00F4013E">
      <w:pPr>
        <w:spacing w:after="0" w:line="240" w:lineRule="auto"/>
      </w:pPr>
      <w:r>
        <w:continuationSeparator/>
      </w:r>
    </w:p>
  </w:footnote>
  <w:footnote w:id="1">
    <w:p w:rsidR="003E47BD" w:rsidRPr="00975DC0" w:rsidRDefault="003E47BD" w:rsidP="00975DC0">
      <w:pPr>
        <w:pStyle w:val="Textonotapie"/>
        <w:jc w:val="both"/>
        <w:rPr>
          <w:rFonts w:ascii="Arial" w:hAnsi="Arial" w:cs="Arial"/>
          <w:lang w:val="es-CR"/>
        </w:rPr>
      </w:pPr>
      <w:r w:rsidRPr="00975DC0">
        <w:rPr>
          <w:rStyle w:val="Refdenotaalpie"/>
          <w:rFonts w:ascii="Arial" w:hAnsi="Arial" w:cs="Arial"/>
        </w:rPr>
        <w:footnoteRef/>
      </w:r>
      <w:r w:rsidRPr="00975DC0">
        <w:rPr>
          <w:rFonts w:ascii="Arial" w:hAnsi="Arial" w:cs="Arial"/>
        </w:rPr>
        <w:t xml:space="preserve"> </w:t>
      </w:r>
      <w:r w:rsidRPr="00975DC0">
        <w:rPr>
          <w:rFonts w:ascii="Arial" w:hAnsi="Arial" w:cs="Arial"/>
          <w:lang w:val="es-CR"/>
        </w:rPr>
        <w:t>Nos referimos al esfuerzo del programa de Historia Regional Comparada</w:t>
      </w:r>
      <w:r>
        <w:rPr>
          <w:rFonts w:ascii="Arial" w:hAnsi="Arial" w:cs="Arial"/>
          <w:lang w:val="es-CR"/>
        </w:rPr>
        <w:t xml:space="preserve"> de Costa Rica</w:t>
      </w:r>
      <w:r w:rsidRPr="00975DC0">
        <w:rPr>
          <w:rFonts w:ascii="Arial" w:hAnsi="Arial" w:cs="Arial"/>
          <w:lang w:val="es-CR"/>
        </w:rPr>
        <w:t>, del Centro de Investigaciones Históricas de Centroamérica. Véase por ejemplo</w:t>
      </w:r>
      <w:r>
        <w:rPr>
          <w:rFonts w:ascii="Arial" w:hAnsi="Arial" w:cs="Arial"/>
          <w:lang w:val="es-CR"/>
        </w:rPr>
        <w:t>,</w:t>
      </w:r>
      <w:r w:rsidRPr="00975DC0">
        <w:rPr>
          <w:rFonts w:ascii="Arial" w:hAnsi="Arial" w:cs="Arial"/>
          <w:lang w:val="es-CR"/>
        </w:rPr>
        <w:t xml:space="preserve">  el texto  editado por Susan Chek, Ana Paulina Malavassi y Ronny Viales. </w:t>
      </w:r>
      <w:r w:rsidRPr="00975DC0">
        <w:rPr>
          <w:rFonts w:ascii="Arial" w:hAnsi="Arial" w:cs="Arial"/>
          <w:b/>
          <w:lang w:val="es-CR"/>
        </w:rPr>
        <w:t>Teoría y métodos de los estudios regionales y locales</w:t>
      </w:r>
      <w:r w:rsidRPr="00975DC0">
        <w:rPr>
          <w:rFonts w:ascii="Arial" w:hAnsi="Arial" w:cs="Arial"/>
          <w:lang w:val="es-CR"/>
        </w:rPr>
        <w:t xml:space="preserve">. San José: Sección de impresión del SIEDIN, 2008. </w:t>
      </w:r>
    </w:p>
  </w:footnote>
  <w:footnote w:id="2">
    <w:p w:rsidR="003E47BD" w:rsidRPr="002A3FC3" w:rsidRDefault="003E47BD" w:rsidP="00E5554E">
      <w:pPr>
        <w:spacing w:after="0" w:line="240" w:lineRule="auto"/>
        <w:jc w:val="both"/>
        <w:rPr>
          <w:rFonts w:ascii="Arial" w:hAnsi="Arial" w:cs="Arial"/>
          <w:sz w:val="20"/>
          <w:szCs w:val="20"/>
          <w:lang w:val="es-CR"/>
        </w:rPr>
      </w:pPr>
      <w:r w:rsidRPr="002A3FC3">
        <w:rPr>
          <w:rStyle w:val="Refdenotaalpie"/>
          <w:rFonts w:ascii="Arial" w:hAnsi="Arial" w:cs="Arial"/>
          <w:sz w:val="20"/>
          <w:szCs w:val="20"/>
        </w:rPr>
        <w:footnoteRef/>
      </w:r>
      <w:r w:rsidRPr="002A3FC3">
        <w:rPr>
          <w:rFonts w:ascii="Arial" w:hAnsi="Arial" w:cs="Arial"/>
          <w:sz w:val="20"/>
          <w:szCs w:val="20"/>
        </w:rPr>
        <w:t xml:space="preserve"> Véase por ejemplo la investigación de Castillo Gutiérrez Yamileth, Cruz Vega María, </w:t>
      </w:r>
      <w:hyperlink r:id="rId1" w:history="1">
        <w:r w:rsidRPr="002A3FC3">
          <w:rPr>
            <w:rStyle w:val="Hipervnculo"/>
            <w:rFonts w:ascii="Arial" w:hAnsi="Arial" w:cs="Arial"/>
            <w:color w:val="auto"/>
            <w:sz w:val="20"/>
            <w:szCs w:val="20"/>
            <w:u w:val="none"/>
          </w:rPr>
          <w:t>Castillo Gutiérrez, Virginia</w:t>
        </w:r>
      </w:hyperlink>
      <w:r w:rsidRPr="002A3FC3">
        <w:rPr>
          <w:rFonts w:ascii="Arial" w:hAnsi="Arial" w:cs="Arial"/>
          <w:sz w:val="20"/>
          <w:szCs w:val="20"/>
        </w:rPr>
        <w:t xml:space="preserve">. “Bibliografía descriptiva sobre historia y folclor de la provincia de Guanacaste “. TFG. Practica dirigida (licenciatura en Bibliotecología y Ciencias de la Información), Universidad de Costa Rica. Facultad de Educación. Escuela de Bibliotecología y Ciencias de la Información, 1991. </w:t>
      </w:r>
    </w:p>
  </w:footnote>
  <w:footnote w:id="3">
    <w:p w:rsidR="003E47BD" w:rsidRPr="002A3FC3" w:rsidRDefault="003E47BD" w:rsidP="00E5554E">
      <w:pPr>
        <w:spacing w:after="0" w:line="240" w:lineRule="auto"/>
        <w:jc w:val="both"/>
        <w:rPr>
          <w:rFonts w:ascii="Arial" w:hAnsi="Arial" w:cs="Arial"/>
          <w:sz w:val="20"/>
          <w:szCs w:val="20"/>
          <w:lang w:val="es-CR"/>
        </w:rPr>
      </w:pPr>
      <w:r w:rsidRPr="002A3FC3">
        <w:rPr>
          <w:rStyle w:val="Refdenotaalpie"/>
          <w:rFonts w:ascii="Arial" w:hAnsi="Arial" w:cs="Arial"/>
          <w:sz w:val="20"/>
          <w:szCs w:val="20"/>
        </w:rPr>
        <w:footnoteRef/>
      </w:r>
      <w:r w:rsidRPr="002A3FC3">
        <w:rPr>
          <w:rFonts w:ascii="Arial" w:hAnsi="Arial" w:cs="Arial"/>
          <w:sz w:val="20"/>
          <w:szCs w:val="20"/>
        </w:rPr>
        <w:t xml:space="preserve"> </w:t>
      </w:r>
      <w:r w:rsidRPr="002A3FC3">
        <w:rPr>
          <w:rFonts w:ascii="Arial" w:hAnsi="Arial" w:cs="Arial"/>
          <w:sz w:val="20"/>
          <w:szCs w:val="20"/>
          <w:lang w:val="es-CR"/>
        </w:rPr>
        <w:t xml:space="preserve">Arauz, Carlos. </w:t>
      </w:r>
      <w:r w:rsidRPr="002A3FC3">
        <w:rPr>
          <w:rFonts w:ascii="Arial" w:hAnsi="Arial" w:cs="Arial"/>
          <w:b/>
          <w:sz w:val="20"/>
          <w:szCs w:val="20"/>
          <w:lang w:val="es-CR"/>
        </w:rPr>
        <w:t>Cosas de Guanacaste</w:t>
      </w:r>
      <w:r w:rsidRPr="002A3FC3">
        <w:rPr>
          <w:rFonts w:ascii="Arial" w:hAnsi="Arial" w:cs="Arial"/>
          <w:sz w:val="20"/>
          <w:szCs w:val="20"/>
          <w:lang w:val="es-CR"/>
        </w:rPr>
        <w:t xml:space="preserve">. S.E, 2001. </w:t>
      </w:r>
    </w:p>
  </w:footnote>
  <w:footnote w:id="4">
    <w:p w:rsidR="003E47BD" w:rsidRPr="002A3FC3" w:rsidRDefault="003E47BD" w:rsidP="00E5554E">
      <w:pPr>
        <w:spacing w:after="0" w:line="240" w:lineRule="auto"/>
        <w:jc w:val="both"/>
        <w:rPr>
          <w:rFonts w:ascii="Arial" w:hAnsi="Arial" w:cs="Arial"/>
          <w:sz w:val="20"/>
          <w:szCs w:val="20"/>
          <w:lang w:val="es-CR"/>
        </w:rPr>
      </w:pPr>
      <w:r w:rsidRPr="002A3FC3">
        <w:rPr>
          <w:rStyle w:val="Refdenotaalpie"/>
          <w:rFonts w:ascii="Arial" w:hAnsi="Arial" w:cs="Arial"/>
          <w:sz w:val="20"/>
          <w:szCs w:val="20"/>
        </w:rPr>
        <w:footnoteRef/>
      </w:r>
      <w:r w:rsidRPr="002A3FC3">
        <w:rPr>
          <w:rFonts w:ascii="Arial" w:hAnsi="Arial" w:cs="Arial"/>
          <w:sz w:val="20"/>
          <w:szCs w:val="20"/>
        </w:rPr>
        <w:t xml:space="preserve"> Jaén, Julio César y  Hernández de Jaén, Mireya. </w:t>
      </w:r>
      <w:r w:rsidRPr="002A3FC3">
        <w:rPr>
          <w:rFonts w:ascii="Arial" w:hAnsi="Arial" w:cs="Arial"/>
          <w:b/>
          <w:sz w:val="20"/>
          <w:szCs w:val="20"/>
        </w:rPr>
        <w:t>La guanacastequidad de Nicoya, su reintegración administrativa</w:t>
      </w:r>
      <w:r w:rsidRPr="002A3FC3">
        <w:rPr>
          <w:rFonts w:ascii="Arial" w:hAnsi="Arial" w:cs="Arial"/>
          <w:sz w:val="20"/>
          <w:szCs w:val="20"/>
        </w:rPr>
        <w:t xml:space="preserve"> San José, Costa Rica,  [s.n.], 1990.</w:t>
      </w:r>
    </w:p>
  </w:footnote>
  <w:footnote w:id="5">
    <w:p w:rsidR="003E47BD" w:rsidRPr="002A3FC3" w:rsidRDefault="003E47BD" w:rsidP="00E5554E">
      <w:pPr>
        <w:spacing w:after="0" w:line="240" w:lineRule="auto"/>
        <w:jc w:val="both"/>
        <w:rPr>
          <w:rFonts w:ascii="Arial" w:hAnsi="Arial" w:cs="Arial"/>
          <w:sz w:val="20"/>
          <w:szCs w:val="20"/>
          <w:lang w:val="es-CR"/>
        </w:rPr>
      </w:pPr>
      <w:r w:rsidRPr="002A3FC3">
        <w:rPr>
          <w:rStyle w:val="Refdenotaalpie"/>
          <w:rFonts w:ascii="Arial" w:hAnsi="Arial" w:cs="Arial"/>
          <w:sz w:val="20"/>
          <w:szCs w:val="20"/>
        </w:rPr>
        <w:footnoteRef/>
      </w:r>
      <w:r w:rsidRPr="002A3FC3">
        <w:rPr>
          <w:rFonts w:ascii="Arial" w:hAnsi="Arial" w:cs="Arial"/>
          <w:sz w:val="20"/>
          <w:szCs w:val="20"/>
        </w:rPr>
        <w:t xml:space="preserve"> </w:t>
      </w:r>
      <w:r w:rsidRPr="002A3FC3">
        <w:rPr>
          <w:rFonts w:ascii="Arial" w:eastAsia="Times New Roman" w:hAnsi="Arial" w:cs="Arial"/>
          <w:color w:val="000000"/>
          <w:sz w:val="20"/>
          <w:szCs w:val="20"/>
          <w:lang w:eastAsia="es-CR"/>
        </w:rPr>
        <w:t xml:space="preserve">García, Guillermo y Luis Efrén García. </w:t>
      </w:r>
      <w:r w:rsidRPr="002A3FC3">
        <w:rPr>
          <w:rFonts w:ascii="Arial" w:eastAsia="Times New Roman" w:hAnsi="Arial" w:cs="Arial"/>
          <w:b/>
          <w:color w:val="000000"/>
          <w:sz w:val="20"/>
          <w:szCs w:val="20"/>
          <w:lang w:eastAsia="es-CR"/>
        </w:rPr>
        <w:t>Comidas y bebidas típicas de Guanacaste.</w:t>
      </w:r>
      <w:r w:rsidRPr="002A3FC3">
        <w:rPr>
          <w:rFonts w:ascii="Arial" w:eastAsia="Times New Roman" w:hAnsi="Arial" w:cs="Arial"/>
          <w:color w:val="000000"/>
          <w:sz w:val="20"/>
          <w:szCs w:val="20"/>
          <w:lang w:eastAsia="es-CR"/>
        </w:rPr>
        <w:t xml:space="preserve"> San José: Editorial Costa Rica, 1981.  </w:t>
      </w:r>
    </w:p>
  </w:footnote>
  <w:footnote w:id="6">
    <w:p w:rsidR="003E47BD" w:rsidRPr="002A3FC3" w:rsidRDefault="003E47BD" w:rsidP="00E5554E">
      <w:pPr>
        <w:spacing w:after="0" w:line="240" w:lineRule="auto"/>
        <w:rPr>
          <w:rFonts w:ascii="Arial" w:hAnsi="Arial" w:cs="Arial"/>
          <w:sz w:val="20"/>
          <w:szCs w:val="20"/>
          <w:lang w:val="es-CR"/>
        </w:rPr>
      </w:pPr>
      <w:r w:rsidRPr="002A3FC3">
        <w:rPr>
          <w:rStyle w:val="Refdenotaalpie"/>
          <w:rFonts w:ascii="Arial" w:hAnsi="Arial" w:cs="Arial"/>
          <w:sz w:val="20"/>
          <w:szCs w:val="20"/>
        </w:rPr>
        <w:footnoteRef/>
      </w:r>
      <w:r w:rsidRPr="002A3FC3">
        <w:rPr>
          <w:rFonts w:ascii="Arial" w:hAnsi="Arial" w:cs="Arial"/>
          <w:sz w:val="20"/>
          <w:szCs w:val="20"/>
        </w:rPr>
        <w:t xml:space="preserve"> </w:t>
      </w:r>
      <w:r w:rsidRPr="002A3FC3">
        <w:rPr>
          <w:rFonts w:ascii="Arial" w:hAnsi="Arial" w:cs="Arial"/>
          <w:bCs/>
          <w:sz w:val="20"/>
          <w:szCs w:val="20"/>
        </w:rPr>
        <w:t>García Murillo, Guillermo</w:t>
      </w:r>
      <w:r w:rsidRPr="002A3FC3">
        <w:rPr>
          <w:rFonts w:ascii="Arial" w:hAnsi="Arial" w:cs="Arial"/>
          <w:b/>
          <w:bCs/>
          <w:sz w:val="20"/>
          <w:szCs w:val="20"/>
        </w:rPr>
        <w:t>. Introducción a un estudio sobre las comidas y bebidas típicas  de Guanacaste con algunas referencias lexicográficas</w:t>
      </w:r>
      <w:r w:rsidRPr="002A3FC3">
        <w:rPr>
          <w:rFonts w:ascii="Arial" w:hAnsi="Arial" w:cs="Arial"/>
          <w:bCs/>
          <w:sz w:val="20"/>
          <w:szCs w:val="20"/>
        </w:rPr>
        <w:t xml:space="preserve">. San José: Editorial Fernández Arce, 1976.  </w:t>
      </w:r>
    </w:p>
  </w:footnote>
  <w:footnote w:id="7">
    <w:p w:rsidR="003E47BD" w:rsidRPr="002A3FC3" w:rsidRDefault="003E47BD" w:rsidP="00E5554E">
      <w:pPr>
        <w:spacing w:after="0" w:line="240" w:lineRule="auto"/>
        <w:rPr>
          <w:rFonts w:ascii="Arial" w:eastAsia="Times New Roman" w:hAnsi="Arial" w:cs="Arial"/>
          <w:color w:val="000000"/>
          <w:sz w:val="20"/>
          <w:szCs w:val="20"/>
          <w:lang w:eastAsia="es-CR"/>
        </w:rPr>
      </w:pPr>
      <w:r w:rsidRPr="002A3FC3">
        <w:rPr>
          <w:rStyle w:val="Refdenotaalpie"/>
          <w:rFonts w:ascii="Arial" w:hAnsi="Arial" w:cs="Arial"/>
          <w:sz w:val="20"/>
          <w:szCs w:val="20"/>
        </w:rPr>
        <w:footnoteRef/>
      </w:r>
      <w:r w:rsidRPr="002A3FC3">
        <w:rPr>
          <w:rFonts w:ascii="Arial" w:hAnsi="Arial" w:cs="Arial"/>
          <w:sz w:val="20"/>
          <w:szCs w:val="20"/>
        </w:rPr>
        <w:t xml:space="preserve"> </w:t>
      </w:r>
      <w:r w:rsidRPr="002A3FC3">
        <w:rPr>
          <w:rFonts w:ascii="Arial" w:eastAsia="Times New Roman" w:hAnsi="Arial" w:cs="Arial"/>
          <w:color w:val="000000"/>
          <w:sz w:val="20"/>
          <w:szCs w:val="20"/>
          <w:lang w:eastAsia="es-CR"/>
        </w:rPr>
        <w:t xml:space="preserve">Grupo Cultural Ciudad Blanca. </w:t>
      </w:r>
      <w:r w:rsidRPr="002A3FC3">
        <w:rPr>
          <w:rFonts w:ascii="Arial" w:eastAsia="Times New Roman" w:hAnsi="Arial" w:cs="Arial"/>
          <w:b/>
          <w:color w:val="000000"/>
          <w:sz w:val="20"/>
          <w:szCs w:val="20"/>
          <w:lang w:eastAsia="es-CR"/>
        </w:rPr>
        <w:t>Guanacaste, canta y baila</w:t>
      </w:r>
      <w:r w:rsidRPr="002A3FC3">
        <w:rPr>
          <w:rFonts w:ascii="Arial" w:eastAsia="Times New Roman" w:hAnsi="Arial" w:cs="Arial"/>
          <w:color w:val="000000"/>
          <w:sz w:val="20"/>
          <w:szCs w:val="20"/>
          <w:lang w:eastAsia="es-CR"/>
        </w:rPr>
        <w:t xml:space="preserve">. San José: Imprenta Nacional, 1990. </w:t>
      </w:r>
    </w:p>
    <w:p w:rsidR="003E47BD" w:rsidRPr="00E94008" w:rsidRDefault="003E47BD">
      <w:pPr>
        <w:pStyle w:val="Textonotapie"/>
        <w:rPr>
          <w:lang w:val="es-CR"/>
        </w:rPr>
      </w:pPr>
    </w:p>
  </w:footnote>
  <w:footnote w:id="8">
    <w:p w:rsidR="003E47BD" w:rsidRPr="00092627" w:rsidRDefault="003E47BD" w:rsidP="008A7DDE">
      <w:pPr>
        <w:pStyle w:val="Textonotapie"/>
        <w:jc w:val="both"/>
        <w:rPr>
          <w:rFonts w:ascii="Arial" w:hAnsi="Arial" w:cs="Arial"/>
          <w:lang w:val="es-CR"/>
        </w:rPr>
      </w:pPr>
      <w:r w:rsidRPr="00092627">
        <w:rPr>
          <w:rStyle w:val="Refdenotaalpie"/>
          <w:rFonts w:ascii="Arial" w:hAnsi="Arial" w:cs="Arial"/>
        </w:rPr>
        <w:footnoteRef/>
      </w:r>
      <w:r w:rsidRPr="00092627">
        <w:rPr>
          <w:rFonts w:ascii="Arial" w:hAnsi="Arial" w:cs="Arial"/>
        </w:rPr>
        <w:t xml:space="preserve"> </w:t>
      </w:r>
      <w:r w:rsidRPr="00092627">
        <w:rPr>
          <w:rFonts w:ascii="Arial" w:hAnsi="Arial" w:cs="Arial"/>
          <w:lang w:val="es-CR"/>
        </w:rPr>
        <w:t xml:space="preserve">Miguel Picado. </w:t>
      </w:r>
      <w:r w:rsidRPr="00092627">
        <w:rPr>
          <w:rFonts w:ascii="Arial" w:hAnsi="Arial" w:cs="Arial"/>
          <w:b/>
          <w:lang w:val="es-CR"/>
        </w:rPr>
        <w:t>La Iglesia costarricense entre el Dios y el César</w:t>
      </w:r>
      <w:r w:rsidRPr="00092627">
        <w:rPr>
          <w:rFonts w:ascii="Arial" w:hAnsi="Arial" w:cs="Arial"/>
          <w:lang w:val="es-CR"/>
        </w:rPr>
        <w:t>. San José: DEI, 19</w:t>
      </w:r>
      <w:r>
        <w:rPr>
          <w:rFonts w:ascii="Arial" w:hAnsi="Arial" w:cs="Arial"/>
          <w:lang w:val="es-CR"/>
        </w:rPr>
        <w:t xml:space="preserve">87, y  </w:t>
      </w:r>
      <w:r w:rsidRPr="00797F16">
        <w:rPr>
          <w:rFonts w:ascii="Arial" w:hAnsi="Arial" w:cs="Arial"/>
          <w:b/>
          <w:lang w:val="es-CR"/>
        </w:rPr>
        <w:t>La Iglesia costarricense entre el pueblo y el Estado</w:t>
      </w:r>
      <w:r>
        <w:rPr>
          <w:rFonts w:ascii="Arial" w:hAnsi="Arial" w:cs="Arial"/>
          <w:lang w:val="es-CR"/>
        </w:rPr>
        <w:t xml:space="preserve">. San José: DEI, 1992.  </w:t>
      </w:r>
      <w:r w:rsidRPr="00092627">
        <w:rPr>
          <w:rFonts w:ascii="Arial" w:hAnsi="Arial" w:cs="Arial"/>
          <w:lang w:val="es-CR"/>
        </w:rPr>
        <w:t xml:space="preserve"> </w:t>
      </w:r>
    </w:p>
  </w:footnote>
  <w:footnote w:id="9">
    <w:p w:rsidR="003E47BD" w:rsidRPr="00797F16" w:rsidRDefault="003E47BD" w:rsidP="008A7DDE">
      <w:pPr>
        <w:pStyle w:val="Textonotapie"/>
        <w:jc w:val="both"/>
        <w:rPr>
          <w:lang w:val="es-CR"/>
        </w:rPr>
      </w:pPr>
      <w:r>
        <w:rPr>
          <w:rStyle w:val="Refdenotaalpie"/>
        </w:rPr>
        <w:footnoteRef/>
      </w:r>
      <w:r>
        <w:t xml:space="preserve"> </w:t>
      </w:r>
      <w:r w:rsidRPr="00EB5F53">
        <w:rPr>
          <w:rFonts w:ascii="Arial" w:eastAsia="Times New Roman" w:hAnsi="Arial" w:cs="Arial"/>
          <w:color w:val="000000"/>
          <w:lang w:eastAsia="es-CR"/>
        </w:rPr>
        <w:t xml:space="preserve">Departamento Ecuménico de Investigaciones. </w:t>
      </w:r>
      <w:r w:rsidRPr="00EB5F53">
        <w:rPr>
          <w:rFonts w:ascii="Arial" w:eastAsia="Times New Roman" w:hAnsi="Arial" w:cs="Arial"/>
          <w:b/>
          <w:color w:val="000000"/>
          <w:lang w:eastAsia="es-CR"/>
        </w:rPr>
        <w:t>Reseña histórica de la Iglesia en Costa Rica. Desde 1502 hasta 1850. Apuntamientos históricos</w:t>
      </w:r>
      <w:r w:rsidRPr="00EB5F53">
        <w:rPr>
          <w:rFonts w:ascii="Arial" w:eastAsia="Times New Roman" w:hAnsi="Arial" w:cs="Arial"/>
          <w:color w:val="000000"/>
          <w:lang w:eastAsia="es-CR"/>
        </w:rPr>
        <w:t>. San José: DEI, 1984.</w:t>
      </w:r>
    </w:p>
  </w:footnote>
  <w:footnote w:id="10">
    <w:p w:rsidR="003E47BD" w:rsidRPr="00A239E7" w:rsidRDefault="003E47BD" w:rsidP="008A7DDE">
      <w:pPr>
        <w:spacing w:after="0" w:line="240" w:lineRule="auto"/>
        <w:jc w:val="both"/>
        <w:rPr>
          <w:lang w:val="es-CR"/>
        </w:rPr>
      </w:pPr>
      <w:r>
        <w:rPr>
          <w:rStyle w:val="Refdenotaalpie"/>
        </w:rPr>
        <w:footnoteRef/>
      </w:r>
      <w:r>
        <w:t xml:space="preserve"> </w:t>
      </w:r>
      <w:r w:rsidRPr="00EB5F53">
        <w:rPr>
          <w:rFonts w:ascii="Arial" w:eastAsia="Times New Roman" w:hAnsi="Arial" w:cs="Arial"/>
          <w:color w:val="000000"/>
          <w:sz w:val="20"/>
          <w:szCs w:val="20"/>
          <w:lang w:eastAsia="es-CR"/>
        </w:rPr>
        <w:t xml:space="preserve">González, Fernando y Cerdas Ana Luisa. </w:t>
      </w:r>
      <w:r w:rsidRPr="00EB5F53">
        <w:rPr>
          <w:rFonts w:ascii="Arial" w:eastAsia="Times New Roman" w:hAnsi="Arial" w:cs="Arial"/>
          <w:b/>
          <w:color w:val="000000"/>
          <w:sz w:val="20"/>
          <w:szCs w:val="20"/>
          <w:lang w:eastAsia="es-CR"/>
        </w:rPr>
        <w:t>Festividad de la Virgen de Guadalupe en Nicoya</w:t>
      </w:r>
      <w:r w:rsidRPr="00EB5F53">
        <w:rPr>
          <w:rFonts w:ascii="Arial" w:eastAsia="Times New Roman" w:hAnsi="Arial" w:cs="Arial"/>
          <w:color w:val="000000"/>
          <w:sz w:val="20"/>
          <w:szCs w:val="20"/>
          <w:lang w:eastAsia="es-CR"/>
        </w:rPr>
        <w:t xml:space="preserve">, </w:t>
      </w:r>
      <w:r w:rsidRPr="00EB5F53">
        <w:rPr>
          <w:rFonts w:ascii="Arial" w:eastAsia="Times New Roman" w:hAnsi="Arial" w:cs="Arial"/>
          <w:b/>
          <w:color w:val="000000"/>
          <w:sz w:val="20"/>
          <w:szCs w:val="20"/>
          <w:lang w:eastAsia="es-CR"/>
        </w:rPr>
        <w:t>Guanacaste</w:t>
      </w:r>
      <w:r w:rsidRPr="00EB5F53">
        <w:rPr>
          <w:rFonts w:ascii="Arial" w:eastAsia="Times New Roman" w:hAnsi="Arial" w:cs="Arial"/>
          <w:color w:val="000000"/>
          <w:sz w:val="20"/>
          <w:szCs w:val="20"/>
          <w:lang w:eastAsia="es-CR"/>
        </w:rPr>
        <w:t xml:space="preserve">. San José: Ministerio de Cultura, Juventud y Deportes. 1995.  </w:t>
      </w:r>
    </w:p>
  </w:footnote>
  <w:footnote w:id="11">
    <w:p w:rsidR="003E47BD" w:rsidRPr="00A239E7" w:rsidRDefault="003E47BD" w:rsidP="008A7DDE">
      <w:pPr>
        <w:spacing w:after="0" w:line="240" w:lineRule="auto"/>
        <w:jc w:val="both"/>
        <w:rPr>
          <w:lang w:val="es-CR"/>
        </w:rPr>
      </w:pPr>
      <w:r>
        <w:rPr>
          <w:rStyle w:val="Refdenotaalpie"/>
        </w:rPr>
        <w:footnoteRef/>
      </w:r>
      <w:r>
        <w:t xml:space="preserve"> </w:t>
      </w:r>
      <w:r w:rsidRPr="00EB5F53">
        <w:rPr>
          <w:rFonts w:ascii="Arial" w:eastAsia="Times New Roman" w:hAnsi="Arial" w:cs="Arial"/>
          <w:color w:val="000000"/>
          <w:sz w:val="20"/>
          <w:szCs w:val="20"/>
          <w:lang w:eastAsia="es-CR"/>
        </w:rPr>
        <w:t xml:space="preserve">Meléndez, Carlos. </w:t>
      </w:r>
      <w:r w:rsidRPr="00EB5F53">
        <w:rPr>
          <w:rFonts w:ascii="Arial" w:eastAsia="Times New Roman" w:hAnsi="Arial" w:cs="Arial"/>
          <w:b/>
          <w:color w:val="000000"/>
          <w:sz w:val="20"/>
          <w:szCs w:val="20"/>
          <w:lang w:eastAsia="es-CR"/>
        </w:rPr>
        <w:t>Nicoya y sus templos históricos</w:t>
      </w:r>
      <w:r w:rsidRPr="00EB5F53">
        <w:rPr>
          <w:rFonts w:ascii="Arial" w:eastAsia="Times New Roman" w:hAnsi="Arial" w:cs="Arial"/>
          <w:color w:val="000000"/>
          <w:sz w:val="20"/>
          <w:szCs w:val="20"/>
          <w:lang w:eastAsia="es-CR"/>
        </w:rPr>
        <w:t>., n. 38, San José: Separata de la Revista de la Universidad de Costa Rica, 1974.</w:t>
      </w:r>
    </w:p>
  </w:footnote>
  <w:footnote w:id="12">
    <w:p w:rsidR="003E47BD" w:rsidRPr="00364929" w:rsidRDefault="003E47BD" w:rsidP="008A7DDE">
      <w:pPr>
        <w:pStyle w:val="Textonotapie"/>
        <w:jc w:val="both"/>
        <w:rPr>
          <w:rFonts w:ascii="Arial" w:hAnsi="Arial" w:cs="Arial"/>
          <w:lang w:val="es-CR"/>
        </w:rPr>
      </w:pPr>
      <w:r w:rsidRPr="00364929">
        <w:rPr>
          <w:rStyle w:val="Refdenotaalpie"/>
          <w:rFonts w:ascii="Arial" w:hAnsi="Arial" w:cs="Arial"/>
        </w:rPr>
        <w:footnoteRef/>
      </w:r>
      <w:r w:rsidRPr="00364929">
        <w:rPr>
          <w:rFonts w:ascii="Arial" w:hAnsi="Arial" w:cs="Arial"/>
        </w:rPr>
        <w:t xml:space="preserve"> </w:t>
      </w:r>
      <w:r w:rsidRPr="00364929">
        <w:rPr>
          <w:rFonts w:ascii="Arial" w:hAnsi="Arial" w:cs="Arial"/>
          <w:lang w:val="es-CR"/>
        </w:rPr>
        <w:t xml:space="preserve">En Guanacaste existe una fuerte tendencia a tratar de rescatar la tradición y costumbres del pasado. Esto es casi una vocación de alto cariz en la provincia. Quizá en pocas zonas geográficas de Costa Rica, tal cualidad forme parte de la cotidianidad de sus pobladores. En esta investigación, nuestro propósito es el abordaje de investigaciones que nos brinden explicaciones de carácter regional, por ello, no dedicamos espacio a la enorme cantidad de textos en esta línea, lo cual no significa que no creamos que carecen de valor como fuente para la investigación histórica profesional. </w:t>
      </w:r>
    </w:p>
  </w:footnote>
  <w:footnote w:id="13">
    <w:p w:rsidR="003E47BD" w:rsidRPr="00926C55" w:rsidRDefault="003E47BD" w:rsidP="008A7DDE">
      <w:pPr>
        <w:pStyle w:val="Textonotapie"/>
        <w:jc w:val="both"/>
        <w:rPr>
          <w:lang w:val="es-CR"/>
        </w:rPr>
      </w:pPr>
      <w:r>
        <w:rPr>
          <w:rStyle w:val="Refdenotaalpie"/>
        </w:rPr>
        <w:footnoteRef/>
      </w:r>
      <w:r>
        <w:t xml:space="preserve"> </w:t>
      </w:r>
      <w:r w:rsidRPr="00EB5F53">
        <w:rPr>
          <w:rFonts w:ascii="Arial" w:hAnsi="Arial" w:cs="Arial"/>
        </w:rPr>
        <w:t xml:space="preserve">Buska, Soili.  “Guanacaste: el surgimiento de un discurso regionalista, 1900-1926”. En: </w:t>
      </w:r>
      <w:hyperlink r:id="rId2" w:history="1">
        <w:r w:rsidRPr="0098491B">
          <w:rPr>
            <w:rStyle w:val="Hipervnculo"/>
            <w:rFonts w:ascii="Arial" w:hAnsi="Arial" w:cs="Arial"/>
            <w:b/>
            <w:color w:val="auto"/>
            <w:u w:val="none"/>
          </w:rPr>
          <w:t>Revista de</w:t>
        </w:r>
        <w:r w:rsidRPr="00EB5F53">
          <w:rPr>
            <w:rStyle w:val="Hipervnculo"/>
            <w:rFonts w:ascii="Arial" w:hAnsi="Arial" w:cs="Arial"/>
            <w:color w:val="auto"/>
            <w:u w:val="none"/>
          </w:rPr>
          <w:t xml:space="preserve"> </w:t>
        </w:r>
        <w:r w:rsidRPr="0098491B">
          <w:rPr>
            <w:rStyle w:val="Hipervnculo"/>
            <w:rFonts w:ascii="Arial" w:hAnsi="Arial" w:cs="Arial"/>
            <w:b/>
            <w:color w:val="auto"/>
            <w:u w:val="none"/>
          </w:rPr>
          <w:t>Historia</w:t>
        </w:r>
        <w:r w:rsidRPr="00EB5F53">
          <w:rPr>
            <w:rStyle w:val="Hipervnculo"/>
            <w:rFonts w:ascii="Arial" w:hAnsi="Arial" w:cs="Arial"/>
            <w:color w:val="auto"/>
            <w:u w:val="none"/>
          </w:rPr>
          <w:t xml:space="preserve">, </w:t>
        </w:r>
        <w:hyperlink r:id="rId3" w:history="1">
          <w:r w:rsidRPr="00EB5F53">
            <w:rPr>
              <w:rStyle w:val="Hipervnculo"/>
              <w:rFonts w:ascii="Arial" w:hAnsi="Arial" w:cs="Arial"/>
              <w:color w:val="auto"/>
              <w:u w:val="none"/>
            </w:rPr>
            <w:t>No.53-54</w:t>
          </w:r>
        </w:hyperlink>
        <w:r w:rsidRPr="00EB5F53">
          <w:t xml:space="preserve">, </w:t>
        </w:r>
        <w:r w:rsidRPr="00EB5F53">
          <w:rPr>
            <w:rFonts w:ascii="Arial" w:hAnsi="Arial" w:cs="Arial"/>
          </w:rPr>
          <w:t xml:space="preserve">enero,-diciembre, </w:t>
        </w:r>
        <w:r w:rsidRPr="00EB5F53">
          <w:rPr>
            <w:rStyle w:val="Hipervnculo"/>
            <w:rFonts w:ascii="Arial" w:hAnsi="Arial" w:cs="Arial"/>
            <w:color w:val="auto"/>
            <w:u w:val="none"/>
          </w:rPr>
          <w:t xml:space="preserve">Escuela de Historia, Universidad Nacional, Centro de Investigaciones Históricas de América Central, Universidad </w:t>
        </w:r>
      </w:hyperlink>
      <w:hyperlink r:id="rId4" w:history="1">
        <w:r w:rsidRPr="00EB5F53">
          <w:rPr>
            <w:rStyle w:val="Hipervnculo"/>
            <w:rFonts w:ascii="Arial" w:hAnsi="Arial" w:cs="Arial"/>
            <w:color w:val="auto"/>
            <w:u w:val="none"/>
          </w:rPr>
          <w:t>de Costa Rica</w:t>
        </w:r>
      </w:hyperlink>
      <w:r w:rsidRPr="00EB5F53">
        <w:rPr>
          <w:rFonts w:ascii="Arial" w:hAnsi="Arial" w:cs="Arial"/>
        </w:rPr>
        <w:t xml:space="preserve"> 2006.</w:t>
      </w:r>
    </w:p>
  </w:footnote>
  <w:footnote w:id="14">
    <w:p w:rsidR="003E47BD" w:rsidRPr="00926C55" w:rsidRDefault="003E47BD" w:rsidP="00FB0BCF">
      <w:pPr>
        <w:spacing w:after="0" w:line="240" w:lineRule="auto"/>
        <w:jc w:val="both"/>
        <w:rPr>
          <w:lang w:val="es-CR"/>
        </w:rPr>
      </w:pPr>
      <w:r>
        <w:rPr>
          <w:rStyle w:val="Refdenotaalpie"/>
        </w:rPr>
        <w:footnoteRef/>
      </w:r>
      <w:r>
        <w:t xml:space="preserve"> </w:t>
      </w:r>
      <w:r w:rsidRPr="00EB5F53">
        <w:rPr>
          <w:rFonts w:ascii="Arial" w:eastAsia="Times New Roman" w:hAnsi="Arial" w:cs="Arial"/>
          <w:color w:val="000000"/>
          <w:sz w:val="20"/>
          <w:szCs w:val="20"/>
          <w:lang w:eastAsia="es-CR"/>
        </w:rPr>
        <w:t xml:space="preserve">Edelman, Marc. “Don Chico y el Diablo: dimensiones de etnia, clase y género en las narrativas campesinas guanacastecas del siglo XX”. En: </w:t>
      </w:r>
      <w:r w:rsidRPr="00EB5F53">
        <w:rPr>
          <w:rFonts w:ascii="Arial" w:eastAsia="Times New Roman" w:hAnsi="Arial" w:cs="Arial"/>
          <w:b/>
          <w:color w:val="000000"/>
          <w:sz w:val="20"/>
          <w:szCs w:val="20"/>
          <w:lang w:eastAsia="es-CR"/>
        </w:rPr>
        <w:t>El paso del cometa, Estado, política social y culturas populares  en Costa Rica (1800-1950</w:t>
      </w:r>
      <w:r w:rsidRPr="00EB5F53">
        <w:rPr>
          <w:rFonts w:ascii="Arial" w:eastAsia="Times New Roman" w:hAnsi="Arial" w:cs="Arial"/>
          <w:color w:val="000000"/>
          <w:sz w:val="20"/>
          <w:szCs w:val="20"/>
          <w:lang w:eastAsia="es-CR"/>
        </w:rPr>
        <w:t xml:space="preserve">). San José: Porvenir/Plumsock Mesoamerican Studies. </w:t>
      </w:r>
    </w:p>
  </w:footnote>
  <w:footnote w:id="15">
    <w:p w:rsidR="003E47BD" w:rsidRPr="00926C55" w:rsidRDefault="003E47BD" w:rsidP="00FB0BCF">
      <w:pPr>
        <w:spacing w:after="0" w:line="240" w:lineRule="auto"/>
        <w:jc w:val="both"/>
        <w:rPr>
          <w:lang w:val="es-CR"/>
        </w:rPr>
      </w:pPr>
      <w:r>
        <w:rPr>
          <w:rStyle w:val="Refdenotaalpie"/>
        </w:rPr>
        <w:footnoteRef/>
      </w:r>
      <w:r>
        <w:t xml:space="preserve"> </w:t>
      </w:r>
      <w:r w:rsidRPr="00EB5F53">
        <w:rPr>
          <w:rFonts w:ascii="Arial" w:eastAsia="Times New Roman" w:hAnsi="Arial" w:cs="Arial"/>
          <w:color w:val="000000"/>
          <w:sz w:val="20"/>
          <w:szCs w:val="20"/>
          <w:lang w:eastAsia="es-CR"/>
        </w:rPr>
        <w:t xml:space="preserve">Cabrera, Roberto. </w:t>
      </w:r>
      <w:r w:rsidRPr="00EB5F53">
        <w:rPr>
          <w:rFonts w:ascii="Arial" w:eastAsia="Times New Roman" w:hAnsi="Arial" w:cs="Arial"/>
          <w:b/>
          <w:color w:val="000000"/>
          <w:sz w:val="20"/>
          <w:szCs w:val="20"/>
          <w:lang w:eastAsia="es-CR"/>
        </w:rPr>
        <w:t>Sabanero guanacasteco en su historia y comunicación cultural</w:t>
      </w:r>
      <w:r w:rsidRPr="00EB5F53">
        <w:rPr>
          <w:rFonts w:ascii="Arial" w:eastAsia="Times New Roman" w:hAnsi="Arial" w:cs="Arial"/>
          <w:color w:val="000000"/>
          <w:sz w:val="20"/>
          <w:szCs w:val="20"/>
          <w:lang w:eastAsia="es-CR"/>
        </w:rPr>
        <w:t xml:space="preserve">. En: Revista Herencia, N° 11, 1989.  </w:t>
      </w:r>
    </w:p>
  </w:footnote>
  <w:footnote w:id="16">
    <w:p w:rsidR="003E47BD" w:rsidRPr="005D5F59" w:rsidRDefault="003E47BD" w:rsidP="00FB0BCF">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 xml:space="preserve">Lange, Frederick. </w:t>
      </w:r>
      <w:r w:rsidRPr="005D5F59">
        <w:rPr>
          <w:rFonts w:ascii="Arial" w:eastAsia="Times New Roman" w:hAnsi="Arial" w:cs="Arial"/>
          <w:b/>
          <w:color w:val="000000"/>
          <w:sz w:val="20"/>
          <w:szCs w:val="20"/>
          <w:lang w:eastAsia="es-CR"/>
        </w:rPr>
        <w:t>Evaluación histórica del concepto Gran Nicoya</w:t>
      </w:r>
      <w:r w:rsidRPr="005D5F59">
        <w:rPr>
          <w:rFonts w:ascii="Arial" w:eastAsia="Times New Roman" w:hAnsi="Arial" w:cs="Arial"/>
          <w:color w:val="000000"/>
          <w:sz w:val="20"/>
          <w:szCs w:val="20"/>
          <w:lang w:eastAsia="es-CR"/>
        </w:rPr>
        <w:t xml:space="preserve">. San José: Museo Nacional. Revista Vínculos Vol. 18-19 n. 1994. </w:t>
      </w:r>
    </w:p>
  </w:footnote>
  <w:footnote w:id="17">
    <w:p w:rsidR="003E47BD" w:rsidRPr="008B5822" w:rsidRDefault="003E47BD" w:rsidP="00FB0BCF">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 xml:space="preserve">Ibarra, Eugenia. </w:t>
      </w:r>
      <w:r w:rsidRPr="005D5F59">
        <w:rPr>
          <w:rFonts w:ascii="Arial" w:eastAsia="Times New Roman" w:hAnsi="Arial" w:cs="Arial"/>
          <w:b/>
          <w:color w:val="000000"/>
          <w:sz w:val="20"/>
          <w:szCs w:val="20"/>
          <w:lang w:eastAsia="es-CR"/>
        </w:rPr>
        <w:t>Fronteras étnicas en la conquista de Nicaragua y Nicoya: ente la solidaridad y el conflicto 200 d.c. 1544.</w:t>
      </w:r>
      <w:r w:rsidRPr="005D5F59">
        <w:rPr>
          <w:rFonts w:ascii="Arial" w:eastAsia="Times New Roman" w:hAnsi="Arial" w:cs="Arial"/>
          <w:color w:val="000000"/>
          <w:sz w:val="20"/>
          <w:szCs w:val="20"/>
          <w:lang w:eastAsia="es-CR"/>
        </w:rPr>
        <w:t xml:space="preserve"> San José: Editorial de la Universidad de Costa Rica. 2001.</w:t>
      </w:r>
      <w:r>
        <w:rPr>
          <w:rFonts w:ascii="Arial" w:eastAsia="Times New Roman" w:hAnsi="Arial" w:cs="Arial"/>
          <w:color w:val="000000"/>
          <w:sz w:val="20"/>
          <w:szCs w:val="20"/>
          <w:lang w:eastAsia="es-CR"/>
        </w:rPr>
        <w:t xml:space="preserve"> </w:t>
      </w:r>
      <w:r w:rsidRPr="005D5F59">
        <w:rPr>
          <w:rFonts w:ascii="Arial" w:eastAsia="Times New Roman" w:hAnsi="Arial" w:cs="Arial"/>
          <w:color w:val="000000"/>
          <w:sz w:val="20"/>
          <w:szCs w:val="20"/>
          <w:lang w:eastAsia="es-CR"/>
        </w:rPr>
        <w:t xml:space="preserve">“Historia de Nicaragua y Nicoya durante la conquista española: una perspectiva desde la dinámica interétnica (800 d.c. -1544)”. Tesis [Magister Scientae en Historia], Universidad de Costa Rica, 1995. </w:t>
      </w:r>
      <w:r w:rsidRPr="005D5F59">
        <w:rPr>
          <w:rFonts w:ascii="Arial" w:eastAsia="Times New Roman" w:hAnsi="Arial" w:cs="Arial"/>
          <w:b/>
          <w:color w:val="000000"/>
          <w:sz w:val="20"/>
          <w:szCs w:val="20"/>
          <w:lang w:eastAsia="es-CR"/>
        </w:rPr>
        <w:t>Intercambio y la navegación en el Golfo de Huetares (o de Nicoya) durante el siglo XVI.</w:t>
      </w:r>
      <w:r w:rsidRPr="005D5F59">
        <w:rPr>
          <w:rFonts w:ascii="Arial" w:eastAsia="Times New Roman" w:hAnsi="Arial" w:cs="Arial"/>
          <w:color w:val="000000"/>
          <w:sz w:val="20"/>
          <w:szCs w:val="20"/>
          <w:lang w:eastAsia="es-CR"/>
        </w:rPr>
        <w:t xml:space="preserve"> Heredia: Revista de Historia, N°17, UNA/UCR. 1988. </w:t>
      </w:r>
    </w:p>
  </w:footnote>
  <w:footnote w:id="18">
    <w:p w:rsidR="003E47BD" w:rsidRPr="008B5822" w:rsidRDefault="003E47BD" w:rsidP="00FB0BCF">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 xml:space="preserve">Payne, Elizet. </w:t>
      </w:r>
      <w:r w:rsidRPr="005D5F59">
        <w:rPr>
          <w:rFonts w:ascii="Arial" w:eastAsia="Times New Roman" w:hAnsi="Arial" w:cs="Arial"/>
          <w:b/>
          <w:color w:val="000000"/>
          <w:sz w:val="20"/>
          <w:szCs w:val="20"/>
          <w:lang w:eastAsia="es-CR"/>
        </w:rPr>
        <w:t>La historia del otro: el impacto de la conquista española en las sociedades indígenas de Nicoya y el Valle Central de Costa Rica: 1519-1569</w:t>
      </w:r>
      <w:r w:rsidRPr="005D5F59">
        <w:rPr>
          <w:rFonts w:ascii="Arial" w:eastAsia="Times New Roman" w:hAnsi="Arial" w:cs="Arial"/>
          <w:color w:val="000000"/>
          <w:sz w:val="20"/>
          <w:szCs w:val="20"/>
          <w:lang w:eastAsia="es-CR"/>
        </w:rPr>
        <w:t>. San José. Universidad de Costa Rica. Centro de Investigaciones Históricas.</w:t>
      </w:r>
      <w:r>
        <w:rPr>
          <w:rFonts w:ascii="Arial" w:eastAsia="Times New Roman" w:hAnsi="Arial" w:cs="Arial"/>
          <w:color w:val="000000"/>
          <w:sz w:val="20"/>
          <w:szCs w:val="20"/>
          <w:lang w:eastAsia="es-CR"/>
        </w:rPr>
        <w:t xml:space="preserve"> </w:t>
      </w:r>
      <w:r w:rsidRPr="005D5F59">
        <w:rPr>
          <w:rFonts w:ascii="Arial" w:eastAsia="Times New Roman" w:hAnsi="Arial" w:cs="Arial"/>
          <w:color w:val="000000"/>
          <w:sz w:val="20"/>
          <w:szCs w:val="20"/>
          <w:lang w:eastAsia="es-CR"/>
        </w:rPr>
        <w:t xml:space="preserve">Avances de Investigación,  N° 53, 1991. </w:t>
      </w:r>
      <w:r w:rsidRPr="005D5F59">
        <w:rPr>
          <w:rFonts w:ascii="Arial" w:eastAsia="Times New Roman" w:hAnsi="Arial" w:cs="Arial"/>
          <w:b/>
          <w:color w:val="000000"/>
          <w:sz w:val="20"/>
          <w:szCs w:val="20"/>
          <w:lang w:eastAsia="es-CR"/>
        </w:rPr>
        <w:t>Impacto de la conquista española en las sociedades indígenas de Nicoya y el Valle Central de Costa Rica: 1519-1569</w:t>
      </w:r>
      <w:r w:rsidRPr="005D5F59">
        <w:rPr>
          <w:rFonts w:ascii="Arial" w:eastAsia="Times New Roman" w:hAnsi="Arial" w:cs="Arial"/>
          <w:color w:val="000000"/>
          <w:sz w:val="20"/>
          <w:szCs w:val="20"/>
          <w:lang w:eastAsia="es-CR"/>
        </w:rPr>
        <w:t xml:space="preserve">. San José: Escuela de Historia y Geografía. Cátedra Historia de la Instituciones de Costa Rica. 1993. </w:t>
      </w:r>
    </w:p>
  </w:footnote>
  <w:footnote w:id="19">
    <w:p w:rsidR="003E47BD" w:rsidRPr="001B1BD5" w:rsidRDefault="003E47BD" w:rsidP="000914EB">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 xml:space="preserve">Lines, Jorge. </w:t>
      </w:r>
      <w:r w:rsidRPr="005D5F59">
        <w:rPr>
          <w:rFonts w:ascii="Arial" w:eastAsia="Times New Roman" w:hAnsi="Arial" w:cs="Arial"/>
          <w:b/>
          <w:color w:val="000000"/>
          <w:sz w:val="20"/>
          <w:szCs w:val="20"/>
          <w:lang w:eastAsia="es-CR"/>
        </w:rPr>
        <w:t>Carta etnológica de Costa Rica y Nicoya, siglos XVI y XVII</w:t>
      </w:r>
      <w:r w:rsidRPr="005D5F59">
        <w:rPr>
          <w:rFonts w:ascii="Arial" w:eastAsia="Times New Roman" w:hAnsi="Arial" w:cs="Arial"/>
          <w:color w:val="000000"/>
          <w:sz w:val="20"/>
          <w:szCs w:val="20"/>
          <w:lang w:eastAsia="es-CR"/>
        </w:rPr>
        <w:t xml:space="preserve">. </w:t>
      </w:r>
      <w:r w:rsidRPr="005D5F59">
        <w:rPr>
          <w:rFonts w:ascii="Arial" w:eastAsia="Times New Roman" w:hAnsi="Arial" w:cs="Arial"/>
          <w:color w:val="000000"/>
          <w:sz w:val="20"/>
          <w:szCs w:val="20"/>
          <w:lang w:val="es-CR" w:eastAsia="es-CR"/>
        </w:rPr>
        <w:t xml:space="preserve">San José: (s.e.). 1958.  </w:t>
      </w:r>
    </w:p>
  </w:footnote>
  <w:footnote w:id="20">
    <w:p w:rsidR="003E47BD" w:rsidRPr="001B1BD5" w:rsidRDefault="003E47BD" w:rsidP="000914EB">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 xml:space="preserve">Jane, Stevenson. </w:t>
      </w:r>
      <w:r w:rsidRPr="005D5F59">
        <w:rPr>
          <w:rFonts w:ascii="Arial" w:eastAsia="Times New Roman" w:hAnsi="Arial" w:cs="Arial"/>
          <w:b/>
          <w:color w:val="000000"/>
          <w:sz w:val="20"/>
          <w:szCs w:val="20"/>
          <w:lang w:eastAsia="es-CR"/>
        </w:rPr>
        <w:t>Figuras femeninas de la Gran Nicoya</w:t>
      </w:r>
      <w:r w:rsidRPr="005D5F59">
        <w:rPr>
          <w:rFonts w:ascii="Arial" w:eastAsia="Times New Roman" w:hAnsi="Arial" w:cs="Arial"/>
          <w:color w:val="000000"/>
          <w:sz w:val="20"/>
          <w:szCs w:val="20"/>
          <w:lang w:eastAsia="es-CR"/>
        </w:rPr>
        <w:t xml:space="preserve">. San José: Museo Nacional de Costa Rica. Revista Vínculos- v. 21 n. 1-2, 1997.  </w:t>
      </w:r>
    </w:p>
  </w:footnote>
  <w:footnote w:id="21">
    <w:p w:rsidR="003E47BD" w:rsidRPr="006C2F30" w:rsidRDefault="003E47BD" w:rsidP="000914EB">
      <w:pPr>
        <w:pStyle w:val="Textonotapie"/>
        <w:jc w:val="both"/>
        <w:rPr>
          <w:lang w:val="es-CR"/>
        </w:rPr>
      </w:pPr>
      <w:r>
        <w:rPr>
          <w:rStyle w:val="Refdenotaalpie"/>
        </w:rPr>
        <w:footnoteRef/>
      </w:r>
      <w:r>
        <w:t xml:space="preserve"> </w:t>
      </w:r>
      <w:r w:rsidRPr="001F2F2F">
        <w:rPr>
          <w:rFonts w:ascii="Arial" w:eastAsia="Times New Roman" w:hAnsi="Arial" w:cs="Arial"/>
          <w:color w:val="000000"/>
          <w:lang w:eastAsia="es-CR"/>
        </w:rPr>
        <w:t xml:space="preserve">Espinoza, Edgard y Rigat Dominique. “Gran Nicoya y la región de Chontales, Nicaragua”. En: </w:t>
      </w:r>
      <w:r w:rsidRPr="001F2F2F">
        <w:rPr>
          <w:rFonts w:ascii="Arial" w:eastAsia="Times New Roman" w:hAnsi="Arial" w:cs="Arial"/>
          <w:b/>
          <w:color w:val="000000"/>
          <w:lang w:eastAsia="es-CR"/>
        </w:rPr>
        <w:t>Revista Vínculos</w:t>
      </w:r>
      <w:r w:rsidRPr="001F2F2F">
        <w:rPr>
          <w:rFonts w:ascii="Arial" w:eastAsia="Times New Roman" w:hAnsi="Arial" w:cs="Arial"/>
          <w:color w:val="000000"/>
          <w:lang w:eastAsia="es-CR"/>
        </w:rPr>
        <w:t>, Vol. 18-19, San José, Editorial de la Universidad de Costa Rica, 1994</w:t>
      </w:r>
      <w:r>
        <w:rPr>
          <w:rFonts w:ascii="Arial" w:eastAsia="Times New Roman" w:hAnsi="Arial" w:cs="Arial"/>
          <w:color w:val="000000"/>
          <w:lang w:eastAsia="es-CR"/>
        </w:rPr>
        <w:t>.</w:t>
      </w:r>
    </w:p>
  </w:footnote>
  <w:footnote w:id="22">
    <w:p w:rsidR="003E47BD" w:rsidRPr="001F2F2F" w:rsidRDefault="003E47BD" w:rsidP="000914EB">
      <w:pPr>
        <w:spacing w:line="240" w:lineRule="auto"/>
        <w:jc w:val="both"/>
        <w:rPr>
          <w:rFonts w:ascii="Arial" w:eastAsia="Times New Roman" w:hAnsi="Arial" w:cs="Arial"/>
          <w:color w:val="000000"/>
          <w:sz w:val="20"/>
          <w:szCs w:val="20"/>
          <w:lang w:eastAsia="es-CR"/>
        </w:rPr>
      </w:pPr>
      <w:r>
        <w:rPr>
          <w:rStyle w:val="Refdenotaalpie"/>
        </w:rPr>
        <w:footnoteRef/>
      </w:r>
      <w:r>
        <w:t xml:space="preserve"> </w:t>
      </w:r>
      <w:r w:rsidRPr="001F2F2F">
        <w:rPr>
          <w:rFonts w:ascii="Arial" w:eastAsia="Times New Roman" w:hAnsi="Arial" w:cs="Arial"/>
          <w:color w:val="000000"/>
          <w:sz w:val="20"/>
          <w:szCs w:val="20"/>
          <w:lang w:eastAsia="es-CR"/>
        </w:rPr>
        <w:t xml:space="preserve">Corrales Ulloa, Francisco. “Gran Nicoya y pacífico central de Costa Rica”. En: </w:t>
      </w:r>
      <w:r w:rsidRPr="001F2F2F">
        <w:rPr>
          <w:rFonts w:ascii="Arial" w:eastAsia="Times New Roman" w:hAnsi="Arial" w:cs="Arial"/>
          <w:b/>
          <w:color w:val="000000"/>
          <w:sz w:val="20"/>
          <w:szCs w:val="20"/>
          <w:lang w:eastAsia="es-CR"/>
        </w:rPr>
        <w:t>Revista Herencia</w:t>
      </w:r>
      <w:r w:rsidRPr="001F2F2F">
        <w:rPr>
          <w:rFonts w:ascii="Arial" w:eastAsia="Times New Roman" w:hAnsi="Arial" w:cs="Arial"/>
          <w:color w:val="000000"/>
          <w:sz w:val="20"/>
          <w:szCs w:val="20"/>
          <w:lang w:eastAsia="es-CR"/>
        </w:rPr>
        <w:t xml:space="preserve">, Vol. 18-19, San José, Editorial de la Universidad de Costa Rica, 1994. </w:t>
      </w:r>
    </w:p>
    <w:p w:rsidR="003E47BD" w:rsidRPr="005E7AE0" w:rsidRDefault="003E47BD">
      <w:pPr>
        <w:pStyle w:val="Textonotapie"/>
        <w:rPr>
          <w:lang w:val="es-CR"/>
        </w:rPr>
      </w:pPr>
    </w:p>
  </w:footnote>
  <w:footnote w:id="23">
    <w:p w:rsidR="003E47BD" w:rsidRPr="00D31637" w:rsidRDefault="003E47BD" w:rsidP="003812DE">
      <w:pPr>
        <w:pStyle w:val="Textonotapie"/>
        <w:jc w:val="both"/>
        <w:rPr>
          <w:rFonts w:ascii="Arial" w:hAnsi="Arial" w:cs="Arial"/>
          <w:lang w:val="es-CR"/>
        </w:rPr>
      </w:pPr>
      <w:r w:rsidRPr="00D31637">
        <w:rPr>
          <w:rStyle w:val="Refdenotaalpie"/>
          <w:rFonts w:ascii="Arial" w:hAnsi="Arial" w:cs="Arial"/>
        </w:rPr>
        <w:footnoteRef/>
      </w:r>
      <w:r w:rsidRPr="00D31637">
        <w:rPr>
          <w:rFonts w:ascii="Arial" w:hAnsi="Arial" w:cs="Arial"/>
        </w:rPr>
        <w:t xml:space="preserve"> </w:t>
      </w:r>
      <w:r>
        <w:rPr>
          <w:rFonts w:ascii="Arial" w:hAnsi="Arial" w:cs="Arial"/>
        </w:rPr>
        <w:t xml:space="preserve"> </w:t>
      </w:r>
      <w:r w:rsidRPr="00D31637">
        <w:rPr>
          <w:rFonts w:ascii="Arial" w:hAnsi="Arial" w:cs="Arial"/>
          <w:lang w:val="es-CR"/>
        </w:rPr>
        <w:t xml:space="preserve">Luis Ferrero. </w:t>
      </w:r>
      <w:r w:rsidRPr="00D31637">
        <w:rPr>
          <w:rFonts w:ascii="Arial" w:hAnsi="Arial" w:cs="Arial"/>
          <w:b/>
          <w:lang w:val="es-CR"/>
        </w:rPr>
        <w:t>Costa Rica precolombina</w:t>
      </w:r>
      <w:r w:rsidRPr="00D31637">
        <w:rPr>
          <w:rFonts w:ascii="Arial" w:hAnsi="Arial" w:cs="Arial"/>
          <w:lang w:val="es-CR"/>
        </w:rPr>
        <w:t xml:space="preserve">. San José: Editorial Costa Rica, 1977. </w:t>
      </w:r>
    </w:p>
  </w:footnote>
  <w:footnote w:id="24">
    <w:p w:rsidR="003E47BD" w:rsidRPr="00D31637" w:rsidRDefault="003E47BD" w:rsidP="003812DE">
      <w:pPr>
        <w:pStyle w:val="Textonotapie"/>
        <w:jc w:val="both"/>
        <w:rPr>
          <w:lang w:val="es-CR"/>
        </w:rPr>
      </w:pPr>
      <w:r w:rsidRPr="00D31637">
        <w:rPr>
          <w:rStyle w:val="Refdenotaalpie"/>
          <w:rFonts w:ascii="Arial" w:hAnsi="Arial" w:cs="Arial"/>
        </w:rPr>
        <w:footnoteRef/>
      </w:r>
      <w:r w:rsidRPr="00D31637">
        <w:rPr>
          <w:rFonts w:ascii="Arial" w:hAnsi="Arial" w:cs="Arial"/>
        </w:rPr>
        <w:t xml:space="preserve"> </w:t>
      </w:r>
      <w:r w:rsidRPr="00D31637">
        <w:rPr>
          <w:rFonts w:ascii="Arial" w:hAnsi="Arial" w:cs="Arial"/>
          <w:lang w:val="es-CR"/>
        </w:rPr>
        <w:t xml:space="preserve">Solórzano, Juan Carlos. Costa Rica colonial: una síntesis interpretativa”. En: </w:t>
      </w:r>
      <w:r w:rsidRPr="003812DE">
        <w:rPr>
          <w:rFonts w:ascii="Arial" w:hAnsi="Arial" w:cs="Arial"/>
          <w:b/>
          <w:lang w:val="es-CR"/>
        </w:rPr>
        <w:t>Cuadernos Centroamericanos de Ciencias Sociales</w:t>
      </w:r>
      <w:r w:rsidRPr="00D31637">
        <w:rPr>
          <w:rFonts w:ascii="Arial" w:hAnsi="Arial" w:cs="Arial"/>
          <w:lang w:val="es-CR"/>
        </w:rPr>
        <w:t>. N° 11, San José, Costa Rica, 1984.</w:t>
      </w:r>
      <w:r>
        <w:rPr>
          <w:lang w:val="es-CR"/>
        </w:rPr>
        <w:t xml:space="preserve"> </w:t>
      </w:r>
    </w:p>
  </w:footnote>
  <w:footnote w:id="25">
    <w:p w:rsidR="003E47BD" w:rsidRPr="00291EC4" w:rsidRDefault="003E47BD" w:rsidP="006406E1">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Quirós, Claudia</w:t>
      </w:r>
      <w:r w:rsidRPr="005D5F59">
        <w:rPr>
          <w:rFonts w:ascii="Arial" w:eastAsia="Times New Roman" w:hAnsi="Arial" w:cs="Arial"/>
          <w:b/>
          <w:color w:val="000000"/>
          <w:sz w:val="20"/>
          <w:szCs w:val="20"/>
          <w:lang w:eastAsia="es-CR"/>
        </w:rPr>
        <w:t>. Cofradías indígenas en Nicoya</w:t>
      </w:r>
      <w:r w:rsidRPr="005D5F59">
        <w:rPr>
          <w:rFonts w:ascii="Arial" w:eastAsia="Times New Roman" w:hAnsi="Arial" w:cs="Arial"/>
          <w:color w:val="000000"/>
          <w:sz w:val="20"/>
          <w:szCs w:val="20"/>
          <w:lang w:eastAsia="es-CR"/>
        </w:rPr>
        <w:t>. Heredia: EUNA/Editorial de la Universidad de Costa Rica, Revista de Historia-n. 36, 1997.</w:t>
      </w:r>
      <w:r>
        <w:rPr>
          <w:rFonts w:ascii="Arial" w:eastAsia="Times New Roman" w:hAnsi="Arial" w:cs="Arial"/>
          <w:color w:val="000000"/>
          <w:sz w:val="20"/>
          <w:szCs w:val="20"/>
          <w:lang w:eastAsia="es-CR"/>
        </w:rPr>
        <w:t xml:space="preserve"> </w:t>
      </w:r>
      <w:r w:rsidRPr="005D5F59">
        <w:rPr>
          <w:rFonts w:ascii="Arial" w:eastAsia="Times New Roman" w:hAnsi="Arial" w:cs="Arial"/>
          <w:color w:val="000000"/>
          <w:sz w:val="20"/>
          <w:szCs w:val="20"/>
          <w:lang w:eastAsia="es-CR"/>
        </w:rPr>
        <w:t>“Cofradías indígenas del Corregimiento de Nicoya: una contribución al conocimiento de la historia popular”. Congreso Centroamericano de</w:t>
      </w:r>
      <w:r>
        <w:rPr>
          <w:rFonts w:ascii="Arial" w:eastAsia="Times New Roman" w:hAnsi="Arial" w:cs="Arial"/>
          <w:color w:val="000000"/>
          <w:sz w:val="20"/>
          <w:szCs w:val="20"/>
          <w:lang w:eastAsia="es-CR"/>
        </w:rPr>
        <w:t xml:space="preserve"> Historia. San José. s.e. 1996. </w:t>
      </w:r>
      <w:r w:rsidRPr="00291EC4">
        <w:rPr>
          <w:rFonts w:ascii="Arial" w:eastAsia="Times New Roman" w:hAnsi="Arial" w:cs="Arial"/>
          <w:b/>
          <w:color w:val="000000"/>
          <w:sz w:val="20"/>
          <w:szCs w:val="20"/>
          <w:lang w:eastAsia="es-CR"/>
        </w:rPr>
        <w:t>La era de la encomienda</w:t>
      </w:r>
      <w:r>
        <w:rPr>
          <w:rFonts w:ascii="Arial" w:eastAsia="Times New Roman" w:hAnsi="Arial" w:cs="Arial"/>
          <w:color w:val="000000"/>
          <w:sz w:val="20"/>
          <w:szCs w:val="20"/>
          <w:lang w:eastAsia="es-CR"/>
        </w:rPr>
        <w:t xml:space="preserve">. San José: Editorial de la Universidad de Costa Rica, 1990. Véase con atención el capítulo I que trata sobre la invención de Costa Rica y Nicoya y luego sobre la configuración colonial de dicho pueblo. </w:t>
      </w:r>
    </w:p>
  </w:footnote>
  <w:footnote w:id="26">
    <w:p w:rsidR="003E47BD" w:rsidRPr="00B064A8" w:rsidRDefault="003E47BD" w:rsidP="00623B9D">
      <w:pPr>
        <w:spacing w:after="0" w:line="240" w:lineRule="auto"/>
        <w:jc w:val="both"/>
        <w:rPr>
          <w:lang w:val="es-CR"/>
        </w:rPr>
      </w:pPr>
      <w:r>
        <w:rPr>
          <w:rStyle w:val="Refdenotaalpie"/>
        </w:rPr>
        <w:footnoteRef/>
      </w:r>
      <w:r>
        <w:t xml:space="preserve"> </w:t>
      </w:r>
      <w:r w:rsidRPr="005D5F59">
        <w:rPr>
          <w:rFonts w:ascii="Arial" w:eastAsia="Times New Roman" w:hAnsi="Arial" w:cs="Arial"/>
          <w:color w:val="000000"/>
          <w:sz w:val="20"/>
          <w:szCs w:val="20"/>
          <w:lang w:eastAsia="es-CR"/>
        </w:rPr>
        <w:t>Matarrita, Mario. “La hacienda ganadera colonial en el corregimiento de Nicoya siglo XVIII”. San José. Tesis de Licenciatura en Historia, 1980.</w:t>
      </w:r>
      <w:r>
        <w:rPr>
          <w:rFonts w:ascii="Arial" w:eastAsia="Times New Roman" w:hAnsi="Arial" w:cs="Arial"/>
          <w:color w:val="000000"/>
          <w:sz w:val="20"/>
          <w:szCs w:val="20"/>
          <w:lang w:eastAsia="es-CR"/>
        </w:rPr>
        <w:t xml:space="preserve"> y </w:t>
      </w:r>
      <w:r w:rsidRPr="001F2F2F">
        <w:rPr>
          <w:rFonts w:ascii="Arial" w:eastAsia="Times New Roman" w:hAnsi="Arial" w:cs="Arial"/>
          <w:b/>
          <w:color w:val="000000"/>
          <w:sz w:val="20"/>
          <w:szCs w:val="20"/>
          <w:lang w:eastAsia="es-CR"/>
        </w:rPr>
        <w:t>La hacienda ganadera colonial en el corregimiento de Nicoya. Siglo XVIII</w:t>
      </w:r>
      <w:r w:rsidRPr="001F2F2F">
        <w:rPr>
          <w:rFonts w:ascii="Arial" w:eastAsia="Times New Roman" w:hAnsi="Arial" w:cs="Arial"/>
          <w:color w:val="000000"/>
          <w:sz w:val="20"/>
          <w:szCs w:val="20"/>
          <w:lang w:eastAsia="es-CR"/>
        </w:rPr>
        <w:t xml:space="preserve">. Universidad de Costa Rica: Facultad de Ciencias Sociales, Escuela de Historia y Geografía San José. 1980.  </w:t>
      </w:r>
    </w:p>
  </w:footnote>
  <w:footnote w:id="27">
    <w:p w:rsidR="003E47BD" w:rsidRPr="00623B9D" w:rsidRDefault="003E47BD">
      <w:pPr>
        <w:pStyle w:val="Textonotapie"/>
        <w:rPr>
          <w:rFonts w:ascii="Arial" w:hAnsi="Arial" w:cs="Arial"/>
          <w:lang w:val="es-CR"/>
        </w:rPr>
      </w:pPr>
      <w:r w:rsidRPr="00623B9D">
        <w:rPr>
          <w:rStyle w:val="Refdenotaalpie"/>
          <w:rFonts w:ascii="Arial" w:hAnsi="Arial" w:cs="Arial"/>
        </w:rPr>
        <w:footnoteRef/>
      </w:r>
      <w:r w:rsidRPr="00623B9D">
        <w:rPr>
          <w:rFonts w:ascii="Arial" w:hAnsi="Arial" w:cs="Arial"/>
        </w:rPr>
        <w:t xml:space="preserve"> </w:t>
      </w:r>
      <w:r w:rsidRPr="00623B9D">
        <w:rPr>
          <w:rFonts w:ascii="Arial" w:hAnsi="Arial" w:cs="Arial"/>
          <w:lang w:val="es-CR"/>
        </w:rPr>
        <w:t xml:space="preserve">Fonseca, Elizabeth. </w:t>
      </w:r>
      <w:r w:rsidRPr="00623B9D">
        <w:rPr>
          <w:rFonts w:ascii="Arial" w:hAnsi="Arial" w:cs="Arial"/>
          <w:b/>
          <w:lang w:val="es-CR"/>
        </w:rPr>
        <w:t>Costa Rica colonial. La tierra y el hombre</w:t>
      </w:r>
      <w:r w:rsidRPr="00623B9D">
        <w:rPr>
          <w:rFonts w:ascii="Arial" w:hAnsi="Arial" w:cs="Arial"/>
          <w:lang w:val="es-CR"/>
        </w:rPr>
        <w:t xml:space="preserve">. San José: EDUCA, 1983.  </w:t>
      </w:r>
    </w:p>
  </w:footnote>
  <w:footnote w:id="28">
    <w:p w:rsidR="003E47BD" w:rsidRPr="004C7F96" w:rsidRDefault="003E47BD" w:rsidP="0001578E">
      <w:pPr>
        <w:pStyle w:val="Textonotapie"/>
        <w:jc w:val="both"/>
        <w:rPr>
          <w:rFonts w:ascii="Arial" w:hAnsi="Arial" w:cs="Arial"/>
          <w:lang w:val="es-CR"/>
        </w:rPr>
      </w:pPr>
      <w:r w:rsidRPr="004C7F96">
        <w:rPr>
          <w:rStyle w:val="Refdenotaalpie"/>
          <w:rFonts w:ascii="Arial" w:hAnsi="Arial" w:cs="Arial"/>
        </w:rPr>
        <w:footnoteRef/>
      </w:r>
      <w:r w:rsidRPr="004C7F96">
        <w:rPr>
          <w:rFonts w:ascii="Arial" w:hAnsi="Arial" w:cs="Arial"/>
        </w:rPr>
        <w:t xml:space="preserve"> </w:t>
      </w:r>
      <w:r w:rsidRPr="004C7F96">
        <w:rPr>
          <w:rFonts w:ascii="Arial" w:hAnsi="Arial" w:cs="Arial"/>
          <w:lang w:val="es-CR"/>
        </w:rPr>
        <w:t xml:space="preserve">Enríquez, Francisco. </w:t>
      </w:r>
      <w:r w:rsidRPr="004C7F96">
        <w:rPr>
          <w:rFonts w:ascii="Arial" w:hAnsi="Arial" w:cs="Arial"/>
          <w:b/>
          <w:lang w:val="es-CR"/>
        </w:rPr>
        <w:t>Estrategias para estudiar la comunidad donde vivimos</w:t>
      </w:r>
      <w:r w:rsidRPr="004C7F96">
        <w:rPr>
          <w:rFonts w:ascii="Arial" w:hAnsi="Arial" w:cs="Arial"/>
          <w:lang w:val="es-CR"/>
        </w:rPr>
        <w:t xml:space="preserve">. San José: EUNED, 2004. p.11. </w:t>
      </w:r>
    </w:p>
  </w:footnote>
  <w:footnote w:id="29">
    <w:p w:rsidR="003E47BD" w:rsidRPr="00D11163" w:rsidRDefault="003E47BD" w:rsidP="0001578E">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 xml:space="preserve">Municipalidad de Liberia. </w:t>
      </w:r>
      <w:r w:rsidRPr="00760579">
        <w:rPr>
          <w:rFonts w:ascii="Arial" w:eastAsia="Times New Roman" w:hAnsi="Arial" w:cs="Arial"/>
          <w:b/>
          <w:color w:val="000000"/>
          <w:sz w:val="20"/>
          <w:szCs w:val="20"/>
          <w:lang w:eastAsia="es-CR"/>
        </w:rPr>
        <w:t>Parroquia de Guanacaste hoy ciudad de Liberia</w:t>
      </w:r>
      <w:r w:rsidRPr="00760579">
        <w:rPr>
          <w:rFonts w:ascii="Arial" w:eastAsia="Times New Roman" w:hAnsi="Arial" w:cs="Arial"/>
          <w:color w:val="000000"/>
          <w:sz w:val="20"/>
          <w:szCs w:val="20"/>
          <w:lang w:eastAsia="es-CR"/>
        </w:rPr>
        <w:t>. San José: Imprenta Nacional. 1967.</w:t>
      </w:r>
      <w:r>
        <w:rPr>
          <w:rFonts w:ascii="Arial" w:eastAsia="Times New Roman" w:hAnsi="Arial" w:cs="Arial"/>
          <w:color w:val="000000"/>
          <w:sz w:val="20"/>
          <w:szCs w:val="20"/>
          <w:lang w:eastAsia="es-CR"/>
        </w:rPr>
        <w:t xml:space="preserve"> </w:t>
      </w:r>
      <w:r w:rsidRPr="00760579">
        <w:rPr>
          <w:rFonts w:ascii="Arial" w:eastAsia="Times New Roman" w:hAnsi="Arial" w:cs="Arial"/>
          <w:color w:val="000000"/>
          <w:sz w:val="20"/>
          <w:szCs w:val="20"/>
          <w:lang w:eastAsia="es-CR"/>
        </w:rPr>
        <w:t xml:space="preserve">Corporación Municipal.  “Bicentenario de la fundación de la ciudad de Liberia”. </w:t>
      </w:r>
      <w:r w:rsidRPr="00330883">
        <w:rPr>
          <w:rFonts w:ascii="Arial" w:eastAsia="Times New Roman" w:hAnsi="Arial" w:cs="Arial"/>
          <w:color w:val="000000"/>
          <w:sz w:val="20"/>
          <w:szCs w:val="20"/>
          <w:lang w:val="es-CR" w:eastAsia="es-CR"/>
        </w:rPr>
        <w:t xml:space="preserve">Liberia. 1969. </w:t>
      </w:r>
      <w:r w:rsidRPr="002D7153">
        <w:rPr>
          <w:rFonts w:ascii="Arial" w:eastAsia="Times New Roman" w:hAnsi="Arial" w:cs="Arial"/>
          <w:color w:val="000000"/>
          <w:sz w:val="20"/>
          <w:szCs w:val="20"/>
          <w:lang w:val="es-CR" w:eastAsia="es-CR"/>
        </w:rPr>
        <w:t xml:space="preserve">También hay que </w:t>
      </w:r>
      <w:r>
        <w:rPr>
          <w:rFonts w:ascii="Arial" w:eastAsia="Times New Roman" w:hAnsi="Arial" w:cs="Arial"/>
          <w:color w:val="000000"/>
          <w:sz w:val="20"/>
          <w:szCs w:val="20"/>
          <w:lang w:val="es-CR" w:eastAsia="es-CR"/>
        </w:rPr>
        <w:t xml:space="preserve">considerar la historia relacionada a las instituciones de educación, por ejemplo: </w:t>
      </w:r>
      <w:r w:rsidRPr="00760579">
        <w:rPr>
          <w:rFonts w:ascii="Arial" w:eastAsia="Times New Roman" w:hAnsi="Arial" w:cs="Arial"/>
          <w:color w:val="000000"/>
          <w:sz w:val="20"/>
          <w:szCs w:val="20"/>
          <w:lang w:eastAsia="es-CR"/>
        </w:rPr>
        <w:t xml:space="preserve">Cincuentenario de la Escuela Ascensión Esquivel de Liberia, 1904-1954. San José. Imprenta Nacional. 1954. </w:t>
      </w:r>
    </w:p>
  </w:footnote>
  <w:footnote w:id="30">
    <w:p w:rsidR="003E47BD" w:rsidRPr="00330883" w:rsidRDefault="003E47BD" w:rsidP="0001578E">
      <w:pPr>
        <w:spacing w:after="0" w:line="240" w:lineRule="auto"/>
        <w:jc w:val="both"/>
        <w:rPr>
          <w:rFonts w:ascii="Arial" w:hAnsi="Arial" w:cs="Arial"/>
          <w:sz w:val="20"/>
          <w:szCs w:val="20"/>
          <w:lang w:val="es-CR"/>
        </w:rPr>
      </w:pPr>
      <w:r w:rsidRPr="00D11163">
        <w:rPr>
          <w:rStyle w:val="Refdenotaalpie"/>
          <w:rFonts w:ascii="Arial" w:hAnsi="Arial" w:cs="Arial"/>
          <w:sz w:val="20"/>
          <w:szCs w:val="20"/>
        </w:rPr>
        <w:footnoteRef/>
      </w:r>
      <w:r w:rsidRPr="00D11163">
        <w:rPr>
          <w:rFonts w:ascii="Arial" w:hAnsi="Arial" w:cs="Arial"/>
          <w:sz w:val="20"/>
          <w:szCs w:val="20"/>
        </w:rPr>
        <w:t xml:space="preserve"> </w:t>
      </w:r>
      <w:r w:rsidRPr="006163EB">
        <w:rPr>
          <w:rFonts w:ascii="Arial" w:hAnsi="Arial" w:cs="Arial"/>
          <w:sz w:val="20"/>
          <w:szCs w:val="20"/>
        </w:rPr>
        <w:t xml:space="preserve">Pizarro, Ronny. </w:t>
      </w:r>
      <w:r w:rsidRPr="006163EB">
        <w:rPr>
          <w:rFonts w:ascii="Arial" w:hAnsi="Arial" w:cs="Arial"/>
          <w:b/>
          <w:sz w:val="20"/>
          <w:szCs w:val="20"/>
        </w:rPr>
        <w:t>Liberia, Guanacaste y sus orígenes.</w:t>
      </w:r>
      <w:r w:rsidRPr="006163EB">
        <w:rPr>
          <w:rFonts w:ascii="Arial" w:hAnsi="Arial" w:cs="Arial"/>
          <w:sz w:val="20"/>
          <w:szCs w:val="20"/>
        </w:rPr>
        <w:t xml:space="preserve"> Instituto de Fomento y Asesoría Municipal, 1983</w:t>
      </w:r>
      <w:r>
        <w:rPr>
          <w:rFonts w:ascii="Arial" w:hAnsi="Arial" w:cs="Arial"/>
          <w:sz w:val="20"/>
          <w:szCs w:val="20"/>
        </w:rPr>
        <w:t>.</w:t>
      </w:r>
    </w:p>
  </w:footnote>
  <w:footnote w:id="31">
    <w:p w:rsidR="003E47BD" w:rsidRPr="00330883" w:rsidRDefault="003E47BD" w:rsidP="0001578E">
      <w:pPr>
        <w:pStyle w:val="Textonotapie"/>
        <w:jc w:val="both"/>
        <w:rPr>
          <w:lang w:val="es-CR"/>
        </w:rPr>
      </w:pPr>
      <w:r>
        <w:rPr>
          <w:rStyle w:val="Refdenotaalpie"/>
        </w:rPr>
        <w:footnoteRef/>
      </w:r>
      <w:r w:rsidRPr="006163EB">
        <w:rPr>
          <w:lang w:val="en-US"/>
        </w:rPr>
        <w:t xml:space="preserve"> </w:t>
      </w:r>
      <w:r w:rsidRPr="00760579">
        <w:rPr>
          <w:rFonts w:ascii="Arial" w:eastAsia="Times New Roman" w:hAnsi="Arial" w:cs="Arial"/>
          <w:color w:val="000000"/>
          <w:lang w:val="en-US" w:eastAsia="es-CR"/>
        </w:rPr>
        <w:t xml:space="preserve">Richardson, Nathaniel. </w:t>
      </w:r>
      <w:r w:rsidRPr="00760579">
        <w:rPr>
          <w:rFonts w:ascii="Arial" w:eastAsia="Times New Roman" w:hAnsi="Arial" w:cs="Arial"/>
          <w:b/>
          <w:color w:val="000000"/>
          <w:lang w:val="en-US" w:eastAsia="es-CR"/>
        </w:rPr>
        <w:t>Liberia's past and present</w:t>
      </w:r>
      <w:r w:rsidRPr="00760579">
        <w:rPr>
          <w:rFonts w:ascii="Arial" w:eastAsia="Times New Roman" w:hAnsi="Arial" w:cs="Arial"/>
          <w:color w:val="000000"/>
          <w:lang w:val="en-US" w:eastAsia="es-CR"/>
        </w:rPr>
        <w:t xml:space="preserve">. London:  the diplomatic press and publishing company. </w:t>
      </w:r>
      <w:r w:rsidRPr="00330883">
        <w:rPr>
          <w:rFonts w:ascii="Arial" w:eastAsia="Times New Roman" w:hAnsi="Arial" w:cs="Arial"/>
          <w:color w:val="000000"/>
          <w:lang w:val="es-CR" w:eastAsia="es-CR"/>
        </w:rPr>
        <w:t xml:space="preserve">1959. </w:t>
      </w:r>
    </w:p>
  </w:footnote>
  <w:footnote w:id="32">
    <w:p w:rsidR="003E47BD" w:rsidRDefault="003E47BD" w:rsidP="0001578E">
      <w:pPr>
        <w:spacing w:after="0" w:line="240" w:lineRule="auto"/>
        <w:jc w:val="both"/>
        <w:rPr>
          <w:rFonts w:ascii="Arial" w:eastAsia="Times New Roman" w:hAnsi="Arial" w:cs="Arial"/>
          <w:color w:val="000000"/>
          <w:sz w:val="20"/>
          <w:szCs w:val="20"/>
          <w:lang w:val="es-CR" w:eastAsia="es-CR"/>
        </w:rPr>
      </w:pPr>
      <w:r>
        <w:rPr>
          <w:rStyle w:val="Refdenotaalpie"/>
        </w:rPr>
        <w:footnoteRef/>
      </w:r>
      <w:r w:rsidRPr="00330883">
        <w:rPr>
          <w:lang w:val="es-CR"/>
        </w:rPr>
        <w:t xml:space="preserve"> </w:t>
      </w:r>
      <w:r w:rsidRPr="00330883">
        <w:rPr>
          <w:rFonts w:ascii="Arial" w:eastAsia="Times New Roman" w:hAnsi="Arial" w:cs="Arial"/>
          <w:color w:val="000000"/>
          <w:sz w:val="20"/>
          <w:szCs w:val="20"/>
          <w:lang w:val="es-CR" w:eastAsia="es-CR"/>
        </w:rPr>
        <w:t xml:space="preserve">Solano, Edgar. </w:t>
      </w:r>
      <w:r w:rsidRPr="00330883">
        <w:rPr>
          <w:rFonts w:ascii="Arial" w:eastAsia="Times New Roman" w:hAnsi="Arial" w:cs="Arial"/>
          <w:b/>
          <w:color w:val="000000"/>
          <w:sz w:val="20"/>
          <w:szCs w:val="20"/>
          <w:lang w:val="es-CR" w:eastAsia="es-CR"/>
        </w:rPr>
        <w:t>Historia de Libe</w:t>
      </w:r>
      <w:r w:rsidRPr="004538A7">
        <w:rPr>
          <w:rFonts w:ascii="Arial" w:eastAsia="Times New Roman" w:hAnsi="Arial" w:cs="Arial"/>
          <w:b/>
          <w:color w:val="000000"/>
          <w:sz w:val="20"/>
          <w:szCs w:val="20"/>
          <w:lang w:val="es-CR" w:eastAsia="es-CR"/>
        </w:rPr>
        <w:t>ria. Siglos XIX y XX</w:t>
      </w:r>
      <w:r>
        <w:rPr>
          <w:rFonts w:ascii="Arial" w:eastAsia="Times New Roman" w:hAnsi="Arial" w:cs="Arial"/>
          <w:color w:val="000000"/>
          <w:sz w:val="20"/>
          <w:szCs w:val="20"/>
          <w:lang w:val="es-CR" w:eastAsia="es-CR"/>
        </w:rPr>
        <w:t xml:space="preserve">. San José: Editorial Perro Azul, 2009. </w:t>
      </w:r>
    </w:p>
    <w:p w:rsidR="003E47BD" w:rsidRPr="00D11163" w:rsidRDefault="003E47BD" w:rsidP="006163EB">
      <w:pPr>
        <w:pStyle w:val="Textonotapie"/>
        <w:jc w:val="both"/>
        <w:rPr>
          <w:lang w:val="es-CR"/>
        </w:rPr>
      </w:pPr>
    </w:p>
  </w:footnote>
  <w:footnote w:id="33">
    <w:p w:rsidR="003E47BD" w:rsidRPr="00027798" w:rsidRDefault="003E47BD" w:rsidP="003519BC">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val="es-CR" w:eastAsia="es-CR"/>
        </w:rPr>
        <w:t>Arauz, Ligia</w:t>
      </w:r>
      <w:r w:rsidRPr="00760579">
        <w:rPr>
          <w:rFonts w:ascii="Arial" w:eastAsia="Times New Roman" w:hAnsi="Arial" w:cs="Arial"/>
          <w:b/>
          <w:color w:val="000000"/>
          <w:sz w:val="20"/>
          <w:szCs w:val="20"/>
          <w:lang w:val="es-CR" w:eastAsia="es-CR"/>
        </w:rPr>
        <w:t xml:space="preserve">.  </w:t>
      </w:r>
      <w:r w:rsidRPr="00760579">
        <w:rPr>
          <w:rFonts w:ascii="Arial" w:eastAsia="Times New Roman" w:hAnsi="Arial" w:cs="Arial"/>
          <w:b/>
          <w:color w:val="000000"/>
          <w:sz w:val="20"/>
          <w:szCs w:val="20"/>
          <w:lang w:eastAsia="es-CR"/>
        </w:rPr>
        <w:t>Municipalidad de Nicoya</w:t>
      </w:r>
      <w:r w:rsidRPr="00760579">
        <w:rPr>
          <w:rFonts w:ascii="Arial" w:eastAsia="Times New Roman" w:hAnsi="Arial" w:cs="Arial"/>
          <w:color w:val="000000"/>
          <w:sz w:val="20"/>
          <w:szCs w:val="20"/>
          <w:lang w:eastAsia="es-CR"/>
        </w:rPr>
        <w:t>. San José. Universidad de Costa Rica, 1974.</w:t>
      </w:r>
    </w:p>
  </w:footnote>
  <w:footnote w:id="34">
    <w:p w:rsidR="003E47BD" w:rsidRPr="00027798" w:rsidRDefault="003E47BD" w:rsidP="003519BC">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 xml:space="preserve">Jaén, Julio César. </w:t>
      </w:r>
      <w:r w:rsidRPr="00760579">
        <w:rPr>
          <w:rFonts w:ascii="Arial" w:eastAsia="Times New Roman" w:hAnsi="Arial" w:cs="Arial"/>
          <w:b/>
          <w:color w:val="000000"/>
          <w:sz w:val="20"/>
          <w:szCs w:val="20"/>
          <w:lang w:eastAsia="es-CR"/>
        </w:rPr>
        <w:t>Partido de Nicoya y su integración a Costa Rica</w:t>
      </w:r>
      <w:r w:rsidRPr="00760579">
        <w:rPr>
          <w:rFonts w:ascii="Arial" w:eastAsia="Times New Roman" w:hAnsi="Arial" w:cs="Arial"/>
          <w:color w:val="000000"/>
          <w:sz w:val="20"/>
          <w:szCs w:val="20"/>
          <w:lang w:eastAsia="es-CR"/>
        </w:rPr>
        <w:t>. San José: Editorial de la Universidad de Costa Rica. 2000.</w:t>
      </w:r>
    </w:p>
  </w:footnote>
  <w:footnote w:id="35">
    <w:p w:rsidR="003E47BD" w:rsidRPr="006163EB" w:rsidRDefault="003E47BD" w:rsidP="003519BC">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Sibaja, Luis Fernando</w:t>
      </w:r>
      <w:r>
        <w:rPr>
          <w:rFonts w:ascii="Arial" w:eastAsia="Times New Roman" w:hAnsi="Arial" w:cs="Arial"/>
          <w:color w:val="000000"/>
          <w:sz w:val="20"/>
          <w:szCs w:val="20"/>
          <w:lang w:eastAsia="es-CR"/>
        </w:rPr>
        <w:t xml:space="preserve"> </w:t>
      </w:r>
      <w:r w:rsidRPr="00760579">
        <w:rPr>
          <w:rFonts w:ascii="Arial" w:eastAsia="Times New Roman" w:hAnsi="Arial" w:cs="Arial"/>
          <w:color w:val="000000"/>
          <w:sz w:val="20"/>
          <w:szCs w:val="20"/>
          <w:lang w:eastAsia="es-CR"/>
        </w:rPr>
        <w:t xml:space="preserve">y Zelaya, Chester. </w:t>
      </w:r>
      <w:r w:rsidRPr="00760579">
        <w:rPr>
          <w:rFonts w:ascii="Arial" w:eastAsia="Times New Roman" w:hAnsi="Arial" w:cs="Arial"/>
          <w:b/>
          <w:color w:val="000000"/>
          <w:sz w:val="20"/>
          <w:szCs w:val="20"/>
          <w:lang w:eastAsia="es-CR"/>
        </w:rPr>
        <w:t>Anexión de Nicoya</w:t>
      </w:r>
      <w:r w:rsidRPr="00760579">
        <w:rPr>
          <w:rFonts w:ascii="Arial" w:eastAsia="Times New Roman" w:hAnsi="Arial" w:cs="Arial"/>
          <w:color w:val="000000"/>
          <w:sz w:val="20"/>
          <w:szCs w:val="20"/>
          <w:lang w:eastAsia="es-CR"/>
        </w:rPr>
        <w:t>. San José: Comisión Nacional de Conmemoraciones Históricas. Imprenta Nacional. 1974.</w:t>
      </w:r>
    </w:p>
  </w:footnote>
  <w:footnote w:id="36">
    <w:p w:rsidR="003E47BD" w:rsidRPr="00B544B0" w:rsidRDefault="003E47BD" w:rsidP="003519BC">
      <w:pPr>
        <w:spacing w:after="0" w:line="240" w:lineRule="auto"/>
        <w:jc w:val="both"/>
        <w:rPr>
          <w:lang w:val="es-CR"/>
        </w:rPr>
      </w:pPr>
      <w:r>
        <w:rPr>
          <w:rStyle w:val="Refdenotaalpie"/>
        </w:rPr>
        <w:footnoteRef/>
      </w:r>
      <w:r>
        <w:t xml:space="preserve"> </w:t>
      </w:r>
      <w:r w:rsidRPr="00184A61">
        <w:rPr>
          <w:rFonts w:ascii="Arial" w:hAnsi="Arial" w:cs="Arial"/>
          <w:sz w:val="20"/>
          <w:szCs w:val="20"/>
        </w:rPr>
        <w:t xml:space="preserve">ANDE. </w:t>
      </w:r>
      <w:r w:rsidRPr="00184A61">
        <w:rPr>
          <w:rFonts w:ascii="Arial" w:hAnsi="Arial" w:cs="Arial"/>
          <w:b/>
          <w:sz w:val="20"/>
          <w:szCs w:val="20"/>
        </w:rPr>
        <w:t>Sesquicentenario de la Anexión del Partido de Nicoya a Costa Rica</w:t>
      </w:r>
      <w:r w:rsidRPr="00184A61">
        <w:rPr>
          <w:rFonts w:ascii="Arial" w:hAnsi="Arial" w:cs="Arial"/>
          <w:sz w:val="20"/>
          <w:szCs w:val="20"/>
        </w:rPr>
        <w:t xml:space="preserve">. </w:t>
      </w:r>
      <w:hyperlink r:id="rId5" w:history="1">
        <w:r w:rsidRPr="00184A61">
          <w:rPr>
            <w:rStyle w:val="Hipervnculo"/>
            <w:rFonts w:ascii="Arial" w:hAnsi="Arial" w:cs="Arial"/>
            <w:color w:val="auto"/>
            <w:sz w:val="20"/>
            <w:szCs w:val="20"/>
            <w:u w:val="none"/>
          </w:rPr>
          <w:t>En: Revista de la Asociación Nacional de Educadores</w:t>
        </w:r>
      </w:hyperlink>
      <w:r w:rsidRPr="00184A61">
        <w:rPr>
          <w:rFonts w:ascii="Arial" w:hAnsi="Arial" w:cs="Arial"/>
          <w:sz w:val="20"/>
          <w:szCs w:val="20"/>
        </w:rPr>
        <w:t xml:space="preserve">, </w:t>
      </w:r>
      <w:hyperlink r:id="rId6" w:history="1">
        <w:r w:rsidRPr="00184A61">
          <w:rPr>
            <w:rStyle w:val="Hipervnculo"/>
            <w:rFonts w:ascii="Arial" w:hAnsi="Arial" w:cs="Arial"/>
            <w:color w:val="auto"/>
            <w:sz w:val="20"/>
            <w:szCs w:val="20"/>
            <w:u w:val="none"/>
          </w:rPr>
          <w:t>No. 49</w:t>
        </w:r>
      </w:hyperlink>
      <w:r w:rsidRPr="00184A61">
        <w:rPr>
          <w:rStyle w:val="olibdetailsitemparent"/>
          <w:rFonts w:ascii="Arial" w:hAnsi="Arial" w:cs="Arial"/>
          <w:sz w:val="20"/>
          <w:szCs w:val="20"/>
        </w:rPr>
        <w:t xml:space="preserve">, </w:t>
      </w:r>
      <w:r w:rsidRPr="00184A61">
        <w:rPr>
          <w:rFonts w:ascii="Arial" w:hAnsi="Arial" w:cs="Arial"/>
          <w:sz w:val="20"/>
          <w:szCs w:val="20"/>
        </w:rPr>
        <w:t xml:space="preserve">San José, Costa Rica, 1974. </w:t>
      </w:r>
    </w:p>
  </w:footnote>
  <w:footnote w:id="37">
    <w:p w:rsidR="002E6094" w:rsidRPr="002E6094" w:rsidRDefault="002E6094" w:rsidP="003519BC">
      <w:pPr>
        <w:pStyle w:val="Textonotapie"/>
        <w:jc w:val="both"/>
        <w:rPr>
          <w:lang w:val="es-CR"/>
        </w:rPr>
      </w:pPr>
      <w:r>
        <w:rPr>
          <w:rStyle w:val="Refdenotaalpie"/>
        </w:rPr>
        <w:footnoteRef/>
      </w:r>
      <w:r>
        <w:t xml:space="preserve"> </w:t>
      </w:r>
      <w:r w:rsidRPr="00760579">
        <w:rPr>
          <w:rFonts w:ascii="Arial" w:eastAsia="Times New Roman" w:hAnsi="Arial" w:cs="Arial"/>
          <w:color w:val="000000"/>
          <w:lang w:eastAsia="es-CR"/>
        </w:rPr>
        <w:t xml:space="preserve">Cabrera, Roberto. </w:t>
      </w:r>
      <w:r w:rsidRPr="00760579">
        <w:rPr>
          <w:rFonts w:ascii="Arial" w:eastAsia="Times New Roman" w:hAnsi="Arial" w:cs="Arial"/>
          <w:b/>
          <w:color w:val="000000"/>
          <w:lang w:eastAsia="es-CR"/>
        </w:rPr>
        <w:t>Santa Cruz, Guanacaste: una aproximación a la historia y la cultura populares.</w:t>
      </w:r>
      <w:r w:rsidRPr="00760579">
        <w:rPr>
          <w:rFonts w:ascii="Arial" w:eastAsia="Times New Roman" w:hAnsi="Arial" w:cs="Arial"/>
          <w:color w:val="000000"/>
          <w:lang w:eastAsia="es-CR"/>
        </w:rPr>
        <w:t xml:space="preserve"> San José: Guayacán. 1989</w:t>
      </w:r>
      <w:r>
        <w:rPr>
          <w:rFonts w:ascii="Arial" w:eastAsia="Times New Roman" w:hAnsi="Arial" w:cs="Arial"/>
          <w:color w:val="000000"/>
          <w:lang w:eastAsia="es-CR"/>
        </w:rPr>
        <w:t xml:space="preserve">, y más recientemente, el extenso trabajo titulado: </w:t>
      </w:r>
      <w:r w:rsidRPr="002E6094">
        <w:rPr>
          <w:rFonts w:ascii="Arial" w:eastAsia="Times New Roman" w:hAnsi="Arial" w:cs="Arial"/>
          <w:b/>
          <w:color w:val="000000"/>
          <w:lang w:eastAsia="es-CR"/>
        </w:rPr>
        <w:t>Tierra y ganadería en Guanacaste.</w:t>
      </w:r>
      <w:r>
        <w:rPr>
          <w:rFonts w:ascii="Arial" w:eastAsia="Times New Roman" w:hAnsi="Arial" w:cs="Arial"/>
          <w:color w:val="000000"/>
          <w:lang w:eastAsia="es-CR"/>
        </w:rPr>
        <w:t xml:space="preserve"> Cartago: Editorial Tecnológica de Costa Rica, 2007. </w:t>
      </w:r>
    </w:p>
  </w:footnote>
  <w:footnote w:id="38">
    <w:p w:rsidR="0003328C" w:rsidRPr="00193102" w:rsidRDefault="0003328C" w:rsidP="003519BC">
      <w:pPr>
        <w:pStyle w:val="Textonotapie"/>
        <w:jc w:val="both"/>
        <w:rPr>
          <w:rFonts w:ascii="Arial" w:hAnsi="Arial" w:cs="Arial"/>
          <w:lang w:val="es-CR"/>
        </w:rPr>
      </w:pPr>
      <w:r w:rsidRPr="00193102">
        <w:rPr>
          <w:rStyle w:val="Refdenotaalpie"/>
          <w:rFonts w:ascii="Arial" w:hAnsi="Arial" w:cs="Arial"/>
        </w:rPr>
        <w:footnoteRef/>
      </w:r>
      <w:r w:rsidRPr="00193102">
        <w:rPr>
          <w:rFonts w:ascii="Arial" w:hAnsi="Arial" w:cs="Arial"/>
        </w:rPr>
        <w:t xml:space="preserve"> </w:t>
      </w:r>
      <w:r w:rsidRPr="00193102">
        <w:rPr>
          <w:rFonts w:ascii="Arial" w:hAnsi="Arial" w:cs="Arial"/>
          <w:lang w:val="es-CR"/>
        </w:rPr>
        <w:t xml:space="preserve">Iglesias, José Marco. </w:t>
      </w:r>
      <w:r w:rsidRPr="00193102">
        <w:rPr>
          <w:rFonts w:ascii="Arial" w:hAnsi="Arial" w:cs="Arial"/>
          <w:b/>
          <w:lang w:val="es-CR"/>
        </w:rPr>
        <w:t>Santa Cruz de Guanacaste. Pruebas documentales sobre el origen del nombre, fundadores y lugar escogido de la ciudad de Santa Cruz</w:t>
      </w:r>
      <w:r w:rsidRPr="00193102">
        <w:rPr>
          <w:rFonts w:ascii="Arial" w:hAnsi="Arial" w:cs="Arial"/>
          <w:lang w:val="es-CR"/>
        </w:rPr>
        <w:t xml:space="preserve">. </w:t>
      </w:r>
      <w:r w:rsidR="00193102" w:rsidRPr="00193102">
        <w:rPr>
          <w:rFonts w:ascii="Arial" w:hAnsi="Arial" w:cs="Arial"/>
          <w:lang w:val="es-CR"/>
        </w:rPr>
        <w:t xml:space="preserve">San José, Costa Rica, 2006. </w:t>
      </w:r>
    </w:p>
  </w:footnote>
  <w:footnote w:id="39">
    <w:p w:rsidR="004322AB" w:rsidRPr="004322AB" w:rsidRDefault="004322AB" w:rsidP="003519BC">
      <w:pPr>
        <w:spacing w:after="0" w:line="240" w:lineRule="auto"/>
        <w:rPr>
          <w:lang w:val="es-CR"/>
        </w:rPr>
      </w:pPr>
      <w:r w:rsidRPr="004322AB">
        <w:rPr>
          <w:rStyle w:val="Refdenotaalpie"/>
          <w:rFonts w:ascii="Arial" w:hAnsi="Arial" w:cs="Arial"/>
          <w:sz w:val="20"/>
          <w:szCs w:val="20"/>
        </w:rPr>
        <w:footnoteRef/>
      </w:r>
      <w:r w:rsidRPr="004322AB">
        <w:rPr>
          <w:rFonts w:ascii="Arial" w:hAnsi="Arial" w:cs="Arial"/>
          <w:sz w:val="20"/>
          <w:szCs w:val="20"/>
        </w:rPr>
        <w:t xml:space="preserve"> Leal, Edgar. </w:t>
      </w:r>
      <w:r w:rsidRPr="004322AB">
        <w:rPr>
          <w:rFonts w:ascii="Arial" w:hAnsi="Arial" w:cs="Arial"/>
          <w:bCs/>
          <w:sz w:val="20"/>
          <w:szCs w:val="20"/>
        </w:rPr>
        <w:t xml:space="preserve">Edgar Leal. Santa Cruz. </w:t>
      </w:r>
      <w:r w:rsidRPr="004322AB">
        <w:rPr>
          <w:rFonts w:ascii="Arial" w:hAnsi="Arial" w:cs="Arial"/>
          <w:b/>
          <w:bCs/>
          <w:sz w:val="20"/>
          <w:szCs w:val="20"/>
        </w:rPr>
        <w:t>El paraje del Diriá</w:t>
      </w:r>
      <w:r w:rsidRPr="004322AB">
        <w:rPr>
          <w:rFonts w:ascii="Arial" w:hAnsi="Arial" w:cs="Arial"/>
          <w:bCs/>
          <w:sz w:val="20"/>
          <w:szCs w:val="20"/>
        </w:rPr>
        <w:t xml:space="preserve">. 1998. </w:t>
      </w:r>
    </w:p>
  </w:footnote>
  <w:footnote w:id="40">
    <w:p w:rsidR="00E07559" w:rsidRPr="00345966" w:rsidRDefault="00E07559" w:rsidP="003519BC">
      <w:pPr>
        <w:pStyle w:val="Textonotapie"/>
        <w:jc w:val="both"/>
        <w:rPr>
          <w:rFonts w:ascii="Arial" w:hAnsi="Arial" w:cs="Arial"/>
          <w:lang w:val="es-CR"/>
        </w:rPr>
      </w:pPr>
      <w:r w:rsidRPr="00345966">
        <w:rPr>
          <w:rStyle w:val="Refdenotaalpie"/>
          <w:rFonts w:ascii="Arial" w:hAnsi="Arial" w:cs="Arial"/>
        </w:rPr>
        <w:footnoteRef/>
      </w:r>
      <w:r w:rsidRPr="00345966">
        <w:rPr>
          <w:rFonts w:ascii="Arial" w:hAnsi="Arial" w:cs="Arial"/>
        </w:rPr>
        <w:t xml:space="preserve"> </w:t>
      </w:r>
      <w:r w:rsidRPr="00345966">
        <w:rPr>
          <w:rFonts w:ascii="Arial" w:hAnsi="Arial" w:cs="Arial"/>
          <w:lang w:val="es-CR"/>
        </w:rPr>
        <w:t xml:space="preserve">Leal. </w:t>
      </w:r>
      <w:r w:rsidRPr="00345966">
        <w:rPr>
          <w:rFonts w:ascii="Arial" w:hAnsi="Arial" w:cs="Arial"/>
          <w:b/>
          <w:lang w:val="es-CR"/>
        </w:rPr>
        <w:t>Op. Cit</w:t>
      </w:r>
      <w:r w:rsidRPr="00345966">
        <w:rPr>
          <w:rFonts w:ascii="Arial" w:hAnsi="Arial" w:cs="Arial"/>
          <w:lang w:val="es-CR"/>
        </w:rPr>
        <w:t>. p.73</w:t>
      </w:r>
    </w:p>
  </w:footnote>
  <w:footnote w:id="41">
    <w:p w:rsidR="00345966" w:rsidRPr="00345966" w:rsidRDefault="00345966" w:rsidP="003519BC">
      <w:pPr>
        <w:spacing w:after="0" w:line="240" w:lineRule="auto"/>
        <w:jc w:val="both"/>
        <w:rPr>
          <w:lang w:val="es-CR"/>
        </w:rPr>
      </w:pPr>
      <w:r w:rsidRPr="00345966">
        <w:rPr>
          <w:rStyle w:val="Refdenotaalpie"/>
          <w:rFonts w:ascii="Arial" w:hAnsi="Arial" w:cs="Arial"/>
          <w:sz w:val="20"/>
          <w:szCs w:val="20"/>
        </w:rPr>
        <w:footnoteRef/>
      </w:r>
      <w:r w:rsidRPr="00345966">
        <w:rPr>
          <w:rFonts w:ascii="Arial" w:hAnsi="Arial" w:cs="Arial"/>
          <w:sz w:val="20"/>
          <w:szCs w:val="20"/>
        </w:rPr>
        <w:t xml:space="preserve"> </w:t>
      </w:r>
      <w:r w:rsidRPr="00345966">
        <w:rPr>
          <w:rFonts w:ascii="Arial" w:hAnsi="Arial" w:cs="Arial"/>
          <w:bCs/>
          <w:sz w:val="20"/>
          <w:szCs w:val="20"/>
        </w:rPr>
        <w:t xml:space="preserve">Vera Beatriz Vargas León. </w:t>
      </w:r>
      <w:r w:rsidRPr="00911D59">
        <w:rPr>
          <w:rFonts w:ascii="Arial" w:hAnsi="Arial" w:cs="Arial"/>
          <w:b/>
          <w:bCs/>
          <w:sz w:val="20"/>
          <w:szCs w:val="20"/>
        </w:rPr>
        <w:t>Nandayure,</w:t>
      </w:r>
      <w:r w:rsidR="00911D59" w:rsidRPr="00911D59">
        <w:rPr>
          <w:rFonts w:ascii="Arial" w:hAnsi="Arial" w:cs="Arial"/>
          <w:b/>
          <w:bCs/>
          <w:sz w:val="20"/>
          <w:szCs w:val="20"/>
        </w:rPr>
        <w:t xml:space="preserve"> </w:t>
      </w:r>
      <w:r w:rsidRPr="00911D59">
        <w:rPr>
          <w:rFonts w:ascii="Arial" w:hAnsi="Arial" w:cs="Arial"/>
          <w:b/>
          <w:bCs/>
          <w:sz w:val="20"/>
          <w:szCs w:val="20"/>
        </w:rPr>
        <w:t>su historia su folclor su gente</w:t>
      </w:r>
      <w:r w:rsidRPr="00345966">
        <w:rPr>
          <w:rFonts w:ascii="Arial" w:hAnsi="Arial" w:cs="Arial"/>
          <w:bCs/>
          <w:sz w:val="20"/>
          <w:szCs w:val="20"/>
        </w:rPr>
        <w:t xml:space="preserve">. Heredia, UNA, Programa de Publicaciones, 2003. </w:t>
      </w:r>
    </w:p>
  </w:footnote>
  <w:footnote w:id="42">
    <w:p w:rsidR="00F50AE3" w:rsidRPr="00F50AE3" w:rsidRDefault="00F50AE3" w:rsidP="00F50AE3">
      <w:pPr>
        <w:pStyle w:val="Textonotapie"/>
        <w:rPr>
          <w:rFonts w:ascii="Arial" w:hAnsi="Arial" w:cs="Arial"/>
          <w:lang w:val="es-CR"/>
        </w:rPr>
      </w:pPr>
      <w:r w:rsidRPr="00F50AE3">
        <w:rPr>
          <w:rStyle w:val="Refdenotaalpie"/>
          <w:rFonts w:ascii="Arial" w:hAnsi="Arial" w:cs="Arial"/>
        </w:rPr>
        <w:footnoteRef/>
      </w:r>
      <w:r w:rsidRPr="00F50AE3">
        <w:rPr>
          <w:rFonts w:ascii="Arial" w:hAnsi="Arial" w:cs="Arial"/>
        </w:rPr>
        <w:t xml:space="preserve"> </w:t>
      </w:r>
      <w:r w:rsidRPr="00F50AE3">
        <w:rPr>
          <w:rFonts w:ascii="Arial" w:hAnsi="Arial" w:cs="Arial"/>
          <w:lang w:val="es-CR"/>
        </w:rPr>
        <w:t xml:space="preserve">Vargas. </w:t>
      </w:r>
      <w:r w:rsidRPr="001D2AE9">
        <w:rPr>
          <w:rFonts w:ascii="Arial" w:hAnsi="Arial" w:cs="Arial"/>
          <w:b/>
          <w:lang w:val="es-CR"/>
        </w:rPr>
        <w:t>Op. Cit</w:t>
      </w:r>
      <w:r w:rsidRPr="001D2AE9">
        <w:rPr>
          <w:rFonts w:ascii="Arial" w:hAnsi="Arial" w:cs="Arial"/>
          <w:lang w:val="es-CR"/>
        </w:rPr>
        <w:t>. p.28</w:t>
      </w:r>
      <w:r w:rsidR="0001578E" w:rsidRPr="001D2AE9">
        <w:rPr>
          <w:rFonts w:ascii="Arial" w:hAnsi="Arial" w:cs="Arial"/>
          <w:lang w:val="es-CR"/>
        </w:rPr>
        <w:t xml:space="preserve">       </w:t>
      </w:r>
    </w:p>
  </w:footnote>
  <w:footnote w:id="43">
    <w:p w:rsidR="00992933" w:rsidRPr="00003A12" w:rsidRDefault="00992933" w:rsidP="00003A12">
      <w:pPr>
        <w:pStyle w:val="Textonotapie"/>
        <w:jc w:val="both"/>
        <w:rPr>
          <w:rFonts w:ascii="Arial" w:hAnsi="Arial" w:cs="Arial"/>
          <w:lang w:val="es-CR"/>
        </w:rPr>
      </w:pPr>
      <w:r w:rsidRPr="00003A12">
        <w:rPr>
          <w:rStyle w:val="Refdenotaalpie"/>
          <w:rFonts w:ascii="Arial" w:hAnsi="Arial" w:cs="Arial"/>
        </w:rPr>
        <w:footnoteRef/>
      </w:r>
      <w:r w:rsidRPr="00003A12">
        <w:rPr>
          <w:rFonts w:ascii="Arial" w:hAnsi="Arial" w:cs="Arial"/>
        </w:rPr>
        <w:t xml:space="preserve"> </w:t>
      </w:r>
      <w:r w:rsidRPr="00003A12">
        <w:rPr>
          <w:rFonts w:ascii="Arial" w:hAnsi="Arial" w:cs="Arial"/>
          <w:lang w:val="es-CR"/>
        </w:rPr>
        <w:t>García,</w:t>
      </w:r>
      <w:r w:rsidR="004D5D07">
        <w:rPr>
          <w:rFonts w:ascii="Arial" w:hAnsi="Arial" w:cs="Arial"/>
          <w:lang w:val="es-CR"/>
        </w:rPr>
        <w:t xml:space="preserve"> Murillo,</w:t>
      </w:r>
      <w:r w:rsidRPr="00003A12">
        <w:rPr>
          <w:rFonts w:ascii="Arial" w:hAnsi="Arial" w:cs="Arial"/>
          <w:lang w:val="es-CR"/>
        </w:rPr>
        <w:t xml:space="preserve"> Guillermo. </w:t>
      </w:r>
      <w:r w:rsidR="00003A12" w:rsidRPr="00003A12">
        <w:rPr>
          <w:rFonts w:ascii="Arial" w:hAnsi="Arial" w:cs="Arial"/>
          <w:b/>
          <w:lang w:val="es-CR"/>
        </w:rPr>
        <w:t>Las minas de Abangares.</w:t>
      </w:r>
      <w:r w:rsidR="00003A12">
        <w:rPr>
          <w:rFonts w:ascii="Arial" w:hAnsi="Arial" w:cs="Arial"/>
          <w:b/>
          <w:lang w:val="es-CR"/>
        </w:rPr>
        <w:t xml:space="preserve"> </w:t>
      </w:r>
      <w:r w:rsidR="00003A12" w:rsidRPr="00003A12">
        <w:rPr>
          <w:rFonts w:ascii="Arial" w:hAnsi="Arial" w:cs="Arial"/>
          <w:b/>
          <w:lang w:val="es-CR"/>
        </w:rPr>
        <w:t>Historia de una doble explotación</w:t>
      </w:r>
      <w:r w:rsidR="00003A12" w:rsidRPr="00003A12">
        <w:rPr>
          <w:rFonts w:ascii="Arial" w:hAnsi="Arial" w:cs="Arial"/>
          <w:lang w:val="es-CR"/>
        </w:rPr>
        <w:t xml:space="preserve">. </w:t>
      </w:r>
      <w:r w:rsidRPr="00003A12">
        <w:rPr>
          <w:rFonts w:ascii="Arial" w:hAnsi="Arial" w:cs="Arial"/>
          <w:lang w:val="es-CR"/>
        </w:rPr>
        <w:t>Mimeografiado San José, 1977. p.10</w:t>
      </w:r>
    </w:p>
  </w:footnote>
  <w:footnote w:id="44">
    <w:p w:rsidR="00AF3A3D" w:rsidRPr="00DB2871" w:rsidRDefault="00AF3A3D" w:rsidP="00FF1EC3">
      <w:pPr>
        <w:spacing w:after="0" w:line="240" w:lineRule="auto"/>
        <w:jc w:val="both"/>
        <w:rPr>
          <w:rFonts w:ascii="Arial" w:hAnsi="Arial" w:cs="Arial"/>
          <w:sz w:val="20"/>
          <w:szCs w:val="20"/>
          <w:lang w:val="es-CR"/>
        </w:rPr>
      </w:pPr>
      <w:r w:rsidRPr="00DB2871">
        <w:rPr>
          <w:rStyle w:val="Refdenotaalpie"/>
          <w:rFonts w:ascii="Arial" w:hAnsi="Arial" w:cs="Arial"/>
          <w:sz w:val="20"/>
          <w:szCs w:val="20"/>
        </w:rPr>
        <w:footnoteRef/>
      </w:r>
      <w:r w:rsidRPr="00DB2871">
        <w:rPr>
          <w:rFonts w:ascii="Arial" w:hAnsi="Arial" w:cs="Arial"/>
          <w:sz w:val="20"/>
          <w:szCs w:val="20"/>
        </w:rPr>
        <w:t xml:space="preserve"> </w:t>
      </w:r>
      <w:r w:rsidRPr="00DB2871">
        <w:rPr>
          <w:rFonts w:ascii="Arial" w:eastAsia="Times New Roman" w:hAnsi="Arial" w:cs="Arial"/>
          <w:color w:val="000000"/>
          <w:sz w:val="20"/>
          <w:szCs w:val="20"/>
          <w:lang w:eastAsia="es-CR"/>
        </w:rPr>
        <w:t xml:space="preserve">Castillo, Antonio. </w:t>
      </w:r>
      <w:r w:rsidRPr="00DB2871">
        <w:rPr>
          <w:rFonts w:ascii="Arial" w:eastAsia="Times New Roman" w:hAnsi="Arial" w:cs="Arial"/>
          <w:b/>
          <w:color w:val="000000"/>
          <w:sz w:val="20"/>
          <w:szCs w:val="20"/>
          <w:lang w:eastAsia="es-CR"/>
        </w:rPr>
        <w:t>Industria minera y coligallerismo en Abangares: un análisis desde la perspectiva histórica.</w:t>
      </w:r>
      <w:r w:rsidRPr="00DB2871">
        <w:rPr>
          <w:rFonts w:ascii="Arial" w:eastAsia="Times New Roman" w:hAnsi="Arial" w:cs="Arial"/>
          <w:color w:val="000000"/>
          <w:sz w:val="20"/>
          <w:szCs w:val="20"/>
          <w:lang w:eastAsia="es-CR"/>
        </w:rPr>
        <w:t xml:space="preserve"> San José: Programa de Rescate y Revitalización del Patrimonio Cultural. Universidad de Costa Rica,  2006. Castillo Rodríguez,  Antonio.  “Tierra, minería y acción colectiva en la zona minera de Abangares, 1890-1930”. Tesis de Licenciatura en Historia. Universidad Nacional, Heredia, Costa Rica, Facultad de Ciencias Sociales. 1997</w:t>
      </w:r>
      <w:r w:rsidR="00DB2871">
        <w:rPr>
          <w:rFonts w:ascii="Arial" w:eastAsia="Times New Roman" w:hAnsi="Arial" w:cs="Arial"/>
          <w:color w:val="000000"/>
          <w:sz w:val="20"/>
          <w:szCs w:val="20"/>
          <w:lang w:eastAsia="es-CR"/>
        </w:rPr>
        <w:t>.</w:t>
      </w:r>
      <w:r w:rsidR="0015097E" w:rsidRPr="0015097E">
        <w:rPr>
          <w:rFonts w:ascii="Arial" w:hAnsi="Arial" w:cs="Arial"/>
          <w:sz w:val="20"/>
          <w:szCs w:val="20"/>
        </w:rPr>
        <w:t xml:space="preserve"> </w:t>
      </w:r>
      <w:r w:rsidR="0015097E" w:rsidRPr="0015097E">
        <w:rPr>
          <w:rFonts w:ascii="Arial" w:hAnsi="Arial" w:cs="Arial"/>
          <w:b/>
          <w:sz w:val="20"/>
          <w:szCs w:val="20"/>
        </w:rPr>
        <w:t>La guerra del oro: tierra y minería en Abangares: 1890-1930.</w:t>
      </w:r>
      <w:r w:rsidR="0015097E" w:rsidRPr="0015097E">
        <w:rPr>
          <w:rFonts w:ascii="Arial" w:hAnsi="Arial" w:cs="Arial"/>
          <w:sz w:val="20"/>
          <w:szCs w:val="20"/>
        </w:rPr>
        <w:t xml:space="preserve">  San José: Editorial de la Universidad de Costa Rica, 2009. </w:t>
      </w:r>
    </w:p>
  </w:footnote>
  <w:footnote w:id="45">
    <w:p w:rsidR="00DB2871" w:rsidRPr="00DB2871" w:rsidRDefault="00DB2871" w:rsidP="00FF1EC3">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García, Murillo</w:t>
      </w:r>
      <w:r w:rsidR="00767F23">
        <w:rPr>
          <w:rFonts w:ascii="Arial" w:eastAsia="Times New Roman" w:hAnsi="Arial" w:cs="Arial"/>
          <w:color w:val="000000"/>
          <w:sz w:val="20"/>
          <w:szCs w:val="20"/>
          <w:lang w:eastAsia="es-CR"/>
        </w:rPr>
        <w:t>,</w:t>
      </w:r>
      <w:r w:rsidRPr="00760579">
        <w:rPr>
          <w:rFonts w:ascii="Arial" w:eastAsia="Times New Roman" w:hAnsi="Arial" w:cs="Arial"/>
          <w:color w:val="000000"/>
          <w:sz w:val="20"/>
          <w:szCs w:val="20"/>
          <w:lang w:eastAsia="es-CR"/>
        </w:rPr>
        <w:t xml:space="preserve"> Guillermo. </w:t>
      </w:r>
      <w:r w:rsidRPr="00760579">
        <w:rPr>
          <w:rFonts w:ascii="Arial" w:eastAsia="Times New Roman" w:hAnsi="Arial" w:cs="Arial"/>
          <w:b/>
          <w:color w:val="000000"/>
          <w:sz w:val="20"/>
          <w:szCs w:val="20"/>
          <w:lang w:eastAsia="es-CR"/>
        </w:rPr>
        <w:t>Minas de Abangares: historia de una doble explotación</w:t>
      </w:r>
      <w:r w:rsidRPr="00760579">
        <w:rPr>
          <w:rFonts w:ascii="Arial" w:eastAsia="Times New Roman" w:hAnsi="Arial" w:cs="Arial"/>
          <w:color w:val="000000"/>
          <w:sz w:val="20"/>
          <w:szCs w:val="20"/>
          <w:lang w:eastAsia="es-CR"/>
        </w:rPr>
        <w:t xml:space="preserve">. San José: Editorial de la Universidad de Costa Rica. 1984. </w:t>
      </w:r>
    </w:p>
  </w:footnote>
  <w:footnote w:id="46">
    <w:p w:rsidR="00335D23" w:rsidRPr="00335D23" w:rsidRDefault="00335D23" w:rsidP="007F670D">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 xml:space="preserve">Meza, Hortensia. </w:t>
      </w:r>
      <w:r w:rsidRPr="00760579">
        <w:rPr>
          <w:rFonts w:ascii="Arial" w:eastAsia="Times New Roman" w:hAnsi="Arial" w:cs="Arial"/>
          <w:b/>
          <w:color w:val="000000"/>
          <w:sz w:val="20"/>
          <w:szCs w:val="20"/>
          <w:lang w:eastAsia="es-CR"/>
        </w:rPr>
        <w:t>Bagaces: un reencuentro histórico social</w:t>
      </w:r>
      <w:r w:rsidRPr="00760579">
        <w:rPr>
          <w:rFonts w:ascii="Arial" w:eastAsia="Times New Roman" w:hAnsi="Arial" w:cs="Arial"/>
          <w:color w:val="000000"/>
          <w:sz w:val="20"/>
          <w:szCs w:val="20"/>
          <w:lang w:eastAsia="es-CR"/>
        </w:rPr>
        <w:t xml:space="preserve">. San José: Universidad de Costa Rica. 1997. </w:t>
      </w:r>
    </w:p>
  </w:footnote>
  <w:footnote w:id="47">
    <w:p w:rsidR="00335D23" w:rsidRPr="00335D23" w:rsidRDefault="00335D23" w:rsidP="007F670D">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 xml:space="preserve">Barboza, José. </w:t>
      </w:r>
      <w:r w:rsidRPr="00760579">
        <w:rPr>
          <w:rFonts w:ascii="Arial" w:eastAsia="Times New Roman" w:hAnsi="Arial" w:cs="Arial"/>
          <w:b/>
          <w:color w:val="000000"/>
          <w:sz w:val="20"/>
          <w:szCs w:val="20"/>
          <w:lang w:eastAsia="es-CR"/>
        </w:rPr>
        <w:t>Reseña histórica de la Hacienda La Pacífica</w:t>
      </w:r>
      <w:r w:rsidRPr="00760579">
        <w:rPr>
          <w:rFonts w:ascii="Arial" w:eastAsia="Times New Roman" w:hAnsi="Arial" w:cs="Arial"/>
          <w:color w:val="000000"/>
          <w:sz w:val="20"/>
          <w:szCs w:val="20"/>
          <w:lang w:eastAsia="es-CR"/>
        </w:rPr>
        <w:t xml:space="preserve"> [Cañas, Guanacaste]. San José. 1990.</w:t>
      </w:r>
      <w:r w:rsidR="00B255F8">
        <w:rPr>
          <w:rFonts w:ascii="Arial" w:eastAsia="Times New Roman" w:hAnsi="Arial" w:cs="Arial"/>
          <w:color w:val="000000"/>
          <w:sz w:val="20"/>
          <w:szCs w:val="20"/>
          <w:lang w:eastAsia="es-CR"/>
        </w:rPr>
        <w:t xml:space="preserve"> </w:t>
      </w:r>
    </w:p>
  </w:footnote>
  <w:footnote w:id="48">
    <w:p w:rsidR="006F16A6" w:rsidRPr="006F16A6" w:rsidRDefault="006F16A6" w:rsidP="007F670D">
      <w:pPr>
        <w:spacing w:after="0" w:line="240" w:lineRule="auto"/>
        <w:jc w:val="both"/>
        <w:rPr>
          <w:lang w:val="es-CR"/>
        </w:rPr>
      </w:pPr>
      <w:r>
        <w:rPr>
          <w:rStyle w:val="Refdenotaalpie"/>
        </w:rPr>
        <w:footnoteRef/>
      </w:r>
      <w:r>
        <w:t xml:space="preserve"> </w:t>
      </w:r>
      <w:r w:rsidRPr="007D4857">
        <w:rPr>
          <w:rFonts w:ascii="Arial" w:hAnsi="Arial" w:cs="Arial"/>
          <w:bCs/>
          <w:sz w:val="20"/>
          <w:szCs w:val="20"/>
        </w:rPr>
        <w:t xml:space="preserve">Brunilda Hilje y Willian Solórzano. </w:t>
      </w:r>
      <w:r w:rsidRPr="007D4857">
        <w:rPr>
          <w:rFonts w:ascii="Arial" w:hAnsi="Arial" w:cs="Arial"/>
          <w:b/>
          <w:bCs/>
          <w:sz w:val="20"/>
          <w:szCs w:val="20"/>
        </w:rPr>
        <w:t>Santa Rosa algo más que un símbolo</w:t>
      </w:r>
      <w:r w:rsidRPr="007D4857">
        <w:rPr>
          <w:rFonts w:ascii="Arial" w:hAnsi="Arial" w:cs="Arial"/>
          <w:bCs/>
          <w:sz w:val="20"/>
          <w:szCs w:val="20"/>
        </w:rPr>
        <w:t>. ACG, MCJD, CIHAC, mimeografiado. Enero, 1997.</w:t>
      </w:r>
    </w:p>
  </w:footnote>
  <w:footnote w:id="49">
    <w:p w:rsidR="006F16A6" w:rsidRPr="006F16A6" w:rsidRDefault="006F16A6">
      <w:pPr>
        <w:pStyle w:val="Textonotapie"/>
        <w:rPr>
          <w:rFonts w:ascii="Arial" w:hAnsi="Arial" w:cs="Arial"/>
          <w:lang w:val="es-CR"/>
        </w:rPr>
      </w:pPr>
      <w:r w:rsidRPr="006F16A6">
        <w:rPr>
          <w:rStyle w:val="Refdenotaalpie"/>
          <w:rFonts w:ascii="Arial" w:hAnsi="Arial" w:cs="Arial"/>
        </w:rPr>
        <w:footnoteRef/>
      </w:r>
      <w:r w:rsidRPr="006F16A6">
        <w:rPr>
          <w:rFonts w:ascii="Arial" w:hAnsi="Arial" w:cs="Arial"/>
        </w:rPr>
        <w:t xml:space="preserve"> </w:t>
      </w:r>
      <w:r w:rsidRPr="006F16A6">
        <w:rPr>
          <w:rFonts w:ascii="Arial" w:hAnsi="Arial" w:cs="Arial"/>
          <w:lang w:val="es-CR"/>
        </w:rPr>
        <w:t xml:space="preserve">Hilje y Solórzano. </w:t>
      </w:r>
      <w:r w:rsidRPr="006F16A6">
        <w:rPr>
          <w:rFonts w:ascii="Arial" w:hAnsi="Arial" w:cs="Arial"/>
          <w:b/>
          <w:lang w:val="es-CR"/>
        </w:rPr>
        <w:t>Op.cit</w:t>
      </w:r>
      <w:r w:rsidRPr="006F16A6">
        <w:rPr>
          <w:rFonts w:ascii="Arial" w:hAnsi="Arial" w:cs="Arial"/>
          <w:lang w:val="es-CR"/>
        </w:rPr>
        <w:t>. p.57</w:t>
      </w:r>
    </w:p>
  </w:footnote>
  <w:footnote w:id="50">
    <w:p w:rsidR="00995AE2" w:rsidRPr="00995AE2" w:rsidRDefault="00995AE2" w:rsidP="002D70E5">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Edelmam, Marc. </w:t>
      </w:r>
      <w:r w:rsidRPr="0020099D">
        <w:rPr>
          <w:rFonts w:ascii="Arial" w:eastAsia="Times New Roman" w:hAnsi="Arial" w:cs="Arial"/>
          <w:b/>
          <w:color w:val="000000"/>
          <w:sz w:val="20"/>
          <w:szCs w:val="20"/>
          <w:lang w:eastAsia="es-CR"/>
        </w:rPr>
        <w:t>Apuntes sobre la consolidación de las haciendas en Guanacaste</w:t>
      </w:r>
      <w:r w:rsidRPr="0020099D">
        <w:rPr>
          <w:rFonts w:ascii="Arial" w:eastAsia="Times New Roman" w:hAnsi="Arial" w:cs="Arial"/>
          <w:color w:val="000000"/>
          <w:sz w:val="20"/>
          <w:szCs w:val="20"/>
          <w:lang w:eastAsia="es-CR"/>
        </w:rPr>
        <w:t>. San José: Universidad de Costa Rica. 1981.</w:t>
      </w:r>
      <w:r>
        <w:rPr>
          <w:rFonts w:ascii="Arial" w:eastAsia="Times New Roman" w:hAnsi="Arial" w:cs="Arial"/>
          <w:color w:val="000000"/>
          <w:sz w:val="20"/>
          <w:szCs w:val="20"/>
          <w:lang w:eastAsia="es-CR"/>
        </w:rPr>
        <w:t xml:space="preserve"> p.4</w:t>
      </w:r>
      <w:r w:rsidRPr="0020099D">
        <w:rPr>
          <w:rFonts w:ascii="Arial" w:eastAsia="Times New Roman" w:hAnsi="Arial" w:cs="Arial"/>
          <w:color w:val="000000"/>
          <w:sz w:val="20"/>
          <w:szCs w:val="20"/>
          <w:lang w:eastAsia="es-CR"/>
        </w:rPr>
        <w:t xml:space="preserve"> </w:t>
      </w:r>
    </w:p>
  </w:footnote>
  <w:footnote w:id="51">
    <w:p w:rsidR="00605447" w:rsidRPr="00605447" w:rsidRDefault="00605447" w:rsidP="002D70E5">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Sequeira,  Wilder. </w:t>
      </w:r>
      <w:r w:rsidRPr="0020099D">
        <w:rPr>
          <w:rFonts w:ascii="Arial" w:eastAsia="Times New Roman" w:hAnsi="Arial" w:cs="Arial"/>
          <w:b/>
          <w:color w:val="000000"/>
          <w:sz w:val="20"/>
          <w:szCs w:val="20"/>
          <w:lang w:eastAsia="es-CR"/>
        </w:rPr>
        <w:t>La hacienda ganadera en Guanacaste: aspectos económicos y sociales, 1850-1900.</w:t>
      </w:r>
      <w:r w:rsidRPr="0020099D">
        <w:rPr>
          <w:rFonts w:ascii="Arial" w:eastAsia="Times New Roman" w:hAnsi="Arial" w:cs="Arial"/>
          <w:color w:val="000000"/>
          <w:sz w:val="20"/>
          <w:szCs w:val="20"/>
          <w:lang w:eastAsia="es-CR"/>
        </w:rPr>
        <w:t xml:space="preserve"> San José. 1983.</w:t>
      </w:r>
    </w:p>
  </w:footnote>
  <w:footnote w:id="52">
    <w:p w:rsidR="00605447" w:rsidRPr="00605447" w:rsidRDefault="00605447" w:rsidP="000F583D">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Carcanholo, Reinaldo.  </w:t>
      </w:r>
      <w:r w:rsidRPr="0020099D">
        <w:rPr>
          <w:rFonts w:ascii="Arial" w:eastAsia="Times New Roman" w:hAnsi="Arial" w:cs="Arial"/>
          <w:b/>
          <w:color w:val="000000"/>
          <w:sz w:val="20"/>
          <w:szCs w:val="20"/>
          <w:lang w:eastAsia="es-CR"/>
        </w:rPr>
        <w:t>El Desarrollo capitalista agropecuario de Guanacaste: una interpretación.</w:t>
      </w:r>
      <w:r w:rsidRPr="0020099D">
        <w:rPr>
          <w:rFonts w:ascii="Arial" w:eastAsia="Times New Roman" w:hAnsi="Arial" w:cs="Arial"/>
          <w:color w:val="000000"/>
          <w:sz w:val="20"/>
          <w:szCs w:val="20"/>
          <w:lang w:eastAsia="es-CR"/>
        </w:rPr>
        <w:t xml:space="preserve"> San José.EUCR, 1977.  </w:t>
      </w:r>
    </w:p>
  </w:footnote>
  <w:footnote w:id="53">
    <w:p w:rsidR="002D70E5" w:rsidRPr="002D70E5" w:rsidRDefault="002D70E5" w:rsidP="000F583D">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Castro, Rodrigo. </w:t>
      </w:r>
      <w:r w:rsidRPr="0020099D">
        <w:rPr>
          <w:rFonts w:ascii="Arial" w:eastAsia="Times New Roman" w:hAnsi="Arial" w:cs="Arial"/>
          <w:b/>
          <w:color w:val="000000"/>
          <w:sz w:val="20"/>
          <w:szCs w:val="20"/>
          <w:lang w:eastAsia="es-CR"/>
        </w:rPr>
        <w:t>Ganadería en Guanacaste</w:t>
      </w:r>
      <w:r w:rsidRPr="0020099D">
        <w:rPr>
          <w:rFonts w:ascii="Arial" w:eastAsia="Times New Roman" w:hAnsi="Arial" w:cs="Arial"/>
          <w:color w:val="000000"/>
          <w:sz w:val="20"/>
          <w:szCs w:val="20"/>
          <w:lang w:eastAsia="es-CR"/>
        </w:rPr>
        <w:t xml:space="preserve">. San José: Escuela de Agronomía. Tesis, 1938. </w:t>
      </w:r>
    </w:p>
  </w:footnote>
  <w:footnote w:id="54">
    <w:p w:rsidR="002D70E5" w:rsidRPr="002D70E5" w:rsidRDefault="002D70E5" w:rsidP="000F583D">
      <w:pPr>
        <w:pStyle w:val="Textonotapie"/>
        <w:jc w:val="both"/>
        <w:rPr>
          <w:lang w:val="es-CR"/>
        </w:rPr>
      </w:pPr>
      <w:r>
        <w:rPr>
          <w:rStyle w:val="Refdenotaalpie"/>
        </w:rPr>
        <w:footnoteRef/>
      </w:r>
      <w:r>
        <w:t xml:space="preserve"> </w:t>
      </w:r>
      <w:r w:rsidRPr="002D70E5">
        <w:rPr>
          <w:rFonts w:ascii="Arial" w:hAnsi="Arial" w:cs="Arial"/>
        </w:rPr>
        <w:t>Gudmundson, Lowell</w:t>
      </w:r>
      <w:r w:rsidRPr="002D70E5">
        <w:rPr>
          <w:rFonts w:ascii="Arial" w:hAnsi="Arial" w:cs="Arial"/>
          <w:b/>
        </w:rPr>
        <w:t>. Hacendados políticos y precaristas: la ganader</w:t>
      </w:r>
      <w:r>
        <w:rPr>
          <w:rFonts w:ascii="Arial" w:hAnsi="Arial" w:cs="Arial"/>
          <w:b/>
        </w:rPr>
        <w:t>í</w:t>
      </w:r>
      <w:r w:rsidRPr="002D70E5">
        <w:rPr>
          <w:rFonts w:ascii="Arial" w:hAnsi="Arial" w:cs="Arial"/>
          <w:b/>
        </w:rPr>
        <w:t>a y el latifundio guanacasteco, 1800-1950</w:t>
      </w:r>
      <w:hyperlink r:id="rId7" w:history="1">
        <w:r w:rsidRPr="002D70E5">
          <w:rPr>
            <w:rStyle w:val="Hipervnculo"/>
            <w:rFonts w:ascii="Arial" w:hAnsi="Arial" w:cs="Arial"/>
            <w:color w:val="auto"/>
            <w:u w:val="none"/>
          </w:rPr>
          <w:t>.</w:t>
        </w:r>
      </w:hyperlink>
      <w:r w:rsidRPr="002D70E5">
        <w:t xml:space="preserve"> </w:t>
      </w:r>
      <w:r w:rsidRPr="002D70E5">
        <w:rPr>
          <w:rFonts w:ascii="Arial" w:hAnsi="Arial" w:cs="Arial"/>
        </w:rPr>
        <w:t>San José: Editorial Costa Rica, 1983.</w:t>
      </w:r>
    </w:p>
  </w:footnote>
  <w:footnote w:id="55">
    <w:p w:rsidR="000D25B0" w:rsidRPr="000D25B0" w:rsidRDefault="000D25B0" w:rsidP="000F583D">
      <w:pPr>
        <w:spacing w:after="0" w:line="240" w:lineRule="auto"/>
        <w:jc w:val="both"/>
        <w:rPr>
          <w:lang w:val="es-CR"/>
        </w:rPr>
      </w:pPr>
      <w:r>
        <w:rPr>
          <w:rStyle w:val="Refdenotaalpie"/>
        </w:rPr>
        <w:footnoteRef/>
      </w:r>
      <w:r>
        <w:t xml:space="preserve"> </w:t>
      </w:r>
      <w:r w:rsidRPr="00760579">
        <w:rPr>
          <w:rFonts w:ascii="Arial" w:eastAsia="Times New Roman" w:hAnsi="Arial" w:cs="Arial"/>
          <w:color w:val="000000"/>
          <w:sz w:val="20"/>
          <w:szCs w:val="20"/>
          <w:lang w:eastAsia="es-CR"/>
        </w:rPr>
        <w:t>Sibaja, Luis Fernando</w:t>
      </w:r>
      <w:r>
        <w:rPr>
          <w:rFonts w:ascii="Arial" w:eastAsia="Times New Roman" w:hAnsi="Arial" w:cs="Arial"/>
          <w:color w:val="000000"/>
          <w:sz w:val="20"/>
          <w:szCs w:val="20"/>
          <w:lang w:eastAsia="es-CR"/>
        </w:rPr>
        <w:t xml:space="preserve"> </w:t>
      </w:r>
      <w:r w:rsidRPr="00760579">
        <w:rPr>
          <w:rFonts w:ascii="Arial" w:eastAsia="Times New Roman" w:hAnsi="Arial" w:cs="Arial"/>
          <w:color w:val="000000"/>
          <w:sz w:val="20"/>
          <w:szCs w:val="20"/>
          <w:lang w:eastAsia="es-CR"/>
        </w:rPr>
        <w:t xml:space="preserve">y Zelaya, Chester. </w:t>
      </w:r>
      <w:r w:rsidRPr="00760579">
        <w:rPr>
          <w:rFonts w:ascii="Arial" w:eastAsia="Times New Roman" w:hAnsi="Arial" w:cs="Arial"/>
          <w:b/>
          <w:color w:val="000000"/>
          <w:sz w:val="20"/>
          <w:szCs w:val="20"/>
          <w:lang w:eastAsia="es-CR"/>
        </w:rPr>
        <w:t>Anexión de Nicoya</w:t>
      </w:r>
      <w:r w:rsidRPr="00760579">
        <w:rPr>
          <w:rFonts w:ascii="Arial" w:eastAsia="Times New Roman" w:hAnsi="Arial" w:cs="Arial"/>
          <w:color w:val="000000"/>
          <w:sz w:val="20"/>
          <w:szCs w:val="20"/>
          <w:lang w:eastAsia="es-CR"/>
        </w:rPr>
        <w:t>. San José: Comisión Nacional de Conmemoraciones Históricas. Imprenta Nacional. 1974.</w:t>
      </w:r>
    </w:p>
  </w:footnote>
  <w:footnote w:id="56">
    <w:p w:rsidR="000D25B0" w:rsidRPr="000D25B0" w:rsidRDefault="000D25B0" w:rsidP="000F583D">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Cabrera, Víctor. </w:t>
      </w:r>
      <w:r w:rsidRPr="0020099D">
        <w:rPr>
          <w:rFonts w:ascii="Arial" w:eastAsia="Times New Roman" w:hAnsi="Arial" w:cs="Arial"/>
          <w:b/>
          <w:color w:val="000000"/>
          <w:sz w:val="20"/>
          <w:szCs w:val="20"/>
          <w:lang w:eastAsia="es-CR"/>
        </w:rPr>
        <w:t>Guanacaste: libro conmemorativo del Centenario de incorporación del Partido de Nicoya</w:t>
      </w:r>
      <w:r w:rsidRPr="0020099D">
        <w:rPr>
          <w:rFonts w:ascii="Arial" w:eastAsia="Times New Roman" w:hAnsi="Arial" w:cs="Arial"/>
          <w:color w:val="000000"/>
          <w:sz w:val="20"/>
          <w:szCs w:val="20"/>
          <w:lang w:eastAsia="es-CR"/>
        </w:rPr>
        <w:t xml:space="preserve">. Costa Rica, Secretaría de Educación, San José: Imprenta María v. de Lines. 1924.   </w:t>
      </w:r>
    </w:p>
  </w:footnote>
  <w:footnote w:id="57">
    <w:p w:rsidR="00102568" w:rsidRPr="00102568" w:rsidRDefault="00102568" w:rsidP="000F583D">
      <w:pPr>
        <w:spacing w:after="0" w:line="240" w:lineRule="auto"/>
        <w:jc w:val="both"/>
        <w:rPr>
          <w:lang w:val="es-CR"/>
        </w:rPr>
      </w:pPr>
      <w:r>
        <w:rPr>
          <w:rStyle w:val="Refdenotaalpie"/>
        </w:rPr>
        <w:footnoteRef/>
      </w:r>
      <w:r>
        <w:t xml:space="preserve"> </w:t>
      </w:r>
      <w:r w:rsidRPr="0020099D">
        <w:rPr>
          <w:rFonts w:ascii="Arial" w:eastAsia="Times New Roman" w:hAnsi="Arial" w:cs="Arial"/>
          <w:color w:val="000000"/>
          <w:sz w:val="20"/>
          <w:szCs w:val="20"/>
          <w:lang w:eastAsia="es-CR"/>
        </w:rPr>
        <w:t xml:space="preserve">Corrales Briceño, Juan Bautista. </w:t>
      </w:r>
      <w:r w:rsidRPr="0020099D">
        <w:rPr>
          <w:rFonts w:ascii="Arial" w:eastAsia="Times New Roman" w:hAnsi="Arial" w:cs="Arial"/>
          <w:b/>
          <w:color w:val="000000"/>
          <w:sz w:val="20"/>
          <w:szCs w:val="20"/>
          <w:lang w:eastAsia="es-CR"/>
        </w:rPr>
        <w:t>Anexión de Guanacaste a Costa Rica</w:t>
      </w:r>
      <w:r w:rsidRPr="0020099D">
        <w:rPr>
          <w:rFonts w:ascii="Arial" w:eastAsia="Times New Roman" w:hAnsi="Arial" w:cs="Arial"/>
          <w:color w:val="000000"/>
          <w:sz w:val="20"/>
          <w:szCs w:val="20"/>
          <w:lang w:eastAsia="es-CR"/>
        </w:rPr>
        <w:t xml:space="preserve">. San José. Imprenta Nacional. 1962. </w:t>
      </w:r>
    </w:p>
  </w:footnote>
  <w:footnote w:id="58">
    <w:p w:rsidR="002314C2" w:rsidRPr="002314C2" w:rsidRDefault="002314C2" w:rsidP="00F25E2A">
      <w:pPr>
        <w:spacing w:after="0" w:line="240" w:lineRule="auto"/>
        <w:jc w:val="both"/>
        <w:rPr>
          <w:lang w:val="es-CR"/>
        </w:rPr>
      </w:pPr>
      <w:r>
        <w:rPr>
          <w:rStyle w:val="Refdenotaalpie"/>
        </w:rPr>
        <w:footnoteRef/>
      </w:r>
      <w:r>
        <w:t xml:space="preserve"> </w:t>
      </w:r>
      <w:hyperlink r:id="rId8" w:history="1">
        <w:r w:rsidRPr="0015097E">
          <w:rPr>
            <w:rStyle w:val="Hipervnculo"/>
            <w:rFonts w:ascii="Arial" w:hAnsi="Arial" w:cs="Arial"/>
            <w:color w:val="auto"/>
            <w:sz w:val="20"/>
            <w:szCs w:val="20"/>
            <w:u w:val="none"/>
          </w:rPr>
          <w:t>Garnier Martínez, Martha</w:t>
        </w:r>
      </w:hyperlink>
      <w:r w:rsidRPr="0015097E">
        <w:rPr>
          <w:sz w:val="20"/>
          <w:szCs w:val="20"/>
        </w:rPr>
        <w:t xml:space="preserve">. </w:t>
      </w:r>
      <w:r w:rsidRPr="0015097E">
        <w:rPr>
          <w:rFonts w:ascii="Arial" w:hAnsi="Arial" w:cs="Arial"/>
          <w:b/>
          <w:sz w:val="20"/>
          <w:szCs w:val="20"/>
        </w:rPr>
        <w:t>Anexión de Guanacaste a Costa Rica</w:t>
      </w:r>
      <w:r w:rsidRPr="0015097E">
        <w:rPr>
          <w:rFonts w:ascii="Arial" w:hAnsi="Arial" w:cs="Arial"/>
          <w:sz w:val="20"/>
          <w:szCs w:val="20"/>
        </w:rPr>
        <w:t xml:space="preserve">. Tesis de Licenciatura en filosofia y letras. Universidad de Costa Rica. Facultad de Letras y Filosofia, San José, Costa Rica, 1983. </w:t>
      </w:r>
    </w:p>
  </w:footnote>
  <w:footnote w:id="59">
    <w:p w:rsidR="00A75D40" w:rsidRPr="000F583D" w:rsidRDefault="00A75D40" w:rsidP="000F583D">
      <w:pPr>
        <w:spacing w:after="0" w:line="240" w:lineRule="auto"/>
        <w:jc w:val="both"/>
        <w:rPr>
          <w:rFonts w:ascii="Arial" w:hAnsi="Arial" w:cs="Arial"/>
          <w:sz w:val="20"/>
          <w:szCs w:val="20"/>
          <w:lang w:val="es-CR"/>
        </w:rPr>
      </w:pPr>
      <w:r w:rsidRPr="000F583D">
        <w:rPr>
          <w:rStyle w:val="Refdenotaalpie"/>
          <w:rFonts w:ascii="Arial" w:hAnsi="Arial" w:cs="Arial"/>
          <w:sz w:val="20"/>
          <w:szCs w:val="20"/>
        </w:rPr>
        <w:footnoteRef/>
      </w:r>
      <w:r w:rsidRPr="000F583D">
        <w:rPr>
          <w:rFonts w:ascii="Arial" w:hAnsi="Arial" w:cs="Arial"/>
          <w:sz w:val="20"/>
          <w:szCs w:val="20"/>
        </w:rPr>
        <w:t xml:space="preserve"> </w:t>
      </w:r>
      <w:r w:rsidRPr="000F583D">
        <w:rPr>
          <w:rFonts w:ascii="Arial" w:eastAsia="Times New Roman" w:hAnsi="Arial" w:cs="Arial"/>
          <w:color w:val="000000"/>
          <w:sz w:val="20"/>
          <w:szCs w:val="20"/>
          <w:lang w:eastAsia="es-CR"/>
        </w:rPr>
        <w:t xml:space="preserve">Briceño,  Leonidas.  </w:t>
      </w:r>
      <w:r w:rsidRPr="000F583D">
        <w:rPr>
          <w:rFonts w:ascii="Arial" w:eastAsia="Times New Roman" w:hAnsi="Arial" w:cs="Arial"/>
          <w:b/>
          <w:color w:val="000000"/>
          <w:sz w:val="20"/>
          <w:szCs w:val="20"/>
          <w:lang w:eastAsia="es-CR"/>
        </w:rPr>
        <w:t>Incorporación del Guanacaste a Costa Rica</w:t>
      </w:r>
      <w:r w:rsidRPr="000F583D">
        <w:rPr>
          <w:rFonts w:ascii="Arial" w:eastAsia="Times New Roman" w:hAnsi="Arial" w:cs="Arial"/>
          <w:color w:val="000000"/>
          <w:sz w:val="20"/>
          <w:szCs w:val="20"/>
          <w:lang w:eastAsia="es-CR"/>
        </w:rPr>
        <w:t xml:space="preserve">. San José: Imprenta del Comercio. 1910. </w:t>
      </w:r>
    </w:p>
  </w:footnote>
  <w:footnote w:id="60">
    <w:p w:rsidR="000F583D" w:rsidRPr="000F583D" w:rsidRDefault="000F583D" w:rsidP="00E133B5">
      <w:pPr>
        <w:spacing w:after="0"/>
        <w:jc w:val="both"/>
        <w:rPr>
          <w:lang w:val="es-CR"/>
        </w:rPr>
      </w:pPr>
      <w:r w:rsidRPr="000F583D">
        <w:rPr>
          <w:rStyle w:val="Refdenotaalpie"/>
          <w:rFonts w:ascii="Arial" w:hAnsi="Arial" w:cs="Arial"/>
          <w:sz w:val="20"/>
          <w:szCs w:val="20"/>
        </w:rPr>
        <w:footnoteRef/>
      </w:r>
      <w:r w:rsidRPr="000F583D">
        <w:rPr>
          <w:rFonts w:ascii="Arial" w:hAnsi="Arial" w:cs="Arial"/>
          <w:sz w:val="20"/>
          <w:szCs w:val="20"/>
        </w:rPr>
        <w:t xml:space="preserve"> Briceño. </w:t>
      </w:r>
      <w:r w:rsidRPr="000F583D">
        <w:rPr>
          <w:rFonts w:ascii="Arial" w:hAnsi="Arial" w:cs="Arial"/>
          <w:b/>
          <w:sz w:val="20"/>
          <w:szCs w:val="20"/>
        </w:rPr>
        <w:t>Op. Cit</w:t>
      </w:r>
      <w:r w:rsidRPr="000F583D">
        <w:rPr>
          <w:rFonts w:ascii="Arial" w:hAnsi="Arial" w:cs="Arial"/>
          <w:sz w:val="20"/>
          <w:szCs w:val="20"/>
        </w:rPr>
        <w:t xml:space="preserve">. p.8 </w:t>
      </w:r>
      <w:r w:rsidRPr="000F583D">
        <w:rPr>
          <w:rFonts w:ascii="Arial" w:hAnsi="Arial" w:cs="Arial"/>
          <w:sz w:val="20"/>
          <w:szCs w:val="20"/>
          <w:lang w:val="es-CR"/>
        </w:rPr>
        <w:t xml:space="preserve"> </w:t>
      </w:r>
    </w:p>
  </w:footnote>
  <w:footnote w:id="61">
    <w:p w:rsidR="00282D73" w:rsidRPr="00282D73" w:rsidRDefault="00282D73" w:rsidP="00E133B5">
      <w:pPr>
        <w:spacing w:after="0" w:line="240" w:lineRule="auto"/>
        <w:jc w:val="both"/>
        <w:rPr>
          <w:rFonts w:ascii="Arial" w:hAnsi="Arial" w:cs="Arial"/>
          <w:sz w:val="20"/>
          <w:szCs w:val="20"/>
          <w:lang w:val="es-CR"/>
        </w:rPr>
      </w:pPr>
      <w:r w:rsidRPr="00282D73">
        <w:rPr>
          <w:rStyle w:val="Refdenotaalpie"/>
          <w:rFonts w:ascii="Arial" w:hAnsi="Arial" w:cs="Arial"/>
          <w:sz w:val="20"/>
          <w:szCs w:val="20"/>
        </w:rPr>
        <w:footnoteRef/>
      </w:r>
      <w:r w:rsidRPr="00282D73">
        <w:rPr>
          <w:rFonts w:ascii="Arial" w:hAnsi="Arial" w:cs="Arial"/>
          <w:sz w:val="20"/>
          <w:szCs w:val="20"/>
        </w:rPr>
        <w:t xml:space="preserve"> </w:t>
      </w:r>
      <w:r w:rsidRPr="00282D73">
        <w:rPr>
          <w:rFonts w:ascii="Arial" w:eastAsia="Times New Roman" w:hAnsi="Arial" w:cs="Arial"/>
          <w:color w:val="000000"/>
          <w:sz w:val="20"/>
          <w:szCs w:val="20"/>
          <w:lang w:eastAsia="es-CR"/>
        </w:rPr>
        <w:t xml:space="preserve">Meléndez, Carlos. </w:t>
      </w:r>
      <w:r w:rsidRPr="00282D73">
        <w:rPr>
          <w:rFonts w:ascii="Arial" w:eastAsia="Times New Roman" w:hAnsi="Arial" w:cs="Arial"/>
          <w:b/>
          <w:color w:val="000000"/>
          <w:sz w:val="20"/>
          <w:szCs w:val="20"/>
          <w:lang w:eastAsia="es-CR"/>
        </w:rPr>
        <w:t>Viajeros por Guanacaste</w:t>
      </w:r>
      <w:r w:rsidRPr="00282D73">
        <w:rPr>
          <w:rFonts w:ascii="Arial" w:eastAsia="Times New Roman" w:hAnsi="Arial" w:cs="Arial"/>
          <w:color w:val="000000"/>
          <w:sz w:val="20"/>
          <w:szCs w:val="20"/>
          <w:lang w:eastAsia="es-CR"/>
        </w:rPr>
        <w:t xml:space="preserve">. San José: Ministerio de Cultura, Juventud y Deportes. 1974. </w:t>
      </w:r>
    </w:p>
  </w:footnote>
  <w:footnote w:id="62">
    <w:p w:rsidR="00282D73" w:rsidRPr="00282D73" w:rsidRDefault="00282D73" w:rsidP="00E61AE9">
      <w:pPr>
        <w:pStyle w:val="Textonotapie"/>
        <w:jc w:val="both"/>
        <w:rPr>
          <w:rFonts w:ascii="Arial" w:hAnsi="Arial" w:cs="Arial"/>
          <w:lang w:val="es-CR"/>
        </w:rPr>
      </w:pPr>
      <w:r w:rsidRPr="00282D73">
        <w:rPr>
          <w:rStyle w:val="Refdenotaalpie"/>
          <w:rFonts w:ascii="Arial" w:hAnsi="Arial" w:cs="Arial"/>
        </w:rPr>
        <w:footnoteRef/>
      </w:r>
      <w:r w:rsidRPr="00282D73">
        <w:rPr>
          <w:rFonts w:ascii="Arial" w:hAnsi="Arial" w:cs="Arial"/>
        </w:rPr>
        <w:t xml:space="preserve"> </w:t>
      </w:r>
      <w:r w:rsidRPr="00282D73">
        <w:rPr>
          <w:rFonts w:ascii="Arial" w:hAnsi="Arial" w:cs="Arial"/>
          <w:lang w:val="es-CR"/>
        </w:rPr>
        <w:t>Fernández Guardia, Ricardo</w:t>
      </w:r>
      <w:r w:rsidR="00E61AE9">
        <w:rPr>
          <w:rFonts w:ascii="Arial" w:hAnsi="Arial" w:cs="Arial"/>
          <w:lang w:val="es-CR"/>
        </w:rPr>
        <w:t xml:space="preserve">. </w:t>
      </w:r>
      <w:r w:rsidR="00E61AE9" w:rsidRPr="00E61AE9">
        <w:rPr>
          <w:rFonts w:ascii="Arial" w:hAnsi="Arial" w:cs="Arial"/>
          <w:b/>
          <w:lang w:val="es-CR"/>
        </w:rPr>
        <w:t>Costa Rica en el siglo XIX: antología de viajeros</w:t>
      </w:r>
      <w:r w:rsidR="00E61AE9">
        <w:rPr>
          <w:rFonts w:ascii="Arial" w:hAnsi="Arial" w:cs="Arial"/>
          <w:lang w:val="es-CR"/>
        </w:rPr>
        <w:t>. San José: EUNED, 2002.</w:t>
      </w:r>
    </w:p>
  </w:footnote>
  <w:footnote w:id="63">
    <w:p w:rsidR="001E6F04" w:rsidRPr="001E6F04" w:rsidRDefault="001E6F04" w:rsidP="00E133B5">
      <w:pPr>
        <w:spacing w:after="0" w:line="240" w:lineRule="auto"/>
        <w:jc w:val="both"/>
        <w:rPr>
          <w:lang w:val="es-CR"/>
        </w:rPr>
      </w:pPr>
      <w:r>
        <w:rPr>
          <w:rStyle w:val="Refdenotaalpie"/>
        </w:rPr>
        <w:footnoteRef/>
      </w:r>
      <w:r>
        <w:t xml:space="preserve"> </w:t>
      </w:r>
      <w:r w:rsidRPr="007E678B">
        <w:rPr>
          <w:rFonts w:ascii="Arial" w:eastAsia="Times New Roman" w:hAnsi="Arial" w:cs="Arial"/>
          <w:color w:val="000000"/>
          <w:sz w:val="20"/>
          <w:szCs w:val="20"/>
          <w:lang w:eastAsia="es-CR"/>
        </w:rPr>
        <w:t xml:space="preserve">Villar, Salvador.  </w:t>
      </w:r>
      <w:r w:rsidRPr="007E678B">
        <w:rPr>
          <w:rFonts w:ascii="Arial" w:eastAsia="Times New Roman" w:hAnsi="Arial" w:cs="Arial"/>
          <w:b/>
          <w:color w:val="000000"/>
          <w:sz w:val="20"/>
          <w:szCs w:val="20"/>
          <w:lang w:eastAsia="es-CR"/>
        </w:rPr>
        <w:t>Guanacaste: monografía histórica y geográfica</w:t>
      </w:r>
      <w:r w:rsidRPr="007E678B">
        <w:rPr>
          <w:rFonts w:ascii="Arial" w:eastAsia="Times New Roman" w:hAnsi="Arial" w:cs="Arial"/>
          <w:color w:val="000000"/>
          <w:sz w:val="20"/>
          <w:szCs w:val="20"/>
          <w:lang w:eastAsia="es-CR"/>
        </w:rPr>
        <w:t>. San José: Imprenta Borrasé</w:t>
      </w:r>
      <w:r>
        <w:rPr>
          <w:rFonts w:ascii="Arial" w:eastAsia="Times New Roman" w:hAnsi="Arial" w:cs="Arial"/>
          <w:color w:val="000000"/>
          <w:sz w:val="20"/>
          <w:szCs w:val="20"/>
          <w:lang w:eastAsia="es-CR"/>
        </w:rPr>
        <w:t xml:space="preserve"> Hermanos,</w:t>
      </w:r>
      <w:r w:rsidRPr="007E678B">
        <w:rPr>
          <w:rFonts w:ascii="Arial" w:eastAsia="Times New Roman" w:hAnsi="Arial" w:cs="Arial"/>
          <w:color w:val="000000"/>
          <w:sz w:val="20"/>
          <w:szCs w:val="20"/>
          <w:lang w:eastAsia="es-CR"/>
        </w:rPr>
        <w:t xml:space="preserve"> 1934.</w:t>
      </w:r>
      <w:r>
        <w:rPr>
          <w:rFonts w:ascii="Arial" w:eastAsia="Times New Roman" w:hAnsi="Arial" w:cs="Arial"/>
          <w:color w:val="000000"/>
          <w:sz w:val="20"/>
          <w:szCs w:val="20"/>
          <w:lang w:eastAsia="es-CR"/>
        </w:rPr>
        <w:t xml:space="preserve"> p.20</w:t>
      </w:r>
    </w:p>
  </w:footnote>
  <w:footnote w:id="64">
    <w:p w:rsidR="0047620E" w:rsidRPr="0047620E" w:rsidRDefault="0047620E" w:rsidP="00E61AE9">
      <w:pPr>
        <w:pStyle w:val="Textonotapie"/>
        <w:jc w:val="both"/>
        <w:rPr>
          <w:rFonts w:ascii="Arial" w:hAnsi="Arial" w:cs="Arial"/>
          <w:lang w:val="es-CR"/>
        </w:rPr>
      </w:pPr>
      <w:r w:rsidRPr="0047620E">
        <w:rPr>
          <w:rStyle w:val="Refdenotaalpie"/>
          <w:rFonts w:ascii="Arial" w:hAnsi="Arial" w:cs="Arial"/>
        </w:rPr>
        <w:footnoteRef/>
      </w:r>
      <w:r w:rsidRPr="0047620E">
        <w:rPr>
          <w:rFonts w:ascii="Arial" w:hAnsi="Arial" w:cs="Arial"/>
        </w:rPr>
        <w:t xml:space="preserve"> </w:t>
      </w:r>
      <w:r w:rsidRPr="0047620E">
        <w:rPr>
          <w:rFonts w:ascii="Arial" w:hAnsi="Arial" w:cs="Arial"/>
          <w:lang w:val="es-CR"/>
        </w:rPr>
        <w:t xml:space="preserve">Villar. </w:t>
      </w:r>
      <w:r w:rsidRPr="0047620E">
        <w:rPr>
          <w:rFonts w:ascii="Arial" w:hAnsi="Arial" w:cs="Arial"/>
          <w:b/>
          <w:lang w:val="es-CR"/>
        </w:rPr>
        <w:t>Op.cit.</w:t>
      </w:r>
      <w:r w:rsidRPr="0047620E">
        <w:rPr>
          <w:rFonts w:ascii="Arial" w:hAnsi="Arial" w:cs="Arial"/>
          <w:lang w:val="es-CR"/>
        </w:rPr>
        <w:t xml:space="preserve"> p.21</w:t>
      </w:r>
    </w:p>
  </w:footnote>
  <w:footnote w:id="65">
    <w:p w:rsidR="004C5B3F" w:rsidRPr="009675A0" w:rsidRDefault="004C5B3F">
      <w:pPr>
        <w:pStyle w:val="Textonotapie"/>
        <w:rPr>
          <w:rFonts w:ascii="Arial" w:hAnsi="Arial" w:cs="Arial"/>
          <w:lang w:val="es-CR"/>
        </w:rPr>
      </w:pPr>
      <w:r w:rsidRPr="009675A0">
        <w:rPr>
          <w:rStyle w:val="Refdenotaalpie"/>
          <w:rFonts w:ascii="Arial" w:hAnsi="Arial" w:cs="Arial"/>
        </w:rPr>
        <w:footnoteRef/>
      </w:r>
      <w:r w:rsidRPr="009675A0">
        <w:rPr>
          <w:rFonts w:ascii="Arial" w:hAnsi="Arial" w:cs="Arial"/>
        </w:rPr>
        <w:t xml:space="preserve"> </w:t>
      </w:r>
      <w:r w:rsidRPr="009675A0">
        <w:rPr>
          <w:rFonts w:ascii="Arial" w:hAnsi="Arial" w:cs="Arial"/>
          <w:b/>
          <w:lang w:val="es-CR"/>
        </w:rPr>
        <w:t>Ibid</w:t>
      </w:r>
    </w:p>
  </w:footnote>
  <w:footnote w:id="66">
    <w:p w:rsidR="004C5B3F" w:rsidRPr="009675A0" w:rsidRDefault="004C5B3F">
      <w:pPr>
        <w:pStyle w:val="Textonotapie"/>
        <w:rPr>
          <w:rFonts w:ascii="Arial" w:hAnsi="Arial" w:cs="Arial"/>
          <w:lang w:val="es-CR"/>
        </w:rPr>
      </w:pPr>
      <w:r w:rsidRPr="009675A0">
        <w:rPr>
          <w:rStyle w:val="Refdenotaalpie"/>
          <w:rFonts w:ascii="Arial" w:hAnsi="Arial" w:cs="Arial"/>
        </w:rPr>
        <w:footnoteRef/>
      </w:r>
      <w:r w:rsidRPr="009675A0">
        <w:rPr>
          <w:rFonts w:ascii="Arial" w:hAnsi="Arial" w:cs="Arial"/>
        </w:rPr>
        <w:t xml:space="preserve"> </w:t>
      </w:r>
      <w:r w:rsidRPr="009675A0">
        <w:rPr>
          <w:rFonts w:ascii="Arial" w:hAnsi="Arial" w:cs="Arial"/>
          <w:lang w:val="es-CR"/>
        </w:rPr>
        <w:t xml:space="preserve">Villar. </w:t>
      </w:r>
      <w:r w:rsidRPr="009675A0">
        <w:rPr>
          <w:rFonts w:ascii="Arial" w:hAnsi="Arial" w:cs="Arial"/>
          <w:b/>
          <w:lang w:val="es-CR"/>
        </w:rPr>
        <w:t>Op.cit</w:t>
      </w:r>
      <w:r w:rsidRPr="009675A0">
        <w:rPr>
          <w:rFonts w:ascii="Arial" w:hAnsi="Arial" w:cs="Arial"/>
          <w:lang w:val="es-CR"/>
        </w:rPr>
        <w:t>. p.22</w:t>
      </w:r>
    </w:p>
  </w:footnote>
  <w:footnote w:id="67">
    <w:p w:rsidR="009675A0" w:rsidRPr="009675A0" w:rsidRDefault="009675A0">
      <w:pPr>
        <w:pStyle w:val="Textonotapie"/>
        <w:rPr>
          <w:rFonts w:ascii="Arial" w:hAnsi="Arial" w:cs="Arial"/>
          <w:lang w:val="es-CR"/>
        </w:rPr>
      </w:pPr>
      <w:r w:rsidRPr="009675A0">
        <w:rPr>
          <w:rStyle w:val="Refdenotaalpie"/>
          <w:rFonts w:ascii="Arial" w:hAnsi="Arial" w:cs="Arial"/>
        </w:rPr>
        <w:footnoteRef/>
      </w:r>
      <w:r w:rsidRPr="009675A0">
        <w:rPr>
          <w:rFonts w:ascii="Arial" w:hAnsi="Arial" w:cs="Arial"/>
        </w:rPr>
        <w:t xml:space="preserve"> </w:t>
      </w:r>
      <w:r w:rsidRPr="009675A0">
        <w:rPr>
          <w:rFonts w:ascii="Arial" w:hAnsi="Arial" w:cs="Arial"/>
          <w:b/>
          <w:lang w:val="es-CR"/>
        </w:rPr>
        <w:t>Ibid</w:t>
      </w:r>
    </w:p>
  </w:footnote>
  <w:footnote w:id="68">
    <w:p w:rsidR="00991274" w:rsidRPr="00991274" w:rsidRDefault="00991274">
      <w:pPr>
        <w:pStyle w:val="Textonotapie"/>
        <w:rPr>
          <w:rFonts w:ascii="Arial" w:hAnsi="Arial" w:cs="Arial"/>
          <w:lang w:val="es-CR"/>
        </w:rPr>
      </w:pPr>
      <w:r w:rsidRPr="00991274">
        <w:rPr>
          <w:rStyle w:val="Refdenotaalpie"/>
          <w:rFonts w:ascii="Arial" w:hAnsi="Arial" w:cs="Arial"/>
        </w:rPr>
        <w:footnoteRef/>
      </w:r>
      <w:r w:rsidRPr="00991274">
        <w:rPr>
          <w:rFonts w:ascii="Arial" w:hAnsi="Arial" w:cs="Arial"/>
        </w:rPr>
        <w:t xml:space="preserve"> </w:t>
      </w:r>
      <w:r w:rsidRPr="00991274">
        <w:rPr>
          <w:rFonts w:ascii="Arial" w:hAnsi="Arial" w:cs="Arial"/>
          <w:b/>
          <w:lang w:val="es-CR"/>
        </w:rPr>
        <w:t>Loc.cit</w:t>
      </w:r>
    </w:p>
  </w:footnote>
  <w:footnote w:id="69">
    <w:p w:rsidR="007F6372" w:rsidRPr="007F6372" w:rsidRDefault="007F6372">
      <w:pPr>
        <w:pStyle w:val="Textonotapie"/>
        <w:rPr>
          <w:rFonts w:ascii="Arial" w:hAnsi="Arial" w:cs="Arial"/>
          <w:lang w:val="es-CR"/>
        </w:rPr>
      </w:pPr>
      <w:r w:rsidRPr="007F6372">
        <w:rPr>
          <w:rStyle w:val="Refdenotaalpie"/>
          <w:rFonts w:ascii="Arial" w:hAnsi="Arial" w:cs="Arial"/>
        </w:rPr>
        <w:footnoteRef/>
      </w:r>
      <w:r w:rsidRPr="007F6372">
        <w:rPr>
          <w:rFonts w:ascii="Arial" w:hAnsi="Arial" w:cs="Arial"/>
        </w:rPr>
        <w:t xml:space="preserve"> </w:t>
      </w:r>
      <w:r w:rsidRPr="007F6372">
        <w:rPr>
          <w:rFonts w:ascii="Arial" w:hAnsi="Arial" w:cs="Arial"/>
          <w:lang w:val="es-CR"/>
        </w:rPr>
        <w:t>Villa</w:t>
      </w:r>
      <w:r>
        <w:rPr>
          <w:rFonts w:ascii="Arial" w:hAnsi="Arial" w:cs="Arial"/>
          <w:lang w:val="es-CR"/>
        </w:rPr>
        <w:t>r</w:t>
      </w:r>
      <w:r w:rsidRPr="007F6372">
        <w:rPr>
          <w:rFonts w:ascii="Arial" w:hAnsi="Arial" w:cs="Arial"/>
          <w:lang w:val="es-CR"/>
        </w:rPr>
        <w:t xml:space="preserve">. </w:t>
      </w:r>
      <w:r w:rsidRPr="007F6372">
        <w:rPr>
          <w:rFonts w:ascii="Arial" w:hAnsi="Arial" w:cs="Arial"/>
          <w:b/>
          <w:lang w:val="es-CR"/>
        </w:rPr>
        <w:t>Op.cit</w:t>
      </w:r>
      <w:r w:rsidRPr="007F6372">
        <w:rPr>
          <w:rFonts w:ascii="Arial" w:hAnsi="Arial" w:cs="Arial"/>
          <w:lang w:val="es-CR"/>
        </w:rPr>
        <w:t>.p.30</w:t>
      </w:r>
    </w:p>
  </w:footnote>
  <w:footnote w:id="70">
    <w:p w:rsidR="007F6372" w:rsidRPr="007F6372" w:rsidRDefault="007F6372">
      <w:pPr>
        <w:pStyle w:val="Textonotapie"/>
        <w:rPr>
          <w:rFonts w:ascii="Arial" w:hAnsi="Arial" w:cs="Arial"/>
          <w:lang w:val="es-CR"/>
        </w:rPr>
      </w:pPr>
      <w:r w:rsidRPr="007F6372">
        <w:rPr>
          <w:rStyle w:val="Refdenotaalpie"/>
          <w:rFonts w:ascii="Arial" w:hAnsi="Arial" w:cs="Arial"/>
        </w:rPr>
        <w:footnoteRef/>
      </w:r>
      <w:r w:rsidRPr="007F6372">
        <w:rPr>
          <w:rFonts w:ascii="Arial" w:hAnsi="Arial" w:cs="Arial"/>
        </w:rPr>
        <w:t xml:space="preserve"> </w:t>
      </w:r>
      <w:r w:rsidRPr="007F6372">
        <w:rPr>
          <w:rFonts w:ascii="Arial" w:hAnsi="Arial" w:cs="Arial"/>
          <w:b/>
          <w:lang w:val="es-CR"/>
        </w:rPr>
        <w:t>Loc. Cit</w:t>
      </w:r>
      <w:r w:rsidRPr="007F6372">
        <w:rPr>
          <w:rFonts w:ascii="Arial" w:hAnsi="Arial" w:cs="Arial"/>
          <w:lang w:val="es-CR"/>
        </w:rPr>
        <w:t xml:space="preserve"> </w:t>
      </w:r>
    </w:p>
  </w:footnote>
  <w:footnote w:id="71">
    <w:p w:rsidR="009E2097" w:rsidRPr="009C3E90" w:rsidRDefault="009E2097" w:rsidP="009D4325">
      <w:pPr>
        <w:spacing w:after="0" w:line="240" w:lineRule="auto"/>
        <w:jc w:val="both"/>
        <w:rPr>
          <w:rFonts w:ascii="Arial" w:hAnsi="Arial" w:cs="Arial"/>
          <w:sz w:val="20"/>
          <w:szCs w:val="20"/>
          <w:lang w:val="es-CR"/>
        </w:rPr>
      </w:pPr>
      <w:r w:rsidRPr="009C3E90">
        <w:rPr>
          <w:rStyle w:val="Refdenotaalpie"/>
          <w:rFonts w:ascii="Arial" w:hAnsi="Arial" w:cs="Arial"/>
          <w:sz w:val="20"/>
          <w:szCs w:val="20"/>
        </w:rPr>
        <w:footnoteRef/>
      </w:r>
      <w:r w:rsidRPr="009C3E90">
        <w:rPr>
          <w:rFonts w:ascii="Arial" w:hAnsi="Arial" w:cs="Arial"/>
          <w:sz w:val="20"/>
          <w:szCs w:val="20"/>
        </w:rPr>
        <w:t xml:space="preserve"> En los acervos documentales de Costa Rica, se dispone de una buena cantidad de registros relacionados con las transacciones de tierra, ganado y actividades fiduciarias. Mediante ellas, se puede conocer la dinámica económica de la región en buena parte los siglos XVIII y XIX. Cfr.  </w:t>
      </w:r>
      <w:r w:rsidRPr="009C3E90">
        <w:rPr>
          <w:rFonts w:ascii="Arial" w:hAnsi="Arial" w:cs="Arial"/>
          <w:bCs/>
          <w:sz w:val="20"/>
          <w:szCs w:val="20"/>
        </w:rPr>
        <w:t xml:space="preserve">Archivo Nacional de Costa Rica. Índice de protocolos de Guanacaste. 1756-1850. San José Tipografía Nacional, 1909. </w:t>
      </w:r>
    </w:p>
  </w:footnote>
  <w:footnote w:id="72">
    <w:p w:rsidR="00DE34E0" w:rsidRPr="009C3E90" w:rsidRDefault="00DE34E0" w:rsidP="009D4325">
      <w:pPr>
        <w:pStyle w:val="Textonotapie"/>
        <w:jc w:val="both"/>
        <w:rPr>
          <w:rFonts w:ascii="Arial" w:hAnsi="Arial" w:cs="Arial"/>
          <w:lang w:val="es-CR"/>
        </w:rPr>
      </w:pPr>
      <w:r w:rsidRPr="009C3E90">
        <w:rPr>
          <w:rStyle w:val="Refdenotaalpie"/>
          <w:rFonts w:ascii="Arial" w:hAnsi="Arial" w:cs="Arial"/>
        </w:rPr>
        <w:footnoteRef/>
      </w:r>
      <w:r w:rsidRPr="009C3E90">
        <w:rPr>
          <w:rFonts w:ascii="Arial" w:hAnsi="Arial" w:cs="Arial"/>
        </w:rPr>
        <w:t xml:space="preserve"> </w:t>
      </w:r>
      <w:r w:rsidRPr="009C3E90">
        <w:rPr>
          <w:rFonts w:ascii="Arial" w:eastAsia="Times New Roman" w:hAnsi="Arial" w:cs="Arial"/>
          <w:color w:val="000000"/>
          <w:lang w:eastAsia="es-CR"/>
        </w:rPr>
        <w:t xml:space="preserve">Gudmundson, Lowell. </w:t>
      </w:r>
      <w:r w:rsidRPr="009C3E90">
        <w:rPr>
          <w:rFonts w:ascii="Arial" w:eastAsia="Times New Roman" w:hAnsi="Arial" w:cs="Arial"/>
          <w:b/>
          <w:color w:val="000000"/>
          <w:lang w:eastAsia="es-CR"/>
        </w:rPr>
        <w:t>Documentos para la historia del distrito minero del Guanacaste: enclave minero</w:t>
      </w:r>
      <w:r w:rsidRPr="009C3E90">
        <w:rPr>
          <w:rFonts w:ascii="Arial" w:eastAsia="Times New Roman" w:hAnsi="Arial" w:cs="Arial"/>
          <w:color w:val="000000"/>
          <w:lang w:eastAsia="es-CR"/>
        </w:rPr>
        <w:t xml:space="preserve">. Heredia: EUNA. 1978.  </w:t>
      </w:r>
    </w:p>
  </w:footnote>
  <w:footnote w:id="73">
    <w:p w:rsidR="00DE34E0" w:rsidRPr="009C3E90" w:rsidRDefault="00DE34E0" w:rsidP="009D4325">
      <w:pPr>
        <w:spacing w:after="0" w:line="240" w:lineRule="auto"/>
        <w:jc w:val="both"/>
        <w:rPr>
          <w:rFonts w:ascii="Arial" w:hAnsi="Arial" w:cs="Arial"/>
          <w:sz w:val="20"/>
          <w:szCs w:val="20"/>
          <w:lang w:val="es-CR"/>
        </w:rPr>
      </w:pPr>
      <w:r w:rsidRPr="009C3E90">
        <w:rPr>
          <w:rStyle w:val="Refdenotaalpie"/>
          <w:rFonts w:ascii="Arial" w:hAnsi="Arial" w:cs="Arial"/>
          <w:sz w:val="20"/>
          <w:szCs w:val="20"/>
        </w:rPr>
        <w:footnoteRef/>
      </w:r>
      <w:r w:rsidRPr="009C3E90">
        <w:rPr>
          <w:rFonts w:ascii="Arial" w:hAnsi="Arial" w:cs="Arial"/>
          <w:sz w:val="20"/>
          <w:szCs w:val="20"/>
        </w:rPr>
        <w:t xml:space="preserve"> </w:t>
      </w:r>
      <w:r w:rsidRPr="009C3E90">
        <w:rPr>
          <w:rFonts w:ascii="Arial" w:eastAsia="Times New Roman" w:hAnsi="Arial" w:cs="Arial"/>
          <w:color w:val="000000"/>
          <w:sz w:val="20"/>
          <w:szCs w:val="20"/>
          <w:lang w:eastAsia="es-CR"/>
        </w:rPr>
        <w:t xml:space="preserve">Hilje, Brunilda. </w:t>
      </w:r>
      <w:r w:rsidRPr="009C3E90">
        <w:rPr>
          <w:rFonts w:ascii="Arial" w:eastAsia="Times New Roman" w:hAnsi="Arial" w:cs="Arial"/>
          <w:b/>
          <w:color w:val="000000"/>
          <w:sz w:val="20"/>
          <w:szCs w:val="20"/>
          <w:lang w:eastAsia="es-CR"/>
        </w:rPr>
        <w:t>Legislación agraria y apropiación de la tierra en Guanacaste</w:t>
      </w:r>
      <w:r w:rsidRPr="009C3E90">
        <w:rPr>
          <w:rFonts w:ascii="Arial" w:eastAsia="Times New Roman" w:hAnsi="Arial" w:cs="Arial"/>
          <w:color w:val="000000"/>
          <w:sz w:val="20"/>
          <w:szCs w:val="20"/>
          <w:lang w:eastAsia="es-CR"/>
        </w:rPr>
        <w:t xml:space="preserve">. El caso de Cañas, 1884-1907. Heredia.UNA/UCR. 1988. </w:t>
      </w:r>
    </w:p>
  </w:footnote>
  <w:footnote w:id="74">
    <w:p w:rsidR="00DE34E0" w:rsidRPr="009C3E90" w:rsidRDefault="00DE34E0" w:rsidP="009D4325">
      <w:pPr>
        <w:spacing w:after="0" w:line="240" w:lineRule="auto"/>
        <w:jc w:val="both"/>
        <w:rPr>
          <w:rFonts w:ascii="Arial" w:hAnsi="Arial" w:cs="Arial"/>
          <w:sz w:val="20"/>
          <w:szCs w:val="20"/>
          <w:lang w:val="es-CR"/>
        </w:rPr>
      </w:pPr>
      <w:r w:rsidRPr="009C3E90">
        <w:rPr>
          <w:rStyle w:val="Refdenotaalpie"/>
          <w:rFonts w:ascii="Arial" w:hAnsi="Arial" w:cs="Arial"/>
          <w:sz w:val="20"/>
          <w:szCs w:val="20"/>
        </w:rPr>
        <w:footnoteRef/>
      </w:r>
      <w:r w:rsidRPr="009C3E90">
        <w:rPr>
          <w:rFonts w:ascii="Arial" w:hAnsi="Arial" w:cs="Arial"/>
          <w:sz w:val="20"/>
          <w:szCs w:val="20"/>
        </w:rPr>
        <w:t xml:space="preserve"> </w:t>
      </w:r>
      <w:r w:rsidRPr="009C3E90">
        <w:rPr>
          <w:rFonts w:ascii="Arial" w:eastAsia="Times New Roman" w:hAnsi="Arial" w:cs="Arial"/>
          <w:color w:val="000000"/>
          <w:sz w:val="20"/>
          <w:szCs w:val="20"/>
          <w:lang w:eastAsia="es-CR"/>
        </w:rPr>
        <w:t xml:space="preserve">Rubén Flores Reyes “La tenencia de la tierra y los conflictos agrarios en Abangares y tierras bajas de Cañas 1880-1960”. Universidad Nacional, Costa Rica, Facultad de Ciencias Sociales. Escuela de Historia. </w:t>
      </w:r>
    </w:p>
  </w:footnote>
  <w:footnote w:id="75">
    <w:p w:rsidR="000B0FC1" w:rsidRPr="009C3E90" w:rsidRDefault="000B0FC1" w:rsidP="009D4325">
      <w:pPr>
        <w:spacing w:after="0" w:line="240" w:lineRule="auto"/>
        <w:jc w:val="both"/>
        <w:rPr>
          <w:rFonts w:ascii="Arial" w:hAnsi="Arial" w:cs="Arial"/>
          <w:sz w:val="20"/>
          <w:szCs w:val="20"/>
          <w:lang w:val="es-CR"/>
        </w:rPr>
      </w:pPr>
      <w:r w:rsidRPr="009C3E90">
        <w:rPr>
          <w:rStyle w:val="Refdenotaalpie"/>
          <w:rFonts w:ascii="Arial" w:hAnsi="Arial" w:cs="Arial"/>
          <w:sz w:val="20"/>
          <w:szCs w:val="20"/>
        </w:rPr>
        <w:footnoteRef/>
      </w:r>
      <w:r w:rsidRPr="009C3E90">
        <w:rPr>
          <w:rFonts w:ascii="Arial" w:hAnsi="Arial" w:cs="Arial"/>
          <w:sz w:val="20"/>
          <w:szCs w:val="20"/>
        </w:rPr>
        <w:t xml:space="preserve"> </w:t>
      </w:r>
      <w:r w:rsidRPr="009C3E90">
        <w:rPr>
          <w:rFonts w:ascii="Arial" w:eastAsia="Times New Roman" w:hAnsi="Arial" w:cs="Arial"/>
          <w:color w:val="000000"/>
          <w:sz w:val="20"/>
          <w:szCs w:val="20"/>
          <w:lang w:eastAsia="es-CR"/>
        </w:rPr>
        <w:t>Rodr</w:t>
      </w:r>
      <w:r w:rsidR="00082F95">
        <w:rPr>
          <w:rFonts w:ascii="Arial" w:eastAsia="Times New Roman" w:hAnsi="Arial" w:cs="Arial"/>
          <w:color w:val="000000"/>
          <w:sz w:val="20"/>
          <w:szCs w:val="20"/>
          <w:lang w:eastAsia="es-CR"/>
        </w:rPr>
        <w:t>í</w:t>
      </w:r>
      <w:r w:rsidRPr="009C3E90">
        <w:rPr>
          <w:rFonts w:ascii="Arial" w:eastAsia="Times New Roman" w:hAnsi="Arial" w:cs="Arial"/>
          <w:color w:val="000000"/>
          <w:sz w:val="20"/>
          <w:szCs w:val="20"/>
          <w:lang w:eastAsia="es-CR"/>
        </w:rPr>
        <w:t xml:space="preserve">guez Solera Carlos Rafael. Concentración de la tierra y precarismo en Guanacaste. 1950-1970. En: </w:t>
      </w:r>
      <w:r w:rsidRPr="009C3E90">
        <w:rPr>
          <w:rFonts w:ascii="Arial" w:eastAsia="Times New Roman" w:hAnsi="Arial" w:cs="Arial"/>
          <w:b/>
          <w:color w:val="000000"/>
          <w:sz w:val="20"/>
          <w:szCs w:val="20"/>
          <w:lang w:eastAsia="es-CR"/>
        </w:rPr>
        <w:t xml:space="preserve">Revista de Ciencias Sociales, </w:t>
      </w:r>
      <w:r w:rsidRPr="009C3E90">
        <w:rPr>
          <w:rFonts w:ascii="Arial" w:eastAsia="Times New Roman" w:hAnsi="Arial" w:cs="Arial"/>
          <w:color w:val="000000"/>
          <w:sz w:val="20"/>
          <w:szCs w:val="20"/>
          <w:lang w:eastAsia="es-CR"/>
        </w:rPr>
        <w:t xml:space="preserve"> N° 86-87. Editorial de la Universidad de Costa Rica. 1989. </w:t>
      </w:r>
    </w:p>
  </w:footnote>
  <w:footnote w:id="76">
    <w:p w:rsidR="000B0FC1" w:rsidRPr="000B0FC1" w:rsidRDefault="000B0FC1" w:rsidP="009D4325">
      <w:pPr>
        <w:spacing w:after="0" w:line="240" w:lineRule="auto"/>
        <w:jc w:val="both"/>
        <w:rPr>
          <w:lang w:val="es-CR"/>
        </w:rPr>
      </w:pPr>
      <w:r w:rsidRPr="009C3E90">
        <w:rPr>
          <w:rStyle w:val="Refdenotaalpie"/>
          <w:rFonts w:ascii="Arial" w:hAnsi="Arial" w:cs="Arial"/>
          <w:sz w:val="20"/>
          <w:szCs w:val="20"/>
        </w:rPr>
        <w:footnoteRef/>
      </w:r>
      <w:r w:rsidRPr="009C3E90">
        <w:rPr>
          <w:rFonts w:ascii="Arial" w:hAnsi="Arial" w:cs="Arial"/>
          <w:sz w:val="20"/>
          <w:szCs w:val="20"/>
        </w:rPr>
        <w:t xml:space="preserve"> </w:t>
      </w:r>
      <w:r w:rsidRPr="009C3E90">
        <w:rPr>
          <w:rFonts w:ascii="Arial" w:hAnsi="Arial" w:cs="Arial"/>
          <w:bCs/>
          <w:sz w:val="20"/>
          <w:szCs w:val="20"/>
        </w:rPr>
        <w:t xml:space="preserve">Cabrera, Roberto. </w:t>
      </w:r>
      <w:r w:rsidRPr="009C3E90">
        <w:rPr>
          <w:rFonts w:ascii="Arial" w:hAnsi="Arial" w:cs="Arial"/>
          <w:b/>
          <w:bCs/>
          <w:sz w:val="20"/>
          <w:szCs w:val="20"/>
        </w:rPr>
        <w:t>Tierra y ganadería en Guanacaste</w:t>
      </w:r>
      <w:r w:rsidRPr="009C3E90">
        <w:rPr>
          <w:rFonts w:ascii="Arial" w:hAnsi="Arial" w:cs="Arial"/>
          <w:bCs/>
          <w:sz w:val="20"/>
          <w:szCs w:val="20"/>
        </w:rPr>
        <w:t xml:space="preserve">. Cartago: Editorial tecnológica, 2007. </w:t>
      </w:r>
    </w:p>
  </w:footnote>
  <w:footnote w:id="77">
    <w:p w:rsidR="008973B6" w:rsidRPr="008973B6" w:rsidRDefault="008973B6" w:rsidP="009D4325">
      <w:pPr>
        <w:spacing w:after="0" w:line="240" w:lineRule="auto"/>
        <w:jc w:val="both"/>
        <w:rPr>
          <w:lang w:val="es-CR"/>
        </w:rPr>
      </w:pPr>
      <w:r>
        <w:rPr>
          <w:rStyle w:val="Refdenotaalpie"/>
        </w:rPr>
        <w:footnoteRef/>
      </w:r>
      <w:r>
        <w:t xml:space="preserve"> </w:t>
      </w:r>
      <w:r w:rsidRPr="009E656B">
        <w:rPr>
          <w:rFonts w:ascii="Arial" w:eastAsia="Times New Roman" w:hAnsi="Arial" w:cs="Arial"/>
          <w:color w:val="000000"/>
          <w:sz w:val="20"/>
          <w:szCs w:val="20"/>
          <w:lang w:val="es-CR" w:eastAsia="es-CR"/>
        </w:rPr>
        <w:t xml:space="preserve">Hilje, Brunilda y  Solorzano,  Willian.  </w:t>
      </w:r>
      <w:r w:rsidRPr="009E656B">
        <w:rPr>
          <w:rFonts w:ascii="Arial" w:eastAsia="Times New Roman" w:hAnsi="Arial" w:cs="Arial"/>
          <w:b/>
          <w:color w:val="000000"/>
          <w:sz w:val="20"/>
          <w:szCs w:val="20"/>
          <w:lang w:val="es-CR" w:eastAsia="es-CR"/>
        </w:rPr>
        <w:t>Santa Rosa, algo más que un símbolo. Estudio de caso histórico social sobre la hacienda guanacasteca: la hacienda Santa Rosa, Liberia, Guanacaste</w:t>
      </w:r>
      <w:r w:rsidRPr="009E656B">
        <w:rPr>
          <w:rFonts w:ascii="Arial" w:eastAsia="Times New Roman" w:hAnsi="Arial" w:cs="Arial"/>
          <w:color w:val="000000"/>
          <w:sz w:val="20"/>
          <w:szCs w:val="20"/>
          <w:lang w:val="es-CR" w:eastAsia="es-CR"/>
        </w:rPr>
        <w:t xml:space="preserve">. San José: Ministerio del Ambiente y Energía. Ministerio de Cultura. 1997. </w:t>
      </w:r>
    </w:p>
  </w:footnote>
  <w:footnote w:id="78">
    <w:p w:rsidR="008973B6" w:rsidRPr="008973B6" w:rsidRDefault="008973B6" w:rsidP="003267B3">
      <w:pPr>
        <w:spacing w:after="0" w:line="240" w:lineRule="auto"/>
        <w:jc w:val="both"/>
        <w:rPr>
          <w:lang w:val="es-CR"/>
        </w:rPr>
      </w:pPr>
      <w:r>
        <w:rPr>
          <w:rStyle w:val="Refdenotaalpie"/>
        </w:rPr>
        <w:footnoteRef/>
      </w:r>
      <w:r>
        <w:t xml:space="preserve"> </w:t>
      </w:r>
      <w:r w:rsidRPr="009E656B">
        <w:rPr>
          <w:rFonts w:ascii="Arial" w:hAnsi="Arial" w:cs="Arial"/>
          <w:sz w:val="20"/>
          <w:szCs w:val="20"/>
        </w:rPr>
        <w:t xml:space="preserve">Gudmundson Kristjanson, Lowell.  </w:t>
      </w:r>
      <w:r w:rsidRPr="009E656B">
        <w:rPr>
          <w:rFonts w:ascii="Arial" w:hAnsi="Arial" w:cs="Arial"/>
          <w:b/>
          <w:sz w:val="20"/>
          <w:szCs w:val="20"/>
        </w:rPr>
        <w:t>Las luchas agrarias del Guanacaste, 1900-1935: campesinos, parcelarios y de hacienda. Respuestas al capitalismo agrario y al reformismo político</w:t>
      </w:r>
      <w:r w:rsidRPr="009E656B">
        <w:rPr>
          <w:rFonts w:ascii="Arial" w:hAnsi="Arial" w:cs="Arial"/>
          <w:sz w:val="20"/>
          <w:szCs w:val="20"/>
        </w:rPr>
        <w:t>. Heredia, EUNA, 1981.</w:t>
      </w:r>
      <w:r w:rsidRPr="009E656B">
        <w:rPr>
          <w:rFonts w:ascii="Arial" w:eastAsia="Times New Roman" w:hAnsi="Arial" w:cs="Arial"/>
          <w:color w:val="000000"/>
          <w:sz w:val="20"/>
          <w:szCs w:val="20"/>
          <w:lang w:eastAsia="es-CR"/>
        </w:rPr>
        <w:t xml:space="preserve"> </w:t>
      </w:r>
    </w:p>
  </w:footnote>
  <w:footnote w:id="79">
    <w:p w:rsidR="003A6B73" w:rsidRPr="009E656B" w:rsidRDefault="003A6B73" w:rsidP="003267B3">
      <w:pPr>
        <w:spacing w:line="240" w:lineRule="auto"/>
        <w:jc w:val="both"/>
        <w:rPr>
          <w:rFonts w:ascii="Arial" w:eastAsia="Times New Roman" w:hAnsi="Arial" w:cs="Arial"/>
          <w:color w:val="000000"/>
          <w:sz w:val="20"/>
          <w:szCs w:val="20"/>
          <w:lang w:eastAsia="es-CR"/>
        </w:rPr>
      </w:pPr>
      <w:r>
        <w:rPr>
          <w:rStyle w:val="Refdenotaalpie"/>
        </w:rPr>
        <w:footnoteRef/>
      </w:r>
      <w:r>
        <w:t xml:space="preserve"> </w:t>
      </w:r>
      <w:r w:rsidRPr="009E656B">
        <w:rPr>
          <w:rFonts w:ascii="Arial" w:eastAsia="Times New Roman" w:hAnsi="Arial" w:cs="Arial"/>
          <w:color w:val="000000"/>
          <w:sz w:val="20"/>
          <w:szCs w:val="20"/>
          <w:lang w:eastAsia="es-CR"/>
        </w:rPr>
        <w:t xml:space="preserve">Rodolfo Fernández.  </w:t>
      </w:r>
      <w:r w:rsidRPr="009E656B">
        <w:rPr>
          <w:rFonts w:ascii="Arial" w:eastAsia="Times New Roman" w:hAnsi="Arial" w:cs="Arial"/>
          <w:b/>
          <w:color w:val="000000"/>
          <w:sz w:val="20"/>
          <w:szCs w:val="20"/>
          <w:lang w:eastAsia="es-CR"/>
        </w:rPr>
        <w:t>Organización y luchas campesinas en Guanacaste: 1950-1970</w:t>
      </w:r>
      <w:r w:rsidRPr="009E656B">
        <w:rPr>
          <w:rFonts w:ascii="Arial" w:eastAsia="Times New Roman" w:hAnsi="Arial" w:cs="Arial"/>
          <w:color w:val="000000"/>
          <w:sz w:val="20"/>
          <w:szCs w:val="20"/>
          <w:lang w:eastAsia="es-CR"/>
        </w:rPr>
        <w:t xml:space="preserve">. San José. 1982. </w:t>
      </w:r>
    </w:p>
    <w:p w:rsidR="003A6B73" w:rsidRPr="003A6B73" w:rsidRDefault="003A6B73">
      <w:pPr>
        <w:pStyle w:val="Textonotapie"/>
        <w:rPr>
          <w:lang w:val="es-CR"/>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F70E4"/>
    <w:multiLevelType w:val="hybridMultilevel"/>
    <w:tmpl w:val="400A092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117575D9"/>
    <w:multiLevelType w:val="hybridMultilevel"/>
    <w:tmpl w:val="58DC758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15D54A9E"/>
    <w:multiLevelType w:val="hybridMultilevel"/>
    <w:tmpl w:val="3FD64F9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BA2C31"/>
    <w:rsid w:val="00003A12"/>
    <w:rsid w:val="00004989"/>
    <w:rsid w:val="000059B9"/>
    <w:rsid w:val="00007A6F"/>
    <w:rsid w:val="0001578E"/>
    <w:rsid w:val="000252D5"/>
    <w:rsid w:val="0002768F"/>
    <w:rsid w:val="00027798"/>
    <w:rsid w:val="0003328C"/>
    <w:rsid w:val="0004235B"/>
    <w:rsid w:val="000465CA"/>
    <w:rsid w:val="000474E3"/>
    <w:rsid w:val="00056A3E"/>
    <w:rsid w:val="00082F95"/>
    <w:rsid w:val="0008456F"/>
    <w:rsid w:val="000859C6"/>
    <w:rsid w:val="000914EB"/>
    <w:rsid w:val="00092627"/>
    <w:rsid w:val="00096994"/>
    <w:rsid w:val="000A07A4"/>
    <w:rsid w:val="000B0FC1"/>
    <w:rsid w:val="000B5018"/>
    <w:rsid w:val="000B6D32"/>
    <w:rsid w:val="000D25B0"/>
    <w:rsid w:val="000D655F"/>
    <w:rsid w:val="000D684C"/>
    <w:rsid w:val="000E0820"/>
    <w:rsid w:val="000E33A0"/>
    <w:rsid w:val="000E6687"/>
    <w:rsid w:val="000F49CD"/>
    <w:rsid w:val="000F583D"/>
    <w:rsid w:val="000F7602"/>
    <w:rsid w:val="000F7E48"/>
    <w:rsid w:val="00102568"/>
    <w:rsid w:val="00127CD7"/>
    <w:rsid w:val="00131D52"/>
    <w:rsid w:val="00134128"/>
    <w:rsid w:val="0014700E"/>
    <w:rsid w:val="0015097E"/>
    <w:rsid w:val="00156697"/>
    <w:rsid w:val="00161DE8"/>
    <w:rsid w:val="00162399"/>
    <w:rsid w:val="00164654"/>
    <w:rsid w:val="00184A61"/>
    <w:rsid w:val="00193102"/>
    <w:rsid w:val="0019418F"/>
    <w:rsid w:val="00197473"/>
    <w:rsid w:val="001A14A8"/>
    <w:rsid w:val="001A2801"/>
    <w:rsid w:val="001B1BD5"/>
    <w:rsid w:val="001B6D70"/>
    <w:rsid w:val="001D2AE9"/>
    <w:rsid w:val="001D5BF7"/>
    <w:rsid w:val="001E4443"/>
    <w:rsid w:val="001E6F04"/>
    <w:rsid w:val="001F0994"/>
    <w:rsid w:val="001F2F2F"/>
    <w:rsid w:val="001F3F1F"/>
    <w:rsid w:val="001F4A87"/>
    <w:rsid w:val="001F5237"/>
    <w:rsid w:val="001F7054"/>
    <w:rsid w:val="0020099D"/>
    <w:rsid w:val="00203215"/>
    <w:rsid w:val="00210AC3"/>
    <w:rsid w:val="00225D7E"/>
    <w:rsid w:val="00227402"/>
    <w:rsid w:val="002314C2"/>
    <w:rsid w:val="00231860"/>
    <w:rsid w:val="00254233"/>
    <w:rsid w:val="002556ED"/>
    <w:rsid w:val="002606B3"/>
    <w:rsid w:val="00262490"/>
    <w:rsid w:val="00270727"/>
    <w:rsid w:val="00282D73"/>
    <w:rsid w:val="00291EC4"/>
    <w:rsid w:val="002A3FC3"/>
    <w:rsid w:val="002B2063"/>
    <w:rsid w:val="002B28AB"/>
    <w:rsid w:val="002B3F86"/>
    <w:rsid w:val="002C0D6D"/>
    <w:rsid w:val="002C6664"/>
    <w:rsid w:val="002D70E5"/>
    <w:rsid w:val="002D7153"/>
    <w:rsid w:val="002D79F0"/>
    <w:rsid w:val="002E6094"/>
    <w:rsid w:val="002E7C6B"/>
    <w:rsid w:val="0030224D"/>
    <w:rsid w:val="00310122"/>
    <w:rsid w:val="00313363"/>
    <w:rsid w:val="00314AC4"/>
    <w:rsid w:val="003267B3"/>
    <w:rsid w:val="00330883"/>
    <w:rsid w:val="003319D8"/>
    <w:rsid w:val="0033283D"/>
    <w:rsid w:val="00335D23"/>
    <w:rsid w:val="0033660B"/>
    <w:rsid w:val="00345966"/>
    <w:rsid w:val="003471D9"/>
    <w:rsid w:val="003519BC"/>
    <w:rsid w:val="0035620D"/>
    <w:rsid w:val="00364929"/>
    <w:rsid w:val="003812DE"/>
    <w:rsid w:val="00381533"/>
    <w:rsid w:val="003850EB"/>
    <w:rsid w:val="00386EE0"/>
    <w:rsid w:val="00396B93"/>
    <w:rsid w:val="00397C2F"/>
    <w:rsid w:val="003A6899"/>
    <w:rsid w:val="003A6B73"/>
    <w:rsid w:val="003A798C"/>
    <w:rsid w:val="003B44F5"/>
    <w:rsid w:val="003C67F7"/>
    <w:rsid w:val="003C6843"/>
    <w:rsid w:val="003C79A0"/>
    <w:rsid w:val="003E476B"/>
    <w:rsid w:val="003E47BD"/>
    <w:rsid w:val="003F2721"/>
    <w:rsid w:val="00402A65"/>
    <w:rsid w:val="00430F54"/>
    <w:rsid w:val="00431DC5"/>
    <w:rsid w:val="004322AB"/>
    <w:rsid w:val="00434260"/>
    <w:rsid w:val="004351E7"/>
    <w:rsid w:val="0044557F"/>
    <w:rsid w:val="00445B99"/>
    <w:rsid w:val="0044659F"/>
    <w:rsid w:val="00447C9B"/>
    <w:rsid w:val="0045182B"/>
    <w:rsid w:val="004538A7"/>
    <w:rsid w:val="004538AF"/>
    <w:rsid w:val="0045543B"/>
    <w:rsid w:val="0045612A"/>
    <w:rsid w:val="004561A6"/>
    <w:rsid w:val="00457E64"/>
    <w:rsid w:val="00462A42"/>
    <w:rsid w:val="00464525"/>
    <w:rsid w:val="004667D2"/>
    <w:rsid w:val="0047620E"/>
    <w:rsid w:val="0048230A"/>
    <w:rsid w:val="00497B59"/>
    <w:rsid w:val="004A03D1"/>
    <w:rsid w:val="004A08D8"/>
    <w:rsid w:val="004B658C"/>
    <w:rsid w:val="004C448E"/>
    <w:rsid w:val="004C5B3F"/>
    <w:rsid w:val="004C7F96"/>
    <w:rsid w:val="004D5D07"/>
    <w:rsid w:val="004E55A8"/>
    <w:rsid w:val="00503317"/>
    <w:rsid w:val="00504AE0"/>
    <w:rsid w:val="00516911"/>
    <w:rsid w:val="00517186"/>
    <w:rsid w:val="005370DA"/>
    <w:rsid w:val="00551FE8"/>
    <w:rsid w:val="0056357A"/>
    <w:rsid w:val="0057209D"/>
    <w:rsid w:val="005A08F9"/>
    <w:rsid w:val="005B4214"/>
    <w:rsid w:val="005B6D78"/>
    <w:rsid w:val="005D0DB2"/>
    <w:rsid w:val="005D4173"/>
    <w:rsid w:val="005D5F59"/>
    <w:rsid w:val="005E7AE0"/>
    <w:rsid w:val="005F1CDE"/>
    <w:rsid w:val="005F22F2"/>
    <w:rsid w:val="00605447"/>
    <w:rsid w:val="006163EB"/>
    <w:rsid w:val="00616B73"/>
    <w:rsid w:val="00623B9D"/>
    <w:rsid w:val="006406E1"/>
    <w:rsid w:val="006748F2"/>
    <w:rsid w:val="00675A99"/>
    <w:rsid w:val="00677E96"/>
    <w:rsid w:val="006941C9"/>
    <w:rsid w:val="006C198C"/>
    <w:rsid w:val="006C2424"/>
    <w:rsid w:val="006C2F30"/>
    <w:rsid w:val="006C3477"/>
    <w:rsid w:val="006D1A41"/>
    <w:rsid w:val="006D5607"/>
    <w:rsid w:val="006D6ABC"/>
    <w:rsid w:val="006E66F5"/>
    <w:rsid w:val="006F16A6"/>
    <w:rsid w:val="007217E7"/>
    <w:rsid w:val="00733C2D"/>
    <w:rsid w:val="00760579"/>
    <w:rsid w:val="00767F23"/>
    <w:rsid w:val="00767F49"/>
    <w:rsid w:val="0078489B"/>
    <w:rsid w:val="007930BA"/>
    <w:rsid w:val="00795C6B"/>
    <w:rsid w:val="00797A22"/>
    <w:rsid w:val="00797F16"/>
    <w:rsid w:val="007A5075"/>
    <w:rsid w:val="007A68AC"/>
    <w:rsid w:val="007A736F"/>
    <w:rsid w:val="007C0A32"/>
    <w:rsid w:val="007C1F1F"/>
    <w:rsid w:val="007D4857"/>
    <w:rsid w:val="007D68EF"/>
    <w:rsid w:val="007E678B"/>
    <w:rsid w:val="007F6372"/>
    <w:rsid w:val="007F670D"/>
    <w:rsid w:val="008013D8"/>
    <w:rsid w:val="00805F54"/>
    <w:rsid w:val="0081295F"/>
    <w:rsid w:val="00815C5F"/>
    <w:rsid w:val="00824C3F"/>
    <w:rsid w:val="008362E5"/>
    <w:rsid w:val="00836915"/>
    <w:rsid w:val="0084544C"/>
    <w:rsid w:val="00855300"/>
    <w:rsid w:val="0086493E"/>
    <w:rsid w:val="00870817"/>
    <w:rsid w:val="00873446"/>
    <w:rsid w:val="00881602"/>
    <w:rsid w:val="008973B6"/>
    <w:rsid w:val="00897B16"/>
    <w:rsid w:val="008A23E0"/>
    <w:rsid w:val="008A35C7"/>
    <w:rsid w:val="008A5CAF"/>
    <w:rsid w:val="008A7DDE"/>
    <w:rsid w:val="008B5153"/>
    <w:rsid w:val="008B5822"/>
    <w:rsid w:val="008C001F"/>
    <w:rsid w:val="008C7277"/>
    <w:rsid w:val="008F0D2A"/>
    <w:rsid w:val="008F4E69"/>
    <w:rsid w:val="00901FCD"/>
    <w:rsid w:val="009100EF"/>
    <w:rsid w:val="00911D59"/>
    <w:rsid w:val="0091375E"/>
    <w:rsid w:val="009173C1"/>
    <w:rsid w:val="00922EC0"/>
    <w:rsid w:val="00926C55"/>
    <w:rsid w:val="009306D0"/>
    <w:rsid w:val="00931A9B"/>
    <w:rsid w:val="009331E3"/>
    <w:rsid w:val="00951AB1"/>
    <w:rsid w:val="00960628"/>
    <w:rsid w:val="0096347A"/>
    <w:rsid w:val="009675A0"/>
    <w:rsid w:val="00970F3D"/>
    <w:rsid w:val="00972CEF"/>
    <w:rsid w:val="00975DC0"/>
    <w:rsid w:val="00980F71"/>
    <w:rsid w:val="0098491B"/>
    <w:rsid w:val="00990230"/>
    <w:rsid w:val="00991274"/>
    <w:rsid w:val="00992218"/>
    <w:rsid w:val="00992933"/>
    <w:rsid w:val="00995AE2"/>
    <w:rsid w:val="009A0030"/>
    <w:rsid w:val="009A0AD9"/>
    <w:rsid w:val="009A594C"/>
    <w:rsid w:val="009C37FD"/>
    <w:rsid w:val="009C3E90"/>
    <w:rsid w:val="009C5E27"/>
    <w:rsid w:val="009C5F20"/>
    <w:rsid w:val="009D3304"/>
    <w:rsid w:val="009D376F"/>
    <w:rsid w:val="009D4325"/>
    <w:rsid w:val="009E2097"/>
    <w:rsid w:val="009E656B"/>
    <w:rsid w:val="00A00D94"/>
    <w:rsid w:val="00A10ED2"/>
    <w:rsid w:val="00A110B1"/>
    <w:rsid w:val="00A151E1"/>
    <w:rsid w:val="00A239E7"/>
    <w:rsid w:val="00A24B31"/>
    <w:rsid w:val="00A31183"/>
    <w:rsid w:val="00A36A97"/>
    <w:rsid w:val="00A43A79"/>
    <w:rsid w:val="00A47178"/>
    <w:rsid w:val="00A50345"/>
    <w:rsid w:val="00A5171C"/>
    <w:rsid w:val="00A54699"/>
    <w:rsid w:val="00A54BC0"/>
    <w:rsid w:val="00A64F65"/>
    <w:rsid w:val="00A67E7D"/>
    <w:rsid w:val="00A728FE"/>
    <w:rsid w:val="00A75D40"/>
    <w:rsid w:val="00A7758C"/>
    <w:rsid w:val="00A80682"/>
    <w:rsid w:val="00A859AC"/>
    <w:rsid w:val="00A86842"/>
    <w:rsid w:val="00A87641"/>
    <w:rsid w:val="00AA43D3"/>
    <w:rsid w:val="00AA5271"/>
    <w:rsid w:val="00AB0B2C"/>
    <w:rsid w:val="00AC2668"/>
    <w:rsid w:val="00AD7118"/>
    <w:rsid w:val="00AE1527"/>
    <w:rsid w:val="00AF3A3D"/>
    <w:rsid w:val="00B064A8"/>
    <w:rsid w:val="00B255F8"/>
    <w:rsid w:val="00B2682C"/>
    <w:rsid w:val="00B31DC1"/>
    <w:rsid w:val="00B34F8C"/>
    <w:rsid w:val="00B3760B"/>
    <w:rsid w:val="00B376DC"/>
    <w:rsid w:val="00B4483C"/>
    <w:rsid w:val="00B544B0"/>
    <w:rsid w:val="00B6055A"/>
    <w:rsid w:val="00B63628"/>
    <w:rsid w:val="00B665BC"/>
    <w:rsid w:val="00B72585"/>
    <w:rsid w:val="00B762AD"/>
    <w:rsid w:val="00B7782A"/>
    <w:rsid w:val="00B80E01"/>
    <w:rsid w:val="00B82E3F"/>
    <w:rsid w:val="00B934F6"/>
    <w:rsid w:val="00B95071"/>
    <w:rsid w:val="00BA11B0"/>
    <w:rsid w:val="00BA2C31"/>
    <w:rsid w:val="00BE71D5"/>
    <w:rsid w:val="00BF7EFD"/>
    <w:rsid w:val="00C01F3B"/>
    <w:rsid w:val="00C03BE4"/>
    <w:rsid w:val="00C1628A"/>
    <w:rsid w:val="00C1741B"/>
    <w:rsid w:val="00C20938"/>
    <w:rsid w:val="00C2584E"/>
    <w:rsid w:val="00C311D4"/>
    <w:rsid w:val="00C3265F"/>
    <w:rsid w:val="00C43D78"/>
    <w:rsid w:val="00C532B6"/>
    <w:rsid w:val="00C611FA"/>
    <w:rsid w:val="00C618E4"/>
    <w:rsid w:val="00C6657B"/>
    <w:rsid w:val="00C717B7"/>
    <w:rsid w:val="00C93BBE"/>
    <w:rsid w:val="00CA2097"/>
    <w:rsid w:val="00CA6044"/>
    <w:rsid w:val="00CA7FB7"/>
    <w:rsid w:val="00CB2CD0"/>
    <w:rsid w:val="00CC0B45"/>
    <w:rsid w:val="00CE2479"/>
    <w:rsid w:val="00D11163"/>
    <w:rsid w:val="00D1309A"/>
    <w:rsid w:val="00D16371"/>
    <w:rsid w:val="00D31637"/>
    <w:rsid w:val="00D32807"/>
    <w:rsid w:val="00D62F35"/>
    <w:rsid w:val="00D75A67"/>
    <w:rsid w:val="00D92FB1"/>
    <w:rsid w:val="00DA73F9"/>
    <w:rsid w:val="00DB2871"/>
    <w:rsid w:val="00DC0A27"/>
    <w:rsid w:val="00DC0A38"/>
    <w:rsid w:val="00DC40F3"/>
    <w:rsid w:val="00DD2875"/>
    <w:rsid w:val="00DE2435"/>
    <w:rsid w:val="00DE34E0"/>
    <w:rsid w:val="00DF6127"/>
    <w:rsid w:val="00E03A87"/>
    <w:rsid w:val="00E07559"/>
    <w:rsid w:val="00E11F2B"/>
    <w:rsid w:val="00E133B5"/>
    <w:rsid w:val="00E15606"/>
    <w:rsid w:val="00E2780E"/>
    <w:rsid w:val="00E34566"/>
    <w:rsid w:val="00E44821"/>
    <w:rsid w:val="00E46174"/>
    <w:rsid w:val="00E4742D"/>
    <w:rsid w:val="00E50B3A"/>
    <w:rsid w:val="00E5554E"/>
    <w:rsid w:val="00E61AE9"/>
    <w:rsid w:val="00E76A93"/>
    <w:rsid w:val="00E76EE7"/>
    <w:rsid w:val="00E847F6"/>
    <w:rsid w:val="00E94008"/>
    <w:rsid w:val="00EA7FFC"/>
    <w:rsid w:val="00EB1C13"/>
    <w:rsid w:val="00EB45E1"/>
    <w:rsid w:val="00EB5F53"/>
    <w:rsid w:val="00EC68E8"/>
    <w:rsid w:val="00ED2D51"/>
    <w:rsid w:val="00ED7593"/>
    <w:rsid w:val="00EE0FAB"/>
    <w:rsid w:val="00EE634D"/>
    <w:rsid w:val="00EF2173"/>
    <w:rsid w:val="00F076EC"/>
    <w:rsid w:val="00F12A4B"/>
    <w:rsid w:val="00F23B43"/>
    <w:rsid w:val="00F25E2A"/>
    <w:rsid w:val="00F26708"/>
    <w:rsid w:val="00F30CFF"/>
    <w:rsid w:val="00F4013E"/>
    <w:rsid w:val="00F44AEB"/>
    <w:rsid w:val="00F50AE3"/>
    <w:rsid w:val="00F76F45"/>
    <w:rsid w:val="00F83A6E"/>
    <w:rsid w:val="00FA3579"/>
    <w:rsid w:val="00FB0BCF"/>
    <w:rsid w:val="00FC3C64"/>
    <w:rsid w:val="00FC3EFD"/>
    <w:rsid w:val="00FC4CE2"/>
    <w:rsid w:val="00FD5BF2"/>
    <w:rsid w:val="00FF1EC3"/>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2424"/>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F4013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4013E"/>
    <w:rPr>
      <w:sz w:val="20"/>
      <w:szCs w:val="20"/>
      <w:lang w:val="es-ES"/>
    </w:rPr>
  </w:style>
  <w:style w:type="character" w:styleId="Refdenotaalpie">
    <w:name w:val="footnote reference"/>
    <w:basedOn w:val="Fuentedeprrafopredeter"/>
    <w:uiPriority w:val="99"/>
    <w:semiHidden/>
    <w:unhideWhenUsed/>
    <w:rsid w:val="00F4013E"/>
    <w:rPr>
      <w:vertAlign w:val="superscript"/>
    </w:rPr>
  </w:style>
  <w:style w:type="paragraph" w:styleId="Prrafodelista">
    <w:name w:val="List Paragraph"/>
    <w:basedOn w:val="Normal"/>
    <w:uiPriority w:val="34"/>
    <w:qFormat/>
    <w:rsid w:val="009A594C"/>
    <w:pPr>
      <w:ind w:left="720"/>
      <w:contextualSpacing/>
    </w:pPr>
  </w:style>
  <w:style w:type="character" w:styleId="Hipervnculo">
    <w:name w:val="Hyperlink"/>
    <w:basedOn w:val="Fuentedeprrafopredeter"/>
    <w:uiPriority w:val="99"/>
    <w:unhideWhenUsed/>
    <w:rsid w:val="00457E64"/>
    <w:rPr>
      <w:color w:val="0000FF" w:themeColor="hyperlink"/>
      <w:u w:val="single"/>
    </w:rPr>
  </w:style>
  <w:style w:type="character" w:customStyle="1" w:styleId="olibdetailsitemparent">
    <w:name w:val="olib_details_item_parent"/>
    <w:basedOn w:val="Fuentedeprrafopredeter"/>
    <w:rsid w:val="00C43D78"/>
  </w:style>
  <w:style w:type="character" w:customStyle="1" w:styleId="olibdetailsitemname">
    <w:name w:val="olib_details_item_name"/>
    <w:basedOn w:val="Fuentedeprrafopredeter"/>
    <w:rsid w:val="00A64F65"/>
  </w:style>
  <w:style w:type="paragraph" w:styleId="Textonotaalfinal">
    <w:name w:val="endnote text"/>
    <w:basedOn w:val="Normal"/>
    <w:link w:val="TextonotaalfinalCar"/>
    <w:uiPriority w:val="99"/>
    <w:semiHidden/>
    <w:unhideWhenUsed/>
    <w:rsid w:val="00497B5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97B59"/>
    <w:rPr>
      <w:sz w:val="20"/>
      <w:szCs w:val="20"/>
      <w:lang w:val="es-ES"/>
    </w:rPr>
  </w:style>
  <w:style w:type="character" w:styleId="Refdenotaalfinal">
    <w:name w:val="endnote reference"/>
    <w:basedOn w:val="Fuentedeprrafopredeter"/>
    <w:uiPriority w:val="99"/>
    <w:semiHidden/>
    <w:unhideWhenUsed/>
    <w:rsid w:val="00497B59"/>
    <w:rPr>
      <w:vertAlign w:val="superscript"/>
    </w:rPr>
  </w:style>
  <w:style w:type="paragraph" w:styleId="Textodeglobo">
    <w:name w:val="Balloon Text"/>
    <w:basedOn w:val="Normal"/>
    <w:link w:val="TextodegloboCar"/>
    <w:uiPriority w:val="99"/>
    <w:semiHidden/>
    <w:unhideWhenUsed/>
    <w:rsid w:val="007A50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5075"/>
    <w:rPr>
      <w:rFonts w:ascii="Tahoma" w:hAnsi="Tahoma" w:cs="Tahoma"/>
      <w:sz w:val="16"/>
      <w:szCs w:val="16"/>
      <w:lang w:val="es-ES"/>
    </w:rPr>
  </w:style>
  <w:style w:type="paragraph" w:styleId="Encabezado">
    <w:name w:val="header"/>
    <w:basedOn w:val="Normal"/>
    <w:link w:val="EncabezadoCar"/>
    <w:uiPriority w:val="99"/>
    <w:semiHidden/>
    <w:unhideWhenUsed/>
    <w:rsid w:val="005D417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5D4173"/>
    <w:rPr>
      <w:lang w:val="es-ES"/>
    </w:rPr>
  </w:style>
  <w:style w:type="paragraph" w:styleId="Piedepgina">
    <w:name w:val="footer"/>
    <w:basedOn w:val="Normal"/>
    <w:link w:val="PiedepginaCar"/>
    <w:uiPriority w:val="99"/>
    <w:unhideWhenUsed/>
    <w:rsid w:val="005D417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4173"/>
    <w:rPr>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163.178.111.13/cgi-olib?session=74908392&amp;infile=authsecsearch.glu&amp;nh=20&amp;calling_page=details.glu&amp;key=107790" TargetMode="External"/><Relationship Id="rId3" Type="http://schemas.openxmlformats.org/officeDocument/2006/relationships/hyperlink" Target="http://163.178.111.13/cgi-olib?session=74908392&amp;infile=details.glu&amp;loid=9238111&amp;rs=3117353&amp;hitno=-1" TargetMode="External"/><Relationship Id="rId7" Type="http://schemas.openxmlformats.org/officeDocument/2006/relationships/hyperlink" Target="http://163.178.111.13/cgi-olib?session=74908392&amp;infile=authsecsearch.glu&amp;nh=20&amp;calling_page=details.glu&amp;key=44914" TargetMode="External"/><Relationship Id="rId2" Type="http://schemas.openxmlformats.org/officeDocument/2006/relationships/hyperlink" Target="http://163.178.111.13/cgi-olib?session=74908392&amp;infile=details.glu&amp;loid=67139&amp;rs=3117353&amp;hitno=-1" TargetMode="External"/><Relationship Id="rId1" Type="http://schemas.openxmlformats.org/officeDocument/2006/relationships/hyperlink" Target="http://163.178.111.13/cgi-olib?session=74908392&amp;infile=authsecsearch.glu&amp;nh=20&amp;calling_page=details.glu&amp;key=68086" TargetMode="External"/><Relationship Id="rId6" Type="http://schemas.openxmlformats.org/officeDocument/2006/relationships/hyperlink" Target="http://163.178.111.13/cgi-olib?session=42204317&amp;infile=details.glu&amp;loid=1351223&amp;rs=3119793&amp;hitno=-1" TargetMode="External"/><Relationship Id="rId5" Type="http://schemas.openxmlformats.org/officeDocument/2006/relationships/hyperlink" Target="http://163.178.111.13/cgi-olib?session=42204317&amp;infile=details.glu&amp;loid=662533&amp;rs=3119793&amp;hitno=-1" TargetMode="External"/><Relationship Id="rId4" Type="http://schemas.openxmlformats.org/officeDocument/2006/relationships/hyperlink" Target="http://163.178.111.13/cgi-olib?session=74908392&amp;infile=details.glu&amp;loid=67139&amp;rs=3117353&amp;hitno=-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8DB31EB-32E4-4390-86BE-2E4DCCD12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3570</Words>
  <Characters>19640</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23164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 Solano Muñoz</dc:creator>
  <cp:lastModifiedBy>Edgar Solano Muñoz</cp:lastModifiedBy>
  <cp:revision>2</cp:revision>
  <dcterms:created xsi:type="dcterms:W3CDTF">2009-11-16T01:29:00Z</dcterms:created>
  <dcterms:modified xsi:type="dcterms:W3CDTF">2009-11-16T01:29:00Z</dcterms:modified>
</cp:coreProperties>
</file>