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615B" w:rsidRDefault="00EE615B" w:rsidP="00EE615B">
      <w:pPr>
        <w:rPr>
          <w:rFonts w:ascii="Arial" w:hAnsi="Arial" w:cs="Arial"/>
          <w:color w:val="222222"/>
          <w:shd w:val="clear" w:color="auto" w:fill="FFFFFF"/>
        </w:rPr>
      </w:pPr>
    </w:p>
    <w:p w:rsidR="00EE615B" w:rsidRDefault="00EE615B" w:rsidP="00EE615B">
      <w:pPr>
        <w:jc w:val="center"/>
        <w:rPr>
          <w:rFonts w:ascii="Arial" w:hAnsi="Arial" w:cs="Arial"/>
          <w:b/>
          <w:bCs/>
          <w:color w:val="222222"/>
          <w:sz w:val="28"/>
          <w:szCs w:val="28"/>
          <w:shd w:val="clear" w:color="auto" w:fill="FFFFFF"/>
        </w:rPr>
      </w:pPr>
      <w:r w:rsidRPr="00EE615B">
        <w:rPr>
          <w:rFonts w:ascii="Arial" w:hAnsi="Arial" w:cs="Arial"/>
          <w:b/>
          <w:bCs/>
          <w:color w:val="222222"/>
          <w:sz w:val="28"/>
          <w:szCs w:val="28"/>
          <w:shd w:val="clear" w:color="auto" w:fill="FFFFFF"/>
        </w:rPr>
        <w:t xml:space="preserve">El aporte de las universidades públicas </w:t>
      </w:r>
      <w:r w:rsidR="0026672E">
        <w:rPr>
          <w:rFonts w:ascii="Arial" w:hAnsi="Arial" w:cs="Arial"/>
          <w:b/>
          <w:bCs/>
          <w:color w:val="222222"/>
          <w:sz w:val="28"/>
          <w:szCs w:val="28"/>
          <w:shd w:val="clear" w:color="auto" w:fill="FFFFFF"/>
        </w:rPr>
        <w:t xml:space="preserve">de Costa Rica </w:t>
      </w:r>
      <w:r w:rsidRPr="00EE615B">
        <w:rPr>
          <w:rFonts w:ascii="Arial" w:hAnsi="Arial" w:cs="Arial"/>
          <w:b/>
          <w:bCs/>
          <w:color w:val="222222"/>
          <w:sz w:val="28"/>
          <w:szCs w:val="28"/>
          <w:shd w:val="clear" w:color="auto" w:fill="FFFFFF"/>
        </w:rPr>
        <w:t>a la ciencia abierta</w:t>
      </w:r>
    </w:p>
    <w:p w:rsidR="00EE615B" w:rsidRDefault="00EE615B" w:rsidP="00EE615B">
      <w:pPr>
        <w:jc w:val="center"/>
        <w:rPr>
          <w:rFonts w:ascii="Arial" w:hAnsi="Arial" w:cs="Arial"/>
          <w:b/>
          <w:bCs/>
          <w:color w:val="222222"/>
          <w:sz w:val="28"/>
          <w:szCs w:val="28"/>
          <w:shd w:val="clear" w:color="auto" w:fill="FFFFFF"/>
        </w:rPr>
      </w:pPr>
    </w:p>
    <w:p w:rsidR="00EE615B" w:rsidRPr="00E3696C" w:rsidRDefault="00EE615B" w:rsidP="00EE615B">
      <w:pPr>
        <w:spacing w:after="0" w:line="240" w:lineRule="auto"/>
        <w:jc w:val="right"/>
        <w:rPr>
          <w:rFonts w:ascii="Arial" w:hAnsi="Arial" w:cs="Arial"/>
          <w:color w:val="222222"/>
          <w:shd w:val="clear" w:color="auto" w:fill="FFFFFF"/>
        </w:rPr>
      </w:pPr>
      <w:r w:rsidRPr="00E3696C">
        <w:rPr>
          <w:rFonts w:ascii="Arial" w:hAnsi="Arial" w:cs="Arial"/>
          <w:color w:val="222222"/>
          <w:shd w:val="clear" w:color="auto" w:fill="FFFFFF"/>
        </w:rPr>
        <w:t>Saray Córdoba González</w:t>
      </w:r>
    </w:p>
    <w:p w:rsidR="00EE615B" w:rsidRPr="00E3696C" w:rsidRDefault="00EE615B" w:rsidP="00EE615B">
      <w:pPr>
        <w:spacing w:after="0" w:line="240" w:lineRule="auto"/>
        <w:jc w:val="right"/>
        <w:rPr>
          <w:rFonts w:ascii="Arial" w:hAnsi="Arial" w:cs="Arial"/>
          <w:color w:val="222222"/>
          <w:shd w:val="clear" w:color="auto" w:fill="FFFFFF"/>
        </w:rPr>
      </w:pPr>
      <w:r w:rsidRPr="00E3696C">
        <w:rPr>
          <w:rFonts w:ascii="Arial" w:hAnsi="Arial" w:cs="Arial"/>
          <w:color w:val="222222"/>
          <w:shd w:val="clear" w:color="auto" w:fill="FFFFFF"/>
        </w:rPr>
        <w:t xml:space="preserve">Socia honoraria de </w:t>
      </w:r>
      <w:proofErr w:type="spellStart"/>
      <w:r w:rsidRPr="00E3696C">
        <w:rPr>
          <w:rFonts w:ascii="Arial" w:hAnsi="Arial" w:cs="Arial"/>
          <w:color w:val="222222"/>
          <w:shd w:val="clear" w:color="auto" w:fill="FFFFFF"/>
        </w:rPr>
        <w:t>Latindex</w:t>
      </w:r>
      <w:proofErr w:type="spellEnd"/>
    </w:p>
    <w:p w:rsidR="00EE615B" w:rsidRDefault="00EE615B" w:rsidP="00EE615B">
      <w:pPr>
        <w:spacing w:after="0" w:line="240" w:lineRule="auto"/>
        <w:jc w:val="right"/>
        <w:rPr>
          <w:rFonts w:ascii="Arial" w:hAnsi="Arial" w:cs="Arial"/>
          <w:color w:val="222222"/>
          <w:sz w:val="28"/>
          <w:szCs w:val="28"/>
          <w:shd w:val="clear" w:color="auto" w:fill="FFFFFF"/>
        </w:rPr>
      </w:pPr>
      <w:r w:rsidRPr="00E3696C">
        <w:rPr>
          <w:rFonts w:ascii="Arial" w:hAnsi="Arial" w:cs="Arial"/>
          <w:color w:val="222222"/>
          <w:shd w:val="clear" w:color="auto" w:fill="FFFFFF"/>
        </w:rPr>
        <w:t>Universidad de Costa Rica</w:t>
      </w:r>
    </w:p>
    <w:p w:rsidR="00EE615B" w:rsidRDefault="00EE615B" w:rsidP="00EE615B">
      <w:pPr>
        <w:spacing w:after="0" w:line="240" w:lineRule="auto"/>
        <w:jc w:val="right"/>
        <w:rPr>
          <w:rFonts w:ascii="Arial" w:hAnsi="Arial" w:cs="Arial"/>
          <w:color w:val="222222"/>
          <w:sz w:val="28"/>
          <w:szCs w:val="28"/>
          <w:shd w:val="clear" w:color="auto" w:fill="FFFFFF"/>
        </w:rPr>
      </w:pPr>
    </w:p>
    <w:p w:rsidR="00EE615B" w:rsidRPr="00336DED" w:rsidRDefault="00EE615B" w:rsidP="00EE615B">
      <w:pPr>
        <w:spacing w:after="0" w:line="240" w:lineRule="auto"/>
        <w:jc w:val="both"/>
        <w:rPr>
          <w:rFonts w:ascii="Arial" w:hAnsi="Arial" w:cs="Arial"/>
          <w:sz w:val="24"/>
          <w:szCs w:val="24"/>
          <w:highlight w:val="green"/>
        </w:rPr>
      </w:pPr>
    </w:p>
    <w:p w:rsidR="00EE615B" w:rsidRDefault="00EE615B" w:rsidP="00EE615B">
      <w:pPr>
        <w:spacing w:after="0" w:line="240" w:lineRule="auto"/>
        <w:jc w:val="both"/>
        <w:rPr>
          <w:rFonts w:ascii="Arial" w:hAnsi="Arial" w:cs="Arial"/>
          <w:sz w:val="24"/>
          <w:szCs w:val="24"/>
        </w:rPr>
      </w:pPr>
      <w:r w:rsidRPr="00573387">
        <w:rPr>
          <w:rFonts w:ascii="Arial" w:hAnsi="Arial" w:cs="Arial"/>
          <w:sz w:val="24"/>
          <w:szCs w:val="24"/>
        </w:rPr>
        <w:t>C</w:t>
      </w:r>
      <w:r>
        <w:rPr>
          <w:rFonts w:ascii="Arial" w:hAnsi="Arial" w:cs="Arial"/>
          <w:sz w:val="24"/>
          <w:szCs w:val="24"/>
        </w:rPr>
        <w:t>osta Rica es un país ubicado en el Istmo Centroamericano que c</w:t>
      </w:r>
      <w:r w:rsidRPr="00573387">
        <w:rPr>
          <w:rFonts w:ascii="Arial" w:hAnsi="Arial" w:cs="Arial"/>
          <w:sz w:val="24"/>
          <w:szCs w:val="24"/>
        </w:rPr>
        <w:t>uenta con cinco universidades públicas, financiadas por el estado costarricense, mediante mandato constitucional y 54 universidades privadas. La Universidad de Costa Rica</w:t>
      </w:r>
      <w:r>
        <w:rPr>
          <w:rFonts w:ascii="Arial" w:hAnsi="Arial" w:cs="Arial"/>
          <w:sz w:val="24"/>
          <w:szCs w:val="24"/>
        </w:rPr>
        <w:t xml:space="preserve"> (1949) es la mayor y más antigua de ellas y </w:t>
      </w:r>
      <w:r w:rsidR="0026672E">
        <w:rPr>
          <w:rFonts w:ascii="Arial" w:hAnsi="Arial" w:cs="Arial"/>
          <w:sz w:val="24"/>
          <w:szCs w:val="24"/>
        </w:rPr>
        <w:t xml:space="preserve">todas </w:t>
      </w:r>
      <w:r>
        <w:rPr>
          <w:rFonts w:ascii="Arial" w:hAnsi="Arial" w:cs="Arial"/>
          <w:sz w:val="24"/>
          <w:szCs w:val="24"/>
        </w:rPr>
        <w:t>e</w:t>
      </w:r>
      <w:r w:rsidRPr="00573387">
        <w:rPr>
          <w:rFonts w:ascii="Arial" w:hAnsi="Arial" w:cs="Arial"/>
          <w:sz w:val="24"/>
          <w:szCs w:val="24"/>
        </w:rPr>
        <w:t>st</w:t>
      </w:r>
      <w:r>
        <w:rPr>
          <w:rFonts w:ascii="Arial" w:hAnsi="Arial" w:cs="Arial"/>
          <w:sz w:val="24"/>
          <w:szCs w:val="24"/>
        </w:rPr>
        <w:t>án</w:t>
      </w:r>
      <w:r w:rsidRPr="00573387">
        <w:rPr>
          <w:rFonts w:ascii="Arial" w:hAnsi="Arial" w:cs="Arial"/>
          <w:sz w:val="24"/>
          <w:szCs w:val="24"/>
        </w:rPr>
        <w:t xml:space="preserve"> agrupa</w:t>
      </w:r>
      <w:r>
        <w:rPr>
          <w:rFonts w:ascii="Arial" w:hAnsi="Arial" w:cs="Arial"/>
          <w:sz w:val="24"/>
          <w:szCs w:val="24"/>
        </w:rPr>
        <w:t>das</w:t>
      </w:r>
      <w:r w:rsidRPr="00573387">
        <w:rPr>
          <w:rFonts w:ascii="Arial" w:hAnsi="Arial" w:cs="Arial"/>
          <w:sz w:val="24"/>
          <w:szCs w:val="24"/>
        </w:rPr>
        <w:t xml:space="preserve"> en el Consejo Nacional de Rectores (CONARE), que es el órgano coordinador y desarrollador de programas conjuntos </w:t>
      </w:r>
      <w:r>
        <w:rPr>
          <w:rFonts w:ascii="Arial" w:hAnsi="Arial" w:cs="Arial"/>
          <w:sz w:val="24"/>
          <w:szCs w:val="24"/>
        </w:rPr>
        <w:t xml:space="preserve">en </w:t>
      </w:r>
      <w:r w:rsidRPr="00573387">
        <w:rPr>
          <w:rFonts w:ascii="Arial" w:hAnsi="Arial" w:cs="Arial"/>
          <w:sz w:val="24"/>
          <w:szCs w:val="24"/>
        </w:rPr>
        <w:t>todo el país</w:t>
      </w:r>
      <w:r>
        <w:rPr>
          <w:rFonts w:ascii="Arial" w:hAnsi="Arial" w:cs="Arial"/>
          <w:sz w:val="24"/>
          <w:szCs w:val="24"/>
        </w:rPr>
        <w:t>.</w:t>
      </w:r>
      <w:r w:rsidRPr="00573387">
        <w:rPr>
          <w:rFonts w:ascii="Arial" w:hAnsi="Arial" w:cs="Arial"/>
          <w:sz w:val="24"/>
          <w:szCs w:val="24"/>
        </w:rPr>
        <w:t xml:space="preserve"> Una de </w:t>
      </w:r>
      <w:r>
        <w:rPr>
          <w:rFonts w:ascii="Arial" w:hAnsi="Arial" w:cs="Arial"/>
          <w:sz w:val="24"/>
          <w:szCs w:val="24"/>
        </w:rPr>
        <w:t>su</w:t>
      </w:r>
      <w:r w:rsidRPr="00573387">
        <w:rPr>
          <w:rFonts w:ascii="Arial" w:hAnsi="Arial" w:cs="Arial"/>
          <w:sz w:val="24"/>
          <w:szCs w:val="24"/>
        </w:rPr>
        <w:t xml:space="preserve">s </w:t>
      </w:r>
      <w:r>
        <w:rPr>
          <w:rFonts w:ascii="Arial" w:hAnsi="Arial" w:cs="Arial"/>
          <w:sz w:val="24"/>
          <w:szCs w:val="24"/>
        </w:rPr>
        <w:t>organizac</w:t>
      </w:r>
      <w:r w:rsidRPr="00573387">
        <w:rPr>
          <w:rFonts w:ascii="Arial" w:hAnsi="Arial" w:cs="Arial"/>
          <w:sz w:val="24"/>
          <w:szCs w:val="24"/>
        </w:rPr>
        <w:t>iones se denomina “Conocimiento Abierto” y es la que ha</w:t>
      </w:r>
      <w:r>
        <w:rPr>
          <w:rFonts w:ascii="Arial" w:hAnsi="Arial" w:cs="Arial"/>
          <w:sz w:val="24"/>
          <w:szCs w:val="24"/>
        </w:rPr>
        <w:t xml:space="preserve"> iniciado y</w:t>
      </w:r>
      <w:r w:rsidRPr="00573387">
        <w:rPr>
          <w:rFonts w:ascii="Arial" w:hAnsi="Arial" w:cs="Arial"/>
          <w:sz w:val="24"/>
          <w:szCs w:val="24"/>
        </w:rPr>
        <w:t xml:space="preserve"> desarrollado la mayor parte de las actividades para promover la ciencia abierta</w:t>
      </w:r>
      <w:r w:rsidRPr="00573387">
        <w:rPr>
          <w:rStyle w:val="Refdenotaalpie"/>
          <w:rFonts w:ascii="Arial" w:hAnsi="Arial" w:cs="Arial"/>
          <w:sz w:val="24"/>
          <w:szCs w:val="24"/>
        </w:rPr>
        <w:footnoteReference w:id="1"/>
      </w:r>
      <w:r w:rsidRPr="00573387">
        <w:rPr>
          <w:rFonts w:ascii="Arial" w:hAnsi="Arial" w:cs="Arial"/>
          <w:sz w:val="24"/>
          <w:szCs w:val="24"/>
        </w:rPr>
        <w:t>. Desde el año 2010 viene desarrollando actividades, primero para promover el acceso abierto mediante repositorios y portales de revistas y luego, se ha involucrado en la promoción</w:t>
      </w:r>
      <w:r>
        <w:rPr>
          <w:rFonts w:ascii="Arial" w:hAnsi="Arial" w:cs="Arial"/>
          <w:sz w:val="24"/>
          <w:szCs w:val="24"/>
        </w:rPr>
        <w:t xml:space="preserve"> de la ciencia abierta, en lo que respecta principalmente a </w:t>
      </w:r>
      <w:r w:rsidRPr="00573387">
        <w:rPr>
          <w:rFonts w:ascii="Arial" w:hAnsi="Arial" w:cs="Arial"/>
          <w:sz w:val="24"/>
          <w:szCs w:val="24"/>
        </w:rPr>
        <w:t>los datos de investigación</w:t>
      </w:r>
      <w:r>
        <w:rPr>
          <w:rFonts w:ascii="Arial" w:hAnsi="Arial" w:cs="Arial"/>
          <w:sz w:val="24"/>
          <w:szCs w:val="24"/>
        </w:rPr>
        <w:t xml:space="preserve">, </w:t>
      </w:r>
      <w:r w:rsidRPr="00573387">
        <w:rPr>
          <w:rFonts w:ascii="Arial" w:hAnsi="Arial" w:cs="Arial"/>
          <w:sz w:val="24"/>
          <w:szCs w:val="24"/>
        </w:rPr>
        <w:t xml:space="preserve">la </w:t>
      </w:r>
      <w:r>
        <w:rPr>
          <w:rFonts w:ascii="Arial" w:hAnsi="Arial" w:cs="Arial"/>
          <w:sz w:val="24"/>
          <w:szCs w:val="24"/>
        </w:rPr>
        <w:t xml:space="preserve">aplicación de indicadores abiertos y la </w:t>
      </w:r>
      <w:r w:rsidRPr="00573387">
        <w:rPr>
          <w:rFonts w:ascii="Arial" w:hAnsi="Arial" w:cs="Arial"/>
          <w:sz w:val="24"/>
          <w:szCs w:val="24"/>
        </w:rPr>
        <w:t xml:space="preserve">inclusión de </w:t>
      </w:r>
      <w:proofErr w:type="spellStart"/>
      <w:r w:rsidRPr="00573387">
        <w:rPr>
          <w:rFonts w:ascii="Arial" w:hAnsi="Arial" w:cs="Arial"/>
          <w:sz w:val="24"/>
          <w:szCs w:val="24"/>
        </w:rPr>
        <w:t>preprints</w:t>
      </w:r>
      <w:proofErr w:type="spellEnd"/>
      <w:r w:rsidRPr="00573387">
        <w:rPr>
          <w:rFonts w:ascii="Arial" w:hAnsi="Arial" w:cs="Arial"/>
          <w:sz w:val="24"/>
          <w:szCs w:val="24"/>
        </w:rPr>
        <w:t xml:space="preserve"> en algunas revistas.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Como otros países de la región latinoamericana, Costa Rica nació con el acceso abierto en sus publicaciones, pues el comercio y el lucro nunca han sido prácticas comunes. Por el contrario, la gran mayoría de estas son financiadas con fondos públicos de las universidades y constituyen una pieza fundamental en el entramado de la ciencia que se produce en el país. La vía diamante del acceso abierto ha sido la opción más fuerte para las revistas y la vía verde o repositorios abundan y se fortalecen.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Como parte de este proceso, los sistemas de información latinoamericanos -de los cuales forma parte el país- han sido la piedra angular del acceso abierto, desde el año 1997. </w:t>
      </w:r>
      <w:proofErr w:type="spellStart"/>
      <w:r>
        <w:rPr>
          <w:rFonts w:ascii="Arial" w:hAnsi="Arial" w:cs="Arial"/>
          <w:sz w:val="24"/>
          <w:szCs w:val="24"/>
        </w:rPr>
        <w:t>Latindex</w:t>
      </w:r>
      <w:proofErr w:type="spellEnd"/>
      <w:r>
        <w:rPr>
          <w:rFonts w:ascii="Arial" w:hAnsi="Arial" w:cs="Arial"/>
          <w:sz w:val="24"/>
          <w:szCs w:val="24"/>
        </w:rPr>
        <w:t xml:space="preserve">, SciELO, Redalyc, LA Referencia, </w:t>
      </w:r>
      <w:r w:rsidR="000E53FD">
        <w:rPr>
          <w:rFonts w:ascii="Arial" w:hAnsi="Arial" w:cs="Arial"/>
          <w:sz w:val="24"/>
          <w:szCs w:val="24"/>
        </w:rPr>
        <w:t xml:space="preserve">CLACSO, </w:t>
      </w:r>
      <w:proofErr w:type="spellStart"/>
      <w:r>
        <w:rPr>
          <w:rFonts w:ascii="Arial" w:hAnsi="Arial" w:cs="Arial"/>
          <w:sz w:val="24"/>
          <w:szCs w:val="24"/>
        </w:rPr>
        <w:t>LatinRev</w:t>
      </w:r>
      <w:proofErr w:type="spellEnd"/>
      <w:r>
        <w:rPr>
          <w:rFonts w:ascii="Arial" w:hAnsi="Arial" w:cs="Arial"/>
          <w:sz w:val="24"/>
          <w:szCs w:val="24"/>
        </w:rPr>
        <w:t xml:space="preserve"> y </w:t>
      </w:r>
      <w:proofErr w:type="spellStart"/>
      <w:r>
        <w:rPr>
          <w:rFonts w:ascii="Arial" w:hAnsi="Arial" w:cs="Arial"/>
          <w:sz w:val="24"/>
          <w:szCs w:val="24"/>
        </w:rPr>
        <w:t>AmeliCA</w:t>
      </w:r>
      <w:proofErr w:type="spellEnd"/>
      <w:r>
        <w:rPr>
          <w:rFonts w:ascii="Arial" w:hAnsi="Arial" w:cs="Arial"/>
          <w:sz w:val="24"/>
          <w:szCs w:val="24"/>
        </w:rPr>
        <w:t xml:space="preserve"> son servicios que aglutinan y diseminan las publicaciones nacidas y desarrolladas en la región. La mayoría de estos se distinguen por promover el acceso abierto no comercial y representan en muchos casos, ejemplares únicos en el mundo por sus características. Algunos son promovidos y patrocinados por las universidades, nacieron con el ánimo de destacar la producción científica de la región y como alternativa a la ciencia de corriente principal. </w:t>
      </w:r>
      <w:r w:rsidR="0026672E">
        <w:rPr>
          <w:rFonts w:ascii="Arial" w:hAnsi="Arial" w:cs="Arial"/>
          <w:sz w:val="24"/>
          <w:szCs w:val="24"/>
        </w:rPr>
        <w:t>Además, s</w:t>
      </w:r>
      <w:r>
        <w:rPr>
          <w:rFonts w:ascii="Arial" w:hAnsi="Arial" w:cs="Arial"/>
          <w:sz w:val="24"/>
          <w:szCs w:val="24"/>
        </w:rPr>
        <w:t xml:space="preserve">e calcula que </w:t>
      </w:r>
      <w:r>
        <w:rPr>
          <w:rFonts w:ascii="Arial" w:hAnsi="Arial" w:cs="Arial"/>
          <w:sz w:val="24"/>
          <w:szCs w:val="24"/>
        </w:rPr>
        <w:lastRenderedPageBreak/>
        <w:t xml:space="preserve">existen cerca de 380 portales de revistas y 665 repositorios en la región latinoamericana, lo cual es una muestra importante de este desarrollo.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No obstante, estas condiciones actualmente son foco de amplias discusiones, pues no podemos quedarnos al margen de lo que sucede en el mundo y la influencia del mercado resulta una amenaza real. Cuando observamos que los presupuestos de las universidades se reducen y las prácticas mercantiles se afianzan en el ámbito científico; los sistemas de evaluación de la ciencia cada vez más se inclinan por privilegiar a las revistas de corriente principal, más que a la calidad intrínseca del artículo, provocando así una exclusión de las revistas locales en lugar de fortalecerlas, nos concentramos en reflexionar hacia dónde vamos y cómo podemos sortear esas imposiciones. La ruta hacia la ciencia abierta se ve interferida por esas superestructuras que se transforman en el titiritero que maneja los hilos del sistema.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En este panorama, la ciencia abierta podría convertirse en una quimera, pues para hacerla realidad, deberemos sumar a los problemas señalados, los esfuerzos por lograr el cambio cultural que esta implica. Existen reticencias en el sector académico, no solo porque son prácticas nuevas y poco comunes, sino porque estas exigen un proceso de sensibilización para orientarse más hacia “los bienes comunes”, lo cual choca contra el individualismo, los intereses comerciales, la falta de incentivos y el temor al cambio.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No obstante, en Costa Rica como en otros países latinoamericanos, las universidades públicas han redoblado esfuerzos para lograr esos cambios. Las actividades de sensibilización se convierten en el primer paso para avanzar hacia la ciencia abierta, así como la divulgación de sus principios y propuestas. Los talleres, conferencias y otras actividades que van dirigidas hacia los diversos actores involucrados, se convierten en la punta de lanza para alcanzar este fin. </w:t>
      </w:r>
    </w:p>
    <w:p w:rsidR="00EE615B" w:rsidRDefault="00EE615B" w:rsidP="00EE615B">
      <w:pPr>
        <w:spacing w:after="0" w:line="240" w:lineRule="auto"/>
        <w:jc w:val="both"/>
        <w:rPr>
          <w:rFonts w:ascii="Arial" w:hAnsi="Arial" w:cs="Arial"/>
          <w:sz w:val="24"/>
          <w:szCs w:val="24"/>
        </w:rPr>
      </w:pPr>
    </w:p>
    <w:p w:rsidR="00EE615B" w:rsidRDefault="00EE615B" w:rsidP="00EE615B">
      <w:pPr>
        <w:spacing w:after="0" w:line="240" w:lineRule="auto"/>
        <w:jc w:val="both"/>
        <w:rPr>
          <w:rFonts w:ascii="Arial" w:hAnsi="Arial" w:cs="Arial"/>
          <w:sz w:val="24"/>
          <w:szCs w:val="24"/>
        </w:rPr>
      </w:pPr>
      <w:r>
        <w:rPr>
          <w:rFonts w:ascii="Arial" w:hAnsi="Arial" w:cs="Arial"/>
          <w:sz w:val="24"/>
          <w:szCs w:val="24"/>
        </w:rPr>
        <w:t xml:space="preserve">Asimismo, a nivel regional se desarrollan esfuerzos más sólidos, cooperativos y profundos. La formación del Foro Latinoamericano sobre Evaluación Científica (FOLEC) en el año 2019 ha sido un buen comienzo y la </w:t>
      </w:r>
      <w:r w:rsidR="00377B9F">
        <w:rPr>
          <w:rFonts w:ascii="Arial" w:hAnsi="Arial" w:cs="Arial"/>
          <w:sz w:val="24"/>
          <w:szCs w:val="24"/>
        </w:rPr>
        <w:t>Consulta</w:t>
      </w:r>
      <w:r>
        <w:rPr>
          <w:rFonts w:ascii="Arial" w:hAnsi="Arial" w:cs="Arial"/>
          <w:sz w:val="24"/>
          <w:szCs w:val="24"/>
        </w:rPr>
        <w:t xml:space="preserve"> </w:t>
      </w:r>
      <w:r w:rsidR="00377B9F">
        <w:rPr>
          <w:rFonts w:ascii="Arial" w:hAnsi="Arial" w:cs="Arial"/>
          <w:sz w:val="24"/>
          <w:szCs w:val="24"/>
        </w:rPr>
        <w:t xml:space="preserve">Regional </w:t>
      </w:r>
      <w:r>
        <w:rPr>
          <w:rFonts w:ascii="Arial" w:hAnsi="Arial" w:cs="Arial"/>
          <w:sz w:val="24"/>
          <w:szCs w:val="24"/>
        </w:rPr>
        <w:t xml:space="preserve">que se </w:t>
      </w:r>
      <w:r w:rsidR="00377B9F">
        <w:rPr>
          <w:rFonts w:ascii="Arial" w:hAnsi="Arial" w:cs="Arial"/>
          <w:sz w:val="24"/>
          <w:szCs w:val="24"/>
        </w:rPr>
        <w:t>realiz</w:t>
      </w:r>
      <w:r>
        <w:rPr>
          <w:rFonts w:ascii="Arial" w:hAnsi="Arial" w:cs="Arial"/>
          <w:sz w:val="24"/>
          <w:szCs w:val="24"/>
        </w:rPr>
        <w:t xml:space="preserve">ó para </w:t>
      </w:r>
      <w:r w:rsidR="00377B9F">
        <w:rPr>
          <w:rFonts w:ascii="Arial" w:hAnsi="Arial" w:cs="Arial"/>
          <w:sz w:val="24"/>
          <w:szCs w:val="24"/>
        </w:rPr>
        <w:t>e</w:t>
      </w:r>
      <w:r>
        <w:rPr>
          <w:rFonts w:ascii="Arial" w:hAnsi="Arial" w:cs="Arial"/>
          <w:sz w:val="24"/>
          <w:szCs w:val="24"/>
        </w:rPr>
        <w:t>la</w:t>
      </w:r>
      <w:r w:rsidR="00377B9F">
        <w:rPr>
          <w:rFonts w:ascii="Arial" w:hAnsi="Arial" w:cs="Arial"/>
          <w:sz w:val="24"/>
          <w:szCs w:val="24"/>
        </w:rPr>
        <w:t xml:space="preserve">borar la “Recomendación de la Unesco sobre Ciencia Abierta” </w:t>
      </w:r>
      <w:r w:rsidR="000E53FD">
        <w:rPr>
          <w:rFonts w:ascii="Arial" w:hAnsi="Arial" w:cs="Arial"/>
          <w:sz w:val="24"/>
          <w:szCs w:val="24"/>
        </w:rPr>
        <w:t>para</w:t>
      </w:r>
      <w:r w:rsidR="00377B9F">
        <w:rPr>
          <w:rFonts w:ascii="Arial" w:hAnsi="Arial" w:cs="Arial"/>
          <w:sz w:val="24"/>
          <w:szCs w:val="24"/>
        </w:rPr>
        <w:t xml:space="preserve"> </w:t>
      </w:r>
      <w:r>
        <w:rPr>
          <w:rFonts w:ascii="Arial" w:hAnsi="Arial" w:cs="Arial"/>
          <w:sz w:val="24"/>
          <w:szCs w:val="24"/>
        </w:rPr>
        <w:t>noviembre</w:t>
      </w:r>
      <w:r w:rsidR="00377B9F">
        <w:rPr>
          <w:rFonts w:ascii="Arial" w:hAnsi="Arial" w:cs="Arial"/>
          <w:sz w:val="24"/>
          <w:szCs w:val="24"/>
        </w:rPr>
        <w:t xml:space="preserve"> 2021</w:t>
      </w:r>
      <w:r w:rsidR="00F365A7">
        <w:rPr>
          <w:rFonts w:ascii="Arial" w:hAnsi="Arial" w:cs="Arial"/>
          <w:sz w:val="24"/>
          <w:szCs w:val="24"/>
        </w:rPr>
        <w:t>.</w:t>
      </w:r>
      <w:r>
        <w:rPr>
          <w:rFonts w:ascii="Arial" w:hAnsi="Arial" w:cs="Arial"/>
          <w:sz w:val="24"/>
          <w:szCs w:val="24"/>
        </w:rPr>
        <w:t xml:space="preserve"> </w:t>
      </w:r>
      <w:r w:rsidR="00377B9F">
        <w:rPr>
          <w:rFonts w:ascii="Arial" w:hAnsi="Arial" w:cs="Arial"/>
          <w:sz w:val="24"/>
          <w:szCs w:val="24"/>
        </w:rPr>
        <w:t>También l</w:t>
      </w:r>
      <w:r w:rsidR="00F365A7">
        <w:rPr>
          <w:rFonts w:ascii="Arial" w:hAnsi="Arial" w:cs="Arial"/>
          <w:sz w:val="24"/>
          <w:szCs w:val="24"/>
        </w:rPr>
        <w:t xml:space="preserve">a “Declaración de Panamá sobre Ciencia Abierta” (2018) propuso </w:t>
      </w:r>
      <w:r w:rsidR="000E53FD">
        <w:rPr>
          <w:rFonts w:ascii="Arial" w:hAnsi="Arial" w:cs="Arial"/>
          <w:sz w:val="24"/>
          <w:szCs w:val="24"/>
        </w:rPr>
        <w:t xml:space="preserve">impulsar una red de ciencia abierta en la región </w:t>
      </w:r>
      <w:r w:rsidR="002C7394">
        <w:rPr>
          <w:rFonts w:ascii="Arial" w:hAnsi="Arial" w:cs="Arial"/>
          <w:sz w:val="24"/>
          <w:szCs w:val="24"/>
        </w:rPr>
        <w:t>al igual que políticas nacionales e institucionales para avanzar. A</w:t>
      </w:r>
      <w:bookmarkStart w:id="0" w:name="_GoBack"/>
      <w:bookmarkEnd w:id="0"/>
      <w:r w:rsidR="000E53FD">
        <w:rPr>
          <w:rFonts w:ascii="Arial" w:hAnsi="Arial" w:cs="Arial"/>
          <w:sz w:val="24"/>
          <w:szCs w:val="24"/>
        </w:rPr>
        <w:t>sí, en todos estos empeños se destacan l</w:t>
      </w:r>
      <w:r w:rsidR="00F365A7">
        <w:rPr>
          <w:rFonts w:ascii="Arial" w:hAnsi="Arial" w:cs="Arial"/>
          <w:sz w:val="24"/>
          <w:szCs w:val="24"/>
        </w:rPr>
        <w:t xml:space="preserve">a colaboración y </w:t>
      </w:r>
      <w:r>
        <w:rPr>
          <w:rFonts w:ascii="Arial" w:hAnsi="Arial" w:cs="Arial"/>
          <w:sz w:val="24"/>
          <w:szCs w:val="24"/>
        </w:rPr>
        <w:t>el fortalecimiento de los sistemas regionales para que no pierdan su ruta</w:t>
      </w:r>
      <w:r w:rsidR="00F365A7">
        <w:rPr>
          <w:rFonts w:ascii="Arial" w:hAnsi="Arial" w:cs="Arial"/>
          <w:sz w:val="24"/>
          <w:szCs w:val="24"/>
        </w:rPr>
        <w:t>, bajo</w:t>
      </w:r>
      <w:r>
        <w:rPr>
          <w:rFonts w:ascii="Arial" w:hAnsi="Arial" w:cs="Arial"/>
          <w:sz w:val="24"/>
          <w:szCs w:val="24"/>
        </w:rPr>
        <w:t xml:space="preserve"> el </w:t>
      </w:r>
      <w:r w:rsidR="002C7394">
        <w:rPr>
          <w:rFonts w:ascii="Arial" w:hAnsi="Arial" w:cs="Arial"/>
          <w:sz w:val="24"/>
          <w:szCs w:val="24"/>
        </w:rPr>
        <w:t xml:space="preserve">incentivo </w:t>
      </w:r>
      <w:r>
        <w:rPr>
          <w:rFonts w:ascii="Arial" w:hAnsi="Arial" w:cs="Arial"/>
          <w:sz w:val="24"/>
          <w:szCs w:val="24"/>
        </w:rPr>
        <w:t>de que el acceso al conocimiento debe ser parte de los derechos humanos.</w:t>
      </w:r>
      <w:r w:rsidR="00377B9F">
        <w:rPr>
          <w:rFonts w:ascii="Arial" w:hAnsi="Arial" w:cs="Arial"/>
          <w:sz w:val="24"/>
          <w:szCs w:val="24"/>
        </w:rPr>
        <w:t xml:space="preserve"> </w:t>
      </w:r>
    </w:p>
    <w:p w:rsidR="00444751" w:rsidRPr="00EE615B" w:rsidRDefault="00444751" w:rsidP="00EE615B"/>
    <w:sectPr w:rsidR="00444751" w:rsidRPr="00EE615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7355" w:rsidRDefault="00BE7355" w:rsidP="00EE615B">
      <w:pPr>
        <w:spacing w:after="0" w:line="240" w:lineRule="auto"/>
      </w:pPr>
      <w:r>
        <w:separator/>
      </w:r>
    </w:p>
  </w:endnote>
  <w:endnote w:type="continuationSeparator" w:id="0">
    <w:p w:rsidR="00BE7355" w:rsidRDefault="00BE7355" w:rsidP="00EE61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7355" w:rsidRDefault="00BE7355" w:rsidP="00EE615B">
      <w:pPr>
        <w:spacing w:after="0" w:line="240" w:lineRule="auto"/>
      </w:pPr>
      <w:r>
        <w:separator/>
      </w:r>
    </w:p>
  </w:footnote>
  <w:footnote w:type="continuationSeparator" w:id="0">
    <w:p w:rsidR="00BE7355" w:rsidRDefault="00BE7355" w:rsidP="00EE615B">
      <w:pPr>
        <w:spacing w:after="0" w:line="240" w:lineRule="auto"/>
      </w:pPr>
      <w:r>
        <w:continuationSeparator/>
      </w:r>
    </w:p>
  </w:footnote>
  <w:footnote w:id="1">
    <w:p w:rsidR="00EE615B" w:rsidRDefault="00EE615B" w:rsidP="00EE615B">
      <w:pPr>
        <w:pStyle w:val="Textonotapie"/>
      </w:pPr>
      <w:r>
        <w:rPr>
          <w:rStyle w:val="Refdenotaalpie"/>
        </w:rPr>
        <w:footnoteRef/>
      </w:r>
      <w:r>
        <w:t xml:space="preserve"> Puede verse un sucinto informe en </w:t>
      </w:r>
      <w:proofErr w:type="spellStart"/>
      <w:r>
        <w:t>Babini</w:t>
      </w:r>
      <w:proofErr w:type="spellEnd"/>
      <w:r>
        <w:t xml:space="preserve">, D. y </w:t>
      </w:r>
      <w:proofErr w:type="spellStart"/>
      <w:r>
        <w:t>Rovelli</w:t>
      </w:r>
      <w:proofErr w:type="spellEnd"/>
      <w:r>
        <w:t xml:space="preserve">, L. (2020). </w:t>
      </w:r>
      <w:r w:rsidRPr="0055716E">
        <w:rPr>
          <w:b/>
          <w:bCs/>
        </w:rPr>
        <w:t>Tendencias recientes en las políticas científicas de ciencia abierta y acceso abierto en Iberoamérica</w:t>
      </w:r>
      <w:r>
        <w:t xml:space="preserve">, Ciudad Autónoma de Buenos Aires: CLACSO, Fundación Carolina, páginas 92-93. Disponible en: </w:t>
      </w:r>
      <w:hyperlink r:id="rId1" w:history="1">
        <w:r w:rsidRPr="00514CB2">
          <w:rPr>
            <w:rStyle w:val="Hipervnculo"/>
          </w:rPr>
          <w:t>https://www.clacso.org/wp-content/uploads/2020/12/Ciencia-Abierta-1.pdf</w:t>
        </w:r>
      </w:hyperlink>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15B"/>
    <w:rsid w:val="000E53FD"/>
    <w:rsid w:val="0026672E"/>
    <w:rsid w:val="002C7394"/>
    <w:rsid w:val="00377B9F"/>
    <w:rsid w:val="00444751"/>
    <w:rsid w:val="00BE7355"/>
    <w:rsid w:val="00EE615B"/>
    <w:rsid w:val="00F365A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76863"/>
  <w15:chartTrackingRefBased/>
  <w15:docId w15:val="{0FAFF72F-A5F6-4B82-A0C0-0E66190FC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615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E615B"/>
    <w:rPr>
      <w:color w:val="0563C1" w:themeColor="hyperlink"/>
      <w:u w:val="single"/>
    </w:rPr>
  </w:style>
  <w:style w:type="paragraph" w:styleId="Textonotapie">
    <w:name w:val="footnote text"/>
    <w:basedOn w:val="Normal"/>
    <w:link w:val="TextonotapieCar"/>
    <w:uiPriority w:val="99"/>
    <w:semiHidden/>
    <w:unhideWhenUsed/>
    <w:rsid w:val="00EE615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E615B"/>
    <w:rPr>
      <w:sz w:val="20"/>
      <w:szCs w:val="20"/>
    </w:rPr>
  </w:style>
  <w:style w:type="character" w:styleId="Refdenotaalpie">
    <w:name w:val="footnote reference"/>
    <w:basedOn w:val="Fuentedeprrafopredeter"/>
    <w:uiPriority w:val="99"/>
    <w:semiHidden/>
    <w:unhideWhenUsed/>
    <w:rsid w:val="00EE615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clacso.org/wp-content/uploads/2020/12/Ciencia-Abierta-1.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2</Pages>
  <Words>792</Words>
  <Characters>4239</Characters>
  <Application>Microsoft Office Word</Application>
  <DocSecurity>0</DocSecurity>
  <Lines>78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Saray</dc:creator>
  <cp:keywords/>
  <dc:description/>
  <cp:lastModifiedBy>Saray</cp:lastModifiedBy>
  <cp:revision>1</cp:revision>
  <dcterms:created xsi:type="dcterms:W3CDTF">2021-02-25T01:36:00Z</dcterms:created>
  <dcterms:modified xsi:type="dcterms:W3CDTF">2021-02-25T03:21:00Z</dcterms:modified>
</cp:coreProperties>
</file>