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04ABAA" w14:textId="77777777" w:rsidR="002E578F" w:rsidRDefault="00295404" w:rsidP="00295404">
      <w:pPr>
        <w:pStyle w:val="Ttulo1"/>
        <w:jc w:val="center"/>
      </w:pPr>
      <w:bookmarkStart w:id="0" w:name="_Hlk14525212"/>
      <w:bookmarkEnd w:id="0"/>
      <w:r>
        <w:t>Las relaciones Turquía-América Latina: una mirada desde la Teoría de la Dependencia</w:t>
      </w:r>
    </w:p>
    <w:p w14:paraId="3A3A8568" w14:textId="77777777" w:rsidR="00F42699" w:rsidRPr="00F42699" w:rsidRDefault="00F42699" w:rsidP="00F42699">
      <w:pPr>
        <w:jc w:val="right"/>
        <w:rPr>
          <w:i/>
        </w:rPr>
      </w:pPr>
      <w:r w:rsidRPr="00F42699">
        <w:rPr>
          <w:i/>
        </w:rPr>
        <w:t>Javier Johanning Solís</w:t>
      </w:r>
    </w:p>
    <w:p w14:paraId="7D250FAA" w14:textId="5D4651C8" w:rsidR="00BF3C7F" w:rsidRDefault="00BF3C7F" w:rsidP="00F42699">
      <w:pPr>
        <w:ind w:left="709" w:hanging="709"/>
        <w:jc w:val="both"/>
        <w:rPr>
          <w:b/>
          <w:bCs/>
        </w:rPr>
      </w:pPr>
      <w:r>
        <w:rPr>
          <w:b/>
          <w:bCs/>
        </w:rPr>
        <w:t>Resumen</w:t>
      </w:r>
    </w:p>
    <w:p w14:paraId="6DBC4796" w14:textId="7A460973" w:rsidR="00BF3C7F" w:rsidRPr="00BF3C7F" w:rsidRDefault="00BF3C7F" w:rsidP="00BF3C7F">
      <w:pPr>
        <w:jc w:val="both"/>
        <w:rPr>
          <w:rFonts w:cstheme="minorHAnsi"/>
          <w:b/>
          <w:bCs/>
          <w:sz w:val="20"/>
          <w:szCs w:val="20"/>
        </w:rPr>
      </w:pPr>
      <w:r w:rsidRPr="00BF3C7F">
        <w:rPr>
          <w:rFonts w:cstheme="minorHAnsi"/>
          <w:color w:val="000000"/>
          <w:sz w:val="20"/>
          <w:szCs w:val="20"/>
          <w:shd w:val="clear" w:color="auto" w:fill="FFFFFF"/>
        </w:rPr>
        <w:t xml:space="preserve">Las relaciones entre Turquía y América Latina empiezan a </w:t>
      </w:r>
      <w:r>
        <w:rPr>
          <w:rFonts w:cstheme="minorHAnsi"/>
          <w:color w:val="000000"/>
          <w:sz w:val="20"/>
          <w:szCs w:val="20"/>
          <w:shd w:val="clear" w:color="auto" w:fill="FFFFFF"/>
        </w:rPr>
        <w:t>calentar</w:t>
      </w:r>
      <w:r w:rsidRPr="00BF3C7F">
        <w:rPr>
          <w:rFonts w:cstheme="minorHAnsi"/>
          <w:color w:val="000000"/>
          <w:sz w:val="20"/>
          <w:szCs w:val="20"/>
          <w:shd w:val="clear" w:color="auto" w:fill="FFFFFF"/>
        </w:rPr>
        <w:t xml:space="preserve"> a</w:t>
      </w:r>
      <w:r>
        <w:rPr>
          <w:rFonts w:cstheme="minorHAnsi"/>
          <w:color w:val="000000"/>
          <w:sz w:val="20"/>
          <w:szCs w:val="20"/>
          <w:shd w:val="clear" w:color="auto" w:fill="FFFFFF"/>
        </w:rPr>
        <w:t xml:space="preserve"> partir de</w:t>
      </w:r>
      <w:r w:rsidRPr="00BF3C7F">
        <w:rPr>
          <w:rFonts w:cstheme="minorHAnsi"/>
          <w:color w:val="000000"/>
          <w:sz w:val="20"/>
          <w:szCs w:val="20"/>
          <w:shd w:val="clear" w:color="auto" w:fill="FFFFFF"/>
        </w:rPr>
        <w:t xml:space="preserve"> finales de los años 90s, pero no sería sino hasta la entrada del AKP</w:t>
      </w:r>
      <w:r w:rsidR="00D93501">
        <w:rPr>
          <w:rFonts w:cstheme="minorHAnsi"/>
          <w:color w:val="000000"/>
          <w:sz w:val="20"/>
          <w:szCs w:val="20"/>
          <w:shd w:val="clear" w:color="auto" w:fill="FFFFFF"/>
        </w:rPr>
        <w:t xml:space="preserve"> de Recep Tayyip Erdo</w:t>
      </w:r>
      <w:r w:rsidR="00C60074">
        <w:rPr>
          <w:rFonts w:cstheme="minorHAnsi"/>
          <w:color w:val="000000"/>
          <w:sz w:val="20"/>
          <w:szCs w:val="20"/>
          <w:shd w:val="clear" w:color="auto" w:fill="FFFFFF"/>
        </w:rPr>
        <w:t>ğa</w:t>
      </w:r>
      <w:r w:rsidR="00D93501">
        <w:rPr>
          <w:rFonts w:cstheme="minorHAnsi"/>
          <w:color w:val="000000"/>
          <w:sz w:val="20"/>
          <w:szCs w:val="20"/>
          <w:shd w:val="clear" w:color="auto" w:fill="FFFFFF"/>
        </w:rPr>
        <w:t>n</w:t>
      </w:r>
      <w:r w:rsidRPr="00BF3C7F">
        <w:rPr>
          <w:rFonts w:cstheme="minorHAnsi"/>
          <w:color w:val="000000"/>
          <w:sz w:val="20"/>
          <w:szCs w:val="20"/>
          <w:shd w:val="clear" w:color="auto" w:fill="FFFFFF"/>
        </w:rPr>
        <w:t xml:space="preserve"> en el 2003 que empezarían a intensificarse y consolidarse, especialmente luego de 2006. Esta investigación procura estudiar las relaciones entre Turquía y sus principales socios de la región Latinoamericana para observar si se desarrollan esquemas de dependencia que permitan establecer tendencias sobre sus relaciones, en momentos en que Turquía es concebida como una de las próximas potencias emergentes del mundo, perteneciente al grupo MIKTA.</w:t>
      </w:r>
      <w:r w:rsidR="00D93501">
        <w:rPr>
          <w:rFonts w:cstheme="minorHAnsi"/>
          <w:color w:val="000000"/>
          <w:sz w:val="20"/>
          <w:szCs w:val="20"/>
          <w:shd w:val="clear" w:color="auto" w:fill="FFFFFF"/>
        </w:rPr>
        <w:t xml:space="preserve"> Dentro de los resultados de investigación, se tiene que en efecto existen esquemas de dependencia entre Turquía y América Latina y el Caribe, a favor de la primera, aunque son esquemas de baja intensidad, ya que no todos los factores a consideración están a favor de Turquía, al tiempo en que el comercio e intercambio entre las partes en estudio es relativamente bajo. No obstante, lo útil de este estudio es la propuesta de una estrategia metodológica que permita te</w:t>
      </w:r>
      <w:r w:rsidRPr="00BF3C7F">
        <w:rPr>
          <w:rFonts w:cstheme="minorHAnsi"/>
          <w:color w:val="000000"/>
          <w:sz w:val="20"/>
          <w:szCs w:val="20"/>
          <w:shd w:val="clear" w:color="auto" w:fill="FFFFFF"/>
        </w:rPr>
        <w:t>orizar sobre</w:t>
      </w:r>
      <w:r w:rsidR="00D93501">
        <w:rPr>
          <w:rFonts w:cstheme="minorHAnsi"/>
          <w:color w:val="000000"/>
          <w:sz w:val="20"/>
          <w:szCs w:val="20"/>
          <w:shd w:val="clear" w:color="auto" w:fill="FFFFFF"/>
        </w:rPr>
        <w:t xml:space="preserve"> sobre el desarrollo capitalista de ciertos países del sistema mundo hasta constituirse en países de la semi-periferia e incluso de centro, a partir del establecimiento de esquemas de dependencia e intercambio desigual con otros países de la periferia. De esta forma, ciertos países obtendrán ventajas en sus intercambios con respecto a otros, pudiendo con ello ascender tanto económica como políticamente en el sistema internacional, pero manteniendo su dependencia con respecto al centro del sistema mundo, como demuestra esta investigación.</w:t>
      </w:r>
    </w:p>
    <w:p w14:paraId="0871D959" w14:textId="14E38784" w:rsidR="00BF3C7F" w:rsidRDefault="00BF3C7F" w:rsidP="00F42699">
      <w:pPr>
        <w:ind w:left="709" w:hanging="709"/>
        <w:jc w:val="both"/>
        <w:rPr>
          <w:b/>
          <w:bCs/>
        </w:rPr>
      </w:pPr>
      <w:r>
        <w:rPr>
          <w:b/>
          <w:bCs/>
        </w:rPr>
        <w:t>Introducción</w:t>
      </w:r>
    </w:p>
    <w:p w14:paraId="59F8D6EE" w14:textId="70FB8F14" w:rsidR="00BF3C7F" w:rsidRDefault="00D93501" w:rsidP="00D93501">
      <w:pPr>
        <w:jc w:val="both"/>
      </w:pPr>
      <w:r>
        <w:t xml:space="preserve">Las relaciones entre América Latina y el Caribe (ALC) y Turquía tienen un trasfondo histórico que se extiende incluso al período del Imperio Otomano, antes de su desmantelamiento posterior a la Primera Guerra Mundial. No obstante, las relaciones entre los países serán indirectas y de muy baja intensidad hasta la última década del siglo XX. No será sino hasta mediados de la década de 1990 que las relaciones empezarían a mostrar mayor dinamismo, a partir de la visita de </w:t>
      </w:r>
      <w:r w:rsidR="00CD1360">
        <w:t xml:space="preserve">varios mandatarios latinoamericanos a Turquía, así como la visita del presidente de Turquía a la región. </w:t>
      </w:r>
    </w:p>
    <w:p w14:paraId="7E7AE6BE" w14:textId="57410F52" w:rsidR="00CD1360" w:rsidRDefault="00CD1360" w:rsidP="00CD1360">
      <w:pPr>
        <w:jc w:val="both"/>
      </w:pPr>
      <w:r>
        <w:t xml:space="preserve">A partir de entonces, las relaciones entre ALC y Turquía empezarían a incrementarse e intensificarse, especialmente luego de la llegada al poder del Partido de la Justicia y Desarrollo (AKP, por sus siglas en turco) en 2003. Principalmente a partir de la segunda mitad de la primera década del siglo XXI es que las relaciones entre los países tenderán a incrementarse significativamente, en gran parte gracias al interés turco por la región latinoamericana, como lo demuestra la publicación en el año 2006 del documento oficial sobre la </w:t>
      </w:r>
      <w:r w:rsidRPr="0057627E">
        <w:rPr>
          <w:i/>
          <w:iCs/>
        </w:rPr>
        <w:t>Estrategia de Desarrollo Comercial de Turquía hacia las Américas</w:t>
      </w:r>
      <w:r>
        <w:t xml:space="preserve"> (González, 2016). Este documento es una evidencia de lo que Kemal Kiris</w:t>
      </w:r>
      <w:r w:rsidR="00C60074">
        <w:rPr>
          <w:lang w:val="tr-TR"/>
        </w:rPr>
        <w:t>ç</w:t>
      </w:r>
      <w:r>
        <w:t xml:space="preserve">i (2009) afirma que ha sido un cambio fundamental en la política exterior de Turquía: el ascenso del Estado comercial. La política exterior turca, especialmente bajo el AKP, tenderá a darle una significativa importancia a su dimensión económica, por encima de cualquier otra, en consonancia con los intereses de una de sus principales cámaras empresariales, con lazos con el poder político turco. </w:t>
      </w:r>
    </w:p>
    <w:p w14:paraId="71E91130" w14:textId="6AF130E0" w:rsidR="00CD1360" w:rsidRDefault="00CD1360" w:rsidP="00CD1360">
      <w:pPr>
        <w:jc w:val="both"/>
      </w:pPr>
      <w:r>
        <w:t xml:space="preserve">Este proceso a su vez se encuentra enmarcado por el ascenso de Turquía como potencia emergente, que le permitió ir más allá de sus preocupaciones de seguridad regionales en el Medio Oriente, o su inserción en Europa, específicamente en la Unión Europea, y plantearse un rol estratégico </w:t>
      </w:r>
      <w:r>
        <w:lastRenderedPageBreak/>
        <w:t xml:space="preserve">fundamental a escala global, especialmente a partir del período del canciller Ahmet Davutoglu (González, 2012). En este trasfondo político es que las relaciones con ALC se intensificarían en gran manera, la menos hasta el año 2012, donde las relaciones empiezan a estancarse por el aumento de problemáticas políticas y económicas tanto dentro de los países, como en su escala regional, así como por la influencia de tendencias mundiales como la caída de los precios de las materias primas. </w:t>
      </w:r>
    </w:p>
    <w:p w14:paraId="41ECF5F7" w14:textId="3192542A" w:rsidR="00CD1360" w:rsidRDefault="00CD1360" w:rsidP="00CD1360">
      <w:pPr>
        <w:jc w:val="both"/>
      </w:pPr>
      <w:r>
        <w:t>Luego de examinada las relaciones económicas entre ambas partes se encuentra</w:t>
      </w:r>
      <w:r w:rsidR="009279F4">
        <w:t>, utilizando la teoría marxista de la dependencia,</w:t>
      </w:r>
      <w:r>
        <w:t xml:space="preserve"> que existe esquemas de dependencia e intercambio desigual de baja intensidad entre Turquía y ALC</w:t>
      </w:r>
      <w:r w:rsidR="009279F4">
        <w:t>. Más allá de que el comercio de Turquía con la región latinoamericana asciende a apenas el 2% de su intercambio con el mundo, lo cierto es que existen otros factores que generan que sean esquemas de dependencia de baja intensidad</w:t>
      </w:r>
      <w:r w:rsidR="00504777">
        <w:t>, ya que el comercio con la región durante el período de estudio aumentó vertiginosamente en un 800%</w:t>
      </w:r>
      <w:r w:rsidR="009279F4">
        <w:t xml:space="preserve">. </w:t>
      </w:r>
    </w:p>
    <w:p w14:paraId="59C0E94D" w14:textId="332EFD63" w:rsidR="009279F4" w:rsidRDefault="009279F4" w:rsidP="00CD1360">
      <w:pPr>
        <w:jc w:val="both"/>
      </w:pPr>
      <w:r>
        <w:t xml:space="preserve">La región latinoamericana, especialmente sus principales socios económicos (Brasil, Argentina, Chile, Colombia, Perú, Costa Rica y México) exportan principalmente materias primas a Turquía, fundamentalmente productos minerales y productos alimenticios o de origen vegetal—con la excepción de México y Costa Rica—, mientras que Turquía exporta a la región principalmente productos de baja o media tecnificación, como lo son textiles, maquinarias o vehículos de transporte. Costa Rica y México se diferencian al exportar a Turquía principalmente productos de media o alta tecnificación, como lo son productos químicos en el caso mexicano, o circuitos integrados en el caso costarricense. Sin embargo, estos no son productos terminados, sino que se exportan a Turquía para seguir con la cadena de producción posfordista, para luego ser nuevamente exportados dentro de la cadena de producción, o ya como productos terminados, obteniendo Turquía mayor valor agregado que sus contrapartes latinoamericanas. </w:t>
      </w:r>
    </w:p>
    <w:p w14:paraId="3545C246" w14:textId="64F3017E" w:rsidR="009279F4" w:rsidRDefault="009279F4" w:rsidP="00CD1360">
      <w:pPr>
        <w:jc w:val="both"/>
      </w:pPr>
      <w:r>
        <w:t xml:space="preserve">Si bien no fue posible obtener datos sobre inversión extranjera directa entre las partes, o compras de bonos de deuda, un dato interesante es que Turquía tiene una balanza comercial negativa con la región en general, así como con cada uno de sus principales socios latinoamericanos. No obstante, este déficit comercial lo ha estado empezando a convertir en superávit en su comercio con algunos países como Perú, Costa Rica y Chile, o disminuyendo significativamente, como es el caso de su comercio con Argentina. Se podría esperar que en los próximos años, muchos de los déficits comerciales de Turquía con sus principales socios se reviertan hasta convertirse en superávits. </w:t>
      </w:r>
    </w:p>
    <w:p w14:paraId="14A08E10" w14:textId="2A082051" w:rsidR="00CD1360" w:rsidRDefault="009279F4" w:rsidP="00CD1360">
      <w:pPr>
        <w:jc w:val="both"/>
      </w:pPr>
      <w:r>
        <w:t xml:space="preserve">De esta forma es que se concluye que existe un esquema de dependencia e intercambio desigual de baja intensidad en las relaciones económicas de Turquía con América Latina y el Caribe (ALC), a favor levemente de la primera. </w:t>
      </w:r>
      <w:r w:rsidR="00C60074">
        <w:t xml:space="preserve">Sin embargo, desarrollos actuales como la caída de precios de las materias primas, la fuga de capital de países emergentes por el alza en las tasas de interés de la Reserva Federal estadounidense, causando con ello crisis económicas en muchos países, así como el aumento de la inseguridad en la región del Medio Oriente a partir de las revueltas árabes de 2011, y el auge del neopentecostalismo a nivel político en América Latina, podrían traerse a bajo casi por completo el aumento en las relaciones tanto políticas como económicas de Turquía con la región latinoamericana y del Caribe. </w:t>
      </w:r>
    </w:p>
    <w:p w14:paraId="721CA8CA" w14:textId="081A92B5" w:rsidR="00B2449B" w:rsidRDefault="00B2449B" w:rsidP="00CD1360">
      <w:pPr>
        <w:jc w:val="both"/>
        <w:rPr>
          <w:b/>
          <w:bCs/>
        </w:rPr>
      </w:pPr>
      <w:r>
        <w:rPr>
          <w:b/>
          <w:bCs/>
        </w:rPr>
        <w:t>Reseña hist</w:t>
      </w:r>
      <w:r w:rsidR="00591DFC">
        <w:rPr>
          <w:b/>
          <w:bCs/>
        </w:rPr>
        <w:t>ó</w:t>
      </w:r>
      <w:r>
        <w:rPr>
          <w:b/>
          <w:bCs/>
        </w:rPr>
        <w:t>ri</w:t>
      </w:r>
      <w:r w:rsidR="00591DFC">
        <w:rPr>
          <w:b/>
          <w:bCs/>
        </w:rPr>
        <w:t>c</w:t>
      </w:r>
      <w:r>
        <w:rPr>
          <w:b/>
          <w:bCs/>
        </w:rPr>
        <w:t>a</w:t>
      </w:r>
      <w:r w:rsidR="00591DFC">
        <w:rPr>
          <w:b/>
          <w:bCs/>
        </w:rPr>
        <w:t>:</w:t>
      </w:r>
      <w:r>
        <w:rPr>
          <w:b/>
          <w:bCs/>
        </w:rPr>
        <w:t xml:space="preserve"> Turquía y su Política Exterior</w:t>
      </w:r>
    </w:p>
    <w:p w14:paraId="50844E8F" w14:textId="77777777" w:rsidR="00681241" w:rsidRDefault="00681241" w:rsidP="00681241">
      <w:pPr>
        <w:jc w:val="both"/>
      </w:pPr>
      <w:r>
        <w:t>Históricamente las relaciones entre América Latina y el Caribe (ALC, en adelante) y Turquía se remontan a finales del siglo XIX durante el Imperio Otomano. Sin embargo, la distancia geográfica,</w:t>
      </w:r>
      <w:r w:rsidR="00EE0B19">
        <w:t xml:space="preserve"> </w:t>
      </w:r>
      <w:r w:rsidR="00EE0B19">
        <w:lastRenderedPageBreak/>
        <w:t xml:space="preserve">la religión, la cultura y el idioma, </w:t>
      </w:r>
      <w:r>
        <w:t>entre otros factores limitó la posibilidad del intercambio entre las partes</w:t>
      </w:r>
      <w:r w:rsidR="00EE0B19">
        <w:t xml:space="preserve">. Incluso, luego del desmantelamiento del Imperio Otomano, las relaciones entre las partes caerían a niveles prácticamente nulos, ya que la mayoría de relaciones de la región con el antiguo Imperio Otomano se realizaban a través de las migraciones que realizaron árabes de origen Palestino, Libio, Sirio, entre otros (González, </w:t>
      </w:r>
      <w:r w:rsidR="00416644">
        <w:t>2012</w:t>
      </w:r>
      <w:r w:rsidR="000D0A17">
        <w:t>, p. 185-187</w:t>
      </w:r>
      <w:r w:rsidR="00EE0B19">
        <w:t>). Luego, a</w:t>
      </w:r>
      <w:r>
        <w:t xml:space="preserve"> pesar de que en los 60s existiría algún tipo de interés por la región de parte de Turquía, lo cierto es que no sería sino hasta entrado el siglo XXI que Turquía mostraría un creciente interés por la región latinoamericana y del Caribe en su esquema político y económico global, bajo la egida del partido de gobierno, el Partido de la Justicia y el Desarrollo (AKP, por sus siglas en inglés) (2003-2019). </w:t>
      </w:r>
    </w:p>
    <w:p w14:paraId="7EC6A37B" w14:textId="77777777" w:rsidR="00681241" w:rsidRDefault="00681241" w:rsidP="00681241">
      <w:pPr>
        <w:jc w:val="both"/>
      </w:pPr>
      <w:r>
        <w:t xml:space="preserve">Turquía, alguna vez parte del centro del sistema mundo antes de la Primera Guerra Mundial, cuando era parte del Imperio Otomano, desde su fundación en 1923, formaría por el contrario parte de la periferia mundial, y especialmente de la periferia de Europa. Sin embargo, su ubicación geoestratégica, al ser una ruta de paso entre tres continentes (Europa, Asia y África), así como el ser heredera del Imperio Otomano, sumado a las reformas occidentalizantes y modernizadoras bajo el mandato de Mustafa Kemal </w:t>
      </w:r>
      <w:r w:rsidRPr="004E3FEE">
        <w:rPr>
          <w:lang w:val="tr-TR"/>
        </w:rPr>
        <w:t>Atat</w:t>
      </w:r>
      <w:r w:rsidR="004E3FEE">
        <w:rPr>
          <w:lang w:val="tr-TR"/>
        </w:rPr>
        <w:t>ü</w:t>
      </w:r>
      <w:r w:rsidRPr="004E3FEE">
        <w:rPr>
          <w:lang w:val="tr-TR"/>
        </w:rPr>
        <w:t>rk</w:t>
      </w:r>
      <w:r>
        <w:t xml:space="preserve">, entre otros factores, le permitieron mantener un lugar privilegiado en el sistema mundo. Desde </w:t>
      </w:r>
      <w:r w:rsidR="004E3FEE" w:rsidRPr="004E3FEE">
        <w:rPr>
          <w:lang w:val="tr-TR"/>
        </w:rPr>
        <w:t>Atat</w:t>
      </w:r>
      <w:r w:rsidR="004E3FEE">
        <w:rPr>
          <w:lang w:val="tr-TR"/>
        </w:rPr>
        <w:t>ü</w:t>
      </w:r>
      <w:r w:rsidR="004E3FEE" w:rsidRPr="004E3FEE">
        <w:rPr>
          <w:lang w:val="tr-TR"/>
        </w:rPr>
        <w:t>rk</w:t>
      </w:r>
      <w:r w:rsidR="004E3FEE">
        <w:t xml:space="preserve"> </w:t>
      </w:r>
      <w:r>
        <w:t xml:space="preserve">y hasta la década de los 80s, Turquía implementó un modelo económico de desarrollo e industrialización de sustitución de importaciones—elemento en común con la región latinoamericana y del Caribe—que le permitió crear un esquema de desarrollo que se nutría de un colonialismo interno (Amin, 2016), no exento de violencia incluso, especialmente con sus minorías kurdas y armenias. El país de esta forma </w:t>
      </w:r>
      <w:r w:rsidR="00D4623D">
        <w:t xml:space="preserve">se dividió en una región occidental “desarrollada”, occidentalizada, “civilizada”, y un oriente del país que le suplía de las materias primas necesarias para el desarrollo industrial de ciudades como Ankara, la capital, Izmir, Bursa, Estambul, </w:t>
      </w:r>
      <w:r w:rsidR="00B17BDB">
        <w:t xml:space="preserve">Adana, </w:t>
      </w:r>
      <w:r w:rsidR="00D4623D">
        <w:t xml:space="preserve">entre otras. </w:t>
      </w:r>
    </w:p>
    <w:p w14:paraId="257A963A" w14:textId="77777777" w:rsidR="00D4623D" w:rsidRDefault="00D4623D" w:rsidP="00681241">
      <w:pPr>
        <w:jc w:val="both"/>
      </w:pPr>
      <w:r>
        <w:t xml:space="preserve">Durante este período, especialmente luego de la posguerra fría, la política exterior turca estaría condicionada por consideraciones de seguridad, al estar extremadamente cerca del bloque soviético. En este sentido, contribuyó el hecho de que los militares del país habían mantenido, hasta muy recientemente, una posición privilegiada en el sistema político turco, haciéndose tutores o vigilantes de la adecuada conducción de la democracia turca, incluso llegando a intervenir cuatro veces, con éxito, en la historia política del país (1960, 1971, 1982, 1997). La seguridad primaba la agenda de la política exterior, especialmente en su relación con la OTAN, y su aliado estratégico Estados Unidos, como contrapeso a su vecino, la Unión Soviética. Cualquier idea de diversificación tanto en la agenda como en los socios estratégicos turcos era completamente desechada, como pasó con </w:t>
      </w:r>
      <w:r w:rsidR="00D57CE8">
        <w:t xml:space="preserve">Adnan Menderes </w:t>
      </w:r>
      <w:r>
        <w:t xml:space="preserve">en los </w:t>
      </w:r>
      <w:r w:rsidR="00D57CE8">
        <w:t>50</w:t>
      </w:r>
      <w:r>
        <w:t xml:space="preserve">s (González, </w:t>
      </w:r>
      <w:r w:rsidR="00416644">
        <w:t>2012</w:t>
      </w:r>
      <w:r>
        <w:t xml:space="preserve">). </w:t>
      </w:r>
    </w:p>
    <w:p w14:paraId="6AE20250" w14:textId="77777777" w:rsidR="00B17BDB" w:rsidRDefault="00D4623D" w:rsidP="00681241">
      <w:pPr>
        <w:jc w:val="both"/>
      </w:pPr>
      <w:r>
        <w:t xml:space="preserve">No sería sino hasta la década de 1980, con la llegada al poder de Turgut </w:t>
      </w:r>
      <w:r w:rsidR="004E3FEE">
        <w:t>Ö</w:t>
      </w:r>
      <w:r>
        <w:t>zal</w:t>
      </w:r>
      <w:r w:rsidR="00B17BDB">
        <w:t xml:space="preserve"> en 1983</w:t>
      </w:r>
      <w:r>
        <w:t xml:space="preserve">, de primero como Primer Ministro turco, y luego como Presidente, que tanto el sistema político interno, como su modelo de política exterior comenzaría a variar. </w:t>
      </w:r>
      <w:r w:rsidR="00B17BDB">
        <w:t xml:space="preserve">Este inicio del cambio de la política exterior turca no podría explicarse, cabe aclarar, si no fuera por la posición de partido hegemónico que ostentó el Anavatan Partisi de </w:t>
      </w:r>
      <w:r w:rsidR="004E3FEE">
        <w:t xml:space="preserve">Özal </w:t>
      </w:r>
      <w:r w:rsidR="00B17BDB">
        <w:t xml:space="preserve">por casi una década. </w:t>
      </w:r>
      <w:r w:rsidR="004E3FEE">
        <w:t xml:space="preserve">Özal </w:t>
      </w:r>
      <w:r w:rsidR="00B17BDB">
        <w:t>vendría a</w:t>
      </w:r>
      <w:r>
        <w:t xml:space="preserve"> liberalizaría la economía y buscaría su inserción en el mercado mundial, cambiando de un modelo de sustitución de importaciones a un modelo de industrialización enfocado en las exportaciones, permitiendo que sectores previamente excluidos del modelo económico kemalista pudieran surgir como grandes sectores empresariales exportadores, como lo serían los llamados Tigres de Anatolia, provenientes del centro y este del país, que antes había sido sostenido sin beneficios el desarrollo del oeste de Turquía. </w:t>
      </w:r>
      <w:r w:rsidR="00EE0B19">
        <w:t xml:space="preserve">En este </w:t>
      </w:r>
      <w:r w:rsidR="00EE0B19">
        <w:lastRenderedPageBreak/>
        <w:t>sentid</w:t>
      </w:r>
      <w:r w:rsidR="00D57CE8">
        <w:t>o</w:t>
      </w:r>
      <w:r w:rsidR="00EE0B19">
        <w:t xml:space="preserve">, </w:t>
      </w:r>
      <w:r w:rsidR="004E3FEE">
        <w:t xml:space="preserve">Özal </w:t>
      </w:r>
      <w:r w:rsidR="00EE0B19">
        <w:t xml:space="preserve">sería el encargado, luego de la intervención o “rescate” previo del Fondo Monetario Internacional (FMI) y Banco Mundial (BM) a Turquía en los 70s, de implantar el modelo económico neoliberal, adscrito al Consenso de Washington, en Turquía (Rabasa y Larrabee, 2008, p. 39; Heper, 2013, pp. 142-147; Fuller, 2014, p. 67). </w:t>
      </w:r>
    </w:p>
    <w:p w14:paraId="7B7FAFB2" w14:textId="77777777" w:rsidR="00D4623D" w:rsidRDefault="00B17BDB" w:rsidP="00681241">
      <w:pPr>
        <w:jc w:val="both"/>
      </w:pPr>
      <w:r>
        <w:t>No obstante, esta liberalización de la economía surgiría</w:t>
      </w:r>
      <w:r w:rsidR="00EE0B19">
        <w:t xml:space="preserve"> realmente</w:t>
      </w:r>
      <w:r>
        <w:t xml:space="preserve"> debido al doble golpe sufrido por Turquía cuando la Organización de los Países Exportadores de Petróleo (OPEP) deciden subir los precios del petróleo debido al apoyo estadounidense a Israel en la guerra de Yom Kippur</w:t>
      </w:r>
      <w:r w:rsidR="00EE0B19">
        <w:t xml:space="preserve"> de 1973</w:t>
      </w:r>
      <w:r>
        <w:t>. Esto sería la última estocada a un modelo económico dependiente no sólo de las materias primas del oriente del país, sino, principalmente, de la importación de insumos tecnológicos, materiales de producción y materias primas provenientes del exterior. Durante la década de los 70s, la inflación llegó al 90%, específicamente en 1979, y se desarrolló todo un intricado mercado negro en el país. El FMI, el Banco Mundial (BM), los Estados Unidos y la Organización para la Cooperación y el Desarrollo Económico (OCDE) buscaron “rescatar” a Turquía brindándole prestamos que ascendieron a los US$1,8 billones de dólares a cambio de reformas de corte neoliberal, a las que incluso se les apodó “la solución chilena”, y que generaron gran oposición en el país (Zurcher, 2004, pp. 265-268).</w:t>
      </w:r>
    </w:p>
    <w:p w14:paraId="6C842A96" w14:textId="77777777" w:rsidR="007F2A4D" w:rsidRDefault="00EE0B19" w:rsidP="007F2A4D">
      <w:pPr>
        <w:jc w:val="both"/>
      </w:pPr>
      <w:r>
        <w:t xml:space="preserve">Turgut </w:t>
      </w:r>
      <w:r w:rsidR="004E3FEE">
        <w:t>Özal</w:t>
      </w:r>
      <w:r>
        <w:t xml:space="preserve">, ex funcionario del BM, vendría a privatizar mucho del sector público del país, y a hacer que la justicia social y la redistribución de la riqueza fueran asumidas por fundaciones privadas, encargadas de ejercer la </w:t>
      </w:r>
      <w:r w:rsidRPr="00EE0B19">
        <w:rPr>
          <w:i/>
          <w:iCs/>
        </w:rPr>
        <w:t>zakat</w:t>
      </w:r>
      <w:r>
        <w:t xml:space="preserve"> islámica. </w:t>
      </w:r>
      <w:r w:rsidR="004E3FEE">
        <w:t xml:space="preserve">Özal </w:t>
      </w:r>
      <w:r>
        <w:t>también sería el encargado de implementar la banca islámica, la cual sería la principal responsable del surgimiento de una burguesía religiosa en el país</w:t>
      </w:r>
      <w:r w:rsidR="007F2A4D">
        <w:t xml:space="preserve">. Las empresas de esta burguesía religiosa turca llegaron con el tiempo a transformarse de pequeñas empresas de artesanos, concentrados en textiles y alimentos, y enfocadas al mercado interno, en grandes empresas, con productos más diversificados, aunque manteniendo el énfasis en textiles y alimentos, enfocadas a la exportación. Sus mercados predilectos eran los mercados de Medio Oriente, bastante más rústicos, ante los cuáles tenían la ventaja de exportar bienes con un mayor grado de industrialización, obteniendo mayores ganancias que sus competidores dentro de estos mercados, estableciendo esquemas de intercambio desigual con estas naciones, lo cual les permitió acumular bastante riqueza (Rabasa y Larrabee, 2008, p. 39; Heper, 2013, pp. 142-147; Fuller, 2014, p. 67). </w:t>
      </w:r>
    </w:p>
    <w:p w14:paraId="25629E20" w14:textId="77777777" w:rsidR="007F2A4D" w:rsidRDefault="007F2A4D" w:rsidP="007F2A4D">
      <w:pPr>
        <w:jc w:val="both"/>
      </w:pPr>
      <w:r>
        <w:t xml:space="preserve">Sin embargo, estas exportaciones iban dirigidas a los mercados del Medio Oriente, especialmente a los Estados del Golfo, debido a los lazos que la orden </w:t>
      </w:r>
      <w:r w:rsidRPr="00257ACF">
        <w:rPr>
          <w:i/>
        </w:rPr>
        <w:t>Nak</w:t>
      </w:r>
      <w:r w:rsidRPr="00257ACF">
        <w:rPr>
          <w:i/>
          <w:lang w:val="tr-TR"/>
        </w:rPr>
        <w:t>ş</w:t>
      </w:r>
      <w:r w:rsidRPr="00257ACF">
        <w:rPr>
          <w:i/>
        </w:rPr>
        <w:t>ibendi</w:t>
      </w:r>
      <w:r>
        <w:t>—</w:t>
      </w:r>
      <w:r w:rsidRPr="007F2A4D">
        <w:rPr>
          <w:i/>
          <w:iCs/>
        </w:rPr>
        <w:t>a la cual pertenecía esta burguesía religiosa turca</w:t>
      </w:r>
      <w:r>
        <w:t xml:space="preserve">—mantenía con estos países, y no a los mercados europeos u occidentales. Es por esta razón que esta burguesía religiosa vio con malos ojos cuando Turquía solicitó entrar en la Comunidad Económica Europea (CEE) en 1989. Para estos empresarios, la entrada al mercado europeo significaba entrar a competir con empresas europeas con mayores ventajas comparativas y tecnología más avanzada, por lo que temían ser absorbidas o desaparecer (Ayata, 1996, pp. 44-46; Cox, 1997, p. 8; Rabasa y Larrabee, 2008, p. 43). Su temor se fundamentaba precisamente en la dinámica centro-periferia capitalista y el intercambio desigual. </w:t>
      </w:r>
    </w:p>
    <w:p w14:paraId="5358FF2D" w14:textId="77777777" w:rsidR="007F2A4D" w:rsidRDefault="007F2A4D" w:rsidP="007F2A4D">
      <w:pPr>
        <w:jc w:val="both"/>
      </w:pPr>
      <w:r>
        <w:t xml:space="preserve">Para 1990, dado el crecimiento que experimentaron estas empresas, y en respuesta a los beneficios que el Estado les otorgaba a las empresas relacionadas con la élite, esta burguesía religiosa fundaría la Asociación de Industriales y Empresarios Independientes, o </w:t>
      </w:r>
      <w:r w:rsidRPr="004E2FB6">
        <w:rPr>
          <w:i/>
        </w:rPr>
        <w:t>Müstakil Sanayici ve Işadamları Derneği</w:t>
      </w:r>
      <w:r>
        <w:t xml:space="preserve"> (MÜSİAD). Esta asociación se funda para contrarrestar a la kemalista Asociación de </w:t>
      </w:r>
      <w:r>
        <w:lastRenderedPageBreak/>
        <w:t xml:space="preserve">Industriales y Empresarios Turcos, o </w:t>
      </w:r>
      <w:r w:rsidRPr="004E2FB6">
        <w:rPr>
          <w:i/>
        </w:rPr>
        <w:t>Türk Sanayici ve İsadamları Denerği</w:t>
      </w:r>
      <w:r>
        <w:t xml:space="preserve"> (</w:t>
      </w:r>
      <w:r w:rsidRPr="004E2FB6">
        <w:t>TÜSİAD</w:t>
      </w:r>
      <w:r>
        <w:t xml:space="preserve">), la cual agrupaba a las empresas más grandes del país, vinculadas con el kemalismo. La MÜSİAD, por su línea religiosa y pro islamista, llegó a ser conocida por sus detractores como la Asociación de Empresarios Musulmanes, o </w:t>
      </w:r>
      <w:r w:rsidRPr="004E2FB6">
        <w:rPr>
          <w:i/>
        </w:rPr>
        <w:t>Müsülman Işadamları Derneği</w:t>
      </w:r>
      <w:r>
        <w:t xml:space="preserve">, en una suerte de mofa y ataque al mismo tiempo. Sin embargo, resulta importante mencionar un hallazgo que hace Seda Demiralp (2009) en su investigación de la MÜSİAD. Demiralp (2009) establece que la lucha de MÜSİAD hacia </w:t>
      </w:r>
      <w:r w:rsidRPr="004E2FB6">
        <w:t>TÜSİAD</w:t>
      </w:r>
      <w:r>
        <w:t xml:space="preserve"> obedece más a las actitudes elitistas de la segunda, impidiéndole entrada a esta asociación a las empresas que llegaron a conformar a la MÜSİAD. Entonces, más que una verdadera lucha entre islamistas contra seculares o kemalistas, la MÜSİAD refleja más bien la lucha de poder entre el centro y la periferia, y obedece a la lucha por la distribución de los recursos en la economía turca, incluidos los beneficios estatales. Incluso esto se evidencia de forma más fuerte por los vínculos que mantienen estos empresarios y el sector informal en Turquía, que “emplea” a la mayoría de los habitantes de los </w:t>
      </w:r>
      <w:r w:rsidRPr="009D3D2E">
        <w:rPr>
          <w:i/>
        </w:rPr>
        <w:t>gecekondu</w:t>
      </w:r>
      <w:r>
        <w:rPr>
          <w:iCs/>
        </w:rPr>
        <w:t>, o barrios nacidos de la noche a la mañana en los principales centros urbanos del país</w:t>
      </w:r>
      <w:r>
        <w:t>.  La razón por la que esta burguesía se posicionaría a favor de los partidos islamistas fue más por una alianza estratégica de interés mutuo, que una verdadera creencia de los Tigres de Anatolia en el islamismo político (Gulalp, 200</w:t>
      </w:r>
      <w:r w:rsidR="00B6451E">
        <w:t>9</w:t>
      </w:r>
      <w:r>
        <w:t xml:space="preserve">, pp. 436-441; Demiralp, 2009, pp. 321-325).  </w:t>
      </w:r>
    </w:p>
    <w:p w14:paraId="18423B1D" w14:textId="77777777" w:rsidR="007F2A4D" w:rsidRDefault="007F2A4D" w:rsidP="007F2A4D">
      <w:pPr>
        <w:jc w:val="both"/>
      </w:pPr>
      <w:r>
        <w:t>Sea como fuere, lo cierto es que esta alianza de los Tigres de Anatolia agrupados en la MÜSİAD, sería fundamental para el cambio de la política exterior turca luego de la llegada al poder del AKP. Esta cámara de empresarios de la burguesía religiosa sería una de las principales promotoras de la inserción económica de Turquía en otras regiones del mundo, más allá de sus espacios tradicionales como Europa o el Medio Oriente, yendo a buscar nuevos mercados en Asia Central, África y América Latina (</w:t>
      </w:r>
      <w:r w:rsidR="00B6451E">
        <w:t>Donelli</w:t>
      </w:r>
      <w:r w:rsidR="00D57CE8">
        <w:t xml:space="preserve"> y </w:t>
      </w:r>
      <w:r>
        <w:t>González,</w:t>
      </w:r>
      <w:r w:rsidR="00D57CE8">
        <w:t xml:space="preserve"> 2016, p. 99</w:t>
      </w:r>
      <w:r>
        <w:t xml:space="preserve">). </w:t>
      </w:r>
    </w:p>
    <w:p w14:paraId="3FE2923D" w14:textId="77777777" w:rsidR="007F2A4D" w:rsidRDefault="00B2449B" w:rsidP="007F2A4D">
      <w:pPr>
        <w:jc w:val="both"/>
      </w:pPr>
      <w:r>
        <w:t>Toda esta situación generaría cambios, como ya se ha afirmado anteriormente, en la conducción de la política exterior turca. Como algunos argumentan (</w:t>
      </w:r>
      <w:r w:rsidR="000D0A17">
        <w:t xml:space="preserve">González, </w:t>
      </w:r>
      <w:r w:rsidR="00416644">
        <w:t>2013</w:t>
      </w:r>
      <w:r>
        <w:t>), Turquía pasó de un modelo tradicional de política exterior, enmarcado en el paradigma de la Guerra Fría, enfocado en seguridad, observando la región del Medio Oriente como un espacio vital para la seguridad turca, y manteniendo pésimas relaciones con sus vecinos (</w:t>
      </w:r>
      <w:r w:rsidR="004E3FEE">
        <w:t>Kirişci</w:t>
      </w:r>
      <w:r>
        <w:t>, 2009, p. 32), a una llamada “Nueva Política Exterior”</w:t>
      </w:r>
      <w:r w:rsidR="000D0A17">
        <w:t xml:space="preserve"> que iniciaría realmente en el 2007, pero cuyos antecedentes pueden empezar a vislumbrarse desde 1991, cuando la política exterior turca empieza a generar mayor dinamismo y autonomía de la simple vinculación con la OTAN</w:t>
      </w:r>
      <w:r>
        <w:t xml:space="preserve"> (González,</w:t>
      </w:r>
      <w:r w:rsidR="000D0A17">
        <w:t xml:space="preserve"> </w:t>
      </w:r>
      <w:r w:rsidR="00416644">
        <w:t>2013</w:t>
      </w:r>
      <w:r w:rsidR="000D0A17">
        <w:t xml:space="preserve">; González, </w:t>
      </w:r>
      <w:r w:rsidR="00416644">
        <w:t>2012</w:t>
      </w:r>
      <w:r w:rsidR="000D0A17">
        <w:t>, p. 181</w:t>
      </w:r>
      <w:r>
        <w:t>).</w:t>
      </w:r>
      <w:r w:rsidR="000D0A17">
        <w:t xml:space="preserve"> </w:t>
      </w:r>
      <w:r>
        <w:t xml:space="preserve"> </w:t>
      </w:r>
      <w:r w:rsidR="000D0A17">
        <w:t xml:space="preserve">Kemal </w:t>
      </w:r>
      <w:r w:rsidR="004E3FEE">
        <w:t>Kirişci</w:t>
      </w:r>
      <w:r w:rsidR="000D0A17">
        <w:t xml:space="preserve"> ha llamado este cambio el surgimiento del Estado Comercial Turco, al pasar de una política exterior unidimensional, a una política exterior multidimensional, cuya principal preocupación es la expansión del poderío turco a través de la inserción en nuevos mercados, la interdependencia económica y la utilización del </w:t>
      </w:r>
      <w:r w:rsidR="000D0A17" w:rsidRPr="000D0A17">
        <w:rPr>
          <w:i/>
          <w:iCs/>
        </w:rPr>
        <w:t>soft power</w:t>
      </w:r>
      <w:r w:rsidR="000D0A17">
        <w:t xml:space="preserve">, por encima de cualquier forma ineficiente de </w:t>
      </w:r>
      <w:r w:rsidR="000D0A17" w:rsidRPr="000D0A17">
        <w:rPr>
          <w:i/>
          <w:iCs/>
        </w:rPr>
        <w:t>hard power</w:t>
      </w:r>
      <w:r w:rsidR="000D0A17">
        <w:t xml:space="preserve"> (</w:t>
      </w:r>
      <w:r w:rsidR="004E3FEE">
        <w:t>Kirişci</w:t>
      </w:r>
      <w:r w:rsidR="000D0A17">
        <w:t xml:space="preserve">, 2009). </w:t>
      </w:r>
    </w:p>
    <w:p w14:paraId="72110BAB" w14:textId="77777777" w:rsidR="00D57CE8" w:rsidRDefault="00EE0B19" w:rsidP="00681241">
      <w:pPr>
        <w:jc w:val="both"/>
      </w:pPr>
      <w:r>
        <w:t xml:space="preserve"> </w:t>
      </w:r>
      <w:r w:rsidR="00D57CE8">
        <w:t xml:space="preserve">Las bases políticas y materiales que vendrían a permitir estos cambios en la política exterior turca sería el período en el que Turgut </w:t>
      </w:r>
      <w:r w:rsidR="004E3FEE">
        <w:t xml:space="preserve">Özal </w:t>
      </w:r>
      <w:r w:rsidR="00D57CE8">
        <w:t>ejerció el poder, por un lado, y por el otro, el establecimiento de la Unión Aduanera con la Comunidad Económica Europea (CEE) en 1996 (</w:t>
      </w:r>
      <w:r w:rsidR="004E3FEE">
        <w:t>Kirişci</w:t>
      </w:r>
      <w:r w:rsidR="00D57CE8">
        <w:t xml:space="preserve">, 2009, p. 33). </w:t>
      </w:r>
      <w:r w:rsidR="00D71E19">
        <w:t>No obstante, se identifican 5 transformaciones más que serían claves para el surgimiento del Estado Comercial como modelo y fin de la política exterior turca.</w:t>
      </w:r>
    </w:p>
    <w:p w14:paraId="12F99357" w14:textId="77777777" w:rsidR="00D71E19" w:rsidRDefault="00D71E19" w:rsidP="00681241">
      <w:pPr>
        <w:jc w:val="both"/>
      </w:pPr>
      <w:r>
        <w:t xml:space="preserve">En primer lugar, el proceso de integración a la Unión Europea, con todos los cambios y reformas políticas internas llevaron a Turquía a adoptar la democracia, el Estado de Derecho y el pluralismo </w:t>
      </w:r>
      <w:r>
        <w:lastRenderedPageBreak/>
        <w:t xml:space="preserve">político como valores, lo cual se transmitiría a su vez en su política exterior, dándole un fuerte impulso a su capacidad de </w:t>
      </w:r>
      <w:r w:rsidRPr="004E3FEE">
        <w:rPr>
          <w:i/>
          <w:iCs/>
        </w:rPr>
        <w:t>soft power</w:t>
      </w:r>
      <w:r>
        <w:t xml:space="preserve"> en la región del Medio Oriente. En segundo lugar, lo anterior, sumado la llegada al poder del AKP islamista, generarían un cambio significativo de la percepción de la identidad turca, tanto a lo interno como a lo externo del país. Esto, nuevamente, sería un impulso a su imagen internacional y </w:t>
      </w:r>
      <w:r w:rsidRPr="004E3FEE">
        <w:rPr>
          <w:i/>
          <w:iCs/>
        </w:rPr>
        <w:t>soft power</w:t>
      </w:r>
      <w:r>
        <w:t xml:space="preserve">, al menos hasta las revueltas árabes de 2011 (González, </w:t>
      </w:r>
      <w:r w:rsidR="00416644">
        <w:t>2013</w:t>
      </w:r>
      <w:r>
        <w:t xml:space="preserve">). En tercer lugar, la llegada al poder desde el 2003 del AKP, el cual, al menos hasta el 2010, sería el máximo promotor de reformas a favor de la democratización del país y la profundización del Estado de Derecho, permitiría una mayor democratización y pluralismo en la formulación de la política exterior turca. La figura de Ahmet </w:t>
      </w:r>
      <w:r w:rsidR="006512A8">
        <w:t>Davutoğlu</w:t>
      </w:r>
      <w:r>
        <w:t xml:space="preserve"> como asesor de política exterior en un inicio, y posteriormente como canciller turco, sería fundamental para la conceptualización del rol mundial de Turquía, así como una formulación de una política exterior acorde con dicha percepción del rol global turco. En cuarto lugar, la caída del paradigma de seguridad imperante durante la Guerra Fría le permitiría a Turquía mayores espacios de maniobra geopolíticos y geoeconómicos. Finalmente, Turquía empezaría a apostar en su política exterior activamente por tácticas de expansión de poder basadas en el </w:t>
      </w:r>
      <w:r w:rsidRPr="004E3FEE">
        <w:rPr>
          <w:i/>
          <w:iCs/>
        </w:rPr>
        <w:t>soft power</w:t>
      </w:r>
      <w:r>
        <w:t xml:space="preserve">, lo que le generarían importantes réditos, especialmente en lo que refiere a la producción de telenovelas, al menos hasta las revueltas árabes de 2011, luego de las cuales, por su creciente intervencionismo en la región y una recaía en el </w:t>
      </w:r>
      <w:r w:rsidRPr="004E3FEE">
        <w:rPr>
          <w:i/>
          <w:iCs/>
        </w:rPr>
        <w:t>hard power</w:t>
      </w:r>
      <w:r>
        <w:t xml:space="preserve">, su imagen caería en el Medio Oriente (González, </w:t>
      </w:r>
      <w:r w:rsidR="00416644">
        <w:t>2013</w:t>
      </w:r>
      <w:r>
        <w:t xml:space="preserve">; </w:t>
      </w:r>
      <w:r w:rsidR="004E3FEE">
        <w:t>Kirişci</w:t>
      </w:r>
      <w:r>
        <w:t>, 2009, pp. 34-38).</w:t>
      </w:r>
    </w:p>
    <w:p w14:paraId="0B961998" w14:textId="77777777" w:rsidR="00D71E19" w:rsidRDefault="00140853" w:rsidP="00681241">
      <w:pPr>
        <w:jc w:val="both"/>
      </w:pPr>
      <w:r>
        <w:t xml:space="preserve">Todo esto provocaría que Turquía empezara a tomar seriamente las consideraciones económicas, antes relegadas a un segundo plano en su política exterior. </w:t>
      </w:r>
      <w:r w:rsidRPr="00140853">
        <w:t>La razón es que los encargados de la política e</w:t>
      </w:r>
      <w:r>
        <w:t>xterior turca se dieron cuenta de la necesidad de “obtener préstamos necesarios, abrir mercado para los bienes turcos, y concretar acuerdos con gobierno extranjeros, y, algunas veces, incluso con compañías privadas, con tal de traer más inversión al país (</w:t>
      </w:r>
      <w:r w:rsidR="004E3FEE">
        <w:t>Kirişci</w:t>
      </w:r>
      <w:r>
        <w:t>, 2009, p. 39).</w:t>
      </w:r>
    </w:p>
    <w:p w14:paraId="18609D69" w14:textId="77777777" w:rsidR="00140853" w:rsidRDefault="00140853" w:rsidP="00681241">
      <w:pPr>
        <w:jc w:val="both"/>
      </w:pPr>
      <w:r>
        <w:t xml:space="preserve">De esta forma, como lo menciona Kemal </w:t>
      </w:r>
      <w:r w:rsidR="004E3FEE">
        <w:t>Kirişci</w:t>
      </w:r>
      <w:r>
        <w:t>,</w:t>
      </w:r>
    </w:p>
    <w:p w14:paraId="4D8379AB" w14:textId="77777777" w:rsidR="00140853" w:rsidRDefault="00140853" w:rsidP="00140853">
      <w:pPr>
        <w:ind w:left="708"/>
        <w:jc w:val="both"/>
        <w:rPr>
          <w:sz w:val="20"/>
          <w:szCs w:val="20"/>
        </w:rPr>
      </w:pPr>
      <w:r w:rsidRPr="00140853">
        <w:rPr>
          <w:sz w:val="20"/>
          <w:szCs w:val="20"/>
        </w:rPr>
        <w:t>La política exterior turca en los últimos años ha sido mayoritariamente influenciada por consideraciones económicas—como mercados de exportación, oportunidades de inversión, turismo, insumos energéticos, entre otros. La política exterior se ha convertido en un asunto doméstico, no solo por las razones de democratización, identidad e involucramiento de la sociedad civil, sino que también por la generación de empleo y riqueza. Tal vez el mejor indicador de esto es la sensibilidad de los mercados financieros turcos a una serie de asuntos de política exterior, desde las relaciones con la UE hasta las crecientes relaciones con el Norte de Iraq (</w:t>
      </w:r>
      <w:r w:rsidR="004E3FEE">
        <w:rPr>
          <w:sz w:val="20"/>
          <w:szCs w:val="20"/>
        </w:rPr>
        <w:t>Kirişci</w:t>
      </w:r>
      <w:r w:rsidRPr="00140853">
        <w:rPr>
          <w:sz w:val="20"/>
          <w:szCs w:val="20"/>
        </w:rPr>
        <w:t xml:space="preserve">, 2009, p. 39). </w:t>
      </w:r>
    </w:p>
    <w:p w14:paraId="47DF7B9F" w14:textId="77777777" w:rsidR="0096792F" w:rsidRDefault="00140853" w:rsidP="00140853">
      <w:pPr>
        <w:jc w:val="both"/>
      </w:pPr>
      <w:r>
        <w:t xml:space="preserve">Precisamente resulta ser que en este marco de cambios de la política exterior turca, las relaciones con América Latina empezarían a emerger, especialmente luego de 2006. Aunque Chile, Argentina, Brasil y México establecerían contactos y relaciones diplomáticas con Turquía desde la década </w:t>
      </w:r>
      <w:r w:rsidR="0096792F">
        <w:t xml:space="preserve">de 1920, no sería sino hasta los 90s que las relaciones empezarían a mostrar indicios de acercamiento entre las partes. La visita de Carlos Menem, presidente argentino, a Turquía en 1992, sería luego respondida por una visita del presidente Suleyman Demirel a Argentina, Brasil y Chile en 1995 (González, </w:t>
      </w:r>
      <w:r w:rsidR="00416644">
        <w:t>2012</w:t>
      </w:r>
      <w:r w:rsidR="0096792F">
        <w:t xml:space="preserve">, p. 188; González, 2016, p. 37). Posteriormente, en 1998 Turquía formularía el “Plan de Acción para América Latina y el Caribe”, cuyos objetivos fueron,  </w:t>
      </w:r>
    </w:p>
    <w:p w14:paraId="63966F2E" w14:textId="77777777" w:rsidR="00681241" w:rsidRDefault="0096792F" w:rsidP="0096792F">
      <w:pPr>
        <w:ind w:left="708"/>
        <w:jc w:val="both"/>
      </w:pPr>
      <w:r>
        <w:rPr>
          <w:rStyle w:val="A4"/>
        </w:rPr>
        <w:t>completar el marco jurídico de las relaciones bilaterales, fomentar el diálogo político de alto nivel, aumentar el nivel de las relaciones económicas y comerciales mediante la participación del sector privado, mejorar la percepción sobre la dinámica intra-regional al obtener la condición de observa</w:t>
      </w:r>
      <w:r>
        <w:rPr>
          <w:rStyle w:val="A4"/>
        </w:rPr>
        <w:softHyphen/>
        <w:t xml:space="preserve">dor </w:t>
      </w:r>
      <w:r>
        <w:rPr>
          <w:rStyle w:val="A4"/>
        </w:rPr>
        <w:lastRenderedPageBreak/>
        <w:t xml:space="preserve">permanente en las organizaciones regionales, y aumentar la conciencia en el mundo latinoamericano y del Caribe sobre la Turquía contemporánea (González, 2012, p. 188). </w:t>
      </w:r>
    </w:p>
    <w:p w14:paraId="1D34318C" w14:textId="77777777" w:rsidR="0096792F" w:rsidRDefault="0096792F" w:rsidP="0096792F">
      <w:pPr>
        <w:jc w:val="both"/>
      </w:pPr>
      <w:r>
        <w:t xml:space="preserve">No obstante, este acercamiento entre las partes se vería truncado a partir de la crisis económica que en el 2001 azotaría Turquía. El Estado turco tendría que volver a recurrir al FMI durante la crisis, generando nuevos ajustes estructurales de la economía, que llevarían a mayores privatizaciones y reglas de austeridad. A pesar de que esto no sería auspicioso para las relaciones ALC-Turquía, ante las limitantes de la economía turca, la rápida estabilización y recuperación económica del país, luego de la victoria del AKP en las elecciones del 2002 y con ellas su llegada al poder en 2003, </w:t>
      </w:r>
      <w:r w:rsidR="00416644">
        <w:t xml:space="preserve">las relaciones incluso llegarían a cuadruplicarse entre los años 2000 y 2006 (Zurcher, 2004; González, 2012, p. 189). </w:t>
      </w:r>
    </w:p>
    <w:p w14:paraId="765D88AB" w14:textId="77777777" w:rsidR="00416644" w:rsidRDefault="00416644" w:rsidP="0096792F">
      <w:pPr>
        <w:jc w:val="both"/>
      </w:pPr>
      <w:r>
        <w:t xml:space="preserve">Una vez llegado el AKP al poder, bajo el mando del Primer Ministro Recep Tayyip </w:t>
      </w:r>
      <w:r w:rsidR="004E3FEE">
        <w:t>Erdoğan</w:t>
      </w:r>
      <w:r>
        <w:t>, quien al día de hoy funge como Presidente de Turquía, es que por fin la “Nueva Política Exterior” de Turquía podrá por fin consolidarse, como lo terminó haciendo a partir del 2007. Esta nueva política exterior de Turquía surge principalmente como respuesta al congelamiento de las negociaciones de acceso a la membresía de la Unión Europea (UE) de Turquía a partir de 2006</w:t>
      </w:r>
      <w:r w:rsidR="006512A8">
        <w:t>, lo cual daría como final la fase conciliatoria de la política exterior turca (González, 2013), para dar inicio a su “Nueva Política Exterior”</w:t>
      </w:r>
      <w:r>
        <w:t xml:space="preserve">. </w:t>
      </w:r>
      <w:r w:rsidR="006512A8">
        <w:t xml:space="preserve">Esta, como su formulador, Ahmet Davutoğlu, establece, se basa en cinco principios fundamentales: </w:t>
      </w:r>
    </w:p>
    <w:p w14:paraId="7D510CE4" w14:textId="77777777" w:rsidR="006512A8" w:rsidRPr="0096792F" w:rsidRDefault="006512A8" w:rsidP="006512A8">
      <w:pPr>
        <w:ind w:left="708"/>
        <w:jc w:val="both"/>
      </w:pPr>
      <w:r>
        <w:rPr>
          <w:rStyle w:val="A4"/>
        </w:rPr>
        <w:t>1) balance entre seguridad y democracia a nivel doméstico, 2) política de “cero problemas” hacia los países vecinos de Turquía</w:t>
      </w:r>
      <w:r>
        <w:rPr>
          <w:rStyle w:val="A7"/>
        </w:rPr>
        <w:t>4</w:t>
      </w:r>
      <w:r>
        <w:rPr>
          <w:rStyle w:val="A4"/>
        </w:rPr>
        <w:t>, 3) desarrollo de relaciones con las regiones vecinas y acercamiento a espacios geográficos distantes, 4) adherencia a una política exterior multi-dimensional en la cual se plantea una relación complementaria – no competitiva – con los demás actores globales y, finalmente, 5) el involucramiento en los temas de importancia global a través de la profundización de relaciones bilaterales y multilaterales en el marco de una “diplomacia rítmica”</w:t>
      </w:r>
      <w:r>
        <w:rPr>
          <w:rStyle w:val="A7"/>
        </w:rPr>
        <w:t xml:space="preserve"> </w:t>
      </w:r>
      <w:r>
        <w:rPr>
          <w:rStyle w:val="A4"/>
        </w:rPr>
        <w:t>(Davutoğlu, citado por González, 2012, p. 183).</w:t>
      </w:r>
    </w:p>
    <w:p w14:paraId="296881F0" w14:textId="77777777" w:rsidR="00CD32D5" w:rsidRDefault="00171E29" w:rsidP="006512A8">
      <w:pPr>
        <w:jc w:val="both"/>
      </w:pPr>
      <w:r>
        <w:t xml:space="preserve">Esta “Nueva Política Exterior” turca tiene como base doctrinal la “geopolítica de la Profundidad Estratégica”, desarrollada por Davutoğlu, en la cual Turquía es un país central, no periférico de una zona afro-euroasiática. </w:t>
      </w:r>
      <w:r w:rsidRPr="00171E29">
        <w:t>“La noción de país central significa un actor que e</w:t>
      </w:r>
      <w:r>
        <w:t xml:space="preserve">stá geográficamente y geoculturalmente localizado en la intersección de sistemas regionales auto-contenidos” (González, 2016, p. 71). Esto provoca que Turquía tenga una preeminencia por tres espacios geográficos, tal y como lo entienden autores como Ariel González (2012; 2013; 2016): a) el espacio local; b) el espacio regional, y; c) el espacio extrarregional o global. </w:t>
      </w:r>
      <w:r w:rsidR="00CD32D5" w:rsidRPr="00CD32D5">
        <w:t>Turquía con esto, buscaría aprovechar al máximo las oportunidades que</w:t>
      </w:r>
      <w:r w:rsidR="00CD32D5">
        <w:t xml:space="preserve"> un sistema internacional capitalista le ofrece, luego de la caída de la confrontación entre Estados Unidos y la Unión Soviética, que condicionó su política exterior por muchos años. </w:t>
      </w:r>
    </w:p>
    <w:p w14:paraId="294D9873" w14:textId="619B7E0F" w:rsidR="006512A8" w:rsidRDefault="006512A8" w:rsidP="006512A8">
      <w:pPr>
        <w:jc w:val="both"/>
      </w:pPr>
      <w:r>
        <w:t xml:space="preserve">En este sentido, como Ariel González (2013) identifica, las consideraciones económicas, especialmente la búsqueda de nuevos mercados para sus productos industrializados, </w:t>
      </w:r>
      <w:r w:rsidR="00CD32D5">
        <w:t>se ha convertido en prioridad p</w:t>
      </w:r>
      <w:r>
        <w:t xml:space="preserve">ara la política exterior turca, confirmando la generación de un Estado Comercial turco, como lo entiende Kemal </w:t>
      </w:r>
      <w:r w:rsidR="004E3FEE">
        <w:t>Kirişci</w:t>
      </w:r>
      <w:r>
        <w:t xml:space="preserve"> (2009)</w:t>
      </w:r>
      <w:r w:rsidR="00171E29">
        <w:t xml:space="preserve">. Esto también puede entenderse, desde la óptica teórica de este estudio, como la búsqueda de nuevos mercados para el establecimiento de esquemas de dependencia basados en el intercambio desigual, con favorecimiento de la burguesía turca. </w:t>
      </w:r>
      <w:r w:rsidR="00CD32D5">
        <w:t xml:space="preserve">En este esquema, América Latina y el Caribe empezaría a cobrar importancia para Turquía como países para exportar sus productos, así como importar materias primas baratas, además de la </w:t>
      </w:r>
      <w:r w:rsidR="00CD32D5">
        <w:lastRenderedPageBreak/>
        <w:t xml:space="preserve">posibilidad de concretar apoyos en foros y organizaciones internacionales que permitan avanzar los intereses turcos, como lo son, por ejemplo, el G-20 y la Organización de Naciones Unidas (ONU) (González, 2012). </w:t>
      </w:r>
    </w:p>
    <w:p w14:paraId="20DE3976" w14:textId="77777777" w:rsidR="006512A8" w:rsidRDefault="006512A8" w:rsidP="006512A8">
      <w:pPr>
        <w:jc w:val="both"/>
      </w:pPr>
      <w:r>
        <w:t xml:space="preserve">A partir de todo lo anterior, Ariel González (2012) establece 3 períodos de la relación ALC-Turquía desde 1989: </w:t>
      </w:r>
    </w:p>
    <w:p w14:paraId="084F3ADD" w14:textId="77777777" w:rsidR="006512A8" w:rsidRDefault="006512A8" w:rsidP="006512A8">
      <w:pPr>
        <w:pStyle w:val="Prrafodelista"/>
        <w:numPr>
          <w:ilvl w:val="0"/>
          <w:numId w:val="1"/>
        </w:numPr>
        <w:jc w:val="both"/>
      </w:pPr>
      <w:r>
        <w:t xml:space="preserve">1989-1998: El período inicial de las relaciones, donde la política exterior, tanto la turca, como la latinoamericana, empiezan a tener una mayor autonomía de la potencia hegemónica, lo cual las lleva a buscar nuevos lazos alrededor del mundo. </w:t>
      </w:r>
    </w:p>
    <w:p w14:paraId="6291DF57" w14:textId="77777777" w:rsidR="006512A8" w:rsidRDefault="006512A8" w:rsidP="006512A8">
      <w:pPr>
        <w:pStyle w:val="Prrafodelista"/>
        <w:numPr>
          <w:ilvl w:val="0"/>
          <w:numId w:val="1"/>
        </w:numPr>
        <w:jc w:val="both"/>
      </w:pPr>
      <w:r>
        <w:t>1998-2006: El período de generación de oportunidades económicas, especialmente con la formulación del Plan de Acción para América Latina por Turquía.</w:t>
      </w:r>
    </w:p>
    <w:p w14:paraId="1131E925" w14:textId="77777777" w:rsidR="006512A8" w:rsidRDefault="006512A8" w:rsidP="006512A8">
      <w:pPr>
        <w:pStyle w:val="Prrafodelista"/>
        <w:numPr>
          <w:ilvl w:val="0"/>
          <w:numId w:val="1"/>
        </w:numPr>
        <w:jc w:val="both"/>
      </w:pPr>
      <w:r>
        <w:t>2006-2012: Proyección estratégica, en el cual las partes estrechan sus relaciones en todos los niveles: político, diplomático, económico, de inversión, cultural, cooperación, etc.</w:t>
      </w:r>
      <w:r w:rsidR="00CD32D5">
        <w:t xml:space="preserve"> Especialmente a partir de la declaración por Turquía del “Año para América Latina”</w:t>
      </w:r>
      <w:r>
        <w:t xml:space="preserve"> (p. 186). </w:t>
      </w:r>
    </w:p>
    <w:p w14:paraId="42C9F06E" w14:textId="77777777" w:rsidR="00681241" w:rsidRDefault="00CD32D5" w:rsidP="00CD32D5">
      <w:pPr>
        <w:jc w:val="both"/>
      </w:pPr>
      <w:r>
        <w:t xml:space="preserve">Este estudio, por tanto, se enmarca dentro de los períodos B y C de las relaciones ALC-Turquía, y se plantea la interrogante de si sus relaciones obedecen a esquemas de dependencia que reproducen el subdesarrollo capitalista para los países subdesarrollados, a favor de los países desarrollados y en desarrollo—esta última categoría es donde estaría ubicada Turquía. Esta breve reseña histórica de Turquía y su política exterior permite sospechar en un inicio que en efecto las relaciones ALC-Turquía obedecen a dichos esquemas, a pesar de que, como se verá, las relaciones comerciales de Turquía con la región no ascienden a más de apenas el 2% de su comercio con el mundo entero (González, 2013). </w:t>
      </w:r>
    </w:p>
    <w:p w14:paraId="58198A72" w14:textId="77777777" w:rsidR="00CD32D5" w:rsidRPr="004E3FEE" w:rsidRDefault="00CD32D5" w:rsidP="00CD32D5">
      <w:pPr>
        <w:jc w:val="both"/>
        <w:rPr>
          <w:lang w:val="tr-TR"/>
        </w:rPr>
      </w:pPr>
      <w:r>
        <w:t>A continuación se realizará un examen de las relaciones económicas y comerciales de América Latina y el Caribe con Turquía</w:t>
      </w:r>
      <w:r w:rsidR="004E3FEE">
        <w:t xml:space="preserve"> (2003-2018)</w:t>
      </w:r>
      <w:r>
        <w:t xml:space="preserve"> desde la Teoría Marxista de la Dependencia (TMD), </w:t>
      </w:r>
      <w:r w:rsidR="004E3FEE">
        <w:t xml:space="preserve">así como un balance general de su estado actual. </w:t>
      </w:r>
    </w:p>
    <w:p w14:paraId="66E11320" w14:textId="45BEC51E" w:rsidR="00681241" w:rsidRPr="00C246BA" w:rsidRDefault="00C246BA" w:rsidP="00C246BA">
      <w:pPr>
        <w:jc w:val="both"/>
        <w:rPr>
          <w:b/>
          <w:bCs/>
        </w:rPr>
      </w:pPr>
      <w:r>
        <w:rPr>
          <w:b/>
          <w:bCs/>
        </w:rPr>
        <w:t>Las relaciones turco-latinoamericanas y del Caribe (2003-201</w:t>
      </w:r>
      <w:r w:rsidR="00DD2FA2">
        <w:rPr>
          <w:b/>
          <w:bCs/>
        </w:rPr>
        <w:t>8</w:t>
      </w:r>
      <w:r w:rsidR="00591DFC">
        <w:rPr>
          <w:b/>
          <w:bCs/>
        </w:rPr>
        <w:t>)</w:t>
      </w:r>
    </w:p>
    <w:p w14:paraId="63A7990D" w14:textId="718F4A41" w:rsidR="00681241" w:rsidRDefault="00591DFC" w:rsidP="00591DFC">
      <w:pPr>
        <w:jc w:val="both"/>
      </w:pPr>
      <w:r>
        <w:t>Como se ha afirmado anteriormente, las relaciones turco-latinoamericanas y del Caribe empiezan a incrementarse a finales de la década de los 90s para intensificarse a partir del año 2006, donde las relaciones crecen en términos de contactos entre los países y sus relaciones económicas. El interés turco por América Latina estaba principalmente ubicado en</w:t>
      </w:r>
      <w:r w:rsidR="0057627E">
        <w:t xml:space="preserve"> insertarse en nuevos mercados globales, aumentar su comercio con otras regiones del mundo, aumentar su independencia en su política exterior y de comercio exterior con respecto a Occidente, obtener materias primas baratas, y diversificar sus mercados de exportación de productos de baja y media tecnificación. Todo esto tendría como resultado la consolidación de su estatus de potencia emergente, aumentando su poder en espacios internacionales, especialmente en lo que refiere al sistema de Naciones Unidas y al G-20. En este sentido, tanto África como América Latina y el Caribe son zonas de segunda importancia para Turquía, siendo las principales Europa y el Medio Oriente por su cercanía, pero a su vez vitales para sus designios de poder internacional (González, 2011, párr. 4; González, 2012, p. 42; González, 2016; 277). </w:t>
      </w:r>
    </w:p>
    <w:p w14:paraId="2120A2AA" w14:textId="7CFC41A4" w:rsidR="0057627E" w:rsidRDefault="0057627E" w:rsidP="00591DFC">
      <w:pPr>
        <w:jc w:val="both"/>
      </w:pPr>
      <w:r>
        <w:t xml:space="preserve">Como ha afirmado González (2012), el 2006 fue un parteaguas en las relaciones turco-latinoamericanas y del Caribe con la publicación del documento </w:t>
      </w:r>
      <w:r w:rsidRPr="0057627E">
        <w:rPr>
          <w:i/>
          <w:iCs/>
        </w:rPr>
        <w:t>Estrategia de Desarrollo Comercial de Turquía hacia las Américas</w:t>
      </w:r>
      <w:r>
        <w:t xml:space="preserve">. Este documento significaría el inicio de una activa política exterior </w:t>
      </w:r>
      <w:r>
        <w:lastRenderedPageBreak/>
        <w:t xml:space="preserve">turca hacia América Latina y el Caribe, que llegó a involucrar el aumento del comercio en un 800% </w:t>
      </w:r>
      <w:r w:rsidR="008C4AC0">
        <w:t>desde el 2000 al año 2011, el aumento de intercambios diplomáticos, con varias visitas de presidentes y ministros de relaciones exteriores de América Latina a Turquía y viceversa, así como el aumento de su presencia diplomática oficial en la región. Turquía pasó de tener embajadas en solamente seis países, Argentina, Brasil, Chile, Cuba, México y Venezuela, a abrir embajadas en Colombia y Perú en el 2010, Ecuador en el 2012, Panamá</w:t>
      </w:r>
      <w:r w:rsidR="00F01E14">
        <w:t xml:space="preserve"> y </w:t>
      </w:r>
      <w:r w:rsidR="008C4AC0">
        <w:t>República Dominicana</w:t>
      </w:r>
      <w:r w:rsidR="00F01E14">
        <w:t xml:space="preserve"> en el 2013,</w:t>
      </w:r>
      <w:r w:rsidR="008C4AC0">
        <w:t xml:space="preserve"> Costa Rica </w:t>
      </w:r>
      <w:r w:rsidR="00F01E14">
        <w:t xml:space="preserve">en el 2014, y finalmente, Guatemala en el 2015, para llegar a un total de 13 embajadas en la región. </w:t>
      </w:r>
      <w:r w:rsidR="0055402D">
        <w:t xml:space="preserve">Turquía en la actualidad </w:t>
      </w:r>
      <w:r w:rsidR="00F01E14">
        <w:t>mantiene contactos y relaciones diplomáticas con un total de 23 países de Latinoamérica y el Caribe. Además, se han establecido mecanismos de consulta con 17 países de América Latina y el Caribe, los cuales son: Argentina, Bolivia, Brasil, Chile, Colombia, Costa Rica, Cuba, República Dominicana, Ecuador, El Salvador, Guatemala, Guyana, México, Paraguay, Perú, Uruguay y Venezuela</w:t>
      </w:r>
      <w:r w:rsidR="0055402D">
        <w:t xml:space="preserve">. Asimismo, cuenta con 19 Acuerdos de Cooperación Económica y Comercial con los países de la región: </w:t>
      </w:r>
      <w:r w:rsidR="0055402D" w:rsidRPr="0055402D">
        <w:t xml:space="preserve">Argentina, Bolivia, </w:t>
      </w:r>
      <w:r w:rsidR="0055402D">
        <w:t>Brasil</w:t>
      </w:r>
      <w:r w:rsidR="0055402D" w:rsidRPr="0055402D">
        <w:t xml:space="preserve">, Chile, Colombia, Costa Rica, Cuba, </w:t>
      </w:r>
      <w:r w:rsidR="0055402D">
        <w:t>República Dominicana</w:t>
      </w:r>
      <w:r w:rsidR="0055402D" w:rsidRPr="0055402D">
        <w:t>, Ecuador, Guatemala, Guyana, Honduras, Jamaica, M</w:t>
      </w:r>
      <w:r w:rsidR="0055402D">
        <w:t>é</w:t>
      </w:r>
      <w:r w:rsidR="0055402D" w:rsidRPr="0055402D">
        <w:t>xico, Nicaragua, Paraguay, Per</w:t>
      </w:r>
      <w:r w:rsidR="0055402D">
        <w:t>ú</w:t>
      </w:r>
      <w:r w:rsidR="0055402D" w:rsidRPr="0055402D">
        <w:t>, Uruguay and Venezuela</w:t>
      </w:r>
      <w:r w:rsidR="00F01E14">
        <w:t xml:space="preserve"> (González, 2012, p. 40; González, 2016, p. 73; Ministerio de Relaciones Exteriores de Turquía, 2019). </w:t>
      </w:r>
    </w:p>
    <w:p w14:paraId="174F6626" w14:textId="66B56644" w:rsidR="0055402D" w:rsidRDefault="0055402D" w:rsidP="00591DFC">
      <w:pPr>
        <w:jc w:val="both"/>
      </w:pPr>
      <w:r>
        <w:t>En lo que refiere a la presencia de Turquía en los espacios multilaterales de la región, el país turco ha ampliado su presencia en las organizaciones internacionales de América Latina y el Caribe. Turquía se convirtió en Estado Observador de la Organización de Estados Americanos (OEA) en 1998, en la Asociación de Estados del Caribe (AEC) en el 2000 y en la Alianza del Pacífico en el 2013. Con el Mercado Común Sudamericano (MERCOSUR) Turquía un Mecanismo de Consulta Política y Cooperación en el 2010</w:t>
      </w:r>
      <w:r w:rsidR="006264C7">
        <w:t xml:space="preserve">. En el 2015 se convirtió en Estado Observador Extrarregional del Sistema de Integración Centroamericano (SICA). En el 2016 se establecieron relaciones institucionales con la Asociación de Estados del Caribe Oriental (AECO). Finalmente, Turquía ha mantenido reuniones con la Comunidad de Estados Latinoamericanos y del Caribe (CELAC)—ahora gravemente debilitada—, y en el 2017 logró la aprobación a su membresía a la Comisión Económica para América Latina y el Caribe (CEPAL) de la ONU (Ministerio de Relaciones Exteriores de Turquía, 2019).  </w:t>
      </w:r>
    </w:p>
    <w:p w14:paraId="21E8C8F3" w14:textId="2B9D9DAA" w:rsidR="00F01E14" w:rsidRDefault="00775639" w:rsidP="00591DFC">
      <w:pPr>
        <w:jc w:val="both"/>
      </w:pPr>
      <w:r>
        <w:t xml:space="preserve">Entre los presidentes que visitaron oficialmente a Turquía durante el período están </w:t>
      </w:r>
      <w:r w:rsidR="00555983">
        <w:t xml:space="preserve">Ricardo Lagos de Chile en el 2004, </w:t>
      </w:r>
      <w:r>
        <w:t>Oscar Arias de Costa Rica</w:t>
      </w:r>
      <w:r w:rsidR="00555983">
        <w:t xml:space="preserve"> y Lula da Silva de Brasil</w:t>
      </w:r>
      <w:r>
        <w:t xml:space="preserve"> en el 2009, Cristina Fernández de Kischner de Argentina y Dilma Rousseff de Brasil en el 2011, Rafael Correa de Ecuador, Juan Manuel Santos de Colombia y Sebastián Piñera de Chile en el 2012, Enrique Peña Nieto de México en el 2013, y Nicolas Maduro de Venezuela en el 2016 y 2017. Durante la reunión del G-20 en el 2015, realizada en Turquía, Recep Tayyip </w:t>
      </w:r>
      <w:r w:rsidR="00C60074">
        <w:t>Erdoğan</w:t>
      </w:r>
      <w:r>
        <w:t xml:space="preserve">, ya para entonces presidente turco, tuvo reuniones bilaterales con Enrique Peña Nieto y Dilma Roussef. Estas reuniones permitieron elevar las relaciones con México y Brasil al estatus de asociación estratégica (González, 2012, pp. 7-8; González, 2012, pp 190-191; Ministerio de Relaciones Exteriores de Turquía, 2019). </w:t>
      </w:r>
    </w:p>
    <w:p w14:paraId="45505FC6" w14:textId="4C02E213" w:rsidR="00775639" w:rsidRDefault="00775639" w:rsidP="00591DFC">
      <w:pPr>
        <w:jc w:val="both"/>
      </w:pPr>
      <w:r>
        <w:t xml:space="preserve">Por su parte, Turquía ha realizado visitas de alto nivel a la región, especialmente las visitas de Recep Tayyip </w:t>
      </w:r>
      <w:r w:rsidR="00C60074">
        <w:t>Erdoğan</w:t>
      </w:r>
      <w:r>
        <w:t xml:space="preserve"> como primer ministro en el 2010 a Brasil, Chile y Argentina, aunque la visita a estos dos países tuvo que cancelarse por distintos motivos. En </w:t>
      </w:r>
      <w:r w:rsidR="00555983">
        <w:t xml:space="preserve">cuanto a la visita a Argentina, la población armenia en el país, especialmente Buenos Aires se opuso a la visita, provocando su cancelación. Por otro lado, se tuvo que cancelar la visita a Chile debido al ataque israelí contra la flota humanitaria turca que llevaba asistencia humanitaria a la Franja de Gaza. Posteriormente, Recep Tayyip </w:t>
      </w:r>
      <w:r w:rsidR="00C60074">
        <w:t>Erdoğan</w:t>
      </w:r>
      <w:r w:rsidR="00555983">
        <w:t xml:space="preserve"> visitó la región en el 2015, dirigiéndose específicamente a México, Colombia y Cuba. En el 2016 </w:t>
      </w:r>
      <w:r w:rsidR="00C60074">
        <w:lastRenderedPageBreak/>
        <w:t>Erdoğan</w:t>
      </w:r>
      <w:r w:rsidR="00555983">
        <w:t xml:space="preserve"> volvió a visitar la región, teniendo como destino Chile, Perú y Ecuador. Por otro lado, también han sucedido encuentros importantes a nivel de vice presidencias y ministros de relaciones exteriores y de defensa (González, 2012, pp. 190-193; Ministerio de Relaciones Exteriores de Turquía, 2019). Todo esto ha tenido como resultado la firma de una multiplicidad de tratados con 21 países de la región, como lo muestra la tabla 1. </w:t>
      </w:r>
    </w:p>
    <w:p w14:paraId="4999F82B" w14:textId="22B8DBB9" w:rsidR="00860AAE" w:rsidRPr="00860AAE" w:rsidRDefault="00860AAE" w:rsidP="00860AAE">
      <w:pPr>
        <w:jc w:val="center"/>
        <w:rPr>
          <w:b/>
          <w:bCs/>
        </w:rPr>
      </w:pPr>
      <w:r>
        <w:rPr>
          <w:b/>
          <w:bCs/>
        </w:rPr>
        <w:t>Tabla 1. Tratados entre la República de Turquía y Países y Organizaciones Internacionales de la Región de América Latina y el Caribe 2000-2018</w:t>
      </w:r>
    </w:p>
    <w:tbl>
      <w:tblPr>
        <w:tblStyle w:val="Tablaconcuadrcula5oscura-nfasis3"/>
        <w:tblW w:w="0" w:type="auto"/>
        <w:tblLook w:val="04A0" w:firstRow="1" w:lastRow="0" w:firstColumn="1" w:lastColumn="0" w:noHBand="0" w:noVBand="1"/>
      </w:tblPr>
      <w:tblGrid>
        <w:gridCol w:w="1332"/>
        <w:gridCol w:w="1559"/>
        <w:gridCol w:w="1559"/>
        <w:gridCol w:w="1461"/>
        <w:gridCol w:w="1461"/>
        <w:gridCol w:w="1461"/>
      </w:tblGrid>
      <w:tr w:rsidR="00860AAE" w:rsidRPr="00860AAE" w14:paraId="4DE3CD94" w14:textId="77777777" w:rsidTr="00860AAE">
        <w:trPr>
          <w:cnfStyle w:val="100000000000" w:firstRow="1" w:lastRow="0" w:firstColumn="0" w:lastColumn="0" w:oddVBand="0" w:evenVBand="0" w:oddHBand="0" w:evenHBand="0" w:firstRowFirstColumn="0" w:firstRowLastColumn="0" w:lastRowFirstColumn="0" w:lastRowLastColumn="0"/>
          <w:trHeight w:val="3072"/>
        </w:trPr>
        <w:tc>
          <w:tcPr>
            <w:cnfStyle w:val="001000000000" w:firstRow="0" w:lastRow="0" w:firstColumn="1" w:lastColumn="0" w:oddVBand="0" w:evenVBand="0" w:oddHBand="0" w:evenHBand="0" w:firstRowFirstColumn="0" w:firstRowLastColumn="0" w:lastRowFirstColumn="0" w:lastRowLastColumn="0"/>
            <w:tcW w:w="1195" w:type="dxa"/>
            <w:hideMark/>
          </w:tcPr>
          <w:p w14:paraId="23E57B4F" w14:textId="77777777" w:rsidR="00860AAE" w:rsidRPr="00860AAE" w:rsidRDefault="00860AAE" w:rsidP="00860AAE">
            <w:pPr>
              <w:jc w:val="both"/>
            </w:pPr>
            <w:r w:rsidRPr="00860AAE">
              <w:t>Brasil</w:t>
            </w:r>
          </w:p>
        </w:tc>
        <w:tc>
          <w:tcPr>
            <w:tcW w:w="1463" w:type="dxa"/>
            <w:tcBorders>
              <w:top w:val="nil"/>
              <w:bottom w:val="nil"/>
            </w:tcBorders>
            <w:shd w:val="clear" w:color="auto" w:fill="D9D9D9" w:themeFill="background1" w:themeFillShade="D9"/>
            <w:hideMark/>
          </w:tcPr>
          <w:p w14:paraId="35B842C4" w14:textId="77777777" w:rsidR="00860AAE" w:rsidRPr="00860AAE" w:rsidRDefault="00860AAE" w:rsidP="00860AAE">
            <w:pPr>
              <w:jc w:val="both"/>
              <w:cnfStyle w:val="100000000000" w:firstRow="1" w:lastRow="0" w:firstColumn="0" w:lastColumn="0" w:oddVBand="0" w:evenVBand="0" w:oddHBand="0" w:evenHBand="0" w:firstRowFirstColumn="0" w:firstRowLastColumn="0" w:lastRowFirstColumn="0" w:lastRowLastColumn="0"/>
              <w:rPr>
                <w:b w:val="0"/>
                <w:bCs w:val="0"/>
                <w:color w:val="auto"/>
              </w:rPr>
            </w:pPr>
            <w:r w:rsidRPr="00860AAE">
              <w:rPr>
                <w:b w:val="0"/>
                <w:bCs w:val="0"/>
                <w:color w:val="auto"/>
              </w:rPr>
              <w:t>Acuerdo de Excepción de Visado en Pasaportes Ordinarios (2001)</w:t>
            </w:r>
          </w:p>
        </w:tc>
        <w:tc>
          <w:tcPr>
            <w:tcW w:w="1463" w:type="dxa"/>
            <w:tcBorders>
              <w:top w:val="nil"/>
              <w:bottom w:val="nil"/>
            </w:tcBorders>
            <w:shd w:val="clear" w:color="auto" w:fill="D9D9D9" w:themeFill="background1" w:themeFillShade="D9"/>
            <w:hideMark/>
          </w:tcPr>
          <w:p w14:paraId="78E63476" w14:textId="77777777" w:rsidR="00860AAE" w:rsidRPr="00860AAE" w:rsidRDefault="00860AAE" w:rsidP="00860AAE">
            <w:pPr>
              <w:jc w:val="both"/>
              <w:cnfStyle w:val="100000000000" w:firstRow="1" w:lastRow="0" w:firstColumn="0" w:lastColumn="0" w:oddVBand="0" w:evenVBand="0" w:oddHBand="0" w:evenHBand="0" w:firstRowFirstColumn="0" w:firstRowLastColumn="0" w:lastRowFirstColumn="0" w:lastRowLastColumn="0"/>
              <w:rPr>
                <w:b w:val="0"/>
                <w:bCs w:val="0"/>
                <w:color w:val="auto"/>
              </w:rPr>
            </w:pPr>
            <w:r w:rsidRPr="00860AAE">
              <w:rPr>
                <w:b w:val="0"/>
                <w:bCs w:val="0"/>
                <w:color w:val="auto"/>
              </w:rPr>
              <w:t>Acuerdo de Cooperación en Asuntos de Defensa (2003)</w:t>
            </w:r>
          </w:p>
        </w:tc>
        <w:tc>
          <w:tcPr>
            <w:tcW w:w="1359" w:type="dxa"/>
            <w:tcBorders>
              <w:top w:val="nil"/>
              <w:bottom w:val="nil"/>
            </w:tcBorders>
            <w:shd w:val="clear" w:color="auto" w:fill="D9D9D9" w:themeFill="background1" w:themeFillShade="D9"/>
            <w:hideMark/>
          </w:tcPr>
          <w:p w14:paraId="32779C36" w14:textId="71409D2F" w:rsidR="00860AAE" w:rsidRPr="00860AAE" w:rsidRDefault="00860AAE" w:rsidP="00860AAE">
            <w:pPr>
              <w:jc w:val="both"/>
              <w:cnfStyle w:val="100000000000" w:firstRow="1" w:lastRow="0" w:firstColumn="0" w:lastColumn="0" w:oddVBand="0" w:evenVBand="0" w:oddHBand="0" w:evenHBand="0" w:firstRowFirstColumn="0" w:firstRowLastColumn="0" w:lastRowFirstColumn="0" w:lastRowLastColumn="0"/>
              <w:rPr>
                <w:b w:val="0"/>
                <w:bCs w:val="0"/>
                <w:color w:val="auto"/>
              </w:rPr>
            </w:pPr>
            <w:r w:rsidRPr="00860AAE">
              <w:rPr>
                <w:b w:val="0"/>
                <w:bCs w:val="0"/>
                <w:color w:val="auto"/>
              </w:rPr>
              <w:t>Memorándum de Entendimiento sobre Cooperación en Tecnología e Industria (2005)</w:t>
            </w:r>
          </w:p>
        </w:tc>
        <w:tc>
          <w:tcPr>
            <w:tcW w:w="1359" w:type="dxa"/>
            <w:tcBorders>
              <w:top w:val="nil"/>
              <w:bottom w:val="nil"/>
            </w:tcBorders>
            <w:shd w:val="clear" w:color="auto" w:fill="D9D9D9" w:themeFill="background1" w:themeFillShade="D9"/>
            <w:hideMark/>
          </w:tcPr>
          <w:p w14:paraId="31B09B82" w14:textId="2DC55832" w:rsidR="00860AAE" w:rsidRPr="00860AAE" w:rsidRDefault="00860AAE" w:rsidP="00860AAE">
            <w:pPr>
              <w:jc w:val="both"/>
              <w:cnfStyle w:val="100000000000" w:firstRow="1" w:lastRow="0" w:firstColumn="0" w:lastColumn="0" w:oddVBand="0" w:evenVBand="0" w:oddHBand="0" w:evenHBand="0" w:firstRowFirstColumn="0" w:firstRowLastColumn="0" w:lastRowFirstColumn="0" w:lastRowLastColumn="0"/>
              <w:rPr>
                <w:b w:val="0"/>
                <w:bCs w:val="0"/>
                <w:color w:val="auto"/>
              </w:rPr>
            </w:pPr>
            <w:r w:rsidRPr="00860AAE">
              <w:rPr>
                <w:b w:val="0"/>
                <w:bCs w:val="0"/>
                <w:color w:val="auto"/>
              </w:rPr>
              <w:t>Memorándum de Entendimiento sobre la Comisión de Alto Nivel entre Ministerios de Relaciones Exteriores (2006)</w:t>
            </w:r>
          </w:p>
        </w:tc>
        <w:tc>
          <w:tcPr>
            <w:tcW w:w="1359" w:type="dxa"/>
            <w:tcBorders>
              <w:top w:val="nil"/>
              <w:bottom w:val="nil"/>
              <w:right w:val="nil"/>
            </w:tcBorders>
            <w:shd w:val="clear" w:color="auto" w:fill="D9D9D9" w:themeFill="background1" w:themeFillShade="D9"/>
            <w:hideMark/>
          </w:tcPr>
          <w:p w14:paraId="5F4AA689" w14:textId="3BA55F00" w:rsidR="00860AAE" w:rsidRPr="00860AAE" w:rsidRDefault="00860AAE" w:rsidP="00860AAE">
            <w:pPr>
              <w:jc w:val="both"/>
              <w:cnfStyle w:val="100000000000" w:firstRow="1" w:lastRow="0" w:firstColumn="0" w:lastColumn="0" w:oddVBand="0" w:evenVBand="0" w:oddHBand="0" w:evenHBand="0" w:firstRowFirstColumn="0" w:firstRowLastColumn="0" w:lastRowFirstColumn="0" w:lastRowLastColumn="0"/>
              <w:rPr>
                <w:b w:val="0"/>
                <w:bCs w:val="0"/>
                <w:color w:val="auto"/>
              </w:rPr>
            </w:pPr>
            <w:r w:rsidRPr="00860AAE">
              <w:rPr>
                <w:b w:val="0"/>
                <w:bCs w:val="0"/>
                <w:color w:val="auto"/>
              </w:rPr>
              <w:t>Memorándum de Entendimiento sobre Cooperación entre Escuelas Diplomáticas de los Ministerios de Relaciones Exteriores (2006)</w:t>
            </w:r>
          </w:p>
        </w:tc>
      </w:tr>
      <w:tr w:rsidR="00860AAE" w:rsidRPr="00860AAE" w14:paraId="01935457" w14:textId="77777777" w:rsidTr="00860AAE">
        <w:trPr>
          <w:cnfStyle w:val="000000100000" w:firstRow="0" w:lastRow="0" w:firstColumn="0" w:lastColumn="0" w:oddVBand="0" w:evenVBand="0" w:oddHBand="1" w:evenHBand="0" w:firstRowFirstColumn="0" w:firstRowLastColumn="0" w:lastRowFirstColumn="0" w:lastRowLastColumn="0"/>
          <w:trHeight w:val="3262"/>
        </w:trPr>
        <w:tc>
          <w:tcPr>
            <w:cnfStyle w:val="001000000000" w:firstRow="0" w:lastRow="0" w:firstColumn="1" w:lastColumn="0" w:oddVBand="0" w:evenVBand="0" w:oddHBand="0" w:evenHBand="0" w:firstRowFirstColumn="0" w:firstRowLastColumn="0" w:lastRowFirstColumn="0" w:lastRowLastColumn="0"/>
            <w:tcW w:w="1195" w:type="dxa"/>
            <w:tcBorders>
              <w:right w:val="nil"/>
            </w:tcBorders>
            <w:hideMark/>
          </w:tcPr>
          <w:p w14:paraId="3752919D" w14:textId="77777777" w:rsidR="00860AAE" w:rsidRPr="00860AAE" w:rsidRDefault="00860AAE" w:rsidP="00860AAE">
            <w:pPr>
              <w:jc w:val="both"/>
            </w:pPr>
            <w:r w:rsidRPr="00860AAE">
              <w:t>Colombia</w:t>
            </w:r>
          </w:p>
        </w:tc>
        <w:tc>
          <w:tcPr>
            <w:tcW w:w="1463" w:type="dxa"/>
            <w:tcBorders>
              <w:top w:val="nil"/>
              <w:left w:val="nil"/>
              <w:bottom w:val="nil"/>
              <w:right w:val="nil"/>
            </w:tcBorders>
            <w:hideMark/>
          </w:tcPr>
          <w:p w14:paraId="75A90E9F" w14:textId="21FA6D72"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t>Memorándum</w:t>
            </w:r>
            <w:r w:rsidRPr="00860AAE">
              <w:t xml:space="preserve"> de Entendimiento sobre el Establecimiento de un Mecanismo de Consulta Política entre los Ministerios de Relaciones Exteriores (2006)</w:t>
            </w:r>
          </w:p>
        </w:tc>
        <w:tc>
          <w:tcPr>
            <w:tcW w:w="1463" w:type="dxa"/>
            <w:tcBorders>
              <w:top w:val="nil"/>
              <w:left w:val="nil"/>
              <w:bottom w:val="nil"/>
              <w:right w:val="nil"/>
            </w:tcBorders>
            <w:hideMark/>
          </w:tcPr>
          <w:p w14:paraId="71A2DAC0"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de Exención de Visado en Pasaportes Oficiales (2006)</w:t>
            </w:r>
          </w:p>
        </w:tc>
        <w:tc>
          <w:tcPr>
            <w:tcW w:w="1359" w:type="dxa"/>
            <w:tcBorders>
              <w:top w:val="nil"/>
              <w:left w:val="nil"/>
              <w:bottom w:val="nil"/>
              <w:right w:val="nil"/>
            </w:tcBorders>
            <w:hideMark/>
          </w:tcPr>
          <w:p w14:paraId="0FAEF4A9"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sobre Cooperación Comercial (2006)</w:t>
            </w:r>
          </w:p>
        </w:tc>
        <w:tc>
          <w:tcPr>
            <w:tcW w:w="1359" w:type="dxa"/>
            <w:tcBorders>
              <w:top w:val="nil"/>
              <w:left w:val="nil"/>
              <w:bottom w:val="nil"/>
              <w:right w:val="nil"/>
            </w:tcBorders>
            <w:hideMark/>
          </w:tcPr>
          <w:p w14:paraId="45ECA314"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tcBorders>
              <w:top w:val="nil"/>
              <w:left w:val="nil"/>
              <w:bottom w:val="nil"/>
              <w:right w:val="nil"/>
            </w:tcBorders>
            <w:noWrap/>
            <w:hideMark/>
          </w:tcPr>
          <w:p w14:paraId="22390C23"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27C3655D" w14:textId="77777777" w:rsidTr="00860AAE">
        <w:trPr>
          <w:trHeight w:val="3260"/>
        </w:trPr>
        <w:tc>
          <w:tcPr>
            <w:cnfStyle w:val="001000000000" w:firstRow="0" w:lastRow="0" w:firstColumn="1" w:lastColumn="0" w:oddVBand="0" w:evenVBand="0" w:oddHBand="0" w:evenHBand="0" w:firstRowFirstColumn="0" w:firstRowLastColumn="0" w:lastRowFirstColumn="0" w:lastRowLastColumn="0"/>
            <w:tcW w:w="1195" w:type="dxa"/>
            <w:hideMark/>
          </w:tcPr>
          <w:p w14:paraId="0C1734DF" w14:textId="77777777" w:rsidR="00860AAE" w:rsidRPr="00860AAE" w:rsidRDefault="00860AAE" w:rsidP="00860AAE">
            <w:pPr>
              <w:jc w:val="both"/>
            </w:pPr>
            <w:r w:rsidRPr="00860AAE">
              <w:t>Costa Rica</w:t>
            </w:r>
          </w:p>
        </w:tc>
        <w:tc>
          <w:tcPr>
            <w:tcW w:w="1463" w:type="dxa"/>
            <w:tcBorders>
              <w:top w:val="nil"/>
            </w:tcBorders>
            <w:hideMark/>
          </w:tcPr>
          <w:p w14:paraId="71540961"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Declaración Conjunta en la visita del Ministro de Relaciones Exteriores y Culto de Costa Rica a Turquía (2001)</w:t>
            </w:r>
          </w:p>
        </w:tc>
        <w:tc>
          <w:tcPr>
            <w:tcW w:w="1463" w:type="dxa"/>
            <w:tcBorders>
              <w:top w:val="nil"/>
            </w:tcBorders>
            <w:hideMark/>
          </w:tcPr>
          <w:p w14:paraId="3FF8C6B0" w14:textId="7ABAB45E"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t>Memorándum</w:t>
            </w:r>
            <w:r w:rsidRPr="00860AAE">
              <w:t xml:space="preserve"> de Entendimiento en el Establecimiento de Mecanismos de Consulta Política entre los Ministerios de Relaciones Exteriores de Turquía y </w:t>
            </w:r>
            <w:r w:rsidRPr="00860AAE">
              <w:lastRenderedPageBreak/>
              <w:t>Costa Rica (2001)</w:t>
            </w:r>
          </w:p>
        </w:tc>
        <w:tc>
          <w:tcPr>
            <w:tcW w:w="1359" w:type="dxa"/>
            <w:tcBorders>
              <w:top w:val="nil"/>
            </w:tcBorders>
            <w:hideMark/>
          </w:tcPr>
          <w:p w14:paraId="45EB1425"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lastRenderedPageBreak/>
              <w:t>Acuerdo de Cooperación en Ciencia y Tecnología (2001)</w:t>
            </w:r>
          </w:p>
        </w:tc>
        <w:tc>
          <w:tcPr>
            <w:tcW w:w="1359" w:type="dxa"/>
            <w:tcBorders>
              <w:top w:val="nil"/>
            </w:tcBorders>
            <w:hideMark/>
          </w:tcPr>
          <w:p w14:paraId="6670B0D9"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tcBorders>
              <w:top w:val="nil"/>
            </w:tcBorders>
            <w:noWrap/>
            <w:hideMark/>
          </w:tcPr>
          <w:p w14:paraId="0C3D53C5"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017368DA" w14:textId="77777777" w:rsidTr="00860AAE">
        <w:trPr>
          <w:cnfStyle w:val="000000100000" w:firstRow="0" w:lastRow="0" w:firstColumn="0" w:lastColumn="0" w:oddVBand="0" w:evenVBand="0" w:oddHBand="1" w:evenHBand="0" w:firstRowFirstColumn="0" w:firstRowLastColumn="0" w:lastRowFirstColumn="0" w:lastRowLastColumn="0"/>
          <w:trHeight w:val="1522"/>
        </w:trPr>
        <w:tc>
          <w:tcPr>
            <w:cnfStyle w:val="001000000000" w:firstRow="0" w:lastRow="0" w:firstColumn="1" w:lastColumn="0" w:oddVBand="0" w:evenVBand="0" w:oddHBand="0" w:evenHBand="0" w:firstRowFirstColumn="0" w:firstRowLastColumn="0" w:lastRowFirstColumn="0" w:lastRowLastColumn="0"/>
            <w:tcW w:w="1195" w:type="dxa"/>
            <w:hideMark/>
          </w:tcPr>
          <w:p w14:paraId="0E146E7D" w14:textId="77777777" w:rsidR="00860AAE" w:rsidRPr="00860AAE" w:rsidRDefault="00860AAE" w:rsidP="00860AAE">
            <w:pPr>
              <w:jc w:val="both"/>
            </w:pPr>
            <w:r w:rsidRPr="00860AAE">
              <w:t>Argentina</w:t>
            </w:r>
          </w:p>
        </w:tc>
        <w:tc>
          <w:tcPr>
            <w:tcW w:w="1463" w:type="dxa"/>
            <w:hideMark/>
          </w:tcPr>
          <w:p w14:paraId="40DF72BF"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de Colaboración en la Protección de Campos de Plantación (2005)</w:t>
            </w:r>
          </w:p>
        </w:tc>
        <w:tc>
          <w:tcPr>
            <w:tcW w:w="1463" w:type="dxa"/>
            <w:hideMark/>
          </w:tcPr>
          <w:p w14:paraId="5741F236"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sobre Medicina Veterinaria (2005)</w:t>
            </w:r>
          </w:p>
        </w:tc>
        <w:tc>
          <w:tcPr>
            <w:tcW w:w="1359" w:type="dxa"/>
            <w:hideMark/>
          </w:tcPr>
          <w:p w14:paraId="17F5DFE1"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4E9A818C"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1868A44A"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7F3B7796" w14:textId="77777777" w:rsidTr="00860AAE">
        <w:trPr>
          <w:trHeight w:val="1967"/>
        </w:trPr>
        <w:tc>
          <w:tcPr>
            <w:cnfStyle w:val="001000000000" w:firstRow="0" w:lastRow="0" w:firstColumn="1" w:lastColumn="0" w:oddVBand="0" w:evenVBand="0" w:oddHBand="0" w:evenHBand="0" w:firstRowFirstColumn="0" w:firstRowLastColumn="0" w:lastRowFirstColumn="0" w:lastRowLastColumn="0"/>
            <w:tcW w:w="1195" w:type="dxa"/>
            <w:hideMark/>
          </w:tcPr>
          <w:p w14:paraId="438A2EFD" w14:textId="77777777" w:rsidR="00860AAE" w:rsidRPr="00860AAE" w:rsidRDefault="00860AAE" w:rsidP="00860AAE">
            <w:pPr>
              <w:jc w:val="both"/>
            </w:pPr>
            <w:r w:rsidRPr="00860AAE">
              <w:t>Bolivia</w:t>
            </w:r>
          </w:p>
        </w:tc>
        <w:tc>
          <w:tcPr>
            <w:tcW w:w="1463" w:type="dxa"/>
            <w:hideMark/>
          </w:tcPr>
          <w:p w14:paraId="273977CE"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Marco de Cooperación entre Ministerios de Relaciones Exteriores (2000)</w:t>
            </w:r>
          </w:p>
        </w:tc>
        <w:tc>
          <w:tcPr>
            <w:tcW w:w="1463" w:type="dxa"/>
            <w:hideMark/>
          </w:tcPr>
          <w:p w14:paraId="62B5DB3F" w14:textId="4780AEB1"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 xml:space="preserve">Acuerdo de </w:t>
            </w:r>
            <w:r>
              <w:t>Exención</w:t>
            </w:r>
            <w:r w:rsidRPr="00860AAE">
              <w:t xml:space="preserve"> de Visado (2000)</w:t>
            </w:r>
          </w:p>
        </w:tc>
        <w:tc>
          <w:tcPr>
            <w:tcW w:w="1359" w:type="dxa"/>
            <w:noWrap/>
            <w:hideMark/>
          </w:tcPr>
          <w:p w14:paraId="75A8EFAD"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6CFFC059"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2A8303F4"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73FE1D75" w14:textId="77777777" w:rsidTr="00860AAE">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195" w:type="dxa"/>
            <w:hideMark/>
          </w:tcPr>
          <w:p w14:paraId="2767AE6E" w14:textId="77777777" w:rsidR="00860AAE" w:rsidRPr="00860AAE" w:rsidRDefault="00860AAE" w:rsidP="00860AAE">
            <w:pPr>
              <w:jc w:val="both"/>
            </w:pPr>
            <w:r w:rsidRPr="00860AAE">
              <w:t>Chile</w:t>
            </w:r>
          </w:p>
        </w:tc>
        <w:tc>
          <w:tcPr>
            <w:tcW w:w="1463" w:type="dxa"/>
            <w:hideMark/>
          </w:tcPr>
          <w:p w14:paraId="4F9B6C08"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sobre Entrenamiento Militar, Industria de Defensa y Cooperación Técnica y Científica (2004)</w:t>
            </w:r>
          </w:p>
        </w:tc>
        <w:tc>
          <w:tcPr>
            <w:tcW w:w="1463" w:type="dxa"/>
            <w:hideMark/>
          </w:tcPr>
          <w:p w14:paraId="188C3FFB"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Declaración de Intención sobre la Cooperación entre el Comando General de la Gendarmería Turca y los Carabineros de Chile (2006)</w:t>
            </w:r>
          </w:p>
        </w:tc>
        <w:tc>
          <w:tcPr>
            <w:tcW w:w="1359" w:type="dxa"/>
            <w:hideMark/>
          </w:tcPr>
          <w:p w14:paraId="577F4830"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490148A1"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514C379B"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3D3023FB" w14:textId="77777777" w:rsidTr="00860AAE">
        <w:trPr>
          <w:trHeight w:val="1580"/>
        </w:trPr>
        <w:tc>
          <w:tcPr>
            <w:cnfStyle w:val="001000000000" w:firstRow="0" w:lastRow="0" w:firstColumn="1" w:lastColumn="0" w:oddVBand="0" w:evenVBand="0" w:oddHBand="0" w:evenHBand="0" w:firstRowFirstColumn="0" w:firstRowLastColumn="0" w:lastRowFirstColumn="0" w:lastRowLastColumn="0"/>
            <w:tcW w:w="1195" w:type="dxa"/>
            <w:hideMark/>
          </w:tcPr>
          <w:p w14:paraId="76BCFDC6" w14:textId="77777777" w:rsidR="00860AAE" w:rsidRPr="00860AAE" w:rsidRDefault="00860AAE" w:rsidP="00860AAE">
            <w:pPr>
              <w:jc w:val="both"/>
            </w:pPr>
            <w:r w:rsidRPr="00860AAE">
              <w:t>Cuba</w:t>
            </w:r>
          </w:p>
        </w:tc>
        <w:tc>
          <w:tcPr>
            <w:tcW w:w="1463" w:type="dxa"/>
            <w:hideMark/>
          </w:tcPr>
          <w:p w14:paraId="4B6080E7"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de Colaboración en la Protección y Cuarentena de Plantaciones (2003)</w:t>
            </w:r>
          </w:p>
        </w:tc>
        <w:tc>
          <w:tcPr>
            <w:tcW w:w="1463" w:type="dxa"/>
            <w:hideMark/>
          </w:tcPr>
          <w:p w14:paraId="503DEE04"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de Cooperación sobre Salud Animal (2003)</w:t>
            </w:r>
          </w:p>
        </w:tc>
        <w:tc>
          <w:tcPr>
            <w:tcW w:w="1359" w:type="dxa"/>
            <w:hideMark/>
          </w:tcPr>
          <w:p w14:paraId="72E0EFF5"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3A628869"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7117E81A"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567F31FD" w14:textId="77777777" w:rsidTr="00860AAE">
        <w:trPr>
          <w:cnfStyle w:val="000000100000" w:firstRow="0" w:lastRow="0" w:firstColumn="0" w:lastColumn="0" w:oddVBand="0" w:evenVBand="0" w:oddHBand="1"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95" w:type="dxa"/>
            <w:hideMark/>
          </w:tcPr>
          <w:p w14:paraId="7AE13BCE" w14:textId="77777777" w:rsidR="00860AAE" w:rsidRPr="00860AAE" w:rsidRDefault="00860AAE" w:rsidP="00860AAE">
            <w:pPr>
              <w:jc w:val="both"/>
            </w:pPr>
            <w:r w:rsidRPr="00860AAE">
              <w:t>Guatemala</w:t>
            </w:r>
          </w:p>
        </w:tc>
        <w:tc>
          <w:tcPr>
            <w:tcW w:w="1463" w:type="dxa"/>
            <w:hideMark/>
          </w:tcPr>
          <w:p w14:paraId="2DC0560F"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de Exención de Visado (2004)</w:t>
            </w:r>
          </w:p>
        </w:tc>
        <w:tc>
          <w:tcPr>
            <w:tcW w:w="1463" w:type="dxa"/>
            <w:hideMark/>
          </w:tcPr>
          <w:p w14:paraId="46B2399E"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 xml:space="preserve">Acuerdo de Cooperación Económica y </w:t>
            </w:r>
            <w:r w:rsidRPr="00860AAE">
              <w:lastRenderedPageBreak/>
              <w:t>Comercial (2007)</w:t>
            </w:r>
          </w:p>
        </w:tc>
        <w:tc>
          <w:tcPr>
            <w:tcW w:w="1359" w:type="dxa"/>
            <w:hideMark/>
          </w:tcPr>
          <w:p w14:paraId="3E5936C5"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7F96EB45"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5BCCAFC0"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55044526" w14:textId="77777777" w:rsidTr="00860AAE">
        <w:trPr>
          <w:trHeight w:val="3543"/>
        </w:trPr>
        <w:tc>
          <w:tcPr>
            <w:cnfStyle w:val="001000000000" w:firstRow="0" w:lastRow="0" w:firstColumn="1" w:lastColumn="0" w:oddVBand="0" w:evenVBand="0" w:oddHBand="0" w:evenHBand="0" w:firstRowFirstColumn="0" w:firstRowLastColumn="0" w:lastRowFirstColumn="0" w:lastRowLastColumn="0"/>
            <w:tcW w:w="1195" w:type="dxa"/>
            <w:hideMark/>
          </w:tcPr>
          <w:p w14:paraId="68AD9D8F" w14:textId="77777777" w:rsidR="00860AAE" w:rsidRPr="00860AAE" w:rsidRDefault="00860AAE" w:rsidP="00860AAE">
            <w:pPr>
              <w:jc w:val="both"/>
            </w:pPr>
            <w:r w:rsidRPr="00860AAE">
              <w:t>Perú</w:t>
            </w:r>
          </w:p>
        </w:tc>
        <w:tc>
          <w:tcPr>
            <w:tcW w:w="1463" w:type="dxa"/>
            <w:hideMark/>
          </w:tcPr>
          <w:p w14:paraId="6782714E"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sobre Productos Psicotrópicos (2000)</w:t>
            </w:r>
          </w:p>
        </w:tc>
        <w:tc>
          <w:tcPr>
            <w:tcW w:w="1463" w:type="dxa"/>
            <w:hideMark/>
          </w:tcPr>
          <w:p w14:paraId="1241AEEE" w14:textId="32C8EF80"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sobre la Protección, Conservación y Restitución de la Herencia Cultural, Arqueológica, Artística e His</w:t>
            </w:r>
            <w:r>
              <w:t>t</w:t>
            </w:r>
            <w:r w:rsidRPr="00860AAE">
              <w:t>órica Sujeta a Comercio, Exportación y Transferencia Ilegal (2003)</w:t>
            </w:r>
          </w:p>
        </w:tc>
        <w:tc>
          <w:tcPr>
            <w:tcW w:w="1359" w:type="dxa"/>
            <w:hideMark/>
          </w:tcPr>
          <w:p w14:paraId="7CE0A205"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50B4978C"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3B26A7E8"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221ED0E6" w14:textId="77777777" w:rsidTr="00860AAE">
        <w:trPr>
          <w:cnfStyle w:val="000000100000" w:firstRow="0" w:lastRow="0" w:firstColumn="0" w:lastColumn="0" w:oddVBand="0" w:evenVBand="0" w:oddHBand="1" w:evenHBand="0" w:firstRowFirstColumn="0" w:firstRowLastColumn="0" w:lastRowFirstColumn="0" w:lastRowLastColumn="0"/>
          <w:trHeight w:val="945"/>
        </w:trPr>
        <w:tc>
          <w:tcPr>
            <w:cnfStyle w:val="001000000000" w:firstRow="0" w:lastRow="0" w:firstColumn="1" w:lastColumn="0" w:oddVBand="0" w:evenVBand="0" w:oddHBand="0" w:evenHBand="0" w:firstRowFirstColumn="0" w:firstRowLastColumn="0" w:lastRowFirstColumn="0" w:lastRowLastColumn="0"/>
            <w:tcW w:w="1195" w:type="dxa"/>
            <w:hideMark/>
          </w:tcPr>
          <w:p w14:paraId="1FDDA2CA" w14:textId="77777777" w:rsidR="00860AAE" w:rsidRPr="00860AAE" w:rsidRDefault="00860AAE" w:rsidP="00860AAE">
            <w:pPr>
              <w:jc w:val="both"/>
            </w:pPr>
            <w:r w:rsidRPr="00860AAE">
              <w:t>Guyana</w:t>
            </w:r>
          </w:p>
        </w:tc>
        <w:tc>
          <w:tcPr>
            <w:tcW w:w="1463" w:type="dxa"/>
            <w:hideMark/>
          </w:tcPr>
          <w:p w14:paraId="14BAED03"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de Cooperación Económica y Comercial (2005)</w:t>
            </w:r>
          </w:p>
        </w:tc>
        <w:tc>
          <w:tcPr>
            <w:tcW w:w="1463" w:type="dxa"/>
            <w:hideMark/>
          </w:tcPr>
          <w:p w14:paraId="62234675"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7E52E372"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4CEC90A9"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2A76942A"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0920D54C" w14:textId="77777777" w:rsidTr="00860AAE">
        <w:trPr>
          <w:trHeight w:val="559"/>
        </w:trPr>
        <w:tc>
          <w:tcPr>
            <w:cnfStyle w:val="001000000000" w:firstRow="0" w:lastRow="0" w:firstColumn="1" w:lastColumn="0" w:oddVBand="0" w:evenVBand="0" w:oddHBand="0" w:evenHBand="0" w:firstRowFirstColumn="0" w:firstRowLastColumn="0" w:lastRowFirstColumn="0" w:lastRowLastColumn="0"/>
            <w:tcW w:w="1195" w:type="dxa"/>
            <w:hideMark/>
          </w:tcPr>
          <w:p w14:paraId="1340BF87" w14:textId="77777777" w:rsidR="00860AAE" w:rsidRPr="00860AAE" w:rsidRDefault="00860AAE" w:rsidP="00860AAE">
            <w:pPr>
              <w:jc w:val="both"/>
            </w:pPr>
            <w:r w:rsidRPr="00860AAE">
              <w:t>Honduras</w:t>
            </w:r>
          </w:p>
        </w:tc>
        <w:tc>
          <w:tcPr>
            <w:tcW w:w="1463" w:type="dxa"/>
            <w:hideMark/>
          </w:tcPr>
          <w:p w14:paraId="36006BD2"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de Exención de Visado (2001)</w:t>
            </w:r>
          </w:p>
        </w:tc>
        <w:tc>
          <w:tcPr>
            <w:tcW w:w="1463" w:type="dxa"/>
            <w:hideMark/>
          </w:tcPr>
          <w:p w14:paraId="49351F98"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1609EEED"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161FB25F"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590AA9CC"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239BF42E" w14:textId="77777777" w:rsidTr="00860AAE">
        <w:trPr>
          <w:cnfStyle w:val="000000100000" w:firstRow="0" w:lastRow="0" w:firstColumn="0" w:lastColumn="0" w:oddVBand="0" w:evenVBand="0" w:oddHBand="1" w:evenHBand="0" w:firstRowFirstColumn="0" w:firstRowLastColumn="0" w:lastRowFirstColumn="0" w:lastRowLastColumn="0"/>
          <w:trHeight w:val="1044"/>
        </w:trPr>
        <w:tc>
          <w:tcPr>
            <w:cnfStyle w:val="001000000000" w:firstRow="0" w:lastRow="0" w:firstColumn="1" w:lastColumn="0" w:oddVBand="0" w:evenVBand="0" w:oddHBand="0" w:evenHBand="0" w:firstRowFirstColumn="0" w:firstRowLastColumn="0" w:lastRowFirstColumn="0" w:lastRowLastColumn="0"/>
            <w:tcW w:w="1195" w:type="dxa"/>
            <w:hideMark/>
          </w:tcPr>
          <w:p w14:paraId="4BA38473" w14:textId="77777777" w:rsidR="00860AAE" w:rsidRPr="00860AAE" w:rsidRDefault="00860AAE" w:rsidP="00860AAE">
            <w:pPr>
              <w:jc w:val="both"/>
            </w:pPr>
            <w:r w:rsidRPr="00860AAE">
              <w:t>Jamaica</w:t>
            </w:r>
          </w:p>
        </w:tc>
        <w:tc>
          <w:tcPr>
            <w:tcW w:w="1463" w:type="dxa"/>
            <w:hideMark/>
          </w:tcPr>
          <w:p w14:paraId="5B1D0053"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de Cooperación Económica y Comercial (2001)</w:t>
            </w:r>
          </w:p>
        </w:tc>
        <w:tc>
          <w:tcPr>
            <w:tcW w:w="1463" w:type="dxa"/>
            <w:noWrap/>
            <w:hideMark/>
          </w:tcPr>
          <w:p w14:paraId="02A2541C"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2881757D"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0985028D"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4EBF7FF0"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2541553C" w14:textId="77777777" w:rsidTr="00860AAE">
        <w:trPr>
          <w:trHeight w:val="1154"/>
        </w:trPr>
        <w:tc>
          <w:tcPr>
            <w:cnfStyle w:val="001000000000" w:firstRow="0" w:lastRow="0" w:firstColumn="1" w:lastColumn="0" w:oddVBand="0" w:evenVBand="0" w:oddHBand="0" w:evenHBand="0" w:firstRowFirstColumn="0" w:firstRowLastColumn="0" w:lastRowFirstColumn="0" w:lastRowLastColumn="0"/>
            <w:tcW w:w="1195" w:type="dxa"/>
            <w:hideMark/>
          </w:tcPr>
          <w:p w14:paraId="30F341F5" w14:textId="77777777" w:rsidR="00860AAE" w:rsidRPr="00860AAE" w:rsidRDefault="00860AAE" w:rsidP="00860AAE">
            <w:pPr>
              <w:jc w:val="both"/>
            </w:pPr>
            <w:r w:rsidRPr="00860AAE">
              <w:t>México</w:t>
            </w:r>
          </w:p>
        </w:tc>
        <w:tc>
          <w:tcPr>
            <w:tcW w:w="1463" w:type="dxa"/>
            <w:hideMark/>
          </w:tcPr>
          <w:p w14:paraId="7F362526"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de Cooperación en el Campo de la Salud (2000)</w:t>
            </w:r>
          </w:p>
        </w:tc>
        <w:tc>
          <w:tcPr>
            <w:tcW w:w="1463" w:type="dxa"/>
            <w:hideMark/>
          </w:tcPr>
          <w:p w14:paraId="5B3C1824"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2B77084D"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1086490B"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0AACE106"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3BE04BA6" w14:textId="77777777" w:rsidTr="00860AAE">
        <w:trPr>
          <w:cnfStyle w:val="000000100000" w:firstRow="0" w:lastRow="0" w:firstColumn="0" w:lastColumn="0" w:oddVBand="0" w:evenVBand="0" w:oddHBand="1" w:evenHBand="0" w:firstRowFirstColumn="0" w:firstRowLastColumn="0" w:lastRowFirstColumn="0" w:lastRowLastColumn="0"/>
          <w:trHeight w:val="2409"/>
        </w:trPr>
        <w:tc>
          <w:tcPr>
            <w:cnfStyle w:val="001000000000" w:firstRow="0" w:lastRow="0" w:firstColumn="1" w:lastColumn="0" w:oddVBand="0" w:evenVBand="0" w:oddHBand="0" w:evenHBand="0" w:firstRowFirstColumn="0" w:firstRowLastColumn="0" w:lastRowFirstColumn="0" w:lastRowLastColumn="0"/>
            <w:tcW w:w="1195" w:type="dxa"/>
            <w:hideMark/>
          </w:tcPr>
          <w:p w14:paraId="566F9F29" w14:textId="77777777" w:rsidR="00860AAE" w:rsidRPr="00860AAE" w:rsidRDefault="00860AAE" w:rsidP="00860AAE">
            <w:pPr>
              <w:jc w:val="both"/>
            </w:pPr>
            <w:r w:rsidRPr="00860AAE">
              <w:t>Paraguay</w:t>
            </w:r>
          </w:p>
        </w:tc>
        <w:tc>
          <w:tcPr>
            <w:tcW w:w="1463" w:type="dxa"/>
            <w:hideMark/>
          </w:tcPr>
          <w:p w14:paraId="1339C2DC" w14:textId="77774E9C"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t>Memorándum</w:t>
            </w:r>
            <w:r w:rsidRPr="00860AAE">
              <w:t xml:space="preserve"> de Entendimiento para el Establecimiento de un Mecanismo de Consulta Política (2006)</w:t>
            </w:r>
          </w:p>
        </w:tc>
        <w:tc>
          <w:tcPr>
            <w:tcW w:w="1463" w:type="dxa"/>
            <w:hideMark/>
          </w:tcPr>
          <w:p w14:paraId="29F53908"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3F99A9D8"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05159751"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285ABBB8"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r w:rsidR="00860AAE" w:rsidRPr="00860AAE" w14:paraId="1F082638" w14:textId="77777777" w:rsidTr="00860AAE">
        <w:trPr>
          <w:trHeight w:val="2244"/>
        </w:trPr>
        <w:tc>
          <w:tcPr>
            <w:cnfStyle w:val="001000000000" w:firstRow="0" w:lastRow="0" w:firstColumn="1" w:lastColumn="0" w:oddVBand="0" w:evenVBand="0" w:oddHBand="0" w:evenHBand="0" w:firstRowFirstColumn="0" w:firstRowLastColumn="0" w:lastRowFirstColumn="0" w:lastRowLastColumn="0"/>
            <w:tcW w:w="1195" w:type="dxa"/>
            <w:hideMark/>
          </w:tcPr>
          <w:p w14:paraId="26C2F5EC" w14:textId="77777777" w:rsidR="00860AAE" w:rsidRPr="00860AAE" w:rsidRDefault="00860AAE" w:rsidP="00860AAE">
            <w:pPr>
              <w:jc w:val="both"/>
            </w:pPr>
            <w:r w:rsidRPr="00860AAE">
              <w:lastRenderedPageBreak/>
              <w:t>Organización de Estados Americanos</w:t>
            </w:r>
          </w:p>
        </w:tc>
        <w:tc>
          <w:tcPr>
            <w:tcW w:w="1463" w:type="dxa"/>
            <w:hideMark/>
          </w:tcPr>
          <w:p w14:paraId="206137AD"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r w:rsidRPr="00860AAE">
              <w:t>Acuerdo Marco de Cooperación entre la Secretaría General de la OEA y la República de Turquía (2004)</w:t>
            </w:r>
          </w:p>
        </w:tc>
        <w:tc>
          <w:tcPr>
            <w:tcW w:w="1463" w:type="dxa"/>
            <w:hideMark/>
          </w:tcPr>
          <w:p w14:paraId="4CA1B2A0"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724E889A"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49DB6C0A"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c>
          <w:tcPr>
            <w:tcW w:w="1359" w:type="dxa"/>
            <w:hideMark/>
          </w:tcPr>
          <w:p w14:paraId="01CC8B49" w14:textId="77777777" w:rsidR="00860AAE" w:rsidRPr="00860AAE" w:rsidRDefault="00860AAE" w:rsidP="00860AAE">
            <w:pPr>
              <w:jc w:val="both"/>
              <w:cnfStyle w:val="000000000000" w:firstRow="0" w:lastRow="0" w:firstColumn="0" w:lastColumn="0" w:oddVBand="0" w:evenVBand="0" w:oddHBand="0" w:evenHBand="0" w:firstRowFirstColumn="0" w:firstRowLastColumn="0" w:lastRowFirstColumn="0" w:lastRowLastColumn="0"/>
            </w:pPr>
          </w:p>
        </w:tc>
      </w:tr>
      <w:tr w:rsidR="00860AAE" w:rsidRPr="00860AAE" w14:paraId="2D2C054C" w14:textId="77777777" w:rsidTr="00860AAE">
        <w:trPr>
          <w:cnfStyle w:val="000000100000" w:firstRow="0" w:lastRow="0" w:firstColumn="0" w:lastColumn="0" w:oddVBand="0" w:evenVBand="0" w:oddHBand="1" w:evenHBand="0" w:firstRowFirstColumn="0" w:firstRowLastColumn="0" w:lastRowFirstColumn="0" w:lastRowLastColumn="0"/>
          <w:trHeight w:val="1656"/>
        </w:trPr>
        <w:tc>
          <w:tcPr>
            <w:cnfStyle w:val="001000000000" w:firstRow="0" w:lastRow="0" w:firstColumn="1" w:lastColumn="0" w:oddVBand="0" w:evenVBand="0" w:oddHBand="0" w:evenHBand="0" w:firstRowFirstColumn="0" w:firstRowLastColumn="0" w:lastRowFirstColumn="0" w:lastRowLastColumn="0"/>
            <w:tcW w:w="1195" w:type="dxa"/>
            <w:hideMark/>
          </w:tcPr>
          <w:p w14:paraId="16AEFCC1" w14:textId="77777777" w:rsidR="00860AAE" w:rsidRPr="00860AAE" w:rsidRDefault="00860AAE" w:rsidP="00860AAE">
            <w:pPr>
              <w:jc w:val="both"/>
            </w:pPr>
            <w:r w:rsidRPr="00860AAE">
              <w:t>Asociación de Estados del Caribe</w:t>
            </w:r>
          </w:p>
        </w:tc>
        <w:tc>
          <w:tcPr>
            <w:tcW w:w="1463" w:type="dxa"/>
            <w:hideMark/>
          </w:tcPr>
          <w:p w14:paraId="52232A64"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r w:rsidRPr="00860AAE">
              <w:t>Acuerdo Marco de Cooperación entre la República de Turquía y la AEC (2001)</w:t>
            </w:r>
          </w:p>
        </w:tc>
        <w:tc>
          <w:tcPr>
            <w:tcW w:w="1463" w:type="dxa"/>
            <w:hideMark/>
          </w:tcPr>
          <w:p w14:paraId="2A1E1399"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5EE2A32E"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379B0A4E"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c>
          <w:tcPr>
            <w:tcW w:w="1359" w:type="dxa"/>
            <w:hideMark/>
          </w:tcPr>
          <w:p w14:paraId="51E73012" w14:textId="77777777" w:rsidR="00860AAE" w:rsidRPr="00860AAE" w:rsidRDefault="00860AAE" w:rsidP="00860AAE">
            <w:pPr>
              <w:jc w:val="both"/>
              <w:cnfStyle w:val="000000100000" w:firstRow="0" w:lastRow="0" w:firstColumn="0" w:lastColumn="0" w:oddVBand="0" w:evenVBand="0" w:oddHBand="1" w:evenHBand="0" w:firstRowFirstColumn="0" w:firstRowLastColumn="0" w:lastRowFirstColumn="0" w:lastRowLastColumn="0"/>
            </w:pPr>
          </w:p>
        </w:tc>
      </w:tr>
    </w:tbl>
    <w:p w14:paraId="21404915" w14:textId="5BB1146C" w:rsidR="00555983" w:rsidRDefault="00860AAE" w:rsidP="00BF3C7F">
      <w:pPr>
        <w:jc w:val="center"/>
        <w:rPr>
          <w:sz w:val="20"/>
          <w:szCs w:val="20"/>
        </w:rPr>
      </w:pPr>
      <w:r w:rsidRPr="00860AAE">
        <w:rPr>
          <w:sz w:val="20"/>
          <w:szCs w:val="20"/>
        </w:rPr>
        <w:t>Fuente: Elaboración propia a partir de datos del Ministerio de Relaciones Exteriores de Turquía (2019).</w:t>
      </w:r>
    </w:p>
    <w:p w14:paraId="42D63405" w14:textId="5EDCE0A1" w:rsidR="006264C7" w:rsidRDefault="0055402D" w:rsidP="00591DFC">
      <w:pPr>
        <w:jc w:val="both"/>
      </w:pPr>
      <w:r>
        <w:t xml:space="preserve">Como se puede observar en la Tabla 1, los acuerdos de carácter de Cooperación, de Consultas Políticas y Memorándums de Entendimiento se establecieron principalmente durante la primera mitad de la primera década del siglo XXI. Si se toma en cuenta la década de los 90s, es durante estos 17 años donde Turquía tendría la mayor cantidad de acuerdos y tratados políticos y diplomáticos con los países de la región (Ministerio de Relaciones Exteriores de Turquía, 2019). Esto parece confirmar lo establecido por González (2012) en que el año 2006 fue un parteaguas para las relaciones entre las partes. En efecto, Turquía dejó de primar la aproximación política y diplomática de cooperación y entendimiento, </w:t>
      </w:r>
      <w:r w:rsidR="00504777">
        <w:t>para priorizar</w:t>
      </w:r>
      <w:r>
        <w:t>, por otro lado, el comercio con la región y la negocia</w:t>
      </w:r>
      <w:r w:rsidR="00504777">
        <w:t xml:space="preserve">ción </w:t>
      </w:r>
      <w:r>
        <w:t>y establec</w:t>
      </w:r>
      <w:r w:rsidR="00504777">
        <w:t xml:space="preserve">imiento de </w:t>
      </w:r>
      <w:r>
        <w:t xml:space="preserve">tratados de libre comercio (TLC) con sus principales socios. </w:t>
      </w:r>
    </w:p>
    <w:p w14:paraId="222BD460" w14:textId="25B748EB" w:rsidR="006264C7" w:rsidRDefault="006264C7" w:rsidP="00591DFC">
      <w:pPr>
        <w:jc w:val="both"/>
      </w:pPr>
      <w:r>
        <w:t>Dado el cambio de importancia en las relaciones entre Turquía y América Latina desde el 2006 se considera que el énfasis debe ubicarse en sus relaciones económicas</w:t>
      </w:r>
      <w:r w:rsidR="00504777">
        <w:t xml:space="preserve"> </w:t>
      </w:r>
      <w:r>
        <w:t xml:space="preserve">, por encima de sus relaciones políticas, culturales y de cooperación. Esto a su vez viene a confirmar la tesis del Estado Comercial Turco de Kemal </w:t>
      </w:r>
      <w:r w:rsidR="00B52E8A" w:rsidRPr="00B52E8A">
        <w:t>Kirişci</w:t>
      </w:r>
      <w:r w:rsidR="00B52E8A">
        <w:t xml:space="preserve"> (2009)</w:t>
      </w:r>
      <w:r>
        <w:t xml:space="preserve">, al menos en sus relaciones con Latinoamérica y el Caribe. Por lo tanto, la tabla 2 ofrece el panorama de comercio entre América Latina y el Caribe con Turquía desde 2003 al 2018. Cabe afirmar que los datos ofrecidos, provenientes del Instituto Turco de Estadística (2019), refieren a las zonas geográficas de Centroamérica y </w:t>
      </w:r>
      <w:r w:rsidR="004A4041">
        <w:t xml:space="preserve">Sudamérica. Esto sucede dado que el Instituto Turco de Estadística no provee información para toda América Latina y el Caribe, sino que divide el continente americano en Norteamérica, Centroamérica y el Caribe y Sudamérica. Esta división genera el problema de no poder contar a México dentro de los datos, ya que de lo contrario, se deberá a su vez de tomar en cuenta a Canadá y Estados Unidos, sobredimensionando las relaciones comerciales. Por lo tanto, se hace la nota aclaratoria de que los datos a presentar tienen esta limitante, no permitiendo incorporar a México. </w:t>
      </w:r>
    </w:p>
    <w:p w14:paraId="6450F080" w14:textId="4E133779" w:rsidR="004A4041" w:rsidRDefault="004A4041" w:rsidP="00591DFC">
      <w:pPr>
        <w:jc w:val="both"/>
      </w:pPr>
    </w:p>
    <w:p w14:paraId="5243F2AD" w14:textId="13C1A8E6" w:rsidR="004A4041" w:rsidRDefault="004A4041" w:rsidP="00591DFC">
      <w:pPr>
        <w:jc w:val="both"/>
      </w:pPr>
    </w:p>
    <w:p w14:paraId="07792F10" w14:textId="4F0F326F" w:rsidR="004A4041" w:rsidRDefault="004A4041" w:rsidP="00591DFC">
      <w:pPr>
        <w:jc w:val="both"/>
      </w:pPr>
    </w:p>
    <w:p w14:paraId="150E99F4" w14:textId="6B9B4B43" w:rsidR="004A4041" w:rsidRPr="004A4041" w:rsidRDefault="004A4041" w:rsidP="004A4041">
      <w:pPr>
        <w:jc w:val="center"/>
        <w:rPr>
          <w:b/>
          <w:bCs/>
        </w:rPr>
      </w:pPr>
      <w:r w:rsidRPr="004A4041">
        <w:rPr>
          <w:b/>
          <w:bCs/>
        </w:rPr>
        <w:lastRenderedPageBreak/>
        <w:t>Tabla 2. Exportaciones, Importaciones y Balanza Comercial de Turquía con América Latina y el Caribe en US$ Millones de Dólares, 2003- 2018</w:t>
      </w:r>
    </w:p>
    <w:tbl>
      <w:tblPr>
        <w:tblStyle w:val="Tablaconcuadrcula5oscura-nfasis3"/>
        <w:tblW w:w="0" w:type="auto"/>
        <w:jc w:val="center"/>
        <w:tblLook w:val="04A0" w:firstRow="1" w:lastRow="0" w:firstColumn="1" w:lastColumn="0" w:noHBand="0" w:noVBand="1"/>
      </w:tblPr>
      <w:tblGrid>
        <w:gridCol w:w="1047"/>
        <w:gridCol w:w="1505"/>
        <w:gridCol w:w="1534"/>
        <w:gridCol w:w="1142"/>
      </w:tblGrid>
      <w:tr w:rsidR="004A4041" w:rsidRPr="004A4041" w14:paraId="0CB82CF0" w14:textId="77777777" w:rsidTr="004A4041">
        <w:trPr>
          <w:cnfStyle w:val="100000000000" w:firstRow="1" w:lastRow="0" w:firstColumn="0" w:lastColumn="0" w:oddVBand="0" w:evenVBand="0" w:oddHBand="0"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052B7E95" w14:textId="77777777" w:rsidR="004A4041" w:rsidRPr="004A4041" w:rsidRDefault="004A4041" w:rsidP="004A4041">
            <w:pPr>
              <w:jc w:val="center"/>
            </w:pPr>
          </w:p>
        </w:tc>
        <w:tc>
          <w:tcPr>
            <w:tcW w:w="1291" w:type="dxa"/>
            <w:hideMark/>
          </w:tcPr>
          <w:p w14:paraId="70A3C3C9" w14:textId="77777777" w:rsidR="004A4041" w:rsidRPr="004A4041" w:rsidRDefault="004A4041" w:rsidP="004A4041">
            <w:pPr>
              <w:jc w:val="center"/>
              <w:cnfStyle w:val="100000000000" w:firstRow="1" w:lastRow="0" w:firstColumn="0" w:lastColumn="0" w:oddVBand="0" w:evenVBand="0" w:oddHBand="0" w:evenHBand="0" w:firstRowFirstColumn="0" w:firstRowLastColumn="0" w:lastRowFirstColumn="0" w:lastRowLastColumn="0"/>
            </w:pPr>
            <w:r w:rsidRPr="004A4041">
              <w:t>Exportaciones</w:t>
            </w:r>
          </w:p>
        </w:tc>
        <w:tc>
          <w:tcPr>
            <w:tcW w:w="1320" w:type="dxa"/>
            <w:hideMark/>
          </w:tcPr>
          <w:p w14:paraId="559AF5EC" w14:textId="77777777" w:rsidR="004A4041" w:rsidRPr="004A4041" w:rsidRDefault="004A4041" w:rsidP="004A4041">
            <w:pPr>
              <w:jc w:val="center"/>
              <w:cnfStyle w:val="100000000000" w:firstRow="1" w:lastRow="0" w:firstColumn="0" w:lastColumn="0" w:oddVBand="0" w:evenVBand="0" w:oddHBand="0" w:evenHBand="0" w:firstRowFirstColumn="0" w:firstRowLastColumn="0" w:lastRowFirstColumn="0" w:lastRowLastColumn="0"/>
            </w:pPr>
            <w:r w:rsidRPr="004A4041">
              <w:t>Importaciones</w:t>
            </w:r>
          </w:p>
        </w:tc>
        <w:tc>
          <w:tcPr>
            <w:tcW w:w="1142" w:type="dxa"/>
            <w:hideMark/>
          </w:tcPr>
          <w:p w14:paraId="34D93AF9" w14:textId="77777777" w:rsidR="004A4041" w:rsidRPr="004A4041" w:rsidRDefault="004A4041" w:rsidP="004A4041">
            <w:pPr>
              <w:jc w:val="center"/>
              <w:cnfStyle w:val="100000000000" w:firstRow="1" w:lastRow="0" w:firstColumn="0" w:lastColumn="0" w:oddVBand="0" w:evenVBand="0" w:oddHBand="0" w:evenHBand="0" w:firstRowFirstColumn="0" w:firstRowLastColumn="0" w:lastRowFirstColumn="0" w:lastRowLastColumn="0"/>
            </w:pPr>
            <w:r w:rsidRPr="004A4041">
              <w:t>Balanza Comercial</w:t>
            </w:r>
          </w:p>
        </w:tc>
      </w:tr>
      <w:tr w:rsidR="004A4041" w:rsidRPr="004A4041" w14:paraId="3DF80F0C"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10A0BBCC" w14:textId="77777777" w:rsidR="004A4041" w:rsidRPr="004A4041" w:rsidRDefault="004A4041" w:rsidP="004A4041">
            <w:pPr>
              <w:jc w:val="center"/>
            </w:pPr>
            <w:r w:rsidRPr="004A4041">
              <w:t>2003</w:t>
            </w:r>
          </w:p>
        </w:tc>
        <w:tc>
          <w:tcPr>
            <w:tcW w:w="1291" w:type="dxa"/>
            <w:hideMark/>
          </w:tcPr>
          <w:p w14:paraId="015134F7"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297</w:t>
            </w:r>
          </w:p>
        </w:tc>
        <w:tc>
          <w:tcPr>
            <w:tcW w:w="1320" w:type="dxa"/>
            <w:hideMark/>
          </w:tcPr>
          <w:p w14:paraId="23698F85"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1182</w:t>
            </w:r>
          </w:p>
        </w:tc>
        <w:tc>
          <w:tcPr>
            <w:tcW w:w="1142" w:type="dxa"/>
            <w:hideMark/>
          </w:tcPr>
          <w:p w14:paraId="23B3A61B"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-885</w:t>
            </w:r>
          </w:p>
        </w:tc>
      </w:tr>
      <w:tr w:rsidR="004A4041" w:rsidRPr="004A4041" w14:paraId="5A1CD9C9"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70660826" w14:textId="77777777" w:rsidR="004A4041" w:rsidRPr="004A4041" w:rsidRDefault="004A4041" w:rsidP="004A4041">
            <w:pPr>
              <w:jc w:val="center"/>
            </w:pPr>
            <w:r w:rsidRPr="004A4041">
              <w:t>2004</w:t>
            </w:r>
          </w:p>
        </w:tc>
        <w:tc>
          <w:tcPr>
            <w:tcW w:w="1291" w:type="dxa"/>
            <w:hideMark/>
          </w:tcPr>
          <w:p w14:paraId="15539896"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526</w:t>
            </w:r>
          </w:p>
        </w:tc>
        <w:tc>
          <w:tcPr>
            <w:tcW w:w="1320" w:type="dxa"/>
            <w:hideMark/>
          </w:tcPr>
          <w:p w14:paraId="431172DB"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1481</w:t>
            </w:r>
          </w:p>
        </w:tc>
        <w:tc>
          <w:tcPr>
            <w:tcW w:w="1142" w:type="dxa"/>
            <w:hideMark/>
          </w:tcPr>
          <w:p w14:paraId="0F701686"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-955</w:t>
            </w:r>
          </w:p>
        </w:tc>
      </w:tr>
      <w:tr w:rsidR="004A4041" w:rsidRPr="004A4041" w14:paraId="5B5D4186"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1FDBDC52" w14:textId="77777777" w:rsidR="004A4041" w:rsidRPr="004A4041" w:rsidRDefault="004A4041" w:rsidP="004A4041">
            <w:pPr>
              <w:jc w:val="center"/>
            </w:pPr>
            <w:r w:rsidRPr="004A4041">
              <w:t>2005</w:t>
            </w:r>
          </w:p>
        </w:tc>
        <w:tc>
          <w:tcPr>
            <w:tcW w:w="1291" w:type="dxa"/>
            <w:hideMark/>
          </w:tcPr>
          <w:p w14:paraId="50A009A2"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685</w:t>
            </w:r>
          </w:p>
        </w:tc>
        <w:tc>
          <w:tcPr>
            <w:tcW w:w="1320" w:type="dxa"/>
            <w:hideMark/>
          </w:tcPr>
          <w:p w14:paraId="269E6F82"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2035</w:t>
            </w:r>
          </w:p>
        </w:tc>
        <w:tc>
          <w:tcPr>
            <w:tcW w:w="1142" w:type="dxa"/>
            <w:hideMark/>
          </w:tcPr>
          <w:p w14:paraId="27289808"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-1350</w:t>
            </w:r>
          </w:p>
        </w:tc>
      </w:tr>
      <w:tr w:rsidR="004A4041" w:rsidRPr="004A4041" w14:paraId="00D880BA"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23A78A9F" w14:textId="77777777" w:rsidR="004A4041" w:rsidRPr="004A4041" w:rsidRDefault="004A4041" w:rsidP="004A4041">
            <w:pPr>
              <w:jc w:val="center"/>
            </w:pPr>
            <w:r w:rsidRPr="004A4041">
              <w:t>2006</w:t>
            </w:r>
          </w:p>
        </w:tc>
        <w:tc>
          <w:tcPr>
            <w:tcW w:w="1291" w:type="dxa"/>
            <w:hideMark/>
          </w:tcPr>
          <w:p w14:paraId="6D7DC08A"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889</w:t>
            </w:r>
          </w:p>
        </w:tc>
        <w:tc>
          <w:tcPr>
            <w:tcW w:w="1320" w:type="dxa"/>
            <w:hideMark/>
          </w:tcPr>
          <w:p w14:paraId="0C50529D"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2466</w:t>
            </w:r>
          </w:p>
        </w:tc>
        <w:tc>
          <w:tcPr>
            <w:tcW w:w="1142" w:type="dxa"/>
            <w:hideMark/>
          </w:tcPr>
          <w:p w14:paraId="007E1AD8"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-1577</w:t>
            </w:r>
          </w:p>
        </w:tc>
      </w:tr>
      <w:tr w:rsidR="004A4041" w:rsidRPr="004A4041" w14:paraId="279F02E2"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0CCF1227" w14:textId="77777777" w:rsidR="004A4041" w:rsidRPr="004A4041" w:rsidRDefault="004A4041" w:rsidP="004A4041">
            <w:pPr>
              <w:jc w:val="center"/>
            </w:pPr>
            <w:r w:rsidRPr="004A4041">
              <w:t>2007</w:t>
            </w:r>
          </w:p>
        </w:tc>
        <w:tc>
          <w:tcPr>
            <w:tcW w:w="1291" w:type="dxa"/>
            <w:hideMark/>
          </w:tcPr>
          <w:p w14:paraId="7EF81214"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1063</w:t>
            </w:r>
          </w:p>
        </w:tc>
        <w:tc>
          <w:tcPr>
            <w:tcW w:w="1320" w:type="dxa"/>
            <w:hideMark/>
          </w:tcPr>
          <w:p w14:paraId="0DDA8BC4"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3119</w:t>
            </w:r>
          </w:p>
        </w:tc>
        <w:tc>
          <w:tcPr>
            <w:tcW w:w="1142" w:type="dxa"/>
            <w:hideMark/>
          </w:tcPr>
          <w:p w14:paraId="14309A60"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-2056</w:t>
            </w:r>
          </w:p>
        </w:tc>
      </w:tr>
      <w:tr w:rsidR="004A4041" w:rsidRPr="004A4041" w14:paraId="37BBB428"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hideMark/>
          </w:tcPr>
          <w:p w14:paraId="1A3E5FD0" w14:textId="77777777" w:rsidR="004A4041" w:rsidRPr="004A4041" w:rsidRDefault="004A4041" w:rsidP="004A4041">
            <w:pPr>
              <w:jc w:val="center"/>
            </w:pPr>
            <w:r w:rsidRPr="004A4041">
              <w:t>2008</w:t>
            </w:r>
          </w:p>
        </w:tc>
        <w:tc>
          <w:tcPr>
            <w:tcW w:w="1291" w:type="dxa"/>
            <w:hideMark/>
          </w:tcPr>
          <w:p w14:paraId="65EE5B84"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1730</w:t>
            </w:r>
          </w:p>
        </w:tc>
        <w:tc>
          <w:tcPr>
            <w:tcW w:w="1320" w:type="dxa"/>
            <w:hideMark/>
          </w:tcPr>
          <w:p w14:paraId="0439D68F"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3820</w:t>
            </w:r>
          </w:p>
        </w:tc>
        <w:tc>
          <w:tcPr>
            <w:tcW w:w="1142" w:type="dxa"/>
            <w:hideMark/>
          </w:tcPr>
          <w:p w14:paraId="39E8EC3D"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-2090</w:t>
            </w:r>
          </w:p>
        </w:tc>
      </w:tr>
      <w:tr w:rsidR="004A4041" w:rsidRPr="004A4041" w14:paraId="2F96C44E"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36FB2DC3" w14:textId="77777777" w:rsidR="004A4041" w:rsidRPr="004A4041" w:rsidRDefault="004A4041" w:rsidP="004A4041">
            <w:pPr>
              <w:jc w:val="center"/>
            </w:pPr>
            <w:r w:rsidRPr="004A4041">
              <w:t>2009</w:t>
            </w:r>
          </w:p>
        </w:tc>
        <w:tc>
          <w:tcPr>
            <w:tcW w:w="1291" w:type="dxa"/>
            <w:noWrap/>
            <w:hideMark/>
          </w:tcPr>
          <w:p w14:paraId="5D175367"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1298</w:t>
            </w:r>
          </w:p>
        </w:tc>
        <w:tc>
          <w:tcPr>
            <w:tcW w:w="1320" w:type="dxa"/>
            <w:noWrap/>
            <w:hideMark/>
          </w:tcPr>
          <w:p w14:paraId="62E76DC8"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2761</w:t>
            </w:r>
          </w:p>
        </w:tc>
        <w:tc>
          <w:tcPr>
            <w:tcW w:w="1142" w:type="dxa"/>
            <w:noWrap/>
            <w:hideMark/>
          </w:tcPr>
          <w:p w14:paraId="636B89EA"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-1463</w:t>
            </w:r>
          </w:p>
        </w:tc>
      </w:tr>
      <w:tr w:rsidR="004A4041" w:rsidRPr="004A4041" w14:paraId="688E563A"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45F5A633" w14:textId="77777777" w:rsidR="004A4041" w:rsidRPr="004A4041" w:rsidRDefault="004A4041" w:rsidP="004A4041">
            <w:pPr>
              <w:jc w:val="center"/>
            </w:pPr>
            <w:r w:rsidRPr="004A4041">
              <w:t>2010</w:t>
            </w:r>
          </w:p>
        </w:tc>
        <w:tc>
          <w:tcPr>
            <w:tcW w:w="1291" w:type="dxa"/>
            <w:noWrap/>
            <w:hideMark/>
          </w:tcPr>
          <w:p w14:paraId="7BF5BF67"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1834</w:t>
            </w:r>
          </w:p>
        </w:tc>
        <w:tc>
          <w:tcPr>
            <w:tcW w:w="1320" w:type="dxa"/>
            <w:noWrap/>
            <w:hideMark/>
          </w:tcPr>
          <w:p w14:paraId="1DBCBA32"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3564</w:t>
            </w:r>
          </w:p>
        </w:tc>
        <w:tc>
          <w:tcPr>
            <w:tcW w:w="1142" w:type="dxa"/>
            <w:noWrap/>
            <w:hideMark/>
          </w:tcPr>
          <w:p w14:paraId="6C3FD9AB"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-1730</w:t>
            </w:r>
          </w:p>
        </w:tc>
      </w:tr>
      <w:tr w:rsidR="004A4041" w:rsidRPr="004A4041" w14:paraId="3B0DF09E"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378ED87F" w14:textId="77777777" w:rsidR="004A4041" w:rsidRPr="004A4041" w:rsidRDefault="004A4041" w:rsidP="004A4041">
            <w:pPr>
              <w:jc w:val="center"/>
            </w:pPr>
            <w:r w:rsidRPr="004A4041">
              <w:t>2011</w:t>
            </w:r>
          </w:p>
        </w:tc>
        <w:tc>
          <w:tcPr>
            <w:tcW w:w="1291" w:type="dxa"/>
            <w:noWrap/>
            <w:hideMark/>
          </w:tcPr>
          <w:p w14:paraId="7E14496A"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2466</w:t>
            </w:r>
          </w:p>
        </w:tc>
        <w:tc>
          <w:tcPr>
            <w:tcW w:w="1320" w:type="dxa"/>
            <w:noWrap/>
            <w:hideMark/>
          </w:tcPr>
          <w:p w14:paraId="6B515A12"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5403</w:t>
            </w:r>
          </w:p>
        </w:tc>
        <w:tc>
          <w:tcPr>
            <w:tcW w:w="1142" w:type="dxa"/>
            <w:noWrap/>
            <w:hideMark/>
          </w:tcPr>
          <w:p w14:paraId="2AF95A67"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-2937</w:t>
            </w:r>
          </w:p>
        </w:tc>
      </w:tr>
      <w:tr w:rsidR="004A4041" w:rsidRPr="004A4041" w14:paraId="2DF4EC65"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20D4B704" w14:textId="77777777" w:rsidR="004A4041" w:rsidRPr="004A4041" w:rsidRDefault="004A4041" w:rsidP="004A4041">
            <w:pPr>
              <w:jc w:val="center"/>
            </w:pPr>
            <w:r w:rsidRPr="004A4041">
              <w:t>2012</w:t>
            </w:r>
          </w:p>
        </w:tc>
        <w:tc>
          <w:tcPr>
            <w:tcW w:w="1291" w:type="dxa"/>
            <w:noWrap/>
            <w:hideMark/>
          </w:tcPr>
          <w:p w14:paraId="1B7DD139"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2960</w:t>
            </w:r>
          </w:p>
        </w:tc>
        <w:tc>
          <w:tcPr>
            <w:tcW w:w="1320" w:type="dxa"/>
            <w:noWrap/>
            <w:hideMark/>
          </w:tcPr>
          <w:p w14:paraId="44D03719"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5148</w:t>
            </w:r>
          </w:p>
        </w:tc>
        <w:tc>
          <w:tcPr>
            <w:tcW w:w="1142" w:type="dxa"/>
            <w:noWrap/>
            <w:hideMark/>
          </w:tcPr>
          <w:p w14:paraId="02DE8730"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-2188</w:t>
            </w:r>
          </w:p>
        </w:tc>
      </w:tr>
      <w:tr w:rsidR="004A4041" w:rsidRPr="004A4041" w14:paraId="6E17CE48"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281D9BC3" w14:textId="77777777" w:rsidR="004A4041" w:rsidRPr="004A4041" w:rsidRDefault="004A4041" w:rsidP="004A4041">
            <w:pPr>
              <w:jc w:val="center"/>
            </w:pPr>
            <w:r w:rsidRPr="004A4041">
              <w:t>2013</w:t>
            </w:r>
          </w:p>
        </w:tc>
        <w:tc>
          <w:tcPr>
            <w:tcW w:w="1291" w:type="dxa"/>
            <w:noWrap/>
            <w:hideMark/>
          </w:tcPr>
          <w:p w14:paraId="12ED53BF"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3130</w:t>
            </w:r>
          </w:p>
        </w:tc>
        <w:tc>
          <w:tcPr>
            <w:tcW w:w="1320" w:type="dxa"/>
            <w:noWrap/>
            <w:hideMark/>
          </w:tcPr>
          <w:p w14:paraId="35B279F0"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5027</w:t>
            </w:r>
          </w:p>
        </w:tc>
        <w:tc>
          <w:tcPr>
            <w:tcW w:w="1142" w:type="dxa"/>
            <w:noWrap/>
            <w:hideMark/>
          </w:tcPr>
          <w:p w14:paraId="1AFCC4D5"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-1897</w:t>
            </w:r>
          </w:p>
        </w:tc>
      </w:tr>
      <w:tr w:rsidR="004A4041" w:rsidRPr="004A4041" w14:paraId="770B5CA8"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2251951F" w14:textId="77777777" w:rsidR="004A4041" w:rsidRPr="004A4041" w:rsidRDefault="004A4041" w:rsidP="004A4041">
            <w:pPr>
              <w:jc w:val="center"/>
            </w:pPr>
            <w:r w:rsidRPr="004A4041">
              <w:t>2014</w:t>
            </w:r>
          </w:p>
        </w:tc>
        <w:tc>
          <w:tcPr>
            <w:tcW w:w="1291" w:type="dxa"/>
            <w:noWrap/>
            <w:hideMark/>
          </w:tcPr>
          <w:p w14:paraId="2ED28E92"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2790</w:t>
            </w:r>
          </w:p>
        </w:tc>
        <w:tc>
          <w:tcPr>
            <w:tcW w:w="1320" w:type="dxa"/>
            <w:noWrap/>
            <w:hideMark/>
          </w:tcPr>
          <w:p w14:paraId="5EB43561"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5057</w:t>
            </w:r>
          </w:p>
        </w:tc>
        <w:tc>
          <w:tcPr>
            <w:tcW w:w="1142" w:type="dxa"/>
            <w:noWrap/>
            <w:hideMark/>
          </w:tcPr>
          <w:p w14:paraId="4270A8DF"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-2267</w:t>
            </w:r>
          </w:p>
        </w:tc>
      </w:tr>
      <w:tr w:rsidR="004A4041" w:rsidRPr="004A4041" w14:paraId="2503A84A"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09EE9D95" w14:textId="77777777" w:rsidR="004A4041" w:rsidRPr="004A4041" w:rsidRDefault="004A4041" w:rsidP="004A4041">
            <w:pPr>
              <w:jc w:val="center"/>
            </w:pPr>
            <w:r w:rsidRPr="004A4041">
              <w:t>2015</w:t>
            </w:r>
          </w:p>
        </w:tc>
        <w:tc>
          <w:tcPr>
            <w:tcW w:w="1291" w:type="dxa"/>
            <w:noWrap/>
            <w:hideMark/>
          </w:tcPr>
          <w:p w14:paraId="22201D0B"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2157</w:t>
            </w:r>
          </w:p>
        </w:tc>
        <w:tc>
          <w:tcPr>
            <w:tcW w:w="1320" w:type="dxa"/>
            <w:noWrap/>
            <w:hideMark/>
          </w:tcPr>
          <w:p w14:paraId="45070683"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4700</w:t>
            </w:r>
          </w:p>
        </w:tc>
        <w:tc>
          <w:tcPr>
            <w:tcW w:w="1142" w:type="dxa"/>
            <w:noWrap/>
            <w:hideMark/>
          </w:tcPr>
          <w:p w14:paraId="3991AF6D"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-2543</w:t>
            </w:r>
          </w:p>
        </w:tc>
      </w:tr>
      <w:tr w:rsidR="004A4041" w:rsidRPr="004A4041" w14:paraId="49580059"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185BE17F" w14:textId="77777777" w:rsidR="004A4041" w:rsidRPr="004A4041" w:rsidRDefault="004A4041" w:rsidP="004A4041">
            <w:pPr>
              <w:jc w:val="center"/>
            </w:pPr>
            <w:r w:rsidRPr="004A4041">
              <w:t>2016</w:t>
            </w:r>
          </w:p>
        </w:tc>
        <w:tc>
          <w:tcPr>
            <w:tcW w:w="1291" w:type="dxa"/>
            <w:noWrap/>
            <w:hideMark/>
          </w:tcPr>
          <w:p w14:paraId="17E68AF9"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1940</w:t>
            </w:r>
          </w:p>
        </w:tc>
        <w:tc>
          <w:tcPr>
            <w:tcW w:w="1320" w:type="dxa"/>
            <w:noWrap/>
            <w:hideMark/>
          </w:tcPr>
          <w:p w14:paraId="026E3107"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5059</w:t>
            </w:r>
          </w:p>
        </w:tc>
        <w:tc>
          <w:tcPr>
            <w:tcW w:w="1142" w:type="dxa"/>
            <w:noWrap/>
            <w:hideMark/>
          </w:tcPr>
          <w:p w14:paraId="585B805B"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-3119</w:t>
            </w:r>
          </w:p>
        </w:tc>
      </w:tr>
      <w:tr w:rsidR="004A4041" w:rsidRPr="004A4041" w14:paraId="212049EA" w14:textId="77777777" w:rsidTr="004A404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50122648" w14:textId="77777777" w:rsidR="004A4041" w:rsidRPr="004A4041" w:rsidRDefault="004A4041" w:rsidP="004A4041">
            <w:pPr>
              <w:jc w:val="center"/>
            </w:pPr>
            <w:r w:rsidRPr="004A4041">
              <w:t>2017</w:t>
            </w:r>
          </w:p>
        </w:tc>
        <w:tc>
          <w:tcPr>
            <w:tcW w:w="1291" w:type="dxa"/>
            <w:noWrap/>
            <w:hideMark/>
          </w:tcPr>
          <w:p w14:paraId="63536ABA"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2465</w:t>
            </w:r>
          </w:p>
        </w:tc>
        <w:tc>
          <w:tcPr>
            <w:tcW w:w="1320" w:type="dxa"/>
            <w:noWrap/>
            <w:hideMark/>
          </w:tcPr>
          <w:p w14:paraId="123241DB"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6890</w:t>
            </w:r>
          </w:p>
        </w:tc>
        <w:tc>
          <w:tcPr>
            <w:tcW w:w="1142" w:type="dxa"/>
            <w:noWrap/>
            <w:hideMark/>
          </w:tcPr>
          <w:p w14:paraId="2D1531B2" w14:textId="77777777" w:rsidR="004A4041" w:rsidRPr="004A4041" w:rsidRDefault="004A4041" w:rsidP="004A4041">
            <w:pPr>
              <w:jc w:val="center"/>
              <w:cnfStyle w:val="000000100000" w:firstRow="0" w:lastRow="0" w:firstColumn="0" w:lastColumn="0" w:oddVBand="0" w:evenVBand="0" w:oddHBand="1" w:evenHBand="0" w:firstRowFirstColumn="0" w:firstRowLastColumn="0" w:lastRowFirstColumn="0" w:lastRowLastColumn="0"/>
            </w:pPr>
            <w:r w:rsidRPr="004A4041">
              <w:t>-4425</w:t>
            </w:r>
          </w:p>
        </w:tc>
      </w:tr>
      <w:tr w:rsidR="004A4041" w:rsidRPr="004A4041" w14:paraId="036EF54D" w14:textId="77777777" w:rsidTr="004A4041">
        <w:trPr>
          <w:trHeight w:val="300"/>
          <w:jc w:val="center"/>
        </w:trPr>
        <w:tc>
          <w:tcPr>
            <w:cnfStyle w:val="001000000000" w:firstRow="0" w:lastRow="0" w:firstColumn="1" w:lastColumn="0" w:oddVBand="0" w:evenVBand="0" w:oddHBand="0" w:evenHBand="0" w:firstRowFirstColumn="0" w:firstRowLastColumn="0" w:lastRowFirstColumn="0" w:lastRowLastColumn="0"/>
            <w:tcW w:w="1047" w:type="dxa"/>
            <w:noWrap/>
            <w:hideMark/>
          </w:tcPr>
          <w:p w14:paraId="6EC05E16" w14:textId="77777777" w:rsidR="004A4041" w:rsidRPr="004A4041" w:rsidRDefault="004A4041" w:rsidP="004A4041">
            <w:pPr>
              <w:jc w:val="center"/>
            </w:pPr>
            <w:r w:rsidRPr="004A4041">
              <w:t>2018</w:t>
            </w:r>
          </w:p>
        </w:tc>
        <w:tc>
          <w:tcPr>
            <w:tcW w:w="1291" w:type="dxa"/>
            <w:noWrap/>
            <w:hideMark/>
          </w:tcPr>
          <w:p w14:paraId="64E66827"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3244</w:t>
            </w:r>
          </w:p>
        </w:tc>
        <w:tc>
          <w:tcPr>
            <w:tcW w:w="1320" w:type="dxa"/>
            <w:noWrap/>
            <w:hideMark/>
          </w:tcPr>
          <w:p w14:paraId="76368B3D"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8560</w:t>
            </w:r>
          </w:p>
        </w:tc>
        <w:tc>
          <w:tcPr>
            <w:tcW w:w="1142" w:type="dxa"/>
            <w:noWrap/>
            <w:hideMark/>
          </w:tcPr>
          <w:p w14:paraId="258892A8" w14:textId="77777777" w:rsidR="004A4041" w:rsidRPr="004A4041" w:rsidRDefault="004A4041" w:rsidP="004A4041">
            <w:pPr>
              <w:jc w:val="center"/>
              <w:cnfStyle w:val="000000000000" w:firstRow="0" w:lastRow="0" w:firstColumn="0" w:lastColumn="0" w:oddVBand="0" w:evenVBand="0" w:oddHBand="0" w:evenHBand="0" w:firstRowFirstColumn="0" w:firstRowLastColumn="0" w:lastRowFirstColumn="0" w:lastRowLastColumn="0"/>
            </w:pPr>
            <w:r w:rsidRPr="004A4041">
              <w:t>-5316</w:t>
            </w:r>
          </w:p>
        </w:tc>
      </w:tr>
    </w:tbl>
    <w:p w14:paraId="4DCACC68" w14:textId="22FFF73D" w:rsidR="00F01E14" w:rsidRPr="00657942" w:rsidRDefault="00657942" w:rsidP="00657942">
      <w:pPr>
        <w:jc w:val="center"/>
        <w:rPr>
          <w:sz w:val="20"/>
          <w:szCs w:val="20"/>
        </w:rPr>
      </w:pPr>
      <w:r w:rsidRPr="00657942">
        <w:rPr>
          <w:sz w:val="20"/>
          <w:szCs w:val="20"/>
        </w:rPr>
        <w:t xml:space="preserve">Fuente: Elaboración propia con base en González (2016, p. 73) y datos del Instituto Turco de Estadística (2019). </w:t>
      </w:r>
    </w:p>
    <w:p w14:paraId="0619F97E" w14:textId="2A4C8FEB" w:rsidR="004E57D3" w:rsidRDefault="00657942" w:rsidP="00591DFC">
      <w:pPr>
        <w:jc w:val="both"/>
      </w:pPr>
      <w:r>
        <w:t xml:space="preserve">Como se puede ver, las relaciones entre Turquía y América Latina empiezan a dinamizarse desde el año 2007, aunque sintiendo las repercusiones de la crisis económica global del 2008. Desde el 2003 el comercio total (las exportaciones e importaciones turcas en relación con América Latina y el Caribe) han aumentado un 798,10%, o casi un 800%, mientras que las exportaciones turcas hacia ALC han aumentado un 1092,26%, y las importaciones desde ALC hacia Turquía han aumentado un 724,20%. De esta forma se demuestra que, a pesar del gran déficit comercial que Turquía posee con respecto a la región, el país turco ha sabido dinamizar de mejor forma sus exportaciones hacia ALC. Esto se puede observar de forma más clara si se analizan directamente las relaciones económicas de Turquía con sus principales socios de la región. Sin embargo, cabe aclarar, a pesar del crecimiento tan vertiginoso e inestable que han sobrellevado las relaciones económicas Turquía-ALC, </w:t>
      </w:r>
      <w:r w:rsidR="004E57D3">
        <w:t>éstas siguen apenas representando alrededor del 2% de todo el comercio exterior turco (Instituto Turco de Estadística, 2019). Esto puede verse de mejor forma</w:t>
      </w:r>
      <w:r w:rsidR="002642CB">
        <w:t xml:space="preserve"> </w:t>
      </w:r>
      <w:r w:rsidR="004E57D3">
        <w:t>a continuación</w:t>
      </w:r>
      <w:r w:rsidR="002642CB">
        <w:t>.</w:t>
      </w:r>
      <w:r w:rsidR="004E57D3">
        <w:t xml:space="preserve"> </w:t>
      </w:r>
    </w:p>
    <w:p w14:paraId="774F9AF9" w14:textId="6CE573C3" w:rsidR="004E57D3" w:rsidRDefault="004E57D3" w:rsidP="004E57D3">
      <w:pPr>
        <w:jc w:val="both"/>
      </w:pPr>
      <w:r>
        <w:t xml:space="preserve">De todos sus destinos de exportación, Alemania, Reino Unido, Italia, Iraq, Estados Unidos, España, Francia, Holanda, Bélgica e Israel </w:t>
      </w:r>
      <w:r w:rsidR="00B52E8A">
        <w:t>fueron</w:t>
      </w:r>
      <w:r>
        <w:t xml:space="preserve"> los 10 principales destinos de Turquía</w:t>
      </w:r>
      <w:r w:rsidR="00B52E8A">
        <w:t xml:space="preserve"> en el año 2018</w:t>
      </w:r>
      <w:r>
        <w:t xml:space="preserve">, respectivamente. Rusia </w:t>
      </w:r>
      <w:r w:rsidR="00B52E8A">
        <w:t>fue</w:t>
      </w:r>
      <w:r>
        <w:t xml:space="preserve"> el doceavo destino de exportación de productos turcos, y ningún país latinoamericano se encuentra entre los 20 principales destinos de exportación</w:t>
      </w:r>
      <w:r w:rsidR="00B52E8A">
        <w:t xml:space="preserve"> en el 2018</w:t>
      </w:r>
      <w:r>
        <w:t xml:space="preserve"> (Instituto Turco de Estadística, 2019). Por otro lado, los principales países de origen de las importaciones turcas </w:t>
      </w:r>
      <w:r w:rsidR="00B52E8A">
        <w:t>en el 2018 fuero</w:t>
      </w:r>
      <w:r>
        <w:t xml:space="preserve">n Rusia, China, Alemania, Estados Unidos, Italia, India, Reino Unido, Francia, Irán y Corea del Sur, mientras que solamente Brasil entra entre los 20 principales países de origen de productos de importación para Turquía, ocupando el puesto 16. La preponderancia de países de </w:t>
      </w:r>
      <w:r>
        <w:lastRenderedPageBreak/>
        <w:t>Europa se debe en gran parte al acuerdo de Unión Aduanera entre Turquía y la Comunidad Europea en 1996</w:t>
      </w:r>
      <w:r w:rsidR="00504777">
        <w:t xml:space="preserve"> (OEC, 2019)</w:t>
      </w:r>
      <w:r>
        <w:t>.</w:t>
      </w:r>
    </w:p>
    <w:p w14:paraId="7D8804AC" w14:textId="29332317" w:rsidR="002642CB" w:rsidRPr="0034609C" w:rsidRDefault="00B52E8A" w:rsidP="0034609C">
      <w:pPr>
        <w:jc w:val="both"/>
      </w:pPr>
      <w:r>
        <w:t>No obstante, si se toma en cuenta la totalidad del período de estudio (2003-2018), a partir de los datos disponibles, se observa que Alemania</w:t>
      </w:r>
      <w:r w:rsidR="002642CB">
        <w:t>,</w:t>
      </w:r>
      <w:r>
        <w:t xml:space="preserve"> Reino Unido, Italia, Francia, </w:t>
      </w:r>
      <w:r w:rsidR="002642CB">
        <w:t xml:space="preserve">Irak, Estados Unidos, </w:t>
      </w:r>
      <w:r>
        <w:t xml:space="preserve">España, Rusia, </w:t>
      </w:r>
      <w:r w:rsidR="002642CB">
        <w:t>Emiratos Árabes Unidos (EAU), y Bélgica</w:t>
      </w:r>
      <w:r>
        <w:t xml:space="preserve"> y Luxemburgo son los 10 principales destinos de exportación de productos turcos en el mundo, respectivamente. Si se compara con las importaciones, se observa que Alemania es el principal socio comercial de Turquía, con el cual el país turco ha tenido un déficit comercial, confirmando con ello las relaciones históricas mantenidas entre ambos países. Si se toman en cuenta las regiones del mundo, en lo que respecta a las exportaciones turcas, América Latina y el Caribe se ubican por debajo de Europa, Medio Oriente, África</w:t>
      </w:r>
      <w:r w:rsidR="002642CB">
        <w:t xml:space="preserve"> y Norteamérica, e incluso, por debajo del régimen de zonas francas turco</w:t>
      </w:r>
      <w:r w:rsidR="0034609C">
        <w:t xml:space="preserve"> (OEC, 2019)</w:t>
      </w:r>
      <w:r w:rsidR="002642CB">
        <w:t xml:space="preserve">. </w:t>
      </w:r>
    </w:p>
    <w:p w14:paraId="5FA11375" w14:textId="77777777" w:rsidR="0034609C" w:rsidRDefault="002642CB" w:rsidP="00567CFC">
      <w:pPr>
        <w:jc w:val="both"/>
      </w:pPr>
      <w:r>
        <w:t>En lo que refiere a los principales países de origen de las importaciones de Turquía durante el período, se tiene que Alemania, China y Rusia lideran, respectivamente, seguidos de Italia, Estados Unidos, Francia, Reino Unido, España, Suiza, y Bélgica y Luxemburgo. Brasil apenas llega al 0,70% de las importaciones de Turquía</w:t>
      </w:r>
      <w:r w:rsidR="0018148E">
        <w:t>, y América Latina y el Caribe nuevamente se ubica por debajo de Europa, Medio Oriente, Norteamérica y África</w:t>
      </w:r>
      <w:r w:rsidR="0034609C">
        <w:t xml:space="preserve"> (OEC, 2019)</w:t>
      </w:r>
      <w:r w:rsidR="0018148E">
        <w:t xml:space="preserve">. </w:t>
      </w:r>
      <w:r>
        <w:t xml:space="preserve"> </w:t>
      </w:r>
    </w:p>
    <w:p w14:paraId="5D2819F3" w14:textId="4E8015C6" w:rsidR="00567CFC" w:rsidRDefault="0034609C" w:rsidP="00567CFC">
      <w:pPr>
        <w:jc w:val="both"/>
      </w:pPr>
      <w:r>
        <w:t xml:space="preserve">Por otro lado, </w:t>
      </w:r>
      <w:r w:rsidR="00567CFC">
        <w:t>durante el período de estudio</w:t>
      </w:r>
      <w:r>
        <w:t xml:space="preserve"> Turquía</w:t>
      </w:r>
      <w:r w:rsidR="00567CFC">
        <w:t xml:space="preserve"> exportó al mundo principalmente productos de baja y media tecnificación, como lo son productos provenientes de los sectores de textiles (20%), maquinarias (14%) y transportes (14%), así como materias primas como metales (14%), productos minerales (6,2%) y metales preciosos (4,9%) como el oro (3,4%)</w:t>
      </w:r>
      <w:r>
        <w:t xml:space="preserve">. </w:t>
      </w:r>
      <w:r w:rsidR="00567CFC">
        <w:t>En lo que refiere a productos específicos, su principal producto de exportación fueron vehículos automotores, seguidos de barras de hierro en bruto, camisas, piezas de repuesto y refinado de petróleo</w:t>
      </w:r>
      <w:r>
        <w:t xml:space="preserve"> (OCE, 2019).</w:t>
      </w:r>
      <w:r w:rsidR="00567CFC">
        <w:t xml:space="preserve"> </w:t>
      </w:r>
      <w:r>
        <w:t>Mientras que</w:t>
      </w:r>
      <w:r w:rsidR="00567CFC">
        <w:t xml:space="preserve"> los principales productos de importación de Turquía </w:t>
      </w:r>
      <w:r>
        <w:t>fueron</w:t>
      </w:r>
      <w:r w:rsidR="00567CFC">
        <w:t xml:space="preserve"> petróleo refinado, vehículos automotores, petróleo crudo y chatarra. No obstante, si se toma en cuenta el conjunto de sectores de importación, la economía turca es dependiente de sectores de mayor tecnificación, demostrando que su industria todavía posee un alto grado de dependencia al exterior para su producción, manteniendo dinámicas de intercambio desigual en su contra</w:t>
      </w:r>
      <w:r w:rsidR="00F15D22">
        <w:t xml:space="preserve"> (Osorio, 2017). La economía turca i</w:t>
      </w:r>
      <w:r>
        <w:t>m</w:t>
      </w:r>
      <w:r w:rsidR="00F15D22">
        <w:t>porta</w:t>
      </w:r>
      <w:r w:rsidR="00567CFC">
        <w:t xml:space="preserve"> desde sectores de maquinarias</w:t>
      </w:r>
      <w:r w:rsidR="00F15D22">
        <w:t xml:space="preserve"> (22% del total)</w:t>
      </w:r>
      <w:r w:rsidR="00567CFC">
        <w:t>, metales</w:t>
      </w:r>
      <w:r w:rsidR="00F15D22">
        <w:t xml:space="preserve"> (14% del total)</w:t>
      </w:r>
      <w:r w:rsidR="00567CFC">
        <w:t>, productos minerales</w:t>
      </w:r>
      <w:r w:rsidR="00F15D22">
        <w:t xml:space="preserve"> (14% del total)</w:t>
      </w:r>
      <w:r w:rsidR="00567CFC">
        <w:t>, transportes</w:t>
      </w:r>
      <w:r w:rsidR="00F15D22">
        <w:t xml:space="preserve"> (11% del total)</w:t>
      </w:r>
      <w:r w:rsidR="00567CFC">
        <w:t xml:space="preserve"> y productos químicos</w:t>
      </w:r>
      <w:r w:rsidR="00F15D22">
        <w:t xml:space="preserve"> (9,6% del total)</w:t>
      </w:r>
      <w:r>
        <w:t xml:space="preserve">  (OEC, 2019)</w:t>
      </w:r>
      <w:r w:rsidR="00567CFC">
        <w:t xml:space="preserve">. </w:t>
      </w:r>
    </w:p>
    <w:p w14:paraId="7C225B82" w14:textId="720A0C97" w:rsidR="00F15D22" w:rsidRDefault="00F15D22" w:rsidP="00567CFC">
      <w:pPr>
        <w:jc w:val="both"/>
      </w:pPr>
      <w:r>
        <w:t xml:space="preserve">Como se puede observar, en términos generales la economía turca está altamente diversificada, y cuenta con nivel de tecnificación bajo y medio en su </w:t>
      </w:r>
      <w:r w:rsidR="0034609C">
        <w:t>producción económica</w:t>
      </w:r>
      <w:r>
        <w:t>, aunque todavía dependiente de insumos tecnológicos desde el exterior para mantener su industria. Asimismo, también se observa que mantiene un nivel alto de demanda y oferta de materias primas. Especialmente en lo que refiere a sus productos de exportación, las materias primas ascienden a más de un 25%, si se toman en cuenta los sectores de metales, productos minerales y metales preciosos</w:t>
      </w:r>
      <w:r w:rsidR="0034609C">
        <w:t xml:space="preserve"> (OEC, 2019)</w:t>
      </w:r>
      <w:r>
        <w:t xml:space="preserve">. Esto permite observar y corroborar cómo Turquía es un país emergente que posee una economía diversificada y con cierto nivel de tecnificación que le ha permitido ascender en la escala de potencias, aunque continúa dependiendo de capitales e insumos tecnológicos del exterior. Con esto se confirma el </w:t>
      </w:r>
      <w:r w:rsidR="0034609C">
        <w:t>e</w:t>
      </w:r>
      <w:r>
        <w:t xml:space="preserve">status de semi-periferia de Turquía. </w:t>
      </w:r>
    </w:p>
    <w:p w14:paraId="15400984" w14:textId="35C8634B" w:rsidR="00F15D22" w:rsidRDefault="00F15D22" w:rsidP="00567CFC">
      <w:pPr>
        <w:jc w:val="both"/>
      </w:pPr>
      <w:r>
        <w:t xml:space="preserve">En lo que refiere al comercio entre Turquía y América Latina y el Caribe, según datos del Observatorio de Complejidad Económica (OEC, 2019), sus principales socios de exportación durante el período de estudio fueron Brasil, con un 37% de captación de sus exportaciones hacia América </w:t>
      </w:r>
      <w:r>
        <w:lastRenderedPageBreak/>
        <w:t xml:space="preserve">Latina y el Caribe, Chile con un 18%, Argentina con un 12%, Perú con un 11% y Colombia con un 8,9%. Por otro lado, </w:t>
      </w:r>
      <w:r w:rsidR="00767780">
        <w:t xml:space="preserve">de todas sus importaciones desde América Latina y el Caribe, Turquía importó el 42% desde Brasil, el 17% desde Colombia, el 13% desde Argentina, el 12% desde Chile, y el 4,5% desde Paraguay. </w:t>
      </w:r>
      <w:r w:rsidR="00874E8F">
        <w:t>En lo que refiere a México, éste representó el 4,8% de todas sus exportaciones hacia Norteamérica y el 4,7% de todas sus importaciones desde Norteamérica (OEC, 2019).</w:t>
      </w:r>
    </w:p>
    <w:p w14:paraId="63961247" w14:textId="2425178D" w:rsidR="00874E8F" w:rsidRDefault="00874E8F" w:rsidP="00567CFC">
      <w:pPr>
        <w:jc w:val="both"/>
      </w:pPr>
      <w:r>
        <w:t xml:space="preserve">En este sentido, como bien lo identifican Ariel González (2012; 2012; 2016; 2016), Donelli y González (2016) y González y Zenguin (2016), Brasil, Argentina, México, Chile, Colombia y Perú son los principales socios económicos de Turquía en la región de América Latina y el Caribe. Por lo tanto, si verdaderamente se quiere analizar las relaciones económicas de Turquía con la región para identificar si se llevan a cambio esquemas de dependencia e intercambio desigual, se debe observar más detenidamente sus relaciones con estos países. Asimismo, Se incorpora el caso de Costa Rica para mantener un país dentro de la zona de Centroamérica en el análisis, tomando en cuenta que es el país con el cual Turquía mantiene lazos principalmente dentro de Centroamérica. </w:t>
      </w:r>
    </w:p>
    <w:p w14:paraId="3E0539F7" w14:textId="64CB15EA" w:rsidR="00874E8F" w:rsidRPr="00874E8F" w:rsidRDefault="00874E8F" w:rsidP="00567CFC">
      <w:pPr>
        <w:jc w:val="both"/>
        <w:rPr>
          <w:b/>
          <w:bCs/>
        </w:rPr>
      </w:pPr>
      <w:r w:rsidRPr="00874E8F">
        <w:rPr>
          <w:b/>
          <w:bCs/>
        </w:rPr>
        <w:t xml:space="preserve">Las relaciones económicas de Turquía con sus principales socios en América Latina y el Caribe: esquemas de dependencia de </w:t>
      </w:r>
      <w:r w:rsidR="00E82829">
        <w:rPr>
          <w:b/>
          <w:bCs/>
        </w:rPr>
        <w:t>baja</w:t>
      </w:r>
      <w:r w:rsidRPr="00874E8F">
        <w:rPr>
          <w:b/>
          <w:bCs/>
        </w:rPr>
        <w:t xml:space="preserve"> intensidad</w:t>
      </w:r>
    </w:p>
    <w:p w14:paraId="5E7681B5" w14:textId="1F115B1C" w:rsidR="00064A7A" w:rsidRDefault="00064A7A" w:rsidP="00064A7A">
      <w:pPr>
        <w:jc w:val="both"/>
      </w:pPr>
      <w:r>
        <w:t xml:space="preserve">Antes de iniciar con el examen de las relaciones económicas de Turquía con sus socios principales de América Latina, incluyendo Costa Rica, resulta necesario apuntalar las principales tesis de la Teoría Marxista de la Dependencia. En primer lugar, cabe apuntar que ésta nace a partir de la obra de Ruy Mauro Marini </w:t>
      </w:r>
      <w:r w:rsidRPr="00064A7A">
        <w:rPr>
          <w:i/>
          <w:iCs/>
        </w:rPr>
        <w:t>Dialéctica de la Dependencia</w:t>
      </w:r>
      <w:r>
        <w:t xml:space="preserve">, publicada en 1972. Marini (1991) demuestra en esta obra cómo realmente los países de la periferia fueron condicionados desde un inicio a una división internacional del trabajo en la que suplían a los países del centro, ex metrópolis coloniales, materias primas y bienes alimenticios con baja industrialización, mientras que los países del centro se tecnificaban y aumentaban su industrialización. Como lo demuestran Sader (2012) y Osorio (2017; 23 de marzo de 2017), siguiendo la tesis de Marini (1991), esta industrialización solo fue posible gracias a que </w:t>
      </w:r>
      <w:r w:rsidR="00D423B0">
        <w:t xml:space="preserve">los países de la periferia permitieron reducir los precios de los bienes necesarios para la reproducción de la fuerza de trabajo en el centro, lo cual permitió la obtención del capital disponible necesario para la inversión en industrialización. Esta industrialización hizo posible el aumento en la productividad del trabajo, reduciendo las horas de trabajo necesario para la producción de una mercancía, pero aumentando con ello las horas de trabajo excedente. Con ello, el capitalismo del siglo XIX pasó de primar formas de obtención de ganancias a través de la plusvalía absoluta, al primar la obtención de ganancias a través de la extracción de la plusvalía relativa de la fuerza de trabajo (Marini, 1991; Sader, 2012; Osorio, 2017). </w:t>
      </w:r>
    </w:p>
    <w:p w14:paraId="009B8BD7" w14:textId="07C978F7" w:rsidR="00D423B0" w:rsidRDefault="00D423B0" w:rsidP="00064A7A">
      <w:pPr>
        <w:jc w:val="both"/>
      </w:pPr>
      <w:r>
        <w:t xml:space="preserve">Este desarrollo capitalista, por tanto, no surgió de forma orgánica ni interna en las economías del centro del sistema mundo, sino que, por el contrario, nunca pudo haber existido si no fuera por el intercambio desigual con los países de la periferia y sus excolonias. Este intercambio desigual capitalista se decidió, como lo demuestran Fanon (1961) y Mariategui (citado por Osorio, 1984) porque las burguesías ex coloniales, ahora dependientes, vieron que sus ganancias estaban en mantener la estructura económica que miraba y aún mira a sus ex metrópolis. Esto significó la entrega de plusvalía de burguesías dependientes a burguesías desarrolladas, por lo que esta situación obligó y obliga a las burguesías dependientes a </w:t>
      </w:r>
      <w:r w:rsidR="001B52F1">
        <w:t>recurrir a</w:t>
      </w:r>
      <w:bookmarkStart w:id="1" w:name="_GoBack"/>
      <w:bookmarkEnd w:id="1"/>
      <w:r>
        <w:t xml:space="preserve"> esquemas de superexplotación</w:t>
      </w:r>
      <w:r>
        <w:rPr>
          <w:rStyle w:val="Refdenotaalpie"/>
        </w:rPr>
        <w:footnoteReference w:id="1"/>
      </w:r>
      <w:r>
        <w:t xml:space="preserve">, </w:t>
      </w:r>
      <w:r>
        <w:lastRenderedPageBreak/>
        <w:t>precarizando la fuerza de trabajo en los países subdesarrollados y dependientes, aumentando el ejército de reserva laboral mediante la informalidad y el desempleo, lo cual permite aumentar la productividad y con ello la extracción de plusvalía</w:t>
      </w:r>
      <w:r w:rsidR="007B40CA">
        <w:t>, aumentando la cantidad de la fuerza de trabajo en el proceso de producción, pero ahora precarizada y con salarios por debajo de su nivel de reproducción, todo con el objetivo de</w:t>
      </w:r>
      <w:r>
        <w:t xml:space="preserve"> mantener altas sus ganancias </w:t>
      </w:r>
      <w:r w:rsidR="007B40CA">
        <w:t xml:space="preserve">capitalistas </w:t>
      </w:r>
      <w:r>
        <w:t>(Osorio, 2017).</w:t>
      </w:r>
    </w:p>
    <w:p w14:paraId="0BAE3D28" w14:textId="7161B570" w:rsidR="00D423B0" w:rsidRDefault="007B40CA" w:rsidP="00064A7A">
      <w:pPr>
        <w:jc w:val="both"/>
      </w:pPr>
      <w:r>
        <w:t xml:space="preserve">A esta situación se le debe añadir el hecho de que para industrializarse los países dependientes necesitan de insumos tecnológicos de los países del centro o desarrollados, generando un intercambio desigual en el que se intercambian productos de menos horas de trabajo por productos de más horas de trabajo, a favor de los primeros, producidos en países desarrollados, perpetuando con ello el desarrollo del subdesarrollo, en lo que Marini (1991) llamó la dialéctica de la dependencia (Osorio, 2017). </w:t>
      </w:r>
    </w:p>
    <w:p w14:paraId="4C7A871E" w14:textId="17CDFE34" w:rsidR="007B40CA" w:rsidRDefault="007B40CA" w:rsidP="00064A7A">
      <w:pPr>
        <w:jc w:val="both"/>
      </w:pPr>
      <w:r>
        <w:t xml:space="preserve">Este intercambio desigual entre países productores de materias primas y bienes alimenticios, dependientes, y países productores de bienes industrializados de media y alta tecnología con un mayor valor agregado, desarrollados, como lo establece Sader (2012) siguiendo a Marini (1991), ha permitido el aumento del capital relativo y el capital constante, lo que implica un obstáculo para la extracción de la plusvalía relativa. Esto sucede a partir del aumento de los precios de las materias primas por la demanda de consumo interno en los países desarrollados, ante lo cual el capital del centro busca reducir el capital constante existente, precarizando la fuerza de trabajo de los países desarrollados, reduciendo de golpe los precios de las materias primas gracias a la sobreproducción capitalista, y con ello aumentando su extracción de plusvalía relativa tanto de su fuerza de trabajo nacional como de la de los países dependientes o subdesarrollados (Marini, 1991; Sader, 2012). Esto permite explicar en términos marxistas los cíclos de aumento y caída de precios de las materias primas, el último de los cuales sucedió de 2003 a 2013, período ubicado dentro de la delimitación temporal de este estudio, como lo demuestra Sanahuja (2016). </w:t>
      </w:r>
    </w:p>
    <w:p w14:paraId="549DBE99" w14:textId="3102DF52" w:rsidR="007B40CA" w:rsidRDefault="007B40CA" w:rsidP="00064A7A">
      <w:pPr>
        <w:jc w:val="both"/>
      </w:pPr>
      <w:r>
        <w:t xml:space="preserve">Todo lo anterior permite el aumento de capital relativo en los países desarrollados, y con ello el aumento de capital </w:t>
      </w:r>
      <w:r w:rsidR="004D6CE8">
        <w:t xml:space="preserve">ocioso, ante lo cual, con el objetivo de aumentar dicho capital y su acumulación, el mismo es exportado en forma de deuda a los países dependientes, en los cuales existe poco capital disponible para la inversión en la industrialización y productividad de sus economías precisamente porque sus ganancias están en el exterior y no en suplir y aumentar la demanda y consumo interno de sus países, precisamente para suplir dicha falta de capital de inversión para industrialización. El ciclo se completa al tener que utilizarse ese capital para comprar insumos de los países desarrollados, con lo cual el capital antes ocioso circula, se reproduce, aumenta, y a su vez, se acumula aún más en los países desarrollados, que extrajeron al final de cuentas aún más capital a través de los intereses de la deuda (Osorio, 2017). </w:t>
      </w:r>
    </w:p>
    <w:p w14:paraId="563E08E1" w14:textId="01B1D1D5" w:rsidR="004D6CE8" w:rsidRDefault="004D6CE8" w:rsidP="00064A7A">
      <w:pPr>
        <w:jc w:val="both"/>
      </w:pPr>
      <w:r>
        <w:t xml:space="preserve">Ahora bien, el actual período de globalización ha provocado una nueva división internacional del trabajo, como lo establece Sader (2012). En este sentido, las empresas multinacionales, ávidas por extraer mayor y más fácilmente plusvalía relativa, se han situado en países dependientes con mano </w:t>
      </w:r>
      <w:r>
        <w:lastRenderedPageBreak/>
        <w:t>de obra barata para su producción, al tiempo en que la producción capitalista de corte posfordista provoca que la transferencia tecnológica que dicho proceso implica de los países desarrollados a los países subdesarrollados sea inconsecuente para el desarrollo de estos últimos, ya que, dicha tecnología y proceso de producción que ocurre en éstos países es apenas una ínfima parte de todo el proceso de producción de una mercancía, provocando que el esquema de división internacional del trabajo, y el esquema de acumulación centro-periferia se mantenga intacto. Si a esto se le suma que éstas empresas han ahondado la estructura económica de los países subdesarrollados, enfocada en el exterior, se entiende entonces cómo es que la dialéctica de la dependencia se ha transformado a partir de la globalización (Sader, 2012).</w:t>
      </w:r>
    </w:p>
    <w:p w14:paraId="1DCB9C7E" w14:textId="109EE90C" w:rsidR="004D6CE8" w:rsidRDefault="004D6CE8" w:rsidP="00064A7A">
      <w:pPr>
        <w:jc w:val="both"/>
      </w:pPr>
      <w:r>
        <w:t>No obstante, este no es solo un proceso que ha afectado a la fuerza de trabajo en los países dependientes, sino que, como lo afirma Sader (2012),</w:t>
      </w:r>
    </w:p>
    <w:p w14:paraId="3B5F28E2" w14:textId="3B9193B8" w:rsidR="004D6CE8" w:rsidRPr="00064A7A" w:rsidRDefault="004D6CE8" w:rsidP="004D6CE8">
      <w:pPr>
        <w:ind w:left="708"/>
        <w:jc w:val="both"/>
      </w:pPr>
      <w:r w:rsidRPr="004D6CE8">
        <w:rPr>
          <w:sz w:val="20"/>
          <w:szCs w:val="20"/>
        </w:rPr>
        <w:t>Desde la publicación de Dialéctica de la dependencia, que renovó la teoría social latinoamericana y revigorizó el marxismo continental, los fenómenos apuntados por Marini se han reactualizado y extendido a otras regiones del mundo, a otras regiones no solo periféricas sino del centro mismo del capitalismo. La globalización del mercado de trabajo promovida por las políticas neoliberales ha extendido la superexplotación del trabajo a los propios países centrales. La desterritorialización de las inversiones, pero también la extensión del trabajo de los inmigrantes, han reproducido la superexplotación en países del centro, como elemento esencial de la extracción de la plusvalía y de los procesos de acumulación de capital en la era neoliberal. Y en este marco, las reflexiones de la obra de Marini, 40 años después, siguen demostrando su valor para analizar los avances, las inercias y los desafíos del actual contexto de cambio latinoamericano</w:t>
      </w:r>
      <w:r w:rsidR="00770730">
        <w:rPr>
          <w:sz w:val="20"/>
          <w:szCs w:val="20"/>
        </w:rPr>
        <w:t xml:space="preserve"> (p.59).</w:t>
      </w:r>
      <w:r w:rsidRPr="00064A7A">
        <w:t xml:space="preserve"> </w:t>
      </w:r>
    </w:p>
    <w:p w14:paraId="410A9FA5" w14:textId="016E2065" w:rsidR="00064A7A" w:rsidRDefault="00770730" w:rsidP="00064A7A">
      <w:pPr>
        <w:jc w:val="both"/>
      </w:pPr>
      <w:r>
        <w:t xml:space="preserve">Toda esta situación ha generado que el sistema mundial realmente se divida entre </w:t>
      </w:r>
      <w:r w:rsidR="00064A7A">
        <w:t>Estados plenamente soberanos</w:t>
      </w:r>
      <w:r>
        <w:t xml:space="preserve"> y Estados </w:t>
      </w:r>
      <w:r w:rsidR="00064A7A">
        <w:t xml:space="preserve">subsoberanos, dependientes de las decisiones que se tomen en el centro del sistema de producción capitalista mundial (Osorio, 2017). </w:t>
      </w:r>
      <w:r>
        <w:t xml:space="preserve">No obstante, cabe preguntarse qué sucede con el comercio entre países de la periferia o entre países de la periferia y países de la semi-periferia. Es precisamente sobre este último fenómeno que esta investigación busca arrojar alguna información estudiando los intercambios entre Turquía, un país de la semi-periferia como anteriormente se demostró, y sus principales socios de América Latina y el Caribe, que Osorio (2017) todavía </w:t>
      </w:r>
      <w:r w:rsidR="00D078EA">
        <w:t>ubica dentro de</w:t>
      </w:r>
      <w:r>
        <w:t xml:space="preserve"> la periferia, como lo son Brasil, Argentina, Chile, Colombia, Venezuela y México, e incluyendo a Costa Rica. </w:t>
      </w:r>
      <w:r w:rsidR="00D078EA">
        <w:t xml:space="preserve">Los intercambios periferia-periferia han sido poco estudiados dentro de la Teoría de la Dependencia—en sentido general—generando el problema de explicar poco el proceso en que algunos países logran ubicarse dentro de la semi-periferia. Esta investigación propone, no una teorización, sino una vía metodológica para poder llevar a cabo dicha teorización a mayor escala. </w:t>
      </w:r>
    </w:p>
    <w:p w14:paraId="78DD7EA2" w14:textId="74177002" w:rsidR="00D078EA" w:rsidRDefault="00D078EA" w:rsidP="00064A7A">
      <w:pPr>
        <w:jc w:val="both"/>
      </w:pPr>
      <w:r>
        <w:t xml:space="preserve">En este sentido, observando los intercambios entre Turquía y sus principales socios latinoamericanos, se puede ver, como se plantean en los Anexos 1 y 2, que el comercio de Turquía con Brasil, Argentina, Chile, Colombia, Venezuela y México, e incluyendo a Costa Rica, es sumamente inestable, creciendo de forma errática anualmente. Sin embargo, tomando como base el año 2003, el comercio total con sus principales socios se ha más que duplicado, con la excepción de Argentina, en donde el comercio aumentó en un 91% desde 2003. Por otro lado, está el caso de Colombia, donde el comercio con Turquía ha aumentado 20 veces de lo que era en 2003. </w:t>
      </w:r>
      <w:r w:rsidR="00B64B0F">
        <w:t>Los gráficos 1, 2 y 3 muestran la evolución del comercio de Turquía con sus principales socios en la región de 2003 al 2018.</w:t>
      </w:r>
    </w:p>
    <w:p w14:paraId="423101F3" w14:textId="6D249F9E" w:rsidR="00B64B0F" w:rsidRDefault="00B64B0F" w:rsidP="00064A7A">
      <w:pPr>
        <w:jc w:val="both"/>
      </w:pPr>
    </w:p>
    <w:p w14:paraId="310C5028" w14:textId="7423FF8C" w:rsidR="00B64B0F" w:rsidRDefault="00B64B0F" w:rsidP="00064A7A">
      <w:pPr>
        <w:jc w:val="both"/>
      </w:pPr>
      <w:r>
        <w:rPr>
          <w:noProof/>
        </w:rPr>
        <w:drawing>
          <wp:inline distT="0" distB="0" distL="0" distR="0" wp14:anchorId="240F9BE4" wp14:editId="1ED55E02">
            <wp:extent cx="6181725" cy="4105275"/>
            <wp:effectExtent l="0" t="0" r="9525" b="9525"/>
            <wp:docPr id="3" name="Gráfico 3">
              <a:extLst xmlns:a="http://schemas.openxmlformats.org/drawingml/2006/main">
                <a:ext uri="{FF2B5EF4-FFF2-40B4-BE49-F238E27FC236}">
                  <a16:creationId xmlns:a16="http://schemas.microsoft.com/office/drawing/2014/main" id="{2E3EFFE9-2EE6-4302-B764-1A21F1E58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CA57DD8" w14:textId="4E991832" w:rsidR="00D078EA" w:rsidRDefault="00B64B0F" w:rsidP="00064A7A">
      <w:pPr>
        <w:jc w:val="both"/>
      </w:pPr>
      <w:r>
        <w:t xml:space="preserve">Como se puede observar en los tres gráficos mencionados, el comercio con Turquía ha sido altamente inestable aunque en aumento. </w:t>
      </w:r>
      <w:r w:rsidR="00793ADA">
        <w:t>De todas las relaciones son sumamente interesantes las relaciones en exportación de Turquía hacia Brasil, Argentina, Chile</w:t>
      </w:r>
      <w:r w:rsidR="0035145F">
        <w:t xml:space="preserve"> </w:t>
      </w:r>
      <w:r w:rsidR="00793ADA">
        <w:t xml:space="preserve">y Colombia. En cuanto a Brasil y Argentina, debido a su drástica reducción de su relación con Turquía, aunque por razones algo diferentes. Según datos del Observatorio de la Complejidad Económica (2019), Brasil tuvo una momentánea demanda de metales de Turquía, especialmente Barras de Hierro Bruto, que a partir del 2013 comenzó a decaer vertiginosamente, siendo sustituida dicha demanda por el mercado de textiles, principalmente hilados, y maquinaria, como piezas de motor, igniciones y transformadores eléctricos (OEC, 2019). En este sentido, Brasil pasó de demandar materias primas y productos de baja tecnificación a productos de baja y media tecnificación, aunque en mayor cantidad, lo cual explica la reducción de su comercio. Por el otro lado, Argentina tuvo un período de alta demanda de vehículos automotores como por ejemplo automóviles, camiones de reparto, así como piezas de repuestos automotriz de 2009-2013, pero que se redujo drásticamente en 2014, aunque manteniéndose el mismo esquema de exportación de Turquía a Argentina, de productos de media tecnificación, como lo son vehículos y maquinaria. Entonces, por un lado Brasil, redujo su demanda de materias primas por productos de media tecnificación, mientras que Argentina solamente redujo su demanda de productos de media tecnificación. Tomando en cuenta que estos son los dos principales países que exportan materias primas a Turquía se puede ver un claro esquema de dependencia e intercambio desigual, aunque de baja intensidad, entre estos países. Por otro lado, </w:t>
      </w:r>
      <w:r w:rsidR="00793ADA">
        <w:lastRenderedPageBreak/>
        <w:t>la crisis económica que atraviesan ambos países explica también mucho de la reducción de demanda de productos turcos.</w:t>
      </w:r>
    </w:p>
    <w:p w14:paraId="47DCF441" w14:textId="6B30FA8F" w:rsidR="00793ADA" w:rsidRDefault="00793ADA" w:rsidP="00064A7A">
      <w:pPr>
        <w:jc w:val="both"/>
      </w:pPr>
      <w:r>
        <w:t>Por otr</w:t>
      </w:r>
      <w:r w:rsidR="0035145F">
        <w:t>a parte, quienes han aumentado su demanda de productos turcos al final del período, como lo son México, en parte Brasil, Chile, Colombia y Venezuela, lo han hecho por dos razones distintas. Mientras México, Chile y Brasil han empezado a demandar más productos turcos de media tecnificación, como textiles, vehículos automotores y maquinaria para la producción, Colombia y Venezuela han empezado a demandar mayores materias primas como lo son metales y productos minerales en el caso colombiano, y productos vegetales y alimenticios en el caso venezolano (OEC, 2019).</w:t>
      </w:r>
    </w:p>
    <w:p w14:paraId="357D0E74" w14:textId="52FE8C28" w:rsidR="0035145F" w:rsidRDefault="0035145F" w:rsidP="00064A7A">
      <w:pPr>
        <w:jc w:val="both"/>
      </w:pPr>
      <w:r>
        <w:rPr>
          <w:noProof/>
        </w:rPr>
        <w:drawing>
          <wp:inline distT="0" distB="0" distL="0" distR="0" wp14:anchorId="0A53C77B" wp14:editId="0C8F25FF">
            <wp:extent cx="6267450" cy="4010025"/>
            <wp:effectExtent l="0" t="0" r="0" b="9525"/>
            <wp:docPr id="4" name="Gráfico 4">
              <a:extLst xmlns:a="http://schemas.openxmlformats.org/drawingml/2006/main">
                <a:ext uri="{FF2B5EF4-FFF2-40B4-BE49-F238E27FC236}">
                  <a16:creationId xmlns:a16="http://schemas.microsoft.com/office/drawing/2014/main" id="{23D88BDF-11DB-4EDF-B9A3-4CC4D1FBA3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593908" w14:textId="2A3B7379" w:rsidR="00D078EA" w:rsidRDefault="0035145F" w:rsidP="00064A7A">
      <w:pPr>
        <w:jc w:val="both"/>
      </w:pPr>
      <w:r>
        <w:t>En lo que refiere a las importaciones de Turquía desde sus principales socios, se puede observar en el gráfico 2 cómo sus principales socios de importación en los últimos años han sido Brasil—aunque éste es su principal socio en general—, Colombia, y Venezuela. La razón por la cual Venezuela salta del 2017 al 2018 es por una demanda de reducciones de hierro y coque de petróleo de Turquía a Venezuela. Estas materias primas provocaron que las importaciones turc</w:t>
      </w:r>
      <w:r w:rsidR="0033325D">
        <w:t>as</w:t>
      </w:r>
      <w:r>
        <w:t xml:space="preserve"> del país sudamericano ascendieran en general a US$1,019 millones de dólares en 2018, cuando en el 2017 apenas llegaban a US$117 millones de dólares</w:t>
      </w:r>
      <w:r w:rsidR="0033325D">
        <w:t xml:space="preserve"> (UN COMTRADE, 2019). En cuanto a Brasil, si bien a inicios del período Turquía importaba maquinaria de Brasil, la demanda turca cambió principalmente a materias primas desde el 2007, principalmente mineral de hierro (OEC, 2019). Esta demanda turca de materias primas continuó con los años, y ha aumentado, a partir de demanda por mineral de hierro, </w:t>
      </w:r>
      <w:r w:rsidR="0034609C">
        <w:t>semielaborados</w:t>
      </w:r>
      <w:r w:rsidR="0033325D">
        <w:t xml:space="preserve"> de hierro, soja, café, tabaco crudo y algodón en bruto (OEC, 2019). En lo que refiere a Colombia, no se identificó desde el inicio del período un cambio en la demanda de productos </w:t>
      </w:r>
      <w:r w:rsidR="0033325D">
        <w:lastRenderedPageBreak/>
        <w:t xml:space="preserve">colombianos por Turquía, sino un aumento en la demanda del principal, y prácticamente único, producto de exportación colombiano a Turquía: briquetas de carbón. Para el año 2017, las importaciones turcas desde Colombia eran en un 95% briquetas de carbón (OEC, 2019). </w:t>
      </w:r>
      <w:r>
        <w:t xml:space="preserve"> </w:t>
      </w:r>
    </w:p>
    <w:p w14:paraId="02407B54" w14:textId="48000B24" w:rsidR="00D078EA" w:rsidRDefault="0033325D" w:rsidP="00064A7A">
      <w:pPr>
        <w:jc w:val="both"/>
      </w:pPr>
      <w:r>
        <w:t>Como se puede observar, mientras Turquía exporta productos con una mayor cantidad de tecnificación, con menos horas trabajo, por el otro lado, América Latina, y en especial sus principales socios de la región, exportan materias primas al país turco, incurriendo en un esquema de dependencia e intercambio desigual de baja intensidad entre las partes. La razón por la que se cataloga al esquema de intercambio desigual como de baja intensidad es debido a la balanza comercial de Turquía con sus socios de la región. Esta es, como se puede observar en el gráfico 3, negativa para Turquía, y por lo tanto con ventaja para sus socios latinoamericanos, aunque recientemente Turquía ha empezado a revertir esta situación, convirtiendo su balanza con algunos países de negativa a levemente positiva, como lo son Perú en mayor medida, Chile y Costa Rica. México, asimismo, también ha visto una reducción en la b</w:t>
      </w:r>
      <w:r w:rsidR="00385B17">
        <w:t xml:space="preserve">alanza comercial favorable que tiene con Turquía. </w:t>
      </w:r>
    </w:p>
    <w:p w14:paraId="44B84004" w14:textId="4DE51A44" w:rsidR="00385B17" w:rsidRDefault="0034609C" w:rsidP="00064A7A">
      <w:pPr>
        <w:jc w:val="both"/>
      </w:pPr>
      <w:r>
        <w:rPr>
          <w:noProof/>
        </w:rPr>
        <w:drawing>
          <wp:inline distT="0" distB="0" distL="0" distR="0" wp14:anchorId="692D7BA4" wp14:editId="349B9584">
            <wp:extent cx="5991225" cy="3800475"/>
            <wp:effectExtent l="0" t="0" r="9525" b="9525"/>
            <wp:docPr id="1" name="Gráfico 1">
              <a:extLst xmlns:a="http://schemas.openxmlformats.org/drawingml/2006/main">
                <a:ext uri="{FF2B5EF4-FFF2-40B4-BE49-F238E27FC236}">
                  <a16:creationId xmlns:a16="http://schemas.microsoft.com/office/drawing/2014/main" id="{9AF976FE-60A9-4693-9337-279D11058E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1C81C3A" w14:textId="35E06739" w:rsidR="00D078EA" w:rsidRDefault="00D078EA" w:rsidP="00064A7A">
      <w:pPr>
        <w:jc w:val="both"/>
      </w:pPr>
      <w:r>
        <w:t xml:space="preserve">Ahora bien, esta información </w:t>
      </w:r>
      <w:r w:rsidR="00385B17">
        <w:t xml:space="preserve">resulta insuficiente para poder entender el esquema de intercambio desigual que sucede entre Turquía y sus principales socios de la región, incluyendo a Costa Rica. Para ello, resulta necesario ver más detenidamente los productos de exportación turcos a América Latina y el Caribe, así como los productos de importación desde la región a Turquía, así como también el peso tanto absoluto como relativo que tienen estos productos en el comercio entre las partes. Una descripción detallada de esta información se encuentra en el anexo 2, donde se describen los 4 principales productos de exportación e importación, su valor en US$ millones de dólares, y su peso relativo en su comercio con cada socio de Turquía en la región analizado. Por otra </w:t>
      </w:r>
      <w:r w:rsidR="00385B17">
        <w:lastRenderedPageBreak/>
        <w:t xml:space="preserve">parte, el gráfico 4 muestra cuáles son los principales productos de exportación de Turquía hacia Brasil, Argentina, Perú, Chile, Colombia, Venezuela, México y Costa Rica, en términos generales durante el período de estudio; mientras que el gráfico 5 muestra cuáles son los principales productos importación de Turquía desde Brasil, Argentina, Perú, Chile, Colombia, Venezuela, México y Costa Rica, en términos generales durante el período de estudio. </w:t>
      </w:r>
    </w:p>
    <w:p w14:paraId="76450026" w14:textId="51F1AC27" w:rsidR="00385B17" w:rsidRDefault="00385B17" w:rsidP="00064A7A">
      <w:pPr>
        <w:jc w:val="both"/>
      </w:pPr>
      <w:r>
        <w:rPr>
          <w:noProof/>
        </w:rPr>
        <w:drawing>
          <wp:inline distT="0" distB="0" distL="0" distR="0" wp14:anchorId="3F66282A" wp14:editId="0D267AB7">
            <wp:extent cx="6410325" cy="4533900"/>
            <wp:effectExtent l="0" t="0" r="9525" b="0"/>
            <wp:docPr id="8" name="Gráfico 8">
              <a:extLst xmlns:a="http://schemas.openxmlformats.org/drawingml/2006/main">
                <a:ext uri="{FF2B5EF4-FFF2-40B4-BE49-F238E27FC236}">
                  <a16:creationId xmlns:a16="http://schemas.microsoft.com/office/drawing/2014/main" id="{5CEE3EE4-2D38-4CF0-A2BA-CEFEFD8655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ABA4192" w14:textId="57207E64" w:rsidR="00770730" w:rsidRDefault="00AF5FE5" w:rsidP="00064A7A">
      <w:pPr>
        <w:jc w:val="both"/>
      </w:pPr>
      <w:r>
        <w:t>Como se puede observar contrastando los gráficos 4 y 5, aunque existe un mayor flujo comercial desde la región hacia Turquía, lo cierto es que la región envía en mayor cantidad materias primas y productos de baja tecnificación, mientras que Turquía envía a la región principalmente productos de baja y media tecnificación, especialmente del sector de transporte y maquinaria para la producción. Esta situación se debe en gran medida a que los países latinoamericanos desaprovecharon el período de subida en los precios de las materias primas, ya que, en vez de aprovechar el capital que se traía con esta subida de precios para diversificar sus economías, favorecer un mayor proceso de industrialización e incentivar el consumo interno, por el contrario, entraron en un proceso de reprimarización de sus economías, enfocándose en la exportación de materias primas baratas a partir de la superexplotación, el cual, al finalizar el boom de los precios de las materias primas provocó que muchas de estas economías, especialmente Argentina tan dependiente de sus exportaciones de soja, entraran en crisis económicas (Sanahuja, 2016; Osorio, 2017).</w:t>
      </w:r>
    </w:p>
    <w:p w14:paraId="01D92584" w14:textId="7C27763D" w:rsidR="00C40AD4" w:rsidRDefault="00C40AD4" w:rsidP="00064A7A">
      <w:pPr>
        <w:jc w:val="both"/>
      </w:pPr>
      <w:r>
        <w:rPr>
          <w:noProof/>
        </w:rPr>
        <w:lastRenderedPageBreak/>
        <w:drawing>
          <wp:inline distT="0" distB="0" distL="0" distR="0" wp14:anchorId="1870BB1C" wp14:editId="345C2CD2">
            <wp:extent cx="5612130" cy="5591175"/>
            <wp:effectExtent l="0" t="0" r="7620" b="9525"/>
            <wp:docPr id="9" name="Gráfico 9">
              <a:extLst xmlns:a="http://schemas.openxmlformats.org/drawingml/2006/main">
                <a:ext uri="{FF2B5EF4-FFF2-40B4-BE49-F238E27FC236}">
                  <a16:creationId xmlns:a16="http://schemas.microsoft.com/office/drawing/2014/main" id="{EF500DFD-C99E-42BC-BB65-DF962BAF2F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9764D0E" w14:textId="3F2D16B2" w:rsidR="00C40AD4" w:rsidRDefault="00C40AD4" w:rsidP="00064A7A">
      <w:pPr>
        <w:jc w:val="both"/>
      </w:pPr>
      <w:r>
        <w:t>Por otro lado, los únicos dos países estudiados cuyas principales exportaciones a Turquía no son materias primas son México y Costa Rica. Mientras México exporta a Turquía principalmente automóviles, llegando a contabilizar hasta un 30% de sus exportaciones a Turquía durante el período de estudio, Costa Rica exportó principalmente circuitos integrados al país turco, llegando a contabilizar hasta un 54% de sus exportaciones a Turquía durante el período de estudio. México también exportó a Turquía durante el período polímeros de Cloruro de Vinilo (6,6%), teléfonos (5,30%) e instrumentos médicos (4,8%). Costa Rica, por su parte, también exportó plátanos (17%), instrumentos médicos (13%) y frutas tropicales (5,1%).</w:t>
      </w:r>
    </w:p>
    <w:p w14:paraId="7E6550D9" w14:textId="5AF13A8E" w:rsidR="00C40AD4" w:rsidRDefault="00C40AD4" w:rsidP="00064A7A">
      <w:pPr>
        <w:jc w:val="both"/>
      </w:pPr>
      <w:r>
        <w:t>Sin embargo, a partir de los aportes de Sader (2012) se puede entender que bajo el esquema posfordista de producción capitalista en un mundo globalizado, incluso esta exportación de productos de alta tecnificación implican un intercambio desigual, ya que serán utilizados como insumos para la producción de mercancías más sofisticadas, obteniendo con ello Turquía más beneficios que México</w:t>
      </w:r>
      <w:r w:rsidR="00443D34">
        <w:t xml:space="preserve">, en cuanto a sus instrumentos médicos, y Costa Rica, en cuanto a sus circuitos </w:t>
      </w:r>
      <w:r w:rsidR="00443D34">
        <w:lastRenderedPageBreak/>
        <w:t xml:space="preserve">integrados e instrumentos médicos, al brindarle a dichos productos mayor valor agregado, y con ello mayor extracción de plusvalía que dichos países, aunque menos que en donde se terminen de ensamblar y producir las mercancías como productos finales. </w:t>
      </w:r>
    </w:p>
    <w:p w14:paraId="4E119DB7" w14:textId="77777777" w:rsidR="00443D34" w:rsidRDefault="00443D34" w:rsidP="00443D34">
      <w:pPr>
        <w:jc w:val="both"/>
      </w:pPr>
      <w:r>
        <w:t xml:space="preserve">De esta forma se demuestra de manera más contundente el esquema de intercambio desigual entre Turquía y sus principales socios latinoamericanos, incluyendo Costa Rica. El intercambio de productos de menos horas de trabajo por productos con más horas de trabajo es la principal forma de intercambio desigual entre las partes analizadas. No obstante, este esquema se cataloga de baja intensidad debido a la balanza comercial desfavorable para Turquía con respecto a cada uno de sus socios principales en América Latina. </w:t>
      </w:r>
    </w:p>
    <w:p w14:paraId="7505969E" w14:textId="4E6B4E50" w:rsidR="00C40AD4" w:rsidRDefault="00443D34" w:rsidP="00064A7A">
      <w:pPr>
        <w:jc w:val="both"/>
      </w:pPr>
      <w:r>
        <w:t xml:space="preserve">A pesar de todo lo anterior, también se demuestra la necesidad de estudiar los intercambios entre países de la periferia y semi-periferia con sus lazos e intercambios con los países desarrollados del centro del sistema mundo, ya que de lo contrario, la imagen que se obtendría será incompleta, y no podría estudiarse como se necesitaría, tanto la posición de cada país en el sistema mundo, como también la forma en que ciertos países logran desarrollarse para ascender a status de semi-periferia o incluso de centro del sistema mundo. En lo que respecta a la investigación presente, se abren nuevas interrogantes a investigar, como lo son la gran inestabilidad en el comercio y los intercambios entre Turquía y sus socios en la región. </w:t>
      </w:r>
    </w:p>
    <w:p w14:paraId="149DA084" w14:textId="0FDB8EE5" w:rsidR="00AF5FE5" w:rsidRDefault="00AF5FE5" w:rsidP="00064A7A">
      <w:pPr>
        <w:jc w:val="both"/>
      </w:pPr>
      <w:r>
        <w:t xml:space="preserve">Resulta necesario aclarar que, a pesar de que se indagó respecto a inversiones de capital entre las partes, así como empréstitos y deudas entre las partes, no fue posible obtener información certera al respecto, por lo que no se puede profundizar más allá de lo visto hasta el momento el esquema de intercambio desigual entre Turquía y sus socios latinoamericanos. </w:t>
      </w:r>
      <w:r w:rsidR="00C40AD4">
        <w:t xml:space="preserve">Esta es una forma de investigar los intercambios entre países subdesarrollados, en desarrollo y emergentes, que podría permitir explicar cómo unos países pueden llegar a desarrollar sus economías dentro de la producción capitalista, permitiéndoles ascender a estatus de semi-periferia, e incluso, en el caso de China, a estatus de país desarrollado y potencia global. </w:t>
      </w:r>
    </w:p>
    <w:p w14:paraId="2F03FB94" w14:textId="1EBCCABC" w:rsidR="00EC527A" w:rsidRPr="00EC527A" w:rsidRDefault="00EC527A" w:rsidP="00383E56">
      <w:pPr>
        <w:jc w:val="both"/>
        <w:rPr>
          <w:b/>
          <w:bCs/>
        </w:rPr>
      </w:pPr>
      <w:r w:rsidRPr="00EC527A">
        <w:rPr>
          <w:b/>
          <w:bCs/>
        </w:rPr>
        <w:t xml:space="preserve">A modo de conclusión: Estado Actual de las Relaciones Turquía-América Latina y el Caribe </w:t>
      </w:r>
    </w:p>
    <w:p w14:paraId="1C774ED7" w14:textId="028CCB07" w:rsidR="007744F9" w:rsidRDefault="00EC527A" w:rsidP="00383E56">
      <w:pPr>
        <w:jc w:val="both"/>
      </w:pPr>
      <w:r>
        <w:t>C</w:t>
      </w:r>
      <w:r w:rsidR="00443D34">
        <w:t xml:space="preserve">omo lo menciona González (2016) el comercio de Turquía con la región parece haberse estancado desde 2012. Esto puede deberse a varias razones que obedecen tanto a factores internos en Turquía como a condicionantes regionales tanto de Turquía como de América Latina. En primer lugar, desde los juicios de Ergenekon y Sledgehammer en 2011, el mayor enemigo al proyecto político del AKP en Turquía fue derrotado: el ejército kemalista. </w:t>
      </w:r>
      <w:r w:rsidR="007744F9">
        <w:t xml:space="preserve">Con estos juicios por fin pudo subordinarse el ejército a una figura de autoridad civil, ya que el ejército siempre se había ubicado como una figura de tutela de la democracia y los valores kemalistas en la democracia turca. Esto le permitió a </w:t>
      </w:r>
      <w:r w:rsidR="00C60074">
        <w:t>Erdoğan</w:t>
      </w:r>
      <w:r w:rsidR="007744F9">
        <w:t xml:space="preserve"> perseguir con mayor libertad su proyecto político islamista de una </w:t>
      </w:r>
      <w:r w:rsidR="007744F9" w:rsidRPr="007744F9">
        <w:rPr>
          <w:i/>
          <w:iCs/>
        </w:rPr>
        <w:t>Nueva Turquía.</w:t>
      </w:r>
      <w:r w:rsidR="007744F9">
        <w:t xml:space="preserve"> Desde entonces, el manejo de la política doméstica como de la política exterior turca ha sido prácticamente manejado de forma personalista por </w:t>
      </w:r>
      <w:r w:rsidR="00C60074">
        <w:t>Erdoğan</w:t>
      </w:r>
      <w:r w:rsidR="007744F9">
        <w:t>, provocando graves problemas para la conducción de la política exterior turca, como lo afirma Bulent Aras (201</w:t>
      </w:r>
      <w:r w:rsidR="003B11FD">
        <w:t>7</w:t>
      </w:r>
      <w:r w:rsidR="007744F9">
        <w:t xml:space="preserve">). Esto, sumado a que desde las revueltas árabes de 2011, Turquía ha tenido que volver su mirada a fuentes de poder duro, debido a amenazas de seguridad en su vecindario, y problemas con todos sus vecinos, ha hecho que Ankara volviera su mirada a su cercanía y dejara de apostar con tanto ahínco por su maximización de poder a nivel global (González, 2012). </w:t>
      </w:r>
    </w:p>
    <w:p w14:paraId="352136CB" w14:textId="5F16AA16" w:rsidR="00F05DA6" w:rsidRDefault="007744F9" w:rsidP="00383E56">
      <w:pPr>
        <w:jc w:val="both"/>
      </w:pPr>
      <w:r>
        <w:lastRenderedPageBreak/>
        <w:t xml:space="preserve">La situación empeoró con el intento de golpe de Estado del 15 de julio de 2016. </w:t>
      </w:r>
      <w:r w:rsidR="00C60074">
        <w:t>Erdoğan</w:t>
      </w:r>
      <w:r>
        <w:t>, que logró sobrevivir y salir fortalecido del intento de golpe de Estado, aprovechó la oportunidad para hacerse con más poder, controlando más directamente a la sociedad, y purgando a miles de servidores públicos, lo cual le ha generado roces importantes con quienes hasta el momento formulaban y ejecutaban la política exterior, ya que favorecían al kemalismo (Aras, 201</w:t>
      </w:r>
      <w:r w:rsidR="003B11FD">
        <w:t>7</w:t>
      </w:r>
      <w:r>
        <w:t>). Si a esto se le suma el quiebre con el movimiento Hizmet de Fethullah Gulen en el 2013, la situación de poderío turco a nivel internacional se vio claramente disminuida, y Turquía tuvo que replegarse para atender a amenazas cercanas, dejando de lado su estrategia global, en momentos en que Turquía está siendo cercada tanto a nivel regional como global (Aras, 201</w:t>
      </w:r>
      <w:r w:rsidR="003B11FD">
        <w:t>7</w:t>
      </w:r>
      <w:r>
        <w:t xml:space="preserve">; Johanning, 2018). De ahí que algunos digan que la mirada previa de Turquía hacia América Latina y el Caribe haya sido una clara muestra de sobreexpansión (en González, 2016). </w:t>
      </w:r>
    </w:p>
    <w:p w14:paraId="71F0AF50" w14:textId="131AB394" w:rsidR="00EF733C" w:rsidRDefault="00EF733C" w:rsidP="00383E56">
      <w:pPr>
        <w:jc w:val="both"/>
      </w:pPr>
      <w:r>
        <w:t>Por otro lado, en cuanto a América Latina y el Caribe, debido al proceso de reprimarización de sus economías, cuando la demanda de materias primas cesó en el 2013, previamente impulsada por China, las economías de la región empezaron a presentar problemas, que al día de hoy han degenerado en crisis económicas, siendo la más emblemática la crisis económica en Argentina. Esta situación provocó un giro en la conducción política de la región que permitió que la reacción conservadora se hiciera con el poder en prácticamente toda la región, en gran medida con apoyo neopentecostal y de Estados Unidos bajo Donald Trump. Esto ha provocado que los países de la región busquen profundizar sus relaciones con sus socios tradicionales, provocando a su vez la profundización de su dependencia y su subordinación a la potencia hegemónica. Asimismo, ante el auge de grupos neopentecostales, y sus lazos con el poder, se ha empezado a favorecer más a las posiciones de Israel en la región, separándose de otras potencias que habían mostrado interés en aproximarse más a la región, como lo son Turquía e Irán. De continuar el auge político neopentecostal, las relaciones con Turquía se podrían ver afectadas en mayor medida, aunque el principal perjudicado definitivamente sería Irán.</w:t>
      </w:r>
    </w:p>
    <w:p w14:paraId="2F20F951" w14:textId="638B1BCB" w:rsidR="00EC527A" w:rsidRDefault="00EF733C" w:rsidP="00383E56">
      <w:pPr>
        <w:jc w:val="both"/>
      </w:pPr>
      <w:r>
        <w:t xml:space="preserve">Finalmente, también existen razones globales por las que las relaciones entre Turquía y América Latina se han estancado. </w:t>
      </w:r>
      <w:r w:rsidR="00EC527A">
        <w:t xml:space="preserve">Debido al fin del boom en los precios de las materias primas, sumado a los amplios recortes impositivos a los sectores más ricos de la economía en los Estados Unidos, y la decisión de la Reserva Federal de Estados Unidos de aumentar las tasas de interés, los llamados países emergentes vieron como el capital extranjero, del cual son ampliamente dependientes—Turquía y Argentina siendo dos casos emblemáticos de esto—, volvían a Estados Unidos y los países desarrollados de Europa Occidental. Esto debido a que, ante la situación que se avecinaba en los países emergentes, el capital financiero especulativo encontraba más seguro y rentable invertir en Estados Unidos (Tol, 8 de agosto de 2018; Haaretz, 30 de agosto de 2018). Esto explica en gran medida las dificultades económicas actuales que están teniendo los países de la región, incluyendo Turquía y Argentina, entre otros, demostrando que, más que países emergentes, realmente son países dependientes, subdesarrollados, subsoberanos y subordinados a las potencias internacionales y su capital financiero, como vanguardia de su clase dominante. </w:t>
      </w:r>
    </w:p>
    <w:p w14:paraId="6ACDC574" w14:textId="731CD4EB" w:rsidR="00EC527A" w:rsidRDefault="00EC527A" w:rsidP="00383E56">
      <w:pPr>
        <w:jc w:val="both"/>
      </w:pPr>
    </w:p>
    <w:p w14:paraId="26237858" w14:textId="39CC9E96" w:rsidR="00F05DA6" w:rsidRDefault="00F05DA6" w:rsidP="00BF3C7F"/>
    <w:p w14:paraId="44516F31" w14:textId="77777777" w:rsidR="00383E56" w:rsidRPr="00775639" w:rsidRDefault="00383E56" w:rsidP="00577B9D">
      <w:pPr>
        <w:jc w:val="both"/>
      </w:pPr>
    </w:p>
    <w:p w14:paraId="318F32D8" w14:textId="77777777" w:rsidR="00681241" w:rsidRPr="00BF3C7F" w:rsidRDefault="004E3FEE" w:rsidP="00F42699">
      <w:pPr>
        <w:ind w:left="709" w:hanging="709"/>
        <w:jc w:val="both"/>
        <w:rPr>
          <w:b/>
          <w:bCs/>
          <w:lang w:val="en-US"/>
        </w:rPr>
      </w:pPr>
      <w:r w:rsidRPr="00BF3C7F">
        <w:rPr>
          <w:b/>
          <w:bCs/>
          <w:lang w:val="en-US"/>
        </w:rPr>
        <w:lastRenderedPageBreak/>
        <w:t>Fuentes Consultadas</w:t>
      </w:r>
    </w:p>
    <w:p w14:paraId="1F4E2492" w14:textId="181DF167" w:rsidR="003B11FD" w:rsidRPr="00BF3C7F" w:rsidRDefault="003B11FD" w:rsidP="00B6451E">
      <w:pPr>
        <w:spacing w:after="240"/>
        <w:ind w:hanging="709"/>
        <w:rPr>
          <w:rFonts w:cstheme="minorHAnsi"/>
        </w:rPr>
      </w:pPr>
      <w:r w:rsidRPr="00BF3C7F">
        <w:rPr>
          <w:rFonts w:cstheme="minorHAnsi"/>
          <w:lang w:val="en-US"/>
        </w:rPr>
        <w:t xml:space="preserve">Aras, B. (2017). </w:t>
      </w:r>
      <w:r w:rsidRPr="0063668A">
        <w:rPr>
          <w:rFonts w:cstheme="minorHAnsi"/>
          <w:i/>
          <w:iCs/>
          <w:lang w:val="en-US"/>
        </w:rPr>
        <w:t>Turkish Foreign Policy After July 15</w:t>
      </w:r>
      <w:r w:rsidRPr="0063668A">
        <w:rPr>
          <w:rFonts w:cstheme="minorHAnsi"/>
          <w:lang w:val="en-US"/>
        </w:rPr>
        <w:t xml:space="preserve">. </w:t>
      </w:r>
      <w:r w:rsidRPr="00BF3C7F">
        <w:rPr>
          <w:rFonts w:cstheme="minorHAnsi"/>
        </w:rPr>
        <w:t xml:space="preserve">Istanbul: Sabanci University. </w:t>
      </w:r>
    </w:p>
    <w:p w14:paraId="5D9E4B74" w14:textId="3C0F052D" w:rsidR="00432356" w:rsidRPr="0063668A" w:rsidRDefault="00432356" w:rsidP="00B6451E">
      <w:pPr>
        <w:spacing w:after="240"/>
        <w:ind w:hanging="709"/>
        <w:rPr>
          <w:rFonts w:cstheme="minorHAnsi"/>
          <w:lang w:val="en-US"/>
        </w:rPr>
      </w:pPr>
      <w:r w:rsidRPr="00BF3C7F">
        <w:rPr>
          <w:rFonts w:cstheme="minorHAnsi"/>
        </w:rPr>
        <w:t xml:space="preserve">Ayata, S. (1996). </w:t>
      </w:r>
      <w:r w:rsidRPr="0063668A">
        <w:rPr>
          <w:rFonts w:cstheme="minorHAnsi"/>
          <w:lang w:val="en-US"/>
        </w:rPr>
        <w:t xml:space="preserve">Patronage, Party, and State: The Politicization of Islam in Turkey. </w:t>
      </w:r>
      <w:r w:rsidRPr="0063668A">
        <w:rPr>
          <w:rFonts w:cstheme="minorHAnsi"/>
          <w:i/>
          <w:lang w:val="en-US"/>
        </w:rPr>
        <w:t>Middle East Journal, 50(1),</w:t>
      </w:r>
      <w:r w:rsidRPr="0063668A">
        <w:rPr>
          <w:rFonts w:cstheme="minorHAnsi"/>
          <w:lang w:val="en-US"/>
        </w:rPr>
        <w:t xml:space="preserve"> pp. 40-56. </w:t>
      </w:r>
    </w:p>
    <w:p w14:paraId="1CC189D1" w14:textId="77777777" w:rsidR="00432356" w:rsidRPr="0063668A" w:rsidRDefault="00432356" w:rsidP="00B6451E">
      <w:pPr>
        <w:ind w:hanging="709"/>
        <w:rPr>
          <w:rFonts w:cstheme="minorHAnsi"/>
          <w:lang w:val="en-US"/>
        </w:rPr>
      </w:pPr>
      <w:r w:rsidRPr="0063668A">
        <w:rPr>
          <w:rFonts w:cstheme="minorHAnsi"/>
          <w:lang w:val="en-US"/>
        </w:rPr>
        <w:t xml:space="preserve">Cox, K. (1997). </w:t>
      </w:r>
      <w:r w:rsidRPr="0063668A">
        <w:rPr>
          <w:rFonts w:cstheme="minorHAnsi"/>
          <w:i/>
          <w:lang w:val="en-US"/>
        </w:rPr>
        <w:t>Turkish Islamism: The Refah Party</w:t>
      </w:r>
      <w:r w:rsidRPr="0063668A">
        <w:rPr>
          <w:rFonts w:cstheme="minorHAnsi"/>
          <w:lang w:val="en-US"/>
        </w:rPr>
        <w:t xml:space="preserve">. Maxwell: Air University Press. </w:t>
      </w:r>
    </w:p>
    <w:p w14:paraId="47D0E740" w14:textId="77777777" w:rsidR="00432356" w:rsidRPr="0063668A" w:rsidRDefault="00432356" w:rsidP="00B6451E">
      <w:pPr>
        <w:spacing w:before="240"/>
        <w:ind w:hanging="709"/>
        <w:rPr>
          <w:rFonts w:cstheme="minorHAnsi"/>
          <w:lang w:val="en-US"/>
        </w:rPr>
      </w:pPr>
      <w:r w:rsidRPr="0063668A">
        <w:rPr>
          <w:rFonts w:cstheme="minorHAnsi"/>
          <w:lang w:val="en-US"/>
        </w:rPr>
        <w:t xml:space="preserve">Demiralp, S. (2009). The Rise of Islamic Capital and the Decline of Islamic Radicalism in Turkey. </w:t>
      </w:r>
      <w:r w:rsidRPr="0063668A">
        <w:rPr>
          <w:rFonts w:cstheme="minorHAnsi"/>
          <w:i/>
          <w:lang w:val="en-US"/>
        </w:rPr>
        <w:t>Comparative Politics, 41(3)</w:t>
      </w:r>
      <w:r w:rsidRPr="0063668A">
        <w:rPr>
          <w:rFonts w:cstheme="minorHAnsi"/>
          <w:lang w:val="en-US"/>
        </w:rPr>
        <w:t xml:space="preserve">, pp. 315-335. </w:t>
      </w:r>
    </w:p>
    <w:p w14:paraId="29EF04F9" w14:textId="77777777" w:rsidR="00577B9D" w:rsidRPr="0063668A" w:rsidRDefault="00B6451E" w:rsidP="00577B9D">
      <w:pPr>
        <w:ind w:hanging="709"/>
        <w:jc w:val="both"/>
        <w:rPr>
          <w:rFonts w:cstheme="minorHAnsi"/>
        </w:rPr>
      </w:pPr>
      <w:r w:rsidRPr="0063668A">
        <w:rPr>
          <w:rFonts w:cstheme="minorHAnsi"/>
          <w:lang w:val="en-US"/>
        </w:rPr>
        <w:t xml:space="preserve">Donelli, F. y González, A. (2016). Becoming Global Actor: The Turkish Agenda for the Global South. </w:t>
      </w:r>
      <w:r w:rsidRPr="0063668A">
        <w:rPr>
          <w:rFonts w:cstheme="minorHAnsi"/>
          <w:i/>
          <w:iCs/>
        </w:rPr>
        <w:t>Rising Powers Quarterly, 1(2),</w:t>
      </w:r>
      <w:r w:rsidRPr="0063668A">
        <w:rPr>
          <w:rFonts w:cstheme="minorHAnsi"/>
        </w:rPr>
        <w:t xml:space="preserve"> pp. 93-115. </w:t>
      </w:r>
    </w:p>
    <w:p w14:paraId="5451CB9B" w14:textId="6E78C373" w:rsidR="00577B9D" w:rsidRPr="0063668A" w:rsidRDefault="00577B9D" w:rsidP="00577B9D">
      <w:pPr>
        <w:ind w:hanging="709"/>
        <w:jc w:val="both"/>
        <w:rPr>
          <w:rFonts w:cstheme="minorHAnsi"/>
        </w:rPr>
      </w:pPr>
      <w:r w:rsidRPr="0063668A">
        <w:rPr>
          <w:rFonts w:cstheme="minorHAnsi"/>
        </w:rPr>
        <w:t xml:space="preserve">Fanon, F. (1961). </w:t>
      </w:r>
      <w:r w:rsidRPr="0063668A">
        <w:rPr>
          <w:rFonts w:cstheme="minorHAnsi"/>
          <w:i/>
        </w:rPr>
        <w:t>Los condenados de la tierra</w:t>
      </w:r>
      <w:r w:rsidRPr="0063668A">
        <w:rPr>
          <w:rFonts w:cstheme="minorHAnsi"/>
        </w:rPr>
        <w:t>. Ciudad de México: Fondo de Cultura Económica.</w:t>
      </w:r>
    </w:p>
    <w:p w14:paraId="3BEFC2A7" w14:textId="6500372E" w:rsidR="00B6451E" w:rsidRPr="0063668A" w:rsidRDefault="004E3FEE" w:rsidP="00B6451E">
      <w:pPr>
        <w:ind w:hanging="709"/>
        <w:jc w:val="both"/>
        <w:rPr>
          <w:rFonts w:cstheme="minorHAnsi"/>
        </w:rPr>
      </w:pPr>
      <w:r w:rsidRPr="0063668A">
        <w:rPr>
          <w:rFonts w:cstheme="minorHAnsi"/>
        </w:rPr>
        <w:t>G</w:t>
      </w:r>
      <w:r w:rsidR="00B2281F" w:rsidRPr="0063668A">
        <w:rPr>
          <w:rFonts w:cstheme="minorHAnsi"/>
        </w:rPr>
        <w:t xml:space="preserve">onzález, A. (2012). América Latina y Caribe, la última frontera de la “Nueva” Política Exterior de Turquía. </w:t>
      </w:r>
      <w:r w:rsidR="00B2281F" w:rsidRPr="0063668A">
        <w:rPr>
          <w:rFonts w:cstheme="minorHAnsi"/>
          <w:i/>
        </w:rPr>
        <w:t>Araucaria. Revista Iberoamericana de Filosofía, Política y Humanidades, 14(28). pp. 179-202.</w:t>
      </w:r>
    </w:p>
    <w:p w14:paraId="780B45AD" w14:textId="77777777" w:rsidR="00B6451E" w:rsidRPr="0063668A" w:rsidRDefault="00F42699" w:rsidP="00B6451E">
      <w:pPr>
        <w:ind w:hanging="709"/>
        <w:jc w:val="both"/>
        <w:rPr>
          <w:rFonts w:cstheme="minorHAnsi"/>
        </w:rPr>
      </w:pPr>
      <w:r w:rsidRPr="0063668A">
        <w:rPr>
          <w:rFonts w:cstheme="minorHAnsi"/>
        </w:rPr>
        <w:t xml:space="preserve">González, A. (2012). Turquía y América Latina y el Caribe: una asociación en expansión. </w:t>
      </w:r>
      <w:r w:rsidRPr="0063668A">
        <w:rPr>
          <w:rFonts w:cstheme="minorHAnsi"/>
          <w:i/>
        </w:rPr>
        <w:t>Cuadernos Turquinos, 2(1),</w:t>
      </w:r>
      <w:r w:rsidRPr="0063668A">
        <w:rPr>
          <w:rFonts w:cstheme="minorHAnsi"/>
        </w:rPr>
        <w:t xml:space="preserve"> pp. 32-46. </w:t>
      </w:r>
    </w:p>
    <w:p w14:paraId="637CE2D9" w14:textId="77777777" w:rsidR="00B6451E" w:rsidRPr="0063668A" w:rsidRDefault="00B2281F" w:rsidP="00B6451E">
      <w:pPr>
        <w:ind w:hanging="709"/>
        <w:jc w:val="both"/>
        <w:rPr>
          <w:rFonts w:cstheme="minorHAnsi"/>
        </w:rPr>
      </w:pPr>
      <w:r w:rsidRPr="0063668A">
        <w:rPr>
          <w:rFonts w:cstheme="minorHAnsi"/>
        </w:rPr>
        <w:t xml:space="preserve">González, A. (2013). </w:t>
      </w:r>
      <w:r w:rsidR="00F42699" w:rsidRPr="0063668A">
        <w:rPr>
          <w:rFonts w:cstheme="minorHAnsi"/>
        </w:rPr>
        <w:t xml:space="preserve">Política Exterior de Turquía en 2012: reformulación de la “nueva” política exterior y el lugar de América Latina. </w:t>
      </w:r>
      <w:r w:rsidR="00F42699" w:rsidRPr="0063668A">
        <w:rPr>
          <w:rFonts w:cstheme="minorHAnsi"/>
          <w:i/>
        </w:rPr>
        <w:t>Reportes del CEMOAN, N°10</w:t>
      </w:r>
      <w:r w:rsidR="00F42699" w:rsidRPr="0063668A">
        <w:rPr>
          <w:rFonts w:cstheme="minorHAnsi"/>
        </w:rPr>
        <w:t>. ISSN: 2215-2768</w:t>
      </w:r>
    </w:p>
    <w:p w14:paraId="49179957" w14:textId="77777777" w:rsidR="00B6451E" w:rsidRPr="0063668A" w:rsidRDefault="00F42699" w:rsidP="00B6451E">
      <w:pPr>
        <w:ind w:hanging="709"/>
        <w:jc w:val="both"/>
        <w:rPr>
          <w:rFonts w:cstheme="minorHAnsi"/>
          <w:lang w:val="en-US"/>
        </w:rPr>
      </w:pPr>
      <w:r w:rsidRPr="0063668A">
        <w:rPr>
          <w:rFonts w:cstheme="minorHAnsi"/>
        </w:rPr>
        <w:t xml:space="preserve">González, A. (2016). Potencias (re)emergentes hacia un mundo policéntrico: Rusia y Turquía frente a América Latina. </w:t>
      </w:r>
      <w:r w:rsidRPr="0063668A">
        <w:rPr>
          <w:rFonts w:cstheme="minorHAnsi"/>
          <w:i/>
          <w:lang w:val="en-US"/>
        </w:rPr>
        <w:t>Relaciones Internacionales, 50</w:t>
      </w:r>
      <w:r w:rsidRPr="0063668A">
        <w:rPr>
          <w:rFonts w:cstheme="minorHAnsi"/>
          <w:lang w:val="en-US"/>
        </w:rPr>
        <w:t xml:space="preserve">, pp. 21-46. </w:t>
      </w:r>
    </w:p>
    <w:p w14:paraId="296277C6" w14:textId="77777777" w:rsidR="00B6451E" w:rsidRPr="0063668A" w:rsidRDefault="00A7154E" w:rsidP="00B6451E">
      <w:pPr>
        <w:ind w:hanging="709"/>
        <w:jc w:val="both"/>
        <w:rPr>
          <w:rFonts w:cstheme="minorHAnsi"/>
          <w:lang w:val="en-US"/>
        </w:rPr>
      </w:pPr>
      <w:r w:rsidRPr="0063668A">
        <w:rPr>
          <w:rFonts w:cstheme="minorHAnsi"/>
          <w:lang w:val="en-US"/>
        </w:rPr>
        <w:t xml:space="preserve">González, A. (2016). Towards the peripheries of the Western World: Eurasian regional policies in Latin America. </w:t>
      </w:r>
      <w:r w:rsidRPr="0063668A">
        <w:rPr>
          <w:rFonts w:cstheme="minorHAnsi"/>
          <w:i/>
          <w:lang w:val="en-US"/>
        </w:rPr>
        <w:t>Anuario de integración</w:t>
      </w:r>
      <w:r w:rsidR="00B2281F" w:rsidRPr="0063668A">
        <w:rPr>
          <w:rFonts w:cstheme="minorHAnsi"/>
          <w:i/>
          <w:lang w:val="en-US"/>
        </w:rPr>
        <w:t>,</w:t>
      </w:r>
      <w:r w:rsidRPr="0063668A">
        <w:rPr>
          <w:rFonts w:cstheme="minorHAnsi"/>
          <w:i/>
          <w:lang w:val="en-US"/>
        </w:rPr>
        <w:t xml:space="preserve"> 13</w:t>
      </w:r>
      <w:r w:rsidRPr="0063668A">
        <w:rPr>
          <w:rFonts w:cstheme="minorHAnsi"/>
          <w:lang w:val="en-US"/>
        </w:rPr>
        <w:t>, pp. 60-87.</w:t>
      </w:r>
    </w:p>
    <w:p w14:paraId="5CC018B6" w14:textId="04ABACB9" w:rsidR="003B11FD" w:rsidRPr="0063668A" w:rsidRDefault="003B11FD" w:rsidP="00B6451E">
      <w:pPr>
        <w:pStyle w:val="Textonotapie"/>
        <w:spacing w:after="240"/>
        <w:ind w:hanging="709"/>
        <w:jc w:val="both"/>
        <w:rPr>
          <w:rFonts w:cstheme="minorHAnsi"/>
          <w:sz w:val="22"/>
          <w:szCs w:val="22"/>
          <w:lang w:val="en-US"/>
        </w:rPr>
      </w:pPr>
      <w:r w:rsidRPr="0063668A">
        <w:rPr>
          <w:rFonts w:cstheme="minorHAnsi"/>
          <w:sz w:val="22"/>
          <w:szCs w:val="22"/>
        </w:rPr>
        <w:t xml:space="preserve">González, A. y Zenguin, H. (2016). </w:t>
      </w:r>
      <w:r w:rsidRPr="0063668A">
        <w:rPr>
          <w:rFonts w:cstheme="minorHAnsi"/>
          <w:sz w:val="22"/>
          <w:szCs w:val="22"/>
          <w:lang w:val="en-US"/>
        </w:rPr>
        <w:t xml:space="preserve">A Decade of Opening : Turkey’s New International Role y Sub-Saharan Africa and Latin America. </w:t>
      </w:r>
      <w:r w:rsidRPr="0063668A">
        <w:rPr>
          <w:rFonts w:cstheme="minorHAnsi"/>
          <w:i/>
          <w:iCs/>
          <w:sz w:val="22"/>
          <w:szCs w:val="22"/>
          <w:lang w:val="en-US"/>
        </w:rPr>
        <w:t>Revista de Historia Actual, N°2</w:t>
      </w:r>
      <w:r w:rsidRPr="0063668A">
        <w:rPr>
          <w:rFonts w:cstheme="minorHAnsi"/>
          <w:sz w:val="22"/>
          <w:szCs w:val="22"/>
          <w:lang w:val="en-US"/>
        </w:rPr>
        <w:t xml:space="preserve">, pp. 262-285. </w:t>
      </w:r>
    </w:p>
    <w:p w14:paraId="4199A040" w14:textId="26A9D794" w:rsidR="00B6451E" w:rsidRPr="0063668A" w:rsidRDefault="00B6451E" w:rsidP="00B6451E">
      <w:pPr>
        <w:pStyle w:val="Textonotapie"/>
        <w:spacing w:after="240"/>
        <w:ind w:hanging="709"/>
        <w:jc w:val="both"/>
        <w:rPr>
          <w:rFonts w:cstheme="minorHAnsi"/>
          <w:sz w:val="22"/>
          <w:szCs w:val="22"/>
          <w:lang w:val="en-US"/>
        </w:rPr>
      </w:pPr>
      <w:r w:rsidRPr="0063668A">
        <w:rPr>
          <w:rFonts w:cstheme="minorHAnsi"/>
          <w:sz w:val="22"/>
          <w:szCs w:val="22"/>
          <w:lang w:val="en-US"/>
        </w:rPr>
        <w:t>Fuller, G. (2014). T</w:t>
      </w:r>
      <w:r w:rsidRPr="0063668A">
        <w:rPr>
          <w:rStyle w:val="nfasis"/>
          <w:rFonts w:cstheme="minorHAnsi"/>
          <w:color w:val="000000"/>
          <w:sz w:val="22"/>
          <w:szCs w:val="22"/>
          <w:bdr w:val="none" w:sz="0" w:space="0" w:color="auto" w:frame="1"/>
          <w:lang w:val="en-US"/>
        </w:rPr>
        <w:t>urkey and the Arab Spring. LEADERSHIP in the MIDDLE EAST</w:t>
      </w:r>
      <w:r w:rsidRPr="0063668A">
        <w:rPr>
          <w:rFonts w:cstheme="minorHAnsi"/>
          <w:color w:val="000000"/>
          <w:sz w:val="22"/>
          <w:szCs w:val="22"/>
          <w:lang w:val="en-US"/>
        </w:rPr>
        <w:t>. New York: Bozorg Press.</w:t>
      </w:r>
    </w:p>
    <w:p w14:paraId="3DA58F5E" w14:textId="77777777" w:rsidR="00B6451E" w:rsidRPr="0063668A" w:rsidRDefault="00B6451E" w:rsidP="00B6451E">
      <w:pPr>
        <w:ind w:hanging="709"/>
        <w:rPr>
          <w:rFonts w:cstheme="minorHAnsi"/>
          <w:lang w:val="en-US"/>
        </w:rPr>
      </w:pPr>
      <w:r w:rsidRPr="0063668A">
        <w:rPr>
          <w:rFonts w:cstheme="minorHAnsi"/>
          <w:lang w:val="en-US"/>
        </w:rPr>
        <w:t xml:space="preserve">Gulalp, H. (1999). Political Islam in Turkey: The Rise and Fall of the Refah Party. </w:t>
      </w:r>
      <w:r w:rsidRPr="0063668A">
        <w:rPr>
          <w:rFonts w:cstheme="minorHAnsi"/>
          <w:i/>
          <w:lang w:val="en-US"/>
        </w:rPr>
        <w:t>The Muslim World. LXXXIX(1),</w:t>
      </w:r>
      <w:r w:rsidRPr="0063668A">
        <w:rPr>
          <w:rFonts w:cstheme="minorHAnsi"/>
          <w:lang w:val="en-US"/>
        </w:rPr>
        <w:t xml:space="preserve"> pp. 22-41. </w:t>
      </w:r>
    </w:p>
    <w:p w14:paraId="6814A28A" w14:textId="77777777" w:rsidR="00EC527A" w:rsidRPr="0063668A" w:rsidRDefault="00B6451E" w:rsidP="00EC527A">
      <w:pPr>
        <w:ind w:hanging="709"/>
        <w:rPr>
          <w:rFonts w:cstheme="minorHAnsi"/>
          <w:lang w:val="en-US"/>
        </w:rPr>
      </w:pPr>
      <w:r w:rsidRPr="0063668A">
        <w:rPr>
          <w:rFonts w:cstheme="minorHAnsi"/>
          <w:lang w:val="en-US"/>
        </w:rPr>
        <w:t xml:space="preserve">Gulalp, H. (2009). Globalization and Political Islam: The Social Bases of Turkey’s Welfare Party. </w:t>
      </w:r>
      <w:r w:rsidRPr="0063668A">
        <w:rPr>
          <w:rFonts w:cstheme="minorHAnsi"/>
          <w:i/>
          <w:lang w:val="en-US"/>
        </w:rPr>
        <w:t>International Journal of Middle East Studies, 33(3)</w:t>
      </w:r>
      <w:r w:rsidRPr="0063668A">
        <w:rPr>
          <w:rFonts w:cstheme="minorHAnsi"/>
          <w:lang w:val="en-US"/>
        </w:rPr>
        <w:t xml:space="preserve">, pp. 433-448. </w:t>
      </w:r>
    </w:p>
    <w:p w14:paraId="3C016720" w14:textId="7EF069B8" w:rsidR="00EC527A" w:rsidRPr="00BF3C7F" w:rsidRDefault="00EC527A" w:rsidP="00EC527A">
      <w:pPr>
        <w:ind w:hanging="709"/>
        <w:rPr>
          <w:rFonts w:cstheme="minorHAnsi"/>
        </w:rPr>
      </w:pPr>
      <w:r w:rsidRPr="0063668A">
        <w:rPr>
          <w:rFonts w:cstheme="minorHAnsi"/>
          <w:color w:val="000000"/>
          <w:lang w:val="en-US"/>
        </w:rPr>
        <w:t>Haaretz. (30 de agosto de 2018). </w:t>
      </w:r>
      <w:r w:rsidRPr="0063668A">
        <w:rPr>
          <w:rStyle w:val="nfasis"/>
          <w:rFonts w:cstheme="minorHAnsi"/>
          <w:color w:val="000000"/>
          <w:bdr w:val="none" w:sz="0" w:space="0" w:color="auto" w:frame="1"/>
          <w:lang w:val="en-US"/>
        </w:rPr>
        <w:t>Turkey's Lira and South Africa's Rand Tumble as Argentine Peso Crashes</w:t>
      </w:r>
      <w:r w:rsidRPr="0063668A">
        <w:rPr>
          <w:rFonts w:cstheme="minorHAnsi"/>
          <w:color w:val="000000"/>
          <w:lang w:val="en-US"/>
        </w:rPr>
        <w:t xml:space="preserve">. </w:t>
      </w:r>
      <w:r w:rsidRPr="0063668A">
        <w:rPr>
          <w:rFonts w:cstheme="minorHAnsi"/>
          <w:color w:val="000000"/>
        </w:rPr>
        <w:t>Recuperado de: </w:t>
      </w:r>
      <w:hyperlink r:id="rId13" w:tgtFrame="_blank" w:history="1">
        <w:r w:rsidRPr="0063668A">
          <w:rPr>
            <w:rStyle w:val="Hipervnculo"/>
            <w:rFonts w:cstheme="minorHAnsi"/>
            <w:color w:val="0062A0"/>
            <w:bdr w:val="none" w:sz="0" w:space="0" w:color="auto" w:frame="1"/>
          </w:rPr>
          <w:t>https://www.haaretz.com/world-news/turkey-s-lira-and-south-africa-s-rand-tumble-as-argentine-peso-crashes-1.6431962</w:t>
        </w:r>
      </w:hyperlink>
    </w:p>
    <w:p w14:paraId="43C6EF72" w14:textId="546B8606" w:rsidR="00B6451E" w:rsidRPr="00BF3C7F" w:rsidRDefault="00B6451E" w:rsidP="00B6451E">
      <w:pPr>
        <w:ind w:hanging="709"/>
        <w:rPr>
          <w:rFonts w:cstheme="minorHAnsi"/>
        </w:rPr>
      </w:pPr>
      <w:r w:rsidRPr="0063668A">
        <w:rPr>
          <w:rFonts w:cstheme="minorHAnsi"/>
          <w:lang w:val="en-US"/>
        </w:rPr>
        <w:t xml:space="preserve">Heper, M. (2013). Islam, Conservatism and Democracy in Turkey: Comparing Turgut Özal and Recep Tayyip Erdoğan. </w:t>
      </w:r>
      <w:r w:rsidRPr="00BF3C7F">
        <w:rPr>
          <w:rFonts w:cstheme="minorHAnsi"/>
          <w:i/>
        </w:rPr>
        <w:t>Insight Turkey, 15(2)</w:t>
      </w:r>
      <w:r w:rsidRPr="00BF3C7F">
        <w:rPr>
          <w:rFonts w:cstheme="minorHAnsi"/>
        </w:rPr>
        <w:t>, pp. 141-156.</w:t>
      </w:r>
    </w:p>
    <w:p w14:paraId="64B47714" w14:textId="56B2DB45" w:rsidR="00577B9D" w:rsidRPr="0063668A" w:rsidRDefault="00577B9D" w:rsidP="00577B9D">
      <w:pPr>
        <w:ind w:hanging="709"/>
        <w:jc w:val="both"/>
        <w:rPr>
          <w:rFonts w:cstheme="minorHAnsi"/>
        </w:rPr>
      </w:pPr>
      <w:r w:rsidRPr="0063668A">
        <w:rPr>
          <w:rFonts w:cstheme="minorHAnsi"/>
        </w:rPr>
        <w:lastRenderedPageBreak/>
        <w:t xml:space="preserve">Instituto Turco de Estadística. (2019). </w:t>
      </w:r>
      <w:r w:rsidRPr="0063668A">
        <w:rPr>
          <w:rFonts w:cstheme="minorHAnsi"/>
          <w:i/>
          <w:iCs/>
        </w:rPr>
        <w:t>Foreign Trade</w:t>
      </w:r>
      <w:r w:rsidRPr="0063668A">
        <w:rPr>
          <w:rFonts w:cstheme="minorHAnsi"/>
        </w:rPr>
        <w:t xml:space="preserve">. Recuperado de: </w:t>
      </w:r>
      <w:hyperlink r:id="rId14" w:history="1">
        <w:r w:rsidRPr="0063668A">
          <w:rPr>
            <w:rStyle w:val="Hipervnculo"/>
            <w:rFonts w:cstheme="minorHAnsi"/>
          </w:rPr>
          <w:t>http://www.turkstat.gov.tr/UstMenu.do?metod=temelist</w:t>
        </w:r>
      </w:hyperlink>
    </w:p>
    <w:p w14:paraId="1BB4281E" w14:textId="0B1E16DC" w:rsidR="003B11FD" w:rsidRPr="0063668A" w:rsidRDefault="00577B9D" w:rsidP="003B11FD">
      <w:pPr>
        <w:ind w:hanging="709"/>
        <w:jc w:val="both"/>
        <w:rPr>
          <w:rFonts w:cstheme="minorHAnsi"/>
        </w:rPr>
      </w:pPr>
      <w:r w:rsidRPr="0063668A">
        <w:rPr>
          <w:rFonts w:cstheme="minorHAnsi"/>
        </w:rPr>
        <w:t xml:space="preserve">Johanning, J. (8 de octubre de 2018). </w:t>
      </w:r>
      <w:r w:rsidR="003B11FD" w:rsidRPr="0063668A">
        <w:rPr>
          <w:rFonts w:cstheme="minorHAnsi"/>
        </w:rPr>
        <w:t xml:space="preserve">Análisis político N°7: Una potencia regional acorralada: Turquía en la encrucijada por el rediseño regional del Medio Oriente. </w:t>
      </w:r>
      <w:r w:rsidR="003B11FD" w:rsidRPr="0063668A">
        <w:rPr>
          <w:rFonts w:cstheme="minorHAnsi"/>
          <w:i/>
          <w:iCs/>
        </w:rPr>
        <w:t xml:space="preserve">Observatorio de la Política Internacional (OPI). </w:t>
      </w:r>
      <w:r w:rsidR="003B11FD" w:rsidRPr="0063668A">
        <w:rPr>
          <w:rFonts w:cstheme="minorHAnsi"/>
        </w:rPr>
        <w:t xml:space="preserve">Recuperado de: </w:t>
      </w:r>
      <w:hyperlink r:id="rId15" w:history="1">
        <w:r w:rsidR="003B11FD" w:rsidRPr="0063668A">
          <w:rPr>
            <w:rStyle w:val="Hipervnculo"/>
            <w:rFonts w:cstheme="minorHAnsi"/>
          </w:rPr>
          <w:t>https://opi.ucr.ac.cr/node/1109</w:t>
        </w:r>
      </w:hyperlink>
    </w:p>
    <w:p w14:paraId="27DA5330" w14:textId="2C20CF04" w:rsidR="00577B9D" w:rsidRPr="00BF3C7F" w:rsidRDefault="00B6451E" w:rsidP="00577B9D">
      <w:pPr>
        <w:ind w:hanging="709"/>
        <w:jc w:val="both"/>
        <w:rPr>
          <w:rFonts w:cstheme="minorHAnsi"/>
        </w:rPr>
      </w:pPr>
      <w:r w:rsidRPr="0063668A">
        <w:rPr>
          <w:rFonts w:cstheme="minorHAnsi"/>
          <w:lang w:val="en-US"/>
        </w:rPr>
        <w:t xml:space="preserve">Kirişci, K. (2009). The transformation of Turkish foreign policy: The rise of the trading state. </w:t>
      </w:r>
      <w:r w:rsidRPr="00BF3C7F">
        <w:rPr>
          <w:rFonts w:cstheme="minorHAnsi"/>
          <w:i/>
          <w:iCs/>
        </w:rPr>
        <w:t>New Perspectives on Turkey</w:t>
      </w:r>
      <w:r w:rsidRPr="00BF3C7F">
        <w:rPr>
          <w:rFonts w:cstheme="minorHAnsi"/>
        </w:rPr>
        <w:t xml:space="preserve">, 40, pp. 29-57. </w:t>
      </w:r>
    </w:p>
    <w:p w14:paraId="67F534A5" w14:textId="271551B5" w:rsidR="00577B9D" w:rsidRPr="0063668A" w:rsidRDefault="00577B9D" w:rsidP="00577B9D">
      <w:pPr>
        <w:ind w:hanging="709"/>
        <w:jc w:val="both"/>
        <w:rPr>
          <w:rFonts w:cstheme="minorHAnsi"/>
        </w:rPr>
      </w:pPr>
      <w:r w:rsidRPr="0063668A">
        <w:rPr>
          <w:rFonts w:cstheme="minorHAnsi"/>
        </w:rPr>
        <w:t xml:space="preserve">Marini, R.M. (1991). </w:t>
      </w:r>
      <w:r w:rsidRPr="0063668A">
        <w:rPr>
          <w:rFonts w:cstheme="minorHAnsi"/>
          <w:i/>
          <w:iCs/>
        </w:rPr>
        <w:t>Dialéctica de la Dependencia</w:t>
      </w:r>
      <w:r w:rsidRPr="0063668A">
        <w:rPr>
          <w:rFonts w:cstheme="minorHAnsi"/>
        </w:rPr>
        <w:t>. Ediciones Era: México.</w:t>
      </w:r>
    </w:p>
    <w:p w14:paraId="77EC58A7" w14:textId="3E99DC2E" w:rsidR="00577B9D" w:rsidRPr="0063668A" w:rsidRDefault="00577B9D" w:rsidP="00577B9D">
      <w:pPr>
        <w:ind w:hanging="709"/>
        <w:jc w:val="both"/>
        <w:rPr>
          <w:rFonts w:cstheme="minorHAnsi"/>
        </w:rPr>
      </w:pPr>
      <w:r w:rsidRPr="0063668A">
        <w:rPr>
          <w:rFonts w:cstheme="minorHAnsi"/>
        </w:rPr>
        <w:t xml:space="preserve">Observatorio de Complejidad Económica (2019). </w:t>
      </w:r>
      <w:r w:rsidRPr="0063668A">
        <w:rPr>
          <w:rFonts w:cstheme="minorHAnsi"/>
          <w:i/>
          <w:iCs/>
        </w:rPr>
        <w:t>Turquía</w:t>
      </w:r>
      <w:r w:rsidRPr="0063668A">
        <w:rPr>
          <w:rFonts w:cstheme="minorHAnsi"/>
        </w:rPr>
        <w:t xml:space="preserve">. Recuperado de: </w:t>
      </w:r>
      <w:r w:rsidRPr="0063668A">
        <w:rPr>
          <w:rFonts w:cstheme="minorHAnsi"/>
          <w:u w:val="single"/>
        </w:rPr>
        <w:t>https://oec.world/es/profile/country/tur/</w:t>
      </w:r>
    </w:p>
    <w:p w14:paraId="33656D1D" w14:textId="7516A908" w:rsidR="003B11FD" w:rsidRPr="0063668A" w:rsidRDefault="003B11FD" w:rsidP="00577B9D">
      <w:pPr>
        <w:ind w:hanging="709"/>
        <w:jc w:val="both"/>
        <w:rPr>
          <w:rFonts w:cstheme="minorHAnsi"/>
        </w:rPr>
      </w:pPr>
      <w:r w:rsidRPr="0063668A">
        <w:rPr>
          <w:rFonts w:cstheme="minorHAnsi"/>
        </w:rPr>
        <w:t xml:space="preserve">Osorio, J. (1984). El marxismo latinoamericano y la dependencia. </w:t>
      </w:r>
      <w:r w:rsidRPr="0063668A">
        <w:rPr>
          <w:rFonts w:cstheme="minorHAnsi"/>
          <w:i/>
          <w:iCs/>
        </w:rPr>
        <w:t>Cuadernos Políticos, N°38</w:t>
      </w:r>
      <w:r w:rsidRPr="0063668A">
        <w:rPr>
          <w:rFonts w:cstheme="minorHAnsi"/>
        </w:rPr>
        <w:t xml:space="preserve">, pp. 40-59. </w:t>
      </w:r>
    </w:p>
    <w:p w14:paraId="4E0B3DF3" w14:textId="490DD9B2" w:rsidR="00577B9D" w:rsidRPr="00BF3C7F" w:rsidRDefault="00577B9D" w:rsidP="00577B9D">
      <w:pPr>
        <w:ind w:hanging="709"/>
        <w:jc w:val="both"/>
        <w:rPr>
          <w:rFonts w:cstheme="minorHAnsi"/>
        </w:rPr>
      </w:pPr>
      <w:r w:rsidRPr="0063668A">
        <w:rPr>
          <w:rFonts w:cstheme="minorHAnsi"/>
        </w:rPr>
        <w:t xml:space="preserve">Osorio, J. (2017). </w:t>
      </w:r>
      <w:r w:rsidRPr="0063668A">
        <w:rPr>
          <w:rFonts w:cstheme="minorHAnsi"/>
          <w:i/>
        </w:rPr>
        <w:t>Sistema mundial, intercambio desigual y renta de la tierra</w:t>
      </w:r>
      <w:r w:rsidRPr="0063668A">
        <w:rPr>
          <w:rFonts w:cstheme="minorHAnsi"/>
        </w:rPr>
        <w:t>. Ciudad de México: UAM.</w:t>
      </w:r>
    </w:p>
    <w:p w14:paraId="7AAA4E6B" w14:textId="762D2DBA" w:rsidR="00577B9D" w:rsidRPr="0063668A" w:rsidRDefault="00577B9D" w:rsidP="00577B9D">
      <w:pPr>
        <w:ind w:hanging="709"/>
        <w:jc w:val="both"/>
        <w:rPr>
          <w:rFonts w:cstheme="minorHAnsi"/>
        </w:rPr>
      </w:pPr>
      <w:r w:rsidRPr="0063668A">
        <w:rPr>
          <w:rFonts w:cstheme="minorHAnsi"/>
        </w:rPr>
        <w:t xml:space="preserve">Osorio, J. (23 de marzo de 2017). Sistema mundial y formas de capitalismo. La teoría marxista de la dependencia revisitada. </w:t>
      </w:r>
      <w:r w:rsidRPr="0063668A">
        <w:rPr>
          <w:rFonts w:cstheme="minorHAnsi"/>
          <w:i/>
          <w:iCs/>
        </w:rPr>
        <w:t>Marxismo y Revolución</w:t>
      </w:r>
      <w:r w:rsidRPr="0063668A">
        <w:rPr>
          <w:rFonts w:cstheme="minorHAnsi"/>
        </w:rPr>
        <w:t xml:space="preserve">. Recuperado de: </w:t>
      </w:r>
      <w:hyperlink r:id="rId16" w:history="1">
        <w:r w:rsidRPr="0063668A">
          <w:rPr>
            <w:rStyle w:val="Hipervnculo"/>
            <w:rFonts w:cstheme="minorHAnsi"/>
          </w:rPr>
          <w:t>http://marxismoyrevolucion.org/?p=550</w:t>
        </w:r>
      </w:hyperlink>
    </w:p>
    <w:p w14:paraId="3E4023B8" w14:textId="3794AA1E" w:rsidR="00577B9D" w:rsidRPr="0063668A" w:rsidRDefault="00577B9D" w:rsidP="00577B9D">
      <w:pPr>
        <w:ind w:hanging="709"/>
        <w:jc w:val="both"/>
        <w:rPr>
          <w:rFonts w:cstheme="minorHAnsi"/>
        </w:rPr>
      </w:pPr>
      <w:r w:rsidRPr="0063668A">
        <w:rPr>
          <w:rFonts w:cstheme="minorHAnsi"/>
        </w:rPr>
        <w:t xml:space="preserve">Osorio, J. (17 de julio de 2018). Acerca de la superexplotación y el capitalismo dependiente. </w:t>
      </w:r>
      <w:r w:rsidRPr="0063668A">
        <w:rPr>
          <w:rFonts w:cstheme="minorHAnsi"/>
          <w:i/>
          <w:iCs/>
        </w:rPr>
        <w:t>Marxismo y Revolución</w:t>
      </w:r>
      <w:r w:rsidRPr="0063668A">
        <w:rPr>
          <w:rFonts w:cstheme="minorHAnsi"/>
        </w:rPr>
        <w:t xml:space="preserve">. Recuperado de: </w:t>
      </w:r>
      <w:hyperlink r:id="rId17" w:history="1">
        <w:r w:rsidRPr="0063668A">
          <w:rPr>
            <w:rStyle w:val="Hipervnculo"/>
            <w:rFonts w:cstheme="minorHAnsi"/>
          </w:rPr>
          <w:t>http://marxismoyrevolucion.org/?p=865</w:t>
        </w:r>
      </w:hyperlink>
    </w:p>
    <w:p w14:paraId="61D22D61" w14:textId="4C94A666" w:rsidR="00EC527A" w:rsidRPr="0063668A" w:rsidRDefault="00432356" w:rsidP="00EC527A">
      <w:pPr>
        <w:ind w:hanging="709"/>
        <w:jc w:val="both"/>
        <w:rPr>
          <w:rFonts w:cstheme="minorHAnsi"/>
        </w:rPr>
      </w:pPr>
      <w:r w:rsidRPr="0063668A">
        <w:rPr>
          <w:rFonts w:cstheme="minorHAnsi"/>
        </w:rPr>
        <w:t xml:space="preserve">Rabasa, A. y Larrabee, S. (2008). </w:t>
      </w:r>
      <w:r w:rsidRPr="0063668A">
        <w:rPr>
          <w:rFonts w:cstheme="minorHAnsi"/>
          <w:i/>
          <w:lang w:val="en-US"/>
        </w:rPr>
        <w:t>The Rise of Political Islam in Turkey</w:t>
      </w:r>
      <w:r w:rsidRPr="0063668A">
        <w:rPr>
          <w:rFonts w:cstheme="minorHAnsi"/>
          <w:lang w:val="en-US"/>
        </w:rPr>
        <w:t xml:space="preserve">. </w:t>
      </w:r>
      <w:r w:rsidRPr="0063668A">
        <w:rPr>
          <w:rFonts w:cstheme="minorHAnsi"/>
        </w:rPr>
        <w:t>Santa Monica: Rand Corporation.</w:t>
      </w:r>
    </w:p>
    <w:p w14:paraId="75C5EAE9" w14:textId="3EEDF7B2" w:rsidR="00577B9D" w:rsidRPr="0063668A" w:rsidRDefault="00577B9D" w:rsidP="00EC527A">
      <w:pPr>
        <w:ind w:hanging="709"/>
        <w:jc w:val="both"/>
        <w:rPr>
          <w:rFonts w:cstheme="minorHAnsi"/>
          <w:color w:val="000000"/>
        </w:rPr>
      </w:pPr>
      <w:r w:rsidRPr="0063668A">
        <w:rPr>
          <w:rFonts w:cstheme="minorHAnsi"/>
          <w:color w:val="000000"/>
        </w:rPr>
        <w:t xml:space="preserve">Sader, E. (2012). América Latina y la economía global: En diálogo con &lt;&lt;Dialéctica de la Dependencia&gt;&gt; de Ruy Mauro Marini. </w:t>
      </w:r>
      <w:r w:rsidRPr="0063668A">
        <w:rPr>
          <w:rFonts w:cstheme="minorHAnsi"/>
          <w:i/>
          <w:iCs/>
          <w:color w:val="000000"/>
        </w:rPr>
        <w:t>Revista Nueva Sociedad, N°238</w:t>
      </w:r>
      <w:r w:rsidRPr="0063668A">
        <w:rPr>
          <w:rFonts w:cstheme="minorHAnsi"/>
          <w:color w:val="000000"/>
        </w:rPr>
        <w:t xml:space="preserve">, pp. 54-59. </w:t>
      </w:r>
    </w:p>
    <w:p w14:paraId="028ED32B" w14:textId="61B11C8F" w:rsidR="00EC527A" w:rsidRPr="00BF3C7F" w:rsidRDefault="00EC527A" w:rsidP="00577B9D">
      <w:pPr>
        <w:ind w:hanging="709"/>
        <w:jc w:val="both"/>
        <w:rPr>
          <w:rFonts w:cstheme="minorHAnsi"/>
          <w:color w:val="000000"/>
          <w:lang w:val="en-US"/>
        </w:rPr>
      </w:pPr>
      <w:r w:rsidRPr="0063668A">
        <w:rPr>
          <w:rFonts w:cstheme="minorHAnsi"/>
          <w:color w:val="000000"/>
        </w:rPr>
        <w:t xml:space="preserve">Tol, G. (8 de agosto de 2018). </w:t>
      </w:r>
      <w:r w:rsidRPr="0063668A">
        <w:rPr>
          <w:rFonts w:cstheme="minorHAnsi"/>
          <w:color w:val="000000"/>
          <w:lang w:val="en-US"/>
        </w:rPr>
        <w:t>US sanctions on Turkish ministers require recalibration. </w:t>
      </w:r>
      <w:r w:rsidRPr="0063668A">
        <w:rPr>
          <w:rStyle w:val="nfasis"/>
          <w:rFonts w:cstheme="minorHAnsi"/>
          <w:color w:val="000000"/>
          <w:bdr w:val="none" w:sz="0" w:space="0" w:color="auto" w:frame="1"/>
          <w:lang w:val="en-US"/>
        </w:rPr>
        <w:t>Middle East Institute</w:t>
      </w:r>
      <w:r w:rsidRPr="0063668A">
        <w:rPr>
          <w:rFonts w:cstheme="minorHAnsi"/>
          <w:color w:val="000000"/>
          <w:lang w:val="en-US"/>
        </w:rPr>
        <w:t>. Recuperado de: </w:t>
      </w:r>
      <w:hyperlink r:id="rId18" w:tgtFrame="_blank" w:history="1">
        <w:r w:rsidRPr="0063668A">
          <w:rPr>
            <w:rStyle w:val="Hipervnculo"/>
            <w:rFonts w:cstheme="minorHAnsi"/>
            <w:color w:val="0062A0"/>
            <w:bdr w:val="none" w:sz="0" w:space="0" w:color="auto" w:frame="1"/>
            <w:lang w:val="en-US"/>
          </w:rPr>
          <w:t>http://www.mei.edu/content/us-sanctions-turkish-ministers-require-recalibration</w:t>
        </w:r>
      </w:hyperlink>
    </w:p>
    <w:p w14:paraId="62A182FF" w14:textId="12CE8552" w:rsidR="00577B9D" w:rsidRPr="0063668A" w:rsidRDefault="00577B9D" w:rsidP="00577B9D">
      <w:pPr>
        <w:ind w:hanging="709"/>
        <w:jc w:val="both"/>
        <w:rPr>
          <w:rFonts w:cstheme="minorHAnsi"/>
        </w:rPr>
      </w:pPr>
      <w:r w:rsidRPr="0063668A">
        <w:rPr>
          <w:rFonts w:cstheme="minorHAnsi"/>
        </w:rPr>
        <w:t xml:space="preserve">UN Comtrade Database. (2019). </w:t>
      </w:r>
      <w:r w:rsidRPr="0063668A">
        <w:rPr>
          <w:rFonts w:cstheme="minorHAnsi"/>
          <w:i/>
          <w:iCs/>
        </w:rPr>
        <w:t>Trade Statistics</w:t>
      </w:r>
      <w:r w:rsidRPr="0063668A">
        <w:rPr>
          <w:rFonts w:cstheme="minorHAnsi"/>
        </w:rPr>
        <w:t xml:space="preserve">. Recuperado de: </w:t>
      </w:r>
      <w:hyperlink r:id="rId19" w:history="1">
        <w:r w:rsidRPr="0063668A">
          <w:rPr>
            <w:rStyle w:val="Hipervnculo"/>
            <w:rFonts w:cstheme="minorHAnsi"/>
          </w:rPr>
          <w:t>https://comtrade.un.org/data/</w:t>
        </w:r>
      </w:hyperlink>
      <w:r w:rsidRPr="0063668A">
        <w:rPr>
          <w:rFonts w:cstheme="minorHAnsi"/>
        </w:rPr>
        <w:t xml:space="preserve"> </w:t>
      </w:r>
    </w:p>
    <w:p w14:paraId="6C4DFE2B" w14:textId="79E2C397" w:rsidR="003B11FD" w:rsidRPr="0063668A" w:rsidRDefault="00432356" w:rsidP="0063668A">
      <w:pPr>
        <w:pStyle w:val="Textonotapie"/>
        <w:ind w:hanging="709"/>
        <w:rPr>
          <w:rFonts w:cstheme="minorHAnsi"/>
          <w:sz w:val="22"/>
          <w:szCs w:val="22"/>
          <w:lang w:val="en-US"/>
        </w:rPr>
      </w:pPr>
      <w:r w:rsidRPr="0063668A">
        <w:rPr>
          <w:rFonts w:cstheme="minorHAnsi"/>
          <w:sz w:val="22"/>
          <w:szCs w:val="22"/>
          <w:lang w:val="en-US"/>
        </w:rPr>
        <w:t>Zurcher, E. (2004).</w:t>
      </w:r>
      <w:r w:rsidRPr="0063668A">
        <w:rPr>
          <w:rFonts w:cstheme="minorHAnsi"/>
          <w:i/>
          <w:sz w:val="22"/>
          <w:szCs w:val="22"/>
          <w:lang w:val="en-US"/>
        </w:rPr>
        <w:t xml:space="preserve"> Turkey: </w:t>
      </w:r>
      <w:r w:rsidR="0037690C" w:rsidRPr="0063668A">
        <w:rPr>
          <w:rFonts w:cstheme="minorHAnsi"/>
          <w:i/>
          <w:sz w:val="22"/>
          <w:szCs w:val="22"/>
          <w:lang w:val="en-US"/>
        </w:rPr>
        <w:t>A</w:t>
      </w:r>
      <w:r w:rsidRPr="0063668A">
        <w:rPr>
          <w:rFonts w:cstheme="minorHAnsi"/>
          <w:i/>
          <w:sz w:val="22"/>
          <w:szCs w:val="22"/>
          <w:lang w:val="en-US"/>
        </w:rPr>
        <w:t xml:space="preserve"> Modern History</w:t>
      </w:r>
      <w:r w:rsidRPr="0063668A">
        <w:rPr>
          <w:rFonts w:cstheme="minorHAnsi"/>
          <w:sz w:val="22"/>
          <w:szCs w:val="22"/>
          <w:lang w:val="en-US"/>
        </w:rPr>
        <w:t xml:space="preserve">. London: I.B. Tauris. </w:t>
      </w:r>
    </w:p>
    <w:p w14:paraId="0B767344" w14:textId="5A30B179" w:rsidR="0063668A" w:rsidRDefault="0063668A" w:rsidP="0063668A">
      <w:pPr>
        <w:pStyle w:val="Textonotapie"/>
        <w:ind w:hanging="709"/>
        <w:rPr>
          <w:sz w:val="22"/>
          <w:szCs w:val="22"/>
          <w:lang w:val="en-US"/>
        </w:rPr>
      </w:pPr>
    </w:p>
    <w:p w14:paraId="19154A86" w14:textId="60D8A8CE" w:rsidR="0063668A" w:rsidRDefault="0063668A" w:rsidP="0063668A">
      <w:pPr>
        <w:pStyle w:val="Textonotapie"/>
        <w:ind w:hanging="709"/>
        <w:rPr>
          <w:sz w:val="22"/>
          <w:szCs w:val="22"/>
          <w:lang w:val="en-US"/>
        </w:rPr>
      </w:pPr>
    </w:p>
    <w:p w14:paraId="72D0D487" w14:textId="50763C3F" w:rsidR="0063668A" w:rsidRDefault="0063668A" w:rsidP="0063668A">
      <w:pPr>
        <w:pStyle w:val="Textonotapie"/>
        <w:ind w:hanging="709"/>
        <w:rPr>
          <w:sz w:val="22"/>
          <w:szCs w:val="22"/>
          <w:lang w:val="en-US"/>
        </w:rPr>
      </w:pPr>
    </w:p>
    <w:p w14:paraId="62F22ACE" w14:textId="7F610C94" w:rsidR="0063668A" w:rsidRDefault="0063668A" w:rsidP="0063668A">
      <w:pPr>
        <w:pStyle w:val="Textonotapie"/>
        <w:ind w:hanging="709"/>
        <w:rPr>
          <w:sz w:val="22"/>
          <w:szCs w:val="22"/>
          <w:lang w:val="en-US"/>
        </w:rPr>
      </w:pPr>
    </w:p>
    <w:p w14:paraId="492C919C" w14:textId="4DDAF3A6" w:rsidR="0063668A" w:rsidRDefault="0063668A" w:rsidP="0063668A">
      <w:pPr>
        <w:pStyle w:val="Textonotapie"/>
        <w:ind w:hanging="709"/>
        <w:rPr>
          <w:sz w:val="22"/>
          <w:szCs w:val="22"/>
          <w:lang w:val="en-US"/>
        </w:rPr>
      </w:pPr>
    </w:p>
    <w:p w14:paraId="63C2094F" w14:textId="25EC0C05" w:rsidR="0063668A" w:rsidRDefault="0063668A" w:rsidP="0063668A">
      <w:pPr>
        <w:pStyle w:val="Textonotapie"/>
        <w:ind w:hanging="709"/>
        <w:rPr>
          <w:sz w:val="22"/>
          <w:szCs w:val="22"/>
          <w:lang w:val="en-US"/>
        </w:rPr>
      </w:pPr>
    </w:p>
    <w:p w14:paraId="6B95DA01" w14:textId="6ED94F6C" w:rsidR="0063668A" w:rsidRDefault="0063668A" w:rsidP="0063668A">
      <w:pPr>
        <w:pStyle w:val="Textonotapie"/>
        <w:ind w:hanging="709"/>
        <w:rPr>
          <w:sz w:val="22"/>
          <w:szCs w:val="22"/>
          <w:lang w:val="en-US"/>
        </w:rPr>
      </w:pPr>
    </w:p>
    <w:p w14:paraId="21C8D434" w14:textId="30818D02" w:rsidR="0063668A" w:rsidRDefault="0063668A" w:rsidP="0063668A">
      <w:pPr>
        <w:pStyle w:val="Textonotapie"/>
        <w:ind w:hanging="709"/>
        <w:rPr>
          <w:sz w:val="22"/>
          <w:szCs w:val="22"/>
          <w:lang w:val="en-US"/>
        </w:rPr>
      </w:pPr>
    </w:p>
    <w:p w14:paraId="750B4F74" w14:textId="4DF40B27" w:rsidR="0063668A" w:rsidRDefault="0063668A" w:rsidP="0063668A">
      <w:pPr>
        <w:pStyle w:val="Textonotapie"/>
        <w:ind w:hanging="709"/>
        <w:rPr>
          <w:sz w:val="22"/>
          <w:szCs w:val="22"/>
          <w:lang w:val="en-US"/>
        </w:rPr>
      </w:pPr>
    </w:p>
    <w:p w14:paraId="265CB44E" w14:textId="4D7DE5B5" w:rsidR="0063668A" w:rsidRDefault="0063668A" w:rsidP="0063668A">
      <w:pPr>
        <w:pStyle w:val="Textonotapie"/>
        <w:ind w:hanging="709"/>
        <w:rPr>
          <w:sz w:val="22"/>
          <w:szCs w:val="22"/>
          <w:lang w:val="en-US"/>
        </w:rPr>
      </w:pPr>
    </w:p>
    <w:p w14:paraId="71E234A1" w14:textId="0E0A0990" w:rsidR="0063668A" w:rsidRDefault="0063668A" w:rsidP="0063668A">
      <w:pPr>
        <w:pStyle w:val="Textonotapie"/>
        <w:ind w:hanging="709"/>
        <w:rPr>
          <w:sz w:val="22"/>
          <w:szCs w:val="22"/>
          <w:lang w:val="en-US"/>
        </w:rPr>
      </w:pPr>
    </w:p>
    <w:p w14:paraId="321DA391" w14:textId="3618CBBE" w:rsidR="0063668A" w:rsidRDefault="0063668A" w:rsidP="0063668A">
      <w:pPr>
        <w:pStyle w:val="Textonotapie"/>
        <w:ind w:hanging="709"/>
        <w:rPr>
          <w:sz w:val="22"/>
          <w:szCs w:val="22"/>
          <w:lang w:val="en-US"/>
        </w:rPr>
      </w:pPr>
    </w:p>
    <w:p w14:paraId="704CF83C" w14:textId="53DC0930" w:rsidR="0063668A" w:rsidRDefault="0063668A" w:rsidP="0063668A">
      <w:pPr>
        <w:pStyle w:val="Textonotapie"/>
        <w:ind w:hanging="709"/>
        <w:rPr>
          <w:sz w:val="22"/>
          <w:szCs w:val="22"/>
          <w:lang w:val="en-US"/>
        </w:rPr>
      </w:pPr>
    </w:p>
    <w:p w14:paraId="37F881E0" w14:textId="539B3DB9" w:rsidR="0063668A" w:rsidRDefault="0063668A" w:rsidP="0034609C">
      <w:pPr>
        <w:pStyle w:val="Textonotapie"/>
        <w:rPr>
          <w:sz w:val="22"/>
          <w:szCs w:val="22"/>
          <w:lang w:val="en-US"/>
        </w:rPr>
      </w:pPr>
    </w:p>
    <w:p w14:paraId="059BC9C3" w14:textId="77777777" w:rsidR="0063668A" w:rsidRPr="0063668A" w:rsidRDefault="0063668A" w:rsidP="0063668A">
      <w:pPr>
        <w:pStyle w:val="Textonotapie"/>
        <w:ind w:hanging="709"/>
        <w:rPr>
          <w:sz w:val="22"/>
          <w:szCs w:val="22"/>
          <w:lang w:val="en-US"/>
        </w:rPr>
      </w:pPr>
    </w:p>
    <w:p w14:paraId="2671DC82" w14:textId="52EBA027" w:rsidR="00F05DA6" w:rsidRPr="008A460C" w:rsidRDefault="00F05DA6" w:rsidP="00F05DA6">
      <w:pPr>
        <w:ind w:hanging="709"/>
        <w:jc w:val="center"/>
        <w:rPr>
          <w:b/>
          <w:bCs/>
          <w:lang w:val="en-US"/>
        </w:rPr>
      </w:pPr>
      <w:r w:rsidRPr="008A460C">
        <w:rPr>
          <w:b/>
          <w:bCs/>
          <w:lang w:val="en-US"/>
        </w:rPr>
        <w:t>Anexos</w:t>
      </w:r>
    </w:p>
    <w:p w14:paraId="5919F999" w14:textId="6EEF9724" w:rsidR="00F05DA6" w:rsidRPr="008A460C" w:rsidRDefault="00F05DA6" w:rsidP="008A460C">
      <w:pPr>
        <w:ind w:hanging="709"/>
        <w:jc w:val="center"/>
        <w:rPr>
          <w:b/>
          <w:bCs/>
        </w:rPr>
      </w:pPr>
      <w:r w:rsidRPr="00BF3C7F">
        <w:rPr>
          <w:b/>
          <w:bCs/>
          <w:lang w:val="en-US"/>
        </w:rPr>
        <w:t>Anexo</w:t>
      </w:r>
      <w:r w:rsidR="008A460C" w:rsidRPr="00BF3C7F">
        <w:rPr>
          <w:b/>
          <w:bCs/>
          <w:lang w:val="en-US"/>
        </w:rPr>
        <w:t xml:space="preserve"> 1. </w:t>
      </w:r>
      <w:r w:rsidR="008A460C" w:rsidRPr="008A460C">
        <w:rPr>
          <w:b/>
          <w:bCs/>
        </w:rPr>
        <w:t>Comercio Exterior de Turquía con sus Principales Socios Latinoamericanos y Costa Rica 2003-2018</w:t>
      </w:r>
    </w:p>
    <w:tbl>
      <w:tblPr>
        <w:tblStyle w:val="Tablaconcuadrcula5oscura-nfasis3"/>
        <w:tblW w:w="5000" w:type="pct"/>
        <w:tblLook w:val="04A0" w:firstRow="1" w:lastRow="0" w:firstColumn="1" w:lastColumn="0" w:noHBand="0" w:noVBand="1"/>
      </w:tblPr>
      <w:tblGrid>
        <w:gridCol w:w="798"/>
        <w:gridCol w:w="1582"/>
        <w:gridCol w:w="1552"/>
        <w:gridCol w:w="1179"/>
        <w:gridCol w:w="1176"/>
        <w:gridCol w:w="1169"/>
        <w:gridCol w:w="1372"/>
      </w:tblGrid>
      <w:tr w:rsidR="008A460C" w:rsidRPr="008A460C" w14:paraId="576D9EE9" w14:textId="77777777" w:rsidTr="008A460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1E024068"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Brasil</w:t>
            </w:r>
          </w:p>
        </w:tc>
      </w:tr>
      <w:tr w:rsidR="008A460C" w:rsidRPr="008A460C" w14:paraId="0C8F3282" w14:textId="77777777" w:rsidTr="008A460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23763546"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08E6961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1119047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07CE0D3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06DE071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0EC1FC5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42FA049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2F0497A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C915F4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2001B7A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$566,29</w:t>
            </w:r>
          </w:p>
        </w:tc>
        <w:tc>
          <w:tcPr>
            <w:tcW w:w="879" w:type="pct"/>
            <w:hideMark/>
          </w:tcPr>
          <w:p w14:paraId="7CF07CB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$69,36</w:t>
            </w:r>
          </w:p>
        </w:tc>
        <w:tc>
          <w:tcPr>
            <w:tcW w:w="668" w:type="pct"/>
            <w:hideMark/>
          </w:tcPr>
          <w:p w14:paraId="30EDE8B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-$496,94</w:t>
            </w:r>
          </w:p>
        </w:tc>
        <w:tc>
          <w:tcPr>
            <w:tcW w:w="666" w:type="pct"/>
            <w:hideMark/>
          </w:tcPr>
          <w:p w14:paraId="3205020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$635,65</w:t>
            </w:r>
          </w:p>
        </w:tc>
        <w:tc>
          <w:tcPr>
            <w:tcW w:w="662" w:type="pct"/>
            <w:hideMark/>
          </w:tcPr>
          <w:p w14:paraId="052CA39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40,63%</w:t>
            </w:r>
          </w:p>
        </w:tc>
        <w:tc>
          <w:tcPr>
            <w:tcW w:w="776" w:type="pct"/>
            <w:hideMark/>
          </w:tcPr>
          <w:p w14:paraId="1C8B81F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40,63%</w:t>
            </w:r>
          </w:p>
        </w:tc>
      </w:tr>
      <w:tr w:rsidR="008A460C" w:rsidRPr="008A460C" w14:paraId="57C0B946"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E399AE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62F7AE0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$798,58</w:t>
            </w:r>
          </w:p>
        </w:tc>
        <w:tc>
          <w:tcPr>
            <w:tcW w:w="879" w:type="pct"/>
            <w:hideMark/>
          </w:tcPr>
          <w:p w14:paraId="52DD6D1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$103,46</w:t>
            </w:r>
          </w:p>
        </w:tc>
        <w:tc>
          <w:tcPr>
            <w:tcW w:w="668" w:type="pct"/>
            <w:hideMark/>
          </w:tcPr>
          <w:p w14:paraId="13AFA81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-$695,12</w:t>
            </w:r>
          </w:p>
        </w:tc>
        <w:tc>
          <w:tcPr>
            <w:tcW w:w="666" w:type="pct"/>
            <w:hideMark/>
          </w:tcPr>
          <w:p w14:paraId="54D0107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$902,03</w:t>
            </w:r>
          </w:p>
        </w:tc>
        <w:tc>
          <w:tcPr>
            <w:tcW w:w="662" w:type="pct"/>
            <w:hideMark/>
          </w:tcPr>
          <w:p w14:paraId="4D1448B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99,57%</w:t>
            </w:r>
          </w:p>
        </w:tc>
        <w:tc>
          <w:tcPr>
            <w:tcW w:w="776" w:type="pct"/>
            <w:hideMark/>
          </w:tcPr>
          <w:p w14:paraId="1E37A4F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41,91%</w:t>
            </w:r>
          </w:p>
        </w:tc>
      </w:tr>
      <w:tr w:rsidR="008A460C" w:rsidRPr="008A460C" w14:paraId="3AEE6DC4"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790A3F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22EE5BE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$934,78</w:t>
            </w:r>
          </w:p>
        </w:tc>
        <w:tc>
          <w:tcPr>
            <w:tcW w:w="879" w:type="pct"/>
            <w:hideMark/>
          </w:tcPr>
          <w:p w14:paraId="2D47558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$121,88</w:t>
            </w:r>
          </w:p>
        </w:tc>
        <w:tc>
          <w:tcPr>
            <w:tcW w:w="668" w:type="pct"/>
            <w:hideMark/>
          </w:tcPr>
          <w:p w14:paraId="24A7E10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-$812,90</w:t>
            </w:r>
          </w:p>
        </w:tc>
        <w:tc>
          <w:tcPr>
            <w:tcW w:w="666" w:type="pct"/>
            <w:hideMark/>
          </w:tcPr>
          <w:p w14:paraId="57706EA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$1.056,66</w:t>
            </w:r>
          </w:p>
        </w:tc>
        <w:tc>
          <w:tcPr>
            <w:tcW w:w="662" w:type="pct"/>
            <w:hideMark/>
          </w:tcPr>
          <w:p w14:paraId="0F51135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133,78%</w:t>
            </w:r>
          </w:p>
        </w:tc>
        <w:tc>
          <w:tcPr>
            <w:tcW w:w="776" w:type="pct"/>
            <w:hideMark/>
          </w:tcPr>
          <w:p w14:paraId="345EFBC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17,14%</w:t>
            </w:r>
          </w:p>
        </w:tc>
      </w:tr>
      <w:tr w:rsidR="008A460C" w:rsidRPr="008A460C" w14:paraId="3980F72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7F5DBE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5E03309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$117,27</w:t>
            </w:r>
          </w:p>
        </w:tc>
        <w:tc>
          <w:tcPr>
            <w:tcW w:w="879" w:type="pct"/>
            <w:hideMark/>
          </w:tcPr>
          <w:p w14:paraId="3B6C301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$229,91</w:t>
            </w:r>
          </w:p>
        </w:tc>
        <w:tc>
          <w:tcPr>
            <w:tcW w:w="668" w:type="pct"/>
            <w:hideMark/>
          </w:tcPr>
          <w:p w14:paraId="407D489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$112,65</w:t>
            </w:r>
          </w:p>
        </w:tc>
        <w:tc>
          <w:tcPr>
            <w:tcW w:w="666" w:type="pct"/>
            <w:hideMark/>
          </w:tcPr>
          <w:p w14:paraId="2156436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$347,18</w:t>
            </w:r>
          </w:p>
        </w:tc>
        <w:tc>
          <w:tcPr>
            <w:tcW w:w="662" w:type="pct"/>
            <w:hideMark/>
          </w:tcPr>
          <w:p w14:paraId="0563FCD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210,31%</w:t>
            </w:r>
          </w:p>
        </w:tc>
        <w:tc>
          <w:tcPr>
            <w:tcW w:w="776" w:type="pct"/>
            <w:hideMark/>
          </w:tcPr>
          <w:p w14:paraId="67E78FB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32,74%</w:t>
            </w:r>
          </w:p>
        </w:tc>
      </w:tr>
      <w:tr w:rsidR="008A460C" w:rsidRPr="008A460C" w14:paraId="73C26182"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396A2A8"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64EADAC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$1.423,87</w:t>
            </w:r>
          </w:p>
        </w:tc>
        <w:tc>
          <w:tcPr>
            <w:tcW w:w="879" w:type="pct"/>
            <w:hideMark/>
          </w:tcPr>
          <w:p w14:paraId="20D8C72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$318,03</w:t>
            </w:r>
          </w:p>
        </w:tc>
        <w:tc>
          <w:tcPr>
            <w:tcW w:w="668" w:type="pct"/>
            <w:hideMark/>
          </w:tcPr>
          <w:p w14:paraId="375D3DD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-$1.105,84</w:t>
            </w:r>
          </w:p>
        </w:tc>
        <w:tc>
          <w:tcPr>
            <w:tcW w:w="666" w:type="pct"/>
            <w:hideMark/>
          </w:tcPr>
          <w:p w14:paraId="0F19778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$1.741,90</w:t>
            </w:r>
          </w:p>
        </w:tc>
        <w:tc>
          <w:tcPr>
            <w:tcW w:w="662" w:type="pct"/>
            <w:hideMark/>
          </w:tcPr>
          <w:p w14:paraId="5F0B78D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285,38%</w:t>
            </w:r>
          </w:p>
        </w:tc>
        <w:tc>
          <w:tcPr>
            <w:tcW w:w="776" w:type="pct"/>
            <w:hideMark/>
          </w:tcPr>
          <w:p w14:paraId="5628BC0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24,19%</w:t>
            </w:r>
          </w:p>
        </w:tc>
      </w:tr>
      <w:tr w:rsidR="008A460C" w:rsidRPr="008A460C" w14:paraId="6EED7BA4"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323B9E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0CA0A32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$1.105,89</w:t>
            </w:r>
          </w:p>
        </w:tc>
        <w:tc>
          <w:tcPr>
            <w:tcW w:w="879" w:type="pct"/>
            <w:hideMark/>
          </w:tcPr>
          <w:p w14:paraId="099EB6E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$388,21</w:t>
            </w:r>
          </w:p>
        </w:tc>
        <w:tc>
          <w:tcPr>
            <w:tcW w:w="668" w:type="pct"/>
            <w:hideMark/>
          </w:tcPr>
          <w:p w14:paraId="28DC8AB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-$717,68</w:t>
            </w:r>
          </w:p>
        </w:tc>
        <w:tc>
          <w:tcPr>
            <w:tcW w:w="666" w:type="pct"/>
            <w:hideMark/>
          </w:tcPr>
          <w:p w14:paraId="2FC1626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$1.494,10</w:t>
            </w:r>
          </w:p>
        </w:tc>
        <w:tc>
          <w:tcPr>
            <w:tcW w:w="662" w:type="pct"/>
            <w:hideMark/>
          </w:tcPr>
          <w:p w14:paraId="28E8BB8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230,56%</w:t>
            </w:r>
          </w:p>
        </w:tc>
        <w:tc>
          <w:tcPr>
            <w:tcW w:w="776" w:type="pct"/>
            <w:hideMark/>
          </w:tcPr>
          <w:p w14:paraId="036FB13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-14,23%</w:t>
            </w:r>
          </w:p>
        </w:tc>
      </w:tr>
      <w:tr w:rsidR="008A460C" w:rsidRPr="008A460C" w14:paraId="1EEB61F7"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7AD306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3A27842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$1.347,52</w:t>
            </w:r>
          </w:p>
        </w:tc>
        <w:tc>
          <w:tcPr>
            <w:tcW w:w="879" w:type="pct"/>
            <w:hideMark/>
          </w:tcPr>
          <w:p w14:paraId="19060C7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$614,55</w:t>
            </w:r>
          </w:p>
        </w:tc>
        <w:tc>
          <w:tcPr>
            <w:tcW w:w="668" w:type="pct"/>
            <w:hideMark/>
          </w:tcPr>
          <w:p w14:paraId="1817DB9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-$732,97</w:t>
            </w:r>
          </w:p>
        </w:tc>
        <w:tc>
          <w:tcPr>
            <w:tcW w:w="666" w:type="pct"/>
            <w:hideMark/>
          </w:tcPr>
          <w:p w14:paraId="6650CEF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$1.962,08</w:t>
            </w:r>
          </w:p>
        </w:tc>
        <w:tc>
          <w:tcPr>
            <w:tcW w:w="662" w:type="pct"/>
            <w:hideMark/>
          </w:tcPr>
          <w:p w14:paraId="45214ED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334,10%</w:t>
            </w:r>
          </w:p>
        </w:tc>
        <w:tc>
          <w:tcPr>
            <w:tcW w:w="776" w:type="pct"/>
            <w:hideMark/>
          </w:tcPr>
          <w:p w14:paraId="29D9ADC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31,32%</w:t>
            </w:r>
          </w:p>
        </w:tc>
      </w:tr>
      <w:tr w:rsidR="008A460C" w:rsidRPr="008A460C" w14:paraId="09153CA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719F19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4955CB7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$2.074,35</w:t>
            </w:r>
          </w:p>
        </w:tc>
        <w:tc>
          <w:tcPr>
            <w:tcW w:w="879" w:type="pct"/>
            <w:hideMark/>
          </w:tcPr>
          <w:p w14:paraId="7B6AF15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$883,47</w:t>
            </w:r>
          </w:p>
        </w:tc>
        <w:tc>
          <w:tcPr>
            <w:tcW w:w="668" w:type="pct"/>
            <w:hideMark/>
          </w:tcPr>
          <w:p w14:paraId="50B8718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-$1.190,88</w:t>
            </w:r>
          </w:p>
        </w:tc>
        <w:tc>
          <w:tcPr>
            <w:tcW w:w="666" w:type="pct"/>
            <w:hideMark/>
          </w:tcPr>
          <w:p w14:paraId="4EE88F2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$2.957,83</w:t>
            </w:r>
          </w:p>
        </w:tc>
        <w:tc>
          <w:tcPr>
            <w:tcW w:w="662" w:type="pct"/>
            <w:hideMark/>
          </w:tcPr>
          <w:p w14:paraId="4AC7B03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554,40%</w:t>
            </w:r>
          </w:p>
        </w:tc>
        <w:tc>
          <w:tcPr>
            <w:tcW w:w="776" w:type="pct"/>
            <w:hideMark/>
          </w:tcPr>
          <w:p w14:paraId="69C015E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50,75%</w:t>
            </w:r>
          </w:p>
        </w:tc>
      </w:tr>
      <w:tr w:rsidR="008A460C" w:rsidRPr="008A460C" w14:paraId="2076FFAB"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EC47E34"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232A58D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$1.770,09</w:t>
            </w:r>
          </w:p>
        </w:tc>
        <w:tc>
          <w:tcPr>
            <w:tcW w:w="879" w:type="pct"/>
            <w:hideMark/>
          </w:tcPr>
          <w:p w14:paraId="2A9E588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$1.002,76</w:t>
            </w:r>
          </w:p>
        </w:tc>
        <w:tc>
          <w:tcPr>
            <w:tcW w:w="668" w:type="pct"/>
            <w:hideMark/>
          </w:tcPr>
          <w:p w14:paraId="17B68CD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-$767,33</w:t>
            </w:r>
          </w:p>
        </w:tc>
        <w:tc>
          <w:tcPr>
            <w:tcW w:w="666" w:type="pct"/>
            <w:hideMark/>
          </w:tcPr>
          <w:p w14:paraId="514588C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$2.772,85</w:t>
            </w:r>
          </w:p>
        </w:tc>
        <w:tc>
          <w:tcPr>
            <w:tcW w:w="662" w:type="pct"/>
            <w:hideMark/>
          </w:tcPr>
          <w:p w14:paraId="739D9D2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513,47%</w:t>
            </w:r>
          </w:p>
        </w:tc>
        <w:tc>
          <w:tcPr>
            <w:tcW w:w="776" w:type="pct"/>
            <w:hideMark/>
          </w:tcPr>
          <w:p w14:paraId="00A3A17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-6,25%</w:t>
            </w:r>
          </w:p>
        </w:tc>
      </w:tr>
      <w:tr w:rsidR="008A460C" w:rsidRPr="008A460C" w14:paraId="18356CD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03B130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455497B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$1.408,81</w:t>
            </w:r>
          </w:p>
        </w:tc>
        <w:tc>
          <w:tcPr>
            <w:tcW w:w="879" w:type="pct"/>
            <w:hideMark/>
          </w:tcPr>
          <w:p w14:paraId="594E20B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$936,10</w:t>
            </w:r>
          </w:p>
        </w:tc>
        <w:tc>
          <w:tcPr>
            <w:tcW w:w="668" w:type="pct"/>
            <w:hideMark/>
          </w:tcPr>
          <w:p w14:paraId="2549CF9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-$472,71</w:t>
            </w:r>
          </w:p>
        </w:tc>
        <w:tc>
          <w:tcPr>
            <w:tcW w:w="666" w:type="pct"/>
            <w:hideMark/>
          </w:tcPr>
          <w:p w14:paraId="1BAEB0A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$2.344,90</w:t>
            </w:r>
          </w:p>
        </w:tc>
        <w:tc>
          <w:tcPr>
            <w:tcW w:w="662" w:type="pct"/>
            <w:hideMark/>
          </w:tcPr>
          <w:p w14:paraId="17BB986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418,79%</w:t>
            </w:r>
          </w:p>
        </w:tc>
        <w:tc>
          <w:tcPr>
            <w:tcW w:w="776" w:type="pct"/>
            <w:hideMark/>
          </w:tcPr>
          <w:p w14:paraId="12D1DDC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-15,43%</w:t>
            </w:r>
          </w:p>
        </w:tc>
      </w:tr>
      <w:tr w:rsidR="008A460C" w:rsidRPr="008A460C" w14:paraId="698BCC8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49D3644"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2E37B77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$1.728,75</w:t>
            </w:r>
          </w:p>
        </w:tc>
        <w:tc>
          <w:tcPr>
            <w:tcW w:w="879" w:type="pct"/>
            <w:hideMark/>
          </w:tcPr>
          <w:p w14:paraId="2A85B46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$794,19</w:t>
            </w:r>
          </w:p>
        </w:tc>
        <w:tc>
          <w:tcPr>
            <w:tcW w:w="668" w:type="pct"/>
            <w:hideMark/>
          </w:tcPr>
          <w:p w14:paraId="6667D14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-$934,56</w:t>
            </w:r>
          </w:p>
        </w:tc>
        <w:tc>
          <w:tcPr>
            <w:tcW w:w="666" w:type="pct"/>
            <w:hideMark/>
          </w:tcPr>
          <w:p w14:paraId="37D376A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$2.522,93</w:t>
            </w:r>
          </w:p>
        </w:tc>
        <w:tc>
          <w:tcPr>
            <w:tcW w:w="662" w:type="pct"/>
            <w:hideMark/>
          </w:tcPr>
          <w:p w14:paraId="467C3F9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458,18%</w:t>
            </w:r>
          </w:p>
        </w:tc>
        <w:tc>
          <w:tcPr>
            <w:tcW w:w="776" w:type="pct"/>
            <w:hideMark/>
          </w:tcPr>
          <w:p w14:paraId="27A1141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7,59%</w:t>
            </w:r>
          </w:p>
        </w:tc>
      </w:tr>
      <w:tr w:rsidR="008A460C" w:rsidRPr="008A460C" w14:paraId="1D01E1BE"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333518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52CAAD9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$1.792,24</w:t>
            </w:r>
          </w:p>
        </w:tc>
        <w:tc>
          <w:tcPr>
            <w:tcW w:w="879" w:type="pct"/>
            <w:hideMark/>
          </w:tcPr>
          <w:p w14:paraId="44731B2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$458,37</w:t>
            </w:r>
          </w:p>
        </w:tc>
        <w:tc>
          <w:tcPr>
            <w:tcW w:w="668" w:type="pct"/>
            <w:hideMark/>
          </w:tcPr>
          <w:p w14:paraId="0EE58D1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-$1.333,87</w:t>
            </w:r>
          </w:p>
        </w:tc>
        <w:tc>
          <w:tcPr>
            <w:tcW w:w="666" w:type="pct"/>
            <w:hideMark/>
          </w:tcPr>
          <w:p w14:paraId="1761C69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$2.250,61</w:t>
            </w:r>
          </w:p>
        </w:tc>
        <w:tc>
          <w:tcPr>
            <w:tcW w:w="662" w:type="pct"/>
            <w:hideMark/>
          </w:tcPr>
          <w:p w14:paraId="1D0BE9D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397,93%</w:t>
            </w:r>
          </w:p>
        </w:tc>
        <w:tc>
          <w:tcPr>
            <w:tcW w:w="776" w:type="pct"/>
            <w:hideMark/>
          </w:tcPr>
          <w:p w14:paraId="6D16C14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-10,79%</w:t>
            </w:r>
          </w:p>
        </w:tc>
      </w:tr>
      <w:tr w:rsidR="008A460C" w:rsidRPr="008A460C" w14:paraId="4E9CB8A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C3DEFC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1F251A5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$1.788,01</w:t>
            </w:r>
          </w:p>
        </w:tc>
        <w:tc>
          <w:tcPr>
            <w:tcW w:w="879" w:type="pct"/>
            <w:hideMark/>
          </w:tcPr>
          <w:p w14:paraId="6D6F215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$333,74</w:t>
            </w:r>
          </w:p>
        </w:tc>
        <w:tc>
          <w:tcPr>
            <w:tcW w:w="668" w:type="pct"/>
            <w:hideMark/>
          </w:tcPr>
          <w:p w14:paraId="5B5EDBD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-$1.454,27</w:t>
            </w:r>
          </w:p>
        </w:tc>
        <w:tc>
          <w:tcPr>
            <w:tcW w:w="666" w:type="pct"/>
            <w:hideMark/>
          </w:tcPr>
          <w:p w14:paraId="6125EF1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$2.121,75</w:t>
            </w:r>
          </w:p>
        </w:tc>
        <w:tc>
          <w:tcPr>
            <w:tcW w:w="662" w:type="pct"/>
            <w:hideMark/>
          </w:tcPr>
          <w:p w14:paraId="075374C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369,42%</w:t>
            </w:r>
          </w:p>
        </w:tc>
        <w:tc>
          <w:tcPr>
            <w:tcW w:w="776" w:type="pct"/>
            <w:hideMark/>
          </w:tcPr>
          <w:p w14:paraId="27B4653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-5,73%</w:t>
            </w:r>
          </w:p>
        </w:tc>
      </w:tr>
      <w:tr w:rsidR="008A460C" w:rsidRPr="008A460C" w14:paraId="40D92528"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D6533F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5E884FC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$2.544,93</w:t>
            </w:r>
          </w:p>
        </w:tc>
        <w:tc>
          <w:tcPr>
            <w:tcW w:w="879" w:type="pct"/>
            <w:hideMark/>
          </w:tcPr>
          <w:p w14:paraId="2E6910E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$384,90</w:t>
            </w:r>
          </w:p>
        </w:tc>
        <w:tc>
          <w:tcPr>
            <w:tcW w:w="668" w:type="pct"/>
            <w:hideMark/>
          </w:tcPr>
          <w:p w14:paraId="0FBA740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-$2.160,02</w:t>
            </w:r>
          </w:p>
        </w:tc>
        <w:tc>
          <w:tcPr>
            <w:tcW w:w="666" w:type="pct"/>
            <w:hideMark/>
          </w:tcPr>
          <w:p w14:paraId="7F0282B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$2.929,83</w:t>
            </w:r>
          </w:p>
        </w:tc>
        <w:tc>
          <w:tcPr>
            <w:tcW w:w="662" w:type="pct"/>
            <w:hideMark/>
          </w:tcPr>
          <w:p w14:paraId="1E5D939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548,20%</w:t>
            </w:r>
          </w:p>
        </w:tc>
        <w:tc>
          <w:tcPr>
            <w:tcW w:w="776" w:type="pct"/>
            <w:hideMark/>
          </w:tcPr>
          <w:p w14:paraId="06F35A3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38,09%</w:t>
            </w:r>
          </w:p>
        </w:tc>
      </w:tr>
      <w:tr w:rsidR="008A460C" w:rsidRPr="008A460C" w14:paraId="3B071D2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573515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1403457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$3.257,71</w:t>
            </w:r>
          </w:p>
        </w:tc>
        <w:tc>
          <w:tcPr>
            <w:tcW w:w="879" w:type="pct"/>
            <w:hideMark/>
          </w:tcPr>
          <w:p w14:paraId="5C8D23D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$489,54</w:t>
            </w:r>
          </w:p>
        </w:tc>
        <w:tc>
          <w:tcPr>
            <w:tcW w:w="668" w:type="pct"/>
            <w:hideMark/>
          </w:tcPr>
          <w:p w14:paraId="2DA617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-$2.768,16</w:t>
            </w:r>
          </w:p>
        </w:tc>
        <w:tc>
          <w:tcPr>
            <w:tcW w:w="666" w:type="pct"/>
            <w:hideMark/>
          </w:tcPr>
          <w:p w14:paraId="57F19B5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$3.747,25</w:t>
            </w:r>
          </w:p>
        </w:tc>
        <w:tc>
          <w:tcPr>
            <w:tcW w:w="662" w:type="pct"/>
            <w:hideMark/>
          </w:tcPr>
          <w:p w14:paraId="6AE25A0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729,05%</w:t>
            </w:r>
          </w:p>
        </w:tc>
        <w:tc>
          <w:tcPr>
            <w:tcW w:w="776" w:type="pct"/>
            <w:hideMark/>
          </w:tcPr>
          <w:p w14:paraId="08A4F2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27,90%</w:t>
            </w:r>
          </w:p>
        </w:tc>
      </w:tr>
      <w:tr w:rsidR="008A460C" w:rsidRPr="008A460C" w14:paraId="4797A45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1AF5179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Argentina</w:t>
            </w:r>
          </w:p>
        </w:tc>
      </w:tr>
      <w:tr w:rsidR="008A460C" w:rsidRPr="008A460C" w14:paraId="09EB0FC9" w14:textId="77777777" w:rsidTr="008A460C">
        <w:trPr>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1F88BAA8"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5B6D8E1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14F0874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6A83A6B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579F52C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1636B0A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4B229CE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6BFC889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9C943C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5939CDC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$264,67</w:t>
            </w:r>
          </w:p>
        </w:tc>
        <w:tc>
          <w:tcPr>
            <w:tcW w:w="879" w:type="pct"/>
            <w:hideMark/>
          </w:tcPr>
          <w:p w14:paraId="19985D1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$19,91</w:t>
            </w:r>
          </w:p>
        </w:tc>
        <w:tc>
          <w:tcPr>
            <w:tcW w:w="668" w:type="pct"/>
            <w:hideMark/>
          </w:tcPr>
          <w:p w14:paraId="05389A6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-$244,76</w:t>
            </w:r>
          </w:p>
        </w:tc>
        <w:tc>
          <w:tcPr>
            <w:tcW w:w="666" w:type="pct"/>
            <w:hideMark/>
          </w:tcPr>
          <w:p w14:paraId="6788CAE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$284,58</w:t>
            </w:r>
          </w:p>
        </w:tc>
        <w:tc>
          <w:tcPr>
            <w:tcW w:w="662" w:type="pct"/>
            <w:hideMark/>
          </w:tcPr>
          <w:p w14:paraId="05DC8CB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3,16%</w:t>
            </w:r>
          </w:p>
        </w:tc>
        <w:tc>
          <w:tcPr>
            <w:tcW w:w="776" w:type="pct"/>
            <w:hideMark/>
          </w:tcPr>
          <w:p w14:paraId="790FBE1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3,16%</w:t>
            </w:r>
          </w:p>
        </w:tc>
      </w:tr>
      <w:tr w:rsidR="008A460C" w:rsidRPr="008A460C" w14:paraId="3F5B146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210FC0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70A12CB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$261,27</w:t>
            </w:r>
          </w:p>
        </w:tc>
        <w:tc>
          <w:tcPr>
            <w:tcW w:w="879" w:type="pct"/>
            <w:hideMark/>
          </w:tcPr>
          <w:p w14:paraId="723CA38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$37,80</w:t>
            </w:r>
          </w:p>
        </w:tc>
        <w:tc>
          <w:tcPr>
            <w:tcW w:w="668" w:type="pct"/>
            <w:hideMark/>
          </w:tcPr>
          <w:p w14:paraId="1B5B078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-$223,47</w:t>
            </w:r>
          </w:p>
        </w:tc>
        <w:tc>
          <w:tcPr>
            <w:tcW w:w="666" w:type="pct"/>
            <w:hideMark/>
          </w:tcPr>
          <w:p w14:paraId="0E3BAB0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$299,07</w:t>
            </w:r>
          </w:p>
        </w:tc>
        <w:tc>
          <w:tcPr>
            <w:tcW w:w="662" w:type="pct"/>
            <w:hideMark/>
          </w:tcPr>
          <w:p w14:paraId="221C996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8,42%</w:t>
            </w:r>
          </w:p>
        </w:tc>
        <w:tc>
          <w:tcPr>
            <w:tcW w:w="776" w:type="pct"/>
            <w:hideMark/>
          </w:tcPr>
          <w:p w14:paraId="3E362CA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5,09%</w:t>
            </w:r>
          </w:p>
        </w:tc>
      </w:tr>
      <w:tr w:rsidR="008A460C" w:rsidRPr="008A460C" w14:paraId="7ED443FF"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4297254"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6513D6F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$300,76</w:t>
            </w:r>
          </w:p>
        </w:tc>
        <w:tc>
          <w:tcPr>
            <w:tcW w:w="879" w:type="pct"/>
            <w:hideMark/>
          </w:tcPr>
          <w:p w14:paraId="452B4C8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$44,40</w:t>
            </w:r>
          </w:p>
        </w:tc>
        <w:tc>
          <w:tcPr>
            <w:tcW w:w="668" w:type="pct"/>
            <w:hideMark/>
          </w:tcPr>
          <w:p w14:paraId="2924903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-$256,36</w:t>
            </w:r>
          </w:p>
        </w:tc>
        <w:tc>
          <w:tcPr>
            <w:tcW w:w="666" w:type="pct"/>
            <w:hideMark/>
          </w:tcPr>
          <w:p w14:paraId="7ABE7E4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$345,16</w:t>
            </w:r>
          </w:p>
        </w:tc>
        <w:tc>
          <w:tcPr>
            <w:tcW w:w="662" w:type="pct"/>
            <w:hideMark/>
          </w:tcPr>
          <w:p w14:paraId="78FE546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25,12%</w:t>
            </w:r>
          </w:p>
        </w:tc>
        <w:tc>
          <w:tcPr>
            <w:tcW w:w="776" w:type="pct"/>
            <w:hideMark/>
          </w:tcPr>
          <w:p w14:paraId="4FF82C9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15,41%</w:t>
            </w:r>
          </w:p>
        </w:tc>
      </w:tr>
      <w:tr w:rsidR="008A460C" w:rsidRPr="008A460C" w14:paraId="191862D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04179FC"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5AF1853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$417,51</w:t>
            </w:r>
          </w:p>
        </w:tc>
        <w:tc>
          <w:tcPr>
            <w:tcW w:w="879" w:type="pct"/>
            <w:hideMark/>
          </w:tcPr>
          <w:p w14:paraId="7E8FC86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$64,50</w:t>
            </w:r>
          </w:p>
        </w:tc>
        <w:tc>
          <w:tcPr>
            <w:tcW w:w="668" w:type="pct"/>
            <w:hideMark/>
          </w:tcPr>
          <w:p w14:paraId="6D07C6D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-$353,01</w:t>
            </w:r>
          </w:p>
        </w:tc>
        <w:tc>
          <w:tcPr>
            <w:tcW w:w="666" w:type="pct"/>
            <w:hideMark/>
          </w:tcPr>
          <w:p w14:paraId="5E644BE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$482,00</w:t>
            </w:r>
          </w:p>
        </w:tc>
        <w:tc>
          <w:tcPr>
            <w:tcW w:w="662" w:type="pct"/>
            <w:hideMark/>
          </w:tcPr>
          <w:p w14:paraId="48C1758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74,73%</w:t>
            </w:r>
          </w:p>
        </w:tc>
        <w:tc>
          <w:tcPr>
            <w:tcW w:w="776" w:type="pct"/>
            <w:hideMark/>
          </w:tcPr>
          <w:p w14:paraId="40C678E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39,65%</w:t>
            </w:r>
          </w:p>
        </w:tc>
      </w:tr>
      <w:tr w:rsidR="008A460C" w:rsidRPr="008A460C" w14:paraId="0B906BD4"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79401A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640F7A8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$789,81</w:t>
            </w:r>
          </w:p>
        </w:tc>
        <w:tc>
          <w:tcPr>
            <w:tcW w:w="879" w:type="pct"/>
            <w:hideMark/>
          </w:tcPr>
          <w:p w14:paraId="40DD066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$107,10</w:t>
            </w:r>
          </w:p>
        </w:tc>
        <w:tc>
          <w:tcPr>
            <w:tcW w:w="668" w:type="pct"/>
            <w:hideMark/>
          </w:tcPr>
          <w:p w14:paraId="7A4B8A6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-$682,71</w:t>
            </w:r>
          </w:p>
        </w:tc>
        <w:tc>
          <w:tcPr>
            <w:tcW w:w="666" w:type="pct"/>
            <w:hideMark/>
          </w:tcPr>
          <w:p w14:paraId="3F0ACF8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$896,91</w:t>
            </w:r>
          </w:p>
        </w:tc>
        <w:tc>
          <w:tcPr>
            <w:tcW w:w="662" w:type="pct"/>
            <w:hideMark/>
          </w:tcPr>
          <w:p w14:paraId="1CC8CDD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225,14%</w:t>
            </w:r>
          </w:p>
        </w:tc>
        <w:tc>
          <w:tcPr>
            <w:tcW w:w="776" w:type="pct"/>
            <w:hideMark/>
          </w:tcPr>
          <w:p w14:paraId="5E8E138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86,08%</w:t>
            </w:r>
          </w:p>
        </w:tc>
      </w:tr>
      <w:tr w:rsidR="008A460C" w:rsidRPr="008A460C" w14:paraId="512243B7"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E855D9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1D6323F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$225,82</w:t>
            </w:r>
          </w:p>
        </w:tc>
        <w:tc>
          <w:tcPr>
            <w:tcW w:w="879" w:type="pct"/>
            <w:hideMark/>
          </w:tcPr>
          <w:p w14:paraId="7F67C5F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$73,73</w:t>
            </w:r>
          </w:p>
        </w:tc>
        <w:tc>
          <w:tcPr>
            <w:tcW w:w="668" w:type="pct"/>
            <w:hideMark/>
          </w:tcPr>
          <w:p w14:paraId="4B21C17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-$152,09</w:t>
            </w:r>
          </w:p>
        </w:tc>
        <w:tc>
          <w:tcPr>
            <w:tcW w:w="666" w:type="pct"/>
            <w:hideMark/>
          </w:tcPr>
          <w:p w14:paraId="6908938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$299,55</w:t>
            </w:r>
          </w:p>
        </w:tc>
        <w:tc>
          <w:tcPr>
            <w:tcW w:w="662" w:type="pct"/>
            <w:hideMark/>
          </w:tcPr>
          <w:p w14:paraId="091087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8,59%</w:t>
            </w:r>
          </w:p>
        </w:tc>
        <w:tc>
          <w:tcPr>
            <w:tcW w:w="776" w:type="pct"/>
            <w:hideMark/>
          </w:tcPr>
          <w:p w14:paraId="5A3C29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-66,60%</w:t>
            </w:r>
          </w:p>
        </w:tc>
      </w:tr>
      <w:tr w:rsidR="008A460C" w:rsidRPr="008A460C" w14:paraId="0765C21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A8CA7A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7108D29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$281,13</w:t>
            </w:r>
          </w:p>
        </w:tc>
        <w:tc>
          <w:tcPr>
            <w:tcW w:w="879" w:type="pct"/>
            <w:hideMark/>
          </w:tcPr>
          <w:p w14:paraId="7A84B12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$179,22</w:t>
            </w:r>
          </w:p>
        </w:tc>
        <w:tc>
          <w:tcPr>
            <w:tcW w:w="668" w:type="pct"/>
            <w:hideMark/>
          </w:tcPr>
          <w:p w14:paraId="4F8D9A4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-$101,91</w:t>
            </w:r>
          </w:p>
        </w:tc>
        <w:tc>
          <w:tcPr>
            <w:tcW w:w="666" w:type="pct"/>
            <w:hideMark/>
          </w:tcPr>
          <w:p w14:paraId="0663B58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$460,34</w:t>
            </w:r>
          </w:p>
        </w:tc>
        <w:tc>
          <w:tcPr>
            <w:tcW w:w="662" w:type="pct"/>
            <w:hideMark/>
          </w:tcPr>
          <w:p w14:paraId="3A372CC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66,88%</w:t>
            </w:r>
          </w:p>
        </w:tc>
        <w:tc>
          <w:tcPr>
            <w:tcW w:w="776" w:type="pct"/>
            <w:hideMark/>
          </w:tcPr>
          <w:p w14:paraId="71BD54A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53,68%</w:t>
            </w:r>
          </w:p>
        </w:tc>
      </w:tr>
      <w:tr w:rsidR="008A460C" w:rsidRPr="008A460C" w14:paraId="2E0BD3AC"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5D3DF5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0C2D126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$490,57</w:t>
            </w:r>
          </w:p>
        </w:tc>
        <w:tc>
          <w:tcPr>
            <w:tcW w:w="879" w:type="pct"/>
            <w:hideMark/>
          </w:tcPr>
          <w:p w14:paraId="38270F6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$214,10</w:t>
            </w:r>
          </w:p>
        </w:tc>
        <w:tc>
          <w:tcPr>
            <w:tcW w:w="668" w:type="pct"/>
            <w:hideMark/>
          </w:tcPr>
          <w:p w14:paraId="4D866EB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-$276,47</w:t>
            </w:r>
          </w:p>
        </w:tc>
        <w:tc>
          <w:tcPr>
            <w:tcW w:w="666" w:type="pct"/>
            <w:hideMark/>
          </w:tcPr>
          <w:p w14:paraId="3951E78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$704,68</w:t>
            </w:r>
          </w:p>
        </w:tc>
        <w:tc>
          <w:tcPr>
            <w:tcW w:w="662" w:type="pct"/>
            <w:hideMark/>
          </w:tcPr>
          <w:p w14:paraId="162AF9D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155,45%</w:t>
            </w:r>
          </w:p>
        </w:tc>
        <w:tc>
          <w:tcPr>
            <w:tcW w:w="776" w:type="pct"/>
            <w:hideMark/>
          </w:tcPr>
          <w:p w14:paraId="09C0370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53,08%</w:t>
            </w:r>
          </w:p>
        </w:tc>
      </w:tr>
      <w:tr w:rsidR="008A460C" w:rsidRPr="008A460C" w14:paraId="2934944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6C435F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00562AD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$367,89</w:t>
            </w:r>
          </w:p>
        </w:tc>
        <w:tc>
          <w:tcPr>
            <w:tcW w:w="879" w:type="pct"/>
            <w:hideMark/>
          </w:tcPr>
          <w:p w14:paraId="04B5DD6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$316,48</w:t>
            </w:r>
          </w:p>
        </w:tc>
        <w:tc>
          <w:tcPr>
            <w:tcW w:w="668" w:type="pct"/>
            <w:hideMark/>
          </w:tcPr>
          <w:p w14:paraId="4FFBC92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-$51,41</w:t>
            </w:r>
          </w:p>
        </w:tc>
        <w:tc>
          <w:tcPr>
            <w:tcW w:w="666" w:type="pct"/>
            <w:hideMark/>
          </w:tcPr>
          <w:p w14:paraId="0961CF3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$684,38</w:t>
            </w:r>
          </w:p>
        </w:tc>
        <w:tc>
          <w:tcPr>
            <w:tcW w:w="662" w:type="pct"/>
            <w:hideMark/>
          </w:tcPr>
          <w:p w14:paraId="0857ABC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148,09%</w:t>
            </w:r>
          </w:p>
        </w:tc>
        <w:tc>
          <w:tcPr>
            <w:tcW w:w="776" w:type="pct"/>
            <w:hideMark/>
          </w:tcPr>
          <w:p w14:paraId="2665C49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-2,88%</w:t>
            </w:r>
          </w:p>
        </w:tc>
      </w:tr>
      <w:tr w:rsidR="008A460C" w:rsidRPr="008A460C" w14:paraId="4936653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1292814"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02F381A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$394,10</w:t>
            </w:r>
          </w:p>
        </w:tc>
        <w:tc>
          <w:tcPr>
            <w:tcW w:w="879" w:type="pct"/>
            <w:hideMark/>
          </w:tcPr>
          <w:p w14:paraId="52C0A25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$318,18</w:t>
            </w:r>
          </w:p>
        </w:tc>
        <w:tc>
          <w:tcPr>
            <w:tcW w:w="668" w:type="pct"/>
            <w:hideMark/>
          </w:tcPr>
          <w:p w14:paraId="43213EA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-$75,92</w:t>
            </w:r>
          </w:p>
        </w:tc>
        <w:tc>
          <w:tcPr>
            <w:tcW w:w="666" w:type="pct"/>
            <w:hideMark/>
          </w:tcPr>
          <w:p w14:paraId="6D6C482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$712,28</w:t>
            </w:r>
          </w:p>
        </w:tc>
        <w:tc>
          <w:tcPr>
            <w:tcW w:w="662" w:type="pct"/>
            <w:hideMark/>
          </w:tcPr>
          <w:p w14:paraId="6E18092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158,21%</w:t>
            </w:r>
          </w:p>
        </w:tc>
        <w:tc>
          <w:tcPr>
            <w:tcW w:w="776" w:type="pct"/>
            <w:hideMark/>
          </w:tcPr>
          <w:p w14:paraId="2B2518D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4,08%</w:t>
            </w:r>
          </w:p>
        </w:tc>
      </w:tr>
      <w:tr w:rsidR="008A460C" w:rsidRPr="008A460C" w14:paraId="4F526548"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6D6C86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38D2D8D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$325,41</w:t>
            </w:r>
          </w:p>
        </w:tc>
        <w:tc>
          <w:tcPr>
            <w:tcW w:w="879" w:type="pct"/>
            <w:hideMark/>
          </w:tcPr>
          <w:p w14:paraId="0BD52CD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$141,32</w:t>
            </w:r>
          </w:p>
        </w:tc>
        <w:tc>
          <w:tcPr>
            <w:tcW w:w="668" w:type="pct"/>
            <w:hideMark/>
          </w:tcPr>
          <w:p w14:paraId="0C24DB5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-$184,09</w:t>
            </w:r>
          </w:p>
        </w:tc>
        <w:tc>
          <w:tcPr>
            <w:tcW w:w="666" w:type="pct"/>
            <w:hideMark/>
          </w:tcPr>
          <w:p w14:paraId="7CFF5FC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$466,73</w:t>
            </w:r>
          </w:p>
        </w:tc>
        <w:tc>
          <w:tcPr>
            <w:tcW w:w="662" w:type="pct"/>
            <w:hideMark/>
          </w:tcPr>
          <w:p w14:paraId="6C0A914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69,19%</w:t>
            </w:r>
          </w:p>
        </w:tc>
        <w:tc>
          <w:tcPr>
            <w:tcW w:w="776" w:type="pct"/>
            <w:hideMark/>
          </w:tcPr>
          <w:p w14:paraId="6C7493A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-34,47%</w:t>
            </w:r>
          </w:p>
        </w:tc>
      </w:tr>
      <w:tr w:rsidR="008A460C" w:rsidRPr="008A460C" w14:paraId="4BB4E298"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7046AB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6F7F26C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$234,50</w:t>
            </w:r>
          </w:p>
        </w:tc>
        <w:tc>
          <w:tcPr>
            <w:tcW w:w="879" w:type="pct"/>
            <w:hideMark/>
          </w:tcPr>
          <w:p w14:paraId="7C00806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$118,31</w:t>
            </w:r>
          </w:p>
        </w:tc>
        <w:tc>
          <w:tcPr>
            <w:tcW w:w="668" w:type="pct"/>
            <w:hideMark/>
          </w:tcPr>
          <w:p w14:paraId="3A49F77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-$116,19</w:t>
            </w:r>
          </w:p>
        </w:tc>
        <w:tc>
          <w:tcPr>
            <w:tcW w:w="666" w:type="pct"/>
            <w:hideMark/>
          </w:tcPr>
          <w:p w14:paraId="42A724D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$352,80</w:t>
            </w:r>
          </w:p>
        </w:tc>
        <w:tc>
          <w:tcPr>
            <w:tcW w:w="662" w:type="pct"/>
            <w:hideMark/>
          </w:tcPr>
          <w:p w14:paraId="213CFDB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27,90%</w:t>
            </w:r>
          </w:p>
        </w:tc>
        <w:tc>
          <w:tcPr>
            <w:tcW w:w="776" w:type="pct"/>
            <w:hideMark/>
          </w:tcPr>
          <w:p w14:paraId="3BDDEC0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-24,41%</w:t>
            </w:r>
          </w:p>
        </w:tc>
      </w:tr>
      <w:tr w:rsidR="008A460C" w:rsidRPr="008A460C" w14:paraId="53C9CC80"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565CC7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5D60E21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$382,19</w:t>
            </w:r>
          </w:p>
        </w:tc>
        <w:tc>
          <w:tcPr>
            <w:tcW w:w="879" w:type="pct"/>
            <w:hideMark/>
          </w:tcPr>
          <w:p w14:paraId="68CF756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$126,87</w:t>
            </w:r>
          </w:p>
        </w:tc>
        <w:tc>
          <w:tcPr>
            <w:tcW w:w="668" w:type="pct"/>
            <w:hideMark/>
          </w:tcPr>
          <w:p w14:paraId="79D909A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-$255,32</w:t>
            </w:r>
          </w:p>
        </w:tc>
        <w:tc>
          <w:tcPr>
            <w:tcW w:w="666" w:type="pct"/>
            <w:hideMark/>
          </w:tcPr>
          <w:p w14:paraId="1655105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$509,06</w:t>
            </w:r>
          </w:p>
        </w:tc>
        <w:tc>
          <w:tcPr>
            <w:tcW w:w="662" w:type="pct"/>
            <w:hideMark/>
          </w:tcPr>
          <w:p w14:paraId="586068A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84,54%</w:t>
            </w:r>
          </w:p>
        </w:tc>
        <w:tc>
          <w:tcPr>
            <w:tcW w:w="776" w:type="pct"/>
            <w:hideMark/>
          </w:tcPr>
          <w:p w14:paraId="059C2F2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44,29%</w:t>
            </w:r>
          </w:p>
        </w:tc>
      </w:tr>
      <w:tr w:rsidR="008A460C" w:rsidRPr="008A460C" w14:paraId="668B615F"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FB7227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2FB2128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$450,27</w:t>
            </w:r>
          </w:p>
        </w:tc>
        <w:tc>
          <w:tcPr>
            <w:tcW w:w="879" w:type="pct"/>
            <w:hideMark/>
          </w:tcPr>
          <w:p w14:paraId="5D7CF8F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$159,29</w:t>
            </w:r>
          </w:p>
        </w:tc>
        <w:tc>
          <w:tcPr>
            <w:tcW w:w="668" w:type="pct"/>
            <w:hideMark/>
          </w:tcPr>
          <w:p w14:paraId="1E68F41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-$290,98</w:t>
            </w:r>
          </w:p>
        </w:tc>
        <w:tc>
          <w:tcPr>
            <w:tcW w:w="666" w:type="pct"/>
            <w:hideMark/>
          </w:tcPr>
          <w:p w14:paraId="3B695C6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$609,56</w:t>
            </w:r>
          </w:p>
        </w:tc>
        <w:tc>
          <w:tcPr>
            <w:tcW w:w="662" w:type="pct"/>
            <w:hideMark/>
          </w:tcPr>
          <w:p w14:paraId="540A451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120,97%</w:t>
            </w:r>
          </w:p>
        </w:tc>
        <w:tc>
          <w:tcPr>
            <w:tcW w:w="776" w:type="pct"/>
            <w:hideMark/>
          </w:tcPr>
          <w:p w14:paraId="2909584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19,74%</w:t>
            </w:r>
          </w:p>
        </w:tc>
      </w:tr>
      <w:tr w:rsidR="008A460C" w:rsidRPr="008A460C" w14:paraId="1101CEB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C23565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42B4703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$357,91</w:t>
            </w:r>
          </w:p>
        </w:tc>
        <w:tc>
          <w:tcPr>
            <w:tcW w:w="879" w:type="pct"/>
            <w:hideMark/>
          </w:tcPr>
          <w:p w14:paraId="1F40FC2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$169,28</w:t>
            </w:r>
          </w:p>
        </w:tc>
        <w:tc>
          <w:tcPr>
            <w:tcW w:w="668" w:type="pct"/>
            <w:hideMark/>
          </w:tcPr>
          <w:p w14:paraId="1B16B47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-$188,62</w:t>
            </w:r>
          </w:p>
        </w:tc>
        <w:tc>
          <w:tcPr>
            <w:tcW w:w="666" w:type="pct"/>
            <w:hideMark/>
          </w:tcPr>
          <w:p w14:paraId="511637E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$527,19</w:t>
            </w:r>
          </w:p>
        </w:tc>
        <w:tc>
          <w:tcPr>
            <w:tcW w:w="662" w:type="pct"/>
            <w:hideMark/>
          </w:tcPr>
          <w:p w14:paraId="5C6CAB9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91,11%</w:t>
            </w:r>
          </w:p>
        </w:tc>
        <w:tc>
          <w:tcPr>
            <w:tcW w:w="776" w:type="pct"/>
            <w:hideMark/>
          </w:tcPr>
          <w:p w14:paraId="4FFF523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-13,51%</w:t>
            </w:r>
          </w:p>
        </w:tc>
      </w:tr>
      <w:tr w:rsidR="008A460C" w:rsidRPr="008A460C" w14:paraId="51916AA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0D6407F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Chile</w:t>
            </w:r>
          </w:p>
        </w:tc>
      </w:tr>
      <w:tr w:rsidR="008A460C" w:rsidRPr="008A460C" w14:paraId="297B428E" w14:textId="77777777" w:rsidTr="008A460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52B4D0FF"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7DC2A20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2ECF974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6CEB4E7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1A2D221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50827D1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3905AAE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40329DA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8B5101C"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5537E9C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$176,45</w:t>
            </w:r>
          </w:p>
        </w:tc>
        <w:tc>
          <w:tcPr>
            <w:tcW w:w="879" w:type="pct"/>
            <w:hideMark/>
          </w:tcPr>
          <w:p w14:paraId="5D11190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$24,53</w:t>
            </w:r>
          </w:p>
        </w:tc>
        <w:tc>
          <w:tcPr>
            <w:tcW w:w="668" w:type="pct"/>
            <w:hideMark/>
          </w:tcPr>
          <w:p w14:paraId="73FA7DF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-$151,92</w:t>
            </w:r>
          </w:p>
        </w:tc>
        <w:tc>
          <w:tcPr>
            <w:tcW w:w="666" w:type="pct"/>
            <w:hideMark/>
          </w:tcPr>
          <w:p w14:paraId="6BBFEED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$200,98</w:t>
            </w:r>
          </w:p>
        </w:tc>
        <w:tc>
          <w:tcPr>
            <w:tcW w:w="662" w:type="pct"/>
            <w:hideMark/>
          </w:tcPr>
          <w:p w14:paraId="3D3B3E5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14,18%</w:t>
            </w:r>
          </w:p>
        </w:tc>
        <w:tc>
          <w:tcPr>
            <w:tcW w:w="776" w:type="pct"/>
            <w:hideMark/>
          </w:tcPr>
          <w:p w14:paraId="24D2A5E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14,18%</w:t>
            </w:r>
          </w:p>
        </w:tc>
      </w:tr>
      <w:tr w:rsidR="008A460C" w:rsidRPr="008A460C" w14:paraId="293C5655"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0D5EAC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599BA99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$326,18</w:t>
            </w:r>
          </w:p>
        </w:tc>
        <w:tc>
          <w:tcPr>
            <w:tcW w:w="879" w:type="pct"/>
            <w:hideMark/>
          </w:tcPr>
          <w:p w14:paraId="43C681D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$24,96</w:t>
            </w:r>
          </w:p>
        </w:tc>
        <w:tc>
          <w:tcPr>
            <w:tcW w:w="668" w:type="pct"/>
            <w:hideMark/>
          </w:tcPr>
          <w:p w14:paraId="316FE97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-$301,22</w:t>
            </w:r>
          </w:p>
        </w:tc>
        <w:tc>
          <w:tcPr>
            <w:tcW w:w="666" w:type="pct"/>
            <w:hideMark/>
          </w:tcPr>
          <w:p w14:paraId="2D5CB50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$351,14</w:t>
            </w:r>
          </w:p>
        </w:tc>
        <w:tc>
          <w:tcPr>
            <w:tcW w:w="662" w:type="pct"/>
            <w:hideMark/>
          </w:tcPr>
          <w:p w14:paraId="5899A0D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99,49%</w:t>
            </w:r>
          </w:p>
        </w:tc>
        <w:tc>
          <w:tcPr>
            <w:tcW w:w="776" w:type="pct"/>
            <w:hideMark/>
          </w:tcPr>
          <w:p w14:paraId="18BD178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74,71%</w:t>
            </w:r>
          </w:p>
        </w:tc>
      </w:tr>
      <w:tr w:rsidR="008A460C" w:rsidRPr="008A460C" w14:paraId="2B47B88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AC8CEE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54B5329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$441,92</w:t>
            </w:r>
          </w:p>
        </w:tc>
        <w:tc>
          <w:tcPr>
            <w:tcW w:w="879" w:type="pct"/>
            <w:hideMark/>
          </w:tcPr>
          <w:p w14:paraId="466325D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$34,79</w:t>
            </w:r>
          </w:p>
        </w:tc>
        <w:tc>
          <w:tcPr>
            <w:tcW w:w="668" w:type="pct"/>
            <w:hideMark/>
          </w:tcPr>
          <w:p w14:paraId="64B0B36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-$407,14</w:t>
            </w:r>
          </w:p>
        </w:tc>
        <w:tc>
          <w:tcPr>
            <w:tcW w:w="666" w:type="pct"/>
            <w:hideMark/>
          </w:tcPr>
          <w:p w14:paraId="69DE622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$476,71</w:t>
            </w:r>
          </w:p>
        </w:tc>
        <w:tc>
          <w:tcPr>
            <w:tcW w:w="662" w:type="pct"/>
            <w:hideMark/>
          </w:tcPr>
          <w:p w14:paraId="1367A0A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170,83%</w:t>
            </w:r>
          </w:p>
        </w:tc>
        <w:tc>
          <w:tcPr>
            <w:tcW w:w="776" w:type="pct"/>
            <w:hideMark/>
          </w:tcPr>
          <w:p w14:paraId="098AC22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35,76%</w:t>
            </w:r>
          </w:p>
        </w:tc>
      </w:tr>
      <w:tr w:rsidR="008A460C" w:rsidRPr="008A460C" w14:paraId="2E08389D"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97DC7E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696B256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$533,97</w:t>
            </w:r>
          </w:p>
        </w:tc>
        <w:tc>
          <w:tcPr>
            <w:tcW w:w="879" w:type="pct"/>
            <w:hideMark/>
          </w:tcPr>
          <w:p w14:paraId="4E8813D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$41,84</w:t>
            </w:r>
          </w:p>
        </w:tc>
        <w:tc>
          <w:tcPr>
            <w:tcW w:w="668" w:type="pct"/>
            <w:hideMark/>
          </w:tcPr>
          <w:p w14:paraId="556D733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-$492,13</w:t>
            </w:r>
          </w:p>
        </w:tc>
        <w:tc>
          <w:tcPr>
            <w:tcW w:w="666" w:type="pct"/>
            <w:hideMark/>
          </w:tcPr>
          <w:p w14:paraId="62E9346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$575,81</w:t>
            </w:r>
          </w:p>
        </w:tc>
        <w:tc>
          <w:tcPr>
            <w:tcW w:w="662" w:type="pct"/>
            <w:hideMark/>
          </w:tcPr>
          <w:p w14:paraId="278D560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227,13%</w:t>
            </w:r>
          </w:p>
        </w:tc>
        <w:tc>
          <w:tcPr>
            <w:tcW w:w="776" w:type="pct"/>
            <w:hideMark/>
          </w:tcPr>
          <w:p w14:paraId="742AEE6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20,79%</w:t>
            </w:r>
          </w:p>
        </w:tc>
      </w:tr>
      <w:tr w:rsidR="008A460C" w:rsidRPr="008A460C" w14:paraId="0F540EE7"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C70A13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57E4E3E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$324,11</w:t>
            </w:r>
          </w:p>
        </w:tc>
        <w:tc>
          <w:tcPr>
            <w:tcW w:w="879" w:type="pct"/>
            <w:hideMark/>
          </w:tcPr>
          <w:p w14:paraId="03085F4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$150,27</w:t>
            </w:r>
          </w:p>
        </w:tc>
        <w:tc>
          <w:tcPr>
            <w:tcW w:w="668" w:type="pct"/>
            <w:hideMark/>
          </w:tcPr>
          <w:p w14:paraId="733CD7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-$173,84</w:t>
            </w:r>
          </w:p>
        </w:tc>
        <w:tc>
          <w:tcPr>
            <w:tcW w:w="666" w:type="pct"/>
            <w:hideMark/>
          </w:tcPr>
          <w:p w14:paraId="003384F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$474,38</w:t>
            </w:r>
          </w:p>
        </w:tc>
        <w:tc>
          <w:tcPr>
            <w:tcW w:w="662" w:type="pct"/>
            <w:hideMark/>
          </w:tcPr>
          <w:p w14:paraId="53811CF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169,50%</w:t>
            </w:r>
          </w:p>
        </w:tc>
        <w:tc>
          <w:tcPr>
            <w:tcW w:w="776" w:type="pct"/>
            <w:hideMark/>
          </w:tcPr>
          <w:p w14:paraId="1B405D9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-17,62%</w:t>
            </w:r>
          </w:p>
        </w:tc>
      </w:tr>
      <w:tr w:rsidR="008A460C" w:rsidRPr="008A460C" w14:paraId="018AF316"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6CC769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0CEEE51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$200,39</w:t>
            </w:r>
          </w:p>
        </w:tc>
        <w:tc>
          <w:tcPr>
            <w:tcW w:w="879" w:type="pct"/>
            <w:hideMark/>
          </w:tcPr>
          <w:p w14:paraId="43D843F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$37,43</w:t>
            </w:r>
          </w:p>
        </w:tc>
        <w:tc>
          <w:tcPr>
            <w:tcW w:w="668" w:type="pct"/>
            <w:hideMark/>
          </w:tcPr>
          <w:p w14:paraId="5AB4C1B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-$162,95</w:t>
            </w:r>
          </w:p>
        </w:tc>
        <w:tc>
          <w:tcPr>
            <w:tcW w:w="666" w:type="pct"/>
            <w:hideMark/>
          </w:tcPr>
          <w:p w14:paraId="6379230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$237,82</w:t>
            </w:r>
          </w:p>
        </w:tc>
        <w:tc>
          <w:tcPr>
            <w:tcW w:w="662" w:type="pct"/>
            <w:hideMark/>
          </w:tcPr>
          <w:p w14:paraId="3942E78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35,11%</w:t>
            </w:r>
          </w:p>
        </w:tc>
        <w:tc>
          <w:tcPr>
            <w:tcW w:w="776" w:type="pct"/>
            <w:hideMark/>
          </w:tcPr>
          <w:p w14:paraId="56B8907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-49,87%</w:t>
            </w:r>
          </w:p>
        </w:tc>
      </w:tr>
      <w:tr w:rsidR="008A460C" w:rsidRPr="008A460C" w14:paraId="14027B86"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A9C3BE7"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66B2ED8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$311,71</w:t>
            </w:r>
          </w:p>
        </w:tc>
        <w:tc>
          <w:tcPr>
            <w:tcW w:w="879" w:type="pct"/>
            <w:hideMark/>
          </w:tcPr>
          <w:p w14:paraId="794E31F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$81,22</w:t>
            </w:r>
          </w:p>
        </w:tc>
        <w:tc>
          <w:tcPr>
            <w:tcW w:w="668" w:type="pct"/>
            <w:hideMark/>
          </w:tcPr>
          <w:p w14:paraId="47DFFB9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-$230,49</w:t>
            </w:r>
          </w:p>
        </w:tc>
        <w:tc>
          <w:tcPr>
            <w:tcW w:w="666" w:type="pct"/>
            <w:hideMark/>
          </w:tcPr>
          <w:p w14:paraId="76C2C8E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$392,93</w:t>
            </w:r>
          </w:p>
        </w:tc>
        <w:tc>
          <w:tcPr>
            <w:tcW w:w="662" w:type="pct"/>
            <w:hideMark/>
          </w:tcPr>
          <w:p w14:paraId="29A2675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123,23%</w:t>
            </w:r>
          </w:p>
        </w:tc>
        <w:tc>
          <w:tcPr>
            <w:tcW w:w="776" w:type="pct"/>
            <w:hideMark/>
          </w:tcPr>
          <w:p w14:paraId="56624BC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65,22%</w:t>
            </w:r>
          </w:p>
        </w:tc>
      </w:tr>
      <w:tr w:rsidR="008A460C" w:rsidRPr="008A460C" w14:paraId="6854B9A0"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E496FD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225357E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$474,34</w:t>
            </w:r>
          </w:p>
        </w:tc>
        <w:tc>
          <w:tcPr>
            <w:tcW w:w="879" w:type="pct"/>
            <w:hideMark/>
          </w:tcPr>
          <w:p w14:paraId="725F19F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$130,62</w:t>
            </w:r>
          </w:p>
        </w:tc>
        <w:tc>
          <w:tcPr>
            <w:tcW w:w="668" w:type="pct"/>
            <w:hideMark/>
          </w:tcPr>
          <w:p w14:paraId="45751B8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-$343,72</w:t>
            </w:r>
          </w:p>
        </w:tc>
        <w:tc>
          <w:tcPr>
            <w:tcW w:w="666" w:type="pct"/>
            <w:hideMark/>
          </w:tcPr>
          <w:p w14:paraId="38AD3C5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$604,96</w:t>
            </w:r>
          </w:p>
        </w:tc>
        <w:tc>
          <w:tcPr>
            <w:tcW w:w="662" w:type="pct"/>
            <w:hideMark/>
          </w:tcPr>
          <w:p w14:paraId="68F0C7F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243,69%</w:t>
            </w:r>
          </w:p>
        </w:tc>
        <w:tc>
          <w:tcPr>
            <w:tcW w:w="776" w:type="pct"/>
            <w:hideMark/>
          </w:tcPr>
          <w:p w14:paraId="78336FC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53,96%</w:t>
            </w:r>
          </w:p>
        </w:tc>
      </w:tr>
      <w:tr w:rsidR="008A460C" w:rsidRPr="008A460C" w14:paraId="24184F2D"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5622B2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721D826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$466,04</w:t>
            </w:r>
          </w:p>
        </w:tc>
        <w:tc>
          <w:tcPr>
            <w:tcW w:w="879" w:type="pct"/>
            <w:hideMark/>
          </w:tcPr>
          <w:p w14:paraId="71218FF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$174,85</w:t>
            </w:r>
          </w:p>
        </w:tc>
        <w:tc>
          <w:tcPr>
            <w:tcW w:w="668" w:type="pct"/>
            <w:hideMark/>
          </w:tcPr>
          <w:p w14:paraId="2F9C3CF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-$291,19</w:t>
            </w:r>
          </w:p>
        </w:tc>
        <w:tc>
          <w:tcPr>
            <w:tcW w:w="666" w:type="pct"/>
            <w:hideMark/>
          </w:tcPr>
          <w:p w14:paraId="17DB819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$640,89</w:t>
            </w:r>
          </w:p>
        </w:tc>
        <w:tc>
          <w:tcPr>
            <w:tcW w:w="662" w:type="pct"/>
            <w:hideMark/>
          </w:tcPr>
          <w:p w14:paraId="5B061CC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264,11%</w:t>
            </w:r>
          </w:p>
        </w:tc>
        <w:tc>
          <w:tcPr>
            <w:tcW w:w="776" w:type="pct"/>
            <w:hideMark/>
          </w:tcPr>
          <w:p w14:paraId="148A98E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5,94%</w:t>
            </w:r>
          </w:p>
        </w:tc>
      </w:tr>
      <w:tr w:rsidR="008A460C" w:rsidRPr="008A460C" w14:paraId="628DEC1B"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3A23DD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122B992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$405,86</w:t>
            </w:r>
          </w:p>
        </w:tc>
        <w:tc>
          <w:tcPr>
            <w:tcW w:w="879" w:type="pct"/>
            <w:hideMark/>
          </w:tcPr>
          <w:p w14:paraId="2D9E650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$219,34</w:t>
            </w:r>
          </w:p>
        </w:tc>
        <w:tc>
          <w:tcPr>
            <w:tcW w:w="668" w:type="pct"/>
            <w:hideMark/>
          </w:tcPr>
          <w:p w14:paraId="30966F7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-$186,52</w:t>
            </w:r>
          </w:p>
        </w:tc>
        <w:tc>
          <w:tcPr>
            <w:tcW w:w="666" w:type="pct"/>
            <w:hideMark/>
          </w:tcPr>
          <w:p w14:paraId="163E413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$625,20</w:t>
            </w:r>
          </w:p>
        </w:tc>
        <w:tc>
          <w:tcPr>
            <w:tcW w:w="662" w:type="pct"/>
            <w:hideMark/>
          </w:tcPr>
          <w:p w14:paraId="6D584B1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255,19%</w:t>
            </w:r>
          </w:p>
        </w:tc>
        <w:tc>
          <w:tcPr>
            <w:tcW w:w="776" w:type="pct"/>
            <w:hideMark/>
          </w:tcPr>
          <w:p w14:paraId="6F45C47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-2,45%</w:t>
            </w:r>
          </w:p>
        </w:tc>
      </w:tr>
      <w:tr w:rsidR="008A460C" w:rsidRPr="008A460C" w14:paraId="488E4FD6"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9A7A58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2F86A84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$363,30</w:t>
            </w:r>
          </w:p>
        </w:tc>
        <w:tc>
          <w:tcPr>
            <w:tcW w:w="879" w:type="pct"/>
            <w:hideMark/>
          </w:tcPr>
          <w:p w14:paraId="5BF188A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$198,58</w:t>
            </w:r>
          </w:p>
        </w:tc>
        <w:tc>
          <w:tcPr>
            <w:tcW w:w="668" w:type="pct"/>
            <w:hideMark/>
          </w:tcPr>
          <w:p w14:paraId="5C151E2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-$164,72</w:t>
            </w:r>
          </w:p>
        </w:tc>
        <w:tc>
          <w:tcPr>
            <w:tcW w:w="666" w:type="pct"/>
            <w:hideMark/>
          </w:tcPr>
          <w:p w14:paraId="3131A43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$561,88</w:t>
            </w:r>
          </w:p>
        </w:tc>
        <w:tc>
          <w:tcPr>
            <w:tcW w:w="662" w:type="pct"/>
            <w:hideMark/>
          </w:tcPr>
          <w:p w14:paraId="5874BB3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219,22%</w:t>
            </w:r>
          </w:p>
        </w:tc>
        <w:tc>
          <w:tcPr>
            <w:tcW w:w="776" w:type="pct"/>
            <w:hideMark/>
          </w:tcPr>
          <w:p w14:paraId="113F683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-10,13%</w:t>
            </w:r>
          </w:p>
        </w:tc>
      </w:tr>
      <w:tr w:rsidR="008A460C" w:rsidRPr="008A460C" w14:paraId="48A1B35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699AB9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2059B54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$282,57</w:t>
            </w:r>
          </w:p>
        </w:tc>
        <w:tc>
          <w:tcPr>
            <w:tcW w:w="879" w:type="pct"/>
            <w:hideMark/>
          </w:tcPr>
          <w:p w14:paraId="2C8D09D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$187,92</w:t>
            </w:r>
          </w:p>
        </w:tc>
        <w:tc>
          <w:tcPr>
            <w:tcW w:w="668" w:type="pct"/>
            <w:hideMark/>
          </w:tcPr>
          <w:p w14:paraId="39BF3FC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-$94,65</w:t>
            </w:r>
          </w:p>
        </w:tc>
        <w:tc>
          <w:tcPr>
            <w:tcW w:w="666" w:type="pct"/>
            <w:hideMark/>
          </w:tcPr>
          <w:p w14:paraId="78FF1B8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$470,49</w:t>
            </w:r>
          </w:p>
        </w:tc>
        <w:tc>
          <w:tcPr>
            <w:tcW w:w="662" w:type="pct"/>
            <w:hideMark/>
          </w:tcPr>
          <w:p w14:paraId="6DD0AAA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167,30%</w:t>
            </w:r>
          </w:p>
        </w:tc>
        <w:tc>
          <w:tcPr>
            <w:tcW w:w="776" w:type="pct"/>
            <w:hideMark/>
          </w:tcPr>
          <w:p w14:paraId="79302FA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-16,27%</w:t>
            </w:r>
          </w:p>
        </w:tc>
      </w:tr>
      <w:tr w:rsidR="008A460C" w:rsidRPr="008A460C" w14:paraId="4BC1C65C"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E6948E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281E7FE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$232,97</w:t>
            </w:r>
          </w:p>
        </w:tc>
        <w:tc>
          <w:tcPr>
            <w:tcW w:w="879" w:type="pct"/>
            <w:hideMark/>
          </w:tcPr>
          <w:p w14:paraId="351DFE4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$217,16</w:t>
            </w:r>
          </w:p>
        </w:tc>
        <w:tc>
          <w:tcPr>
            <w:tcW w:w="668" w:type="pct"/>
            <w:hideMark/>
          </w:tcPr>
          <w:p w14:paraId="5AB02A6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-$15,81</w:t>
            </w:r>
          </w:p>
        </w:tc>
        <w:tc>
          <w:tcPr>
            <w:tcW w:w="666" w:type="pct"/>
            <w:hideMark/>
          </w:tcPr>
          <w:p w14:paraId="335797F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$450,13</w:t>
            </w:r>
          </w:p>
        </w:tc>
        <w:tc>
          <w:tcPr>
            <w:tcW w:w="662" w:type="pct"/>
            <w:hideMark/>
          </w:tcPr>
          <w:p w14:paraId="426EDEA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155,73%</w:t>
            </w:r>
          </w:p>
        </w:tc>
        <w:tc>
          <w:tcPr>
            <w:tcW w:w="776" w:type="pct"/>
            <w:hideMark/>
          </w:tcPr>
          <w:p w14:paraId="3260EF1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-4,33%</w:t>
            </w:r>
          </w:p>
        </w:tc>
      </w:tr>
      <w:tr w:rsidR="008A460C" w:rsidRPr="008A460C" w14:paraId="4362DA3B"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3E3924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2C70C73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$265,00</w:t>
            </w:r>
          </w:p>
        </w:tc>
        <w:tc>
          <w:tcPr>
            <w:tcW w:w="879" w:type="pct"/>
            <w:hideMark/>
          </w:tcPr>
          <w:p w14:paraId="7D96DBF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$254,63</w:t>
            </w:r>
          </w:p>
        </w:tc>
        <w:tc>
          <w:tcPr>
            <w:tcW w:w="668" w:type="pct"/>
            <w:hideMark/>
          </w:tcPr>
          <w:p w14:paraId="1F80CCC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-$10,37</w:t>
            </w:r>
          </w:p>
        </w:tc>
        <w:tc>
          <w:tcPr>
            <w:tcW w:w="666" w:type="pct"/>
            <w:hideMark/>
          </w:tcPr>
          <w:p w14:paraId="2B3BA2B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$519,63</w:t>
            </w:r>
          </w:p>
        </w:tc>
        <w:tc>
          <w:tcPr>
            <w:tcW w:w="662" w:type="pct"/>
            <w:hideMark/>
          </w:tcPr>
          <w:p w14:paraId="29DE0C7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195,21%</w:t>
            </w:r>
          </w:p>
        </w:tc>
        <w:tc>
          <w:tcPr>
            <w:tcW w:w="776" w:type="pct"/>
            <w:hideMark/>
          </w:tcPr>
          <w:p w14:paraId="4690FDB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15,44%</w:t>
            </w:r>
          </w:p>
        </w:tc>
      </w:tr>
      <w:tr w:rsidR="008A460C" w:rsidRPr="008A460C" w14:paraId="0A3E899B"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25AE778"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346EBED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$370,58</w:t>
            </w:r>
          </w:p>
        </w:tc>
        <w:tc>
          <w:tcPr>
            <w:tcW w:w="879" w:type="pct"/>
            <w:hideMark/>
          </w:tcPr>
          <w:p w14:paraId="179CD6B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$386,35</w:t>
            </w:r>
          </w:p>
        </w:tc>
        <w:tc>
          <w:tcPr>
            <w:tcW w:w="668" w:type="pct"/>
            <w:hideMark/>
          </w:tcPr>
          <w:p w14:paraId="76E5E75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$15,76</w:t>
            </w:r>
          </w:p>
        </w:tc>
        <w:tc>
          <w:tcPr>
            <w:tcW w:w="666" w:type="pct"/>
            <w:hideMark/>
          </w:tcPr>
          <w:p w14:paraId="6CE8218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$756,93</w:t>
            </w:r>
          </w:p>
        </w:tc>
        <w:tc>
          <w:tcPr>
            <w:tcW w:w="662" w:type="pct"/>
            <w:hideMark/>
          </w:tcPr>
          <w:p w14:paraId="205A67A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330,03%</w:t>
            </w:r>
          </w:p>
        </w:tc>
        <w:tc>
          <w:tcPr>
            <w:tcW w:w="776" w:type="pct"/>
            <w:hideMark/>
          </w:tcPr>
          <w:p w14:paraId="474702A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45,67%</w:t>
            </w:r>
          </w:p>
        </w:tc>
      </w:tr>
      <w:tr w:rsidR="008A460C" w:rsidRPr="008A460C" w14:paraId="3BF4C00D"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1C31C23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Perú</w:t>
            </w:r>
          </w:p>
        </w:tc>
      </w:tr>
      <w:tr w:rsidR="008A460C" w:rsidRPr="008A460C" w14:paraId="55CB82D4" w14:textId="77777777" w:rsidTr="008A460C">
        <w:trPr>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3778872B"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25E64B4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0EE371D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4691EBD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67106DB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7C4D050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31C7B73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409C017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B66E96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36155EA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$49,37</w:t>
            </w:r>
          </w:p>
        </w:tc>
        <w:tc>
          <w:tcPr>
            <w:tcW w:w="879" w:type="pct"/>
            <w:hideMark/>
          </w:tcPr>
          <w:p w14:paraId="6CDCE9B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$6,95</w:t>
            </w:r>
          </w:p>
        </w:tc>
        <w:tc>
          <w:tcPr>
            <w:tcW w:w="668" w:type="pct"/>
            <w:hideMark/>
          </w:tcPr>
          <w:p w14:paraId="71FFAC8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-$42,42</w:t>
            </w:r>
          </w:p>
        </w:tc>
        <w:tc>
          <w:tcPr>
            <w:tcW w:w="666" w:type="pct"/>
            <w:hideMark/>
          </w:tcPr>
          <w:p w14:paraId="788BCD1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$56,33</w:t>
            </w:r>
          </w:p>
        </w:tc>
        <w:tc>
          <w:tcPr>
            <w:tcW w:w="662" w:type="pct"/>
            <w:hideMark/>
          </w:tcPr>
          <w:p w14:paraId="26475E1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90,72%</w:t>
            </w:r>
          </w:p>
        </w:tc>
        <w:tc>
          <w:tcPr>
            <w:tcW w:w="776" w:type="pct"/>
            <w:hideMark/>
          </w:tcPr>
          <w:p w14:paraId="1AF192D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90,72%</w:t>
            </w:r>
          </w:p>
        </w:tc>
      </w:tr>
      <w:tr w:rsidR="008A460C" w:rsidRPr="008A460C" w14:paraId="73CF065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BF0787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134A1EF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$37,31</w:t>
            </w:r>
          </w:p>
        </w:tc>
        <w:tc>
          <w:tcPr>
            <w:tcW w:w="879" w:type="pct"/>
            <w:hideMark/>
          </w:tcPr>
          <w:p w14:paraId="1D93746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$7,21</w:t>
            </w:r>
          </w:p>
        </w:tc>
        <w:tc>
          <w:tcPr>
            <w:tcW w:w="668" w:type="pct"/>
            <w:hideMark/>
          </w:tcPr>
          <w:p w14:paraId="3CE5588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-$30,10</w:t>
            </w:r>
          </w:p>
        </w:tc>
        <w:tc>
          <w:tcPr>
            <w:tcW w:w="666" w:type="pct"/>
            <w:hideMark/>
          </w:tcPr>
          <w:p w14:paraId="4581127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$44,52</w:t>
            </w:r>
          </w:p>
        </w:tc>
        <w:tc>
          <w:tcPr>
            <w:tcW w:w="662" w:type="pct"/>
            <w:hideMark/>
          </w:tcPr>
          <w:p w14:paraId="03AE7BF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50,75%</w:t>
            </w:r>
          </w:p>
        </w:tc>
        <w:tc>
          <w:tcPr>
            <w:tcW w:w="776" w:type="pct"/>
            <w:hideMark/>
          </w:tcPr>
          <w:p w14:paraId="57D725B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-20,96%</w:t>
            </w:r>
          </w:p>
        </w:tc>
      </w:tr>
      <w:tr w:rsidR="008A460C" w:rsidRPr="008A460C" w14:paraId="392703DC"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8342E0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34D668F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$61,09</w:t>
            </w:r>
          </w:p>
        </w:tc>
        <w:tc>
          <w:tcPr>
            <w:tcW w:w="879" w:type="pct"/>
            <w:hideMark/>
          </w:tcPr>
          <w:p w14:paraId="208645F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$9,36</w:t>
            </w:r>
          </w:p>
        </w:tc>
        <w:tc>
          <w:tcPr>
            <w:tcW w:w="668" w:type="pct"/>
            <w:hideMark/>
          </w:tcPr>
          <w:p w14:paraId="5A37EED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-$51,74</w:t>
            </w:r>
          </w:p>
        </w:tc>
        <w:tc>
          <w:tcPr>
            <w:tcW w:w="666" w:type="pct"/>
            <w:hideMark/>
          </w:tcPr>
          <w:p w14:paraId="2ED1EE6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$70,45</w:t>
            </w:r>
          </w:p>
        </w:tc>
        <w:tc>
          <w:tcPr>
            <w:tcW w:w="662" w:type="pct"/>
            <w:hideMark/>
          </w:tcPr>
          <w:p w14:paraId="46B4499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138,53%</w:t>
            </w:r>
          </w:p>
        </w:tc>
        <w:tc>
          <w:tcPr>
            <w:tcW w:w="776" w:type="pct"/>
            <w:hideMark/>
          </w:tcPr>
          <w:p w14:paraId="0D7769E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58,23%</w:t>
            </w:r>
          </w:p>
        </w:tc>
      </w:tr>
      <w:tr w:rsidR="008A460C" w:rsidRPr="008A460C" w14:paraId="645C343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8CBDE3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301804B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$69,59</w:t>
            </w:r>
          </w:p>
        </w:tc>
        <w:tc>
          <w:tcPr>
            <w:tcW w:w="879" w:type="pct"/>
            <w:hideMark/>
          </w:tcPr>
          <w:p w14:paraId="247AF26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$15,31</w:t>
            </w:r>
          </w:p>
        </w:tc>
        <w:tc>
          <w:tcPr>
            <w:tcW w:w="668" w:type="pct"/>
            <w:hideMark/>
          </w:tcPr>
          <w:p w14:paraId="1BB1F2D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-$54,28</w:t>
            </w:r>
          </w:p>
        </w:tc>
        <w:tc>
          <w:tcPr>
            <w:tcW w:w="666" w:type="pct"/>
            <w:hideMark/>
          </w:tcPr>
          <w:p w14:paraId="14BD2BD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$84,89</w:t>
            </w:r>
          </w:p>
        </w:tc>
        <w:tc>
          <w:tcPr>
            <w:tcW w:w="662" w:type="pct"/>
            <w:hideMark/>
          </w:tcPr>
          <w:p w14:paraId="3848CBB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187,44%</w:t>
            </w:r>
          </w:p>
        </w:tc>
        <w:tc>
          <w:tcPr>
            <w:tcW w:w="776" w:type="pct"/>
            <w:hideMark/>
          </w:tcPr>
          <w:p w14:paraId="5BBC5D8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20,50%</w:t>
            </w:r>
          </w:p>
        </w:tc>
      </w:tr>
      <w:tr w:rsidR="008A460C" w:rsidRPr="008A460C" w14:paraId="73AAB945"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04D1D9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697424D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$63,75</w:t>
            </w:r>
          </w:p>
        </w:tc>
        <w:tc>
          <w:tcPr>
            <w:tcW w:w="879" w:type="pct"/>
            <w:hideMark/>
          </w:tcPr>
          <w:p w14:paraId="27B6D5F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$124,63</w:t>
            </w:r>
          </w:p>
        </w:tc>
        <w:tc>
          <w:tcPr>
            <w:tcW w:w="668" w:type="pct"/>
            <w:hideMark/>
          </w:tcPr>
          <w:p w14:paraId="2C3AB6C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$60,89</w:t>
            </w:r>
          </w:p>
        </w:tc>
        <w:tc>
          <w:tcPr>
            <w:tcW w:w="666" w:type="pct"/>
            <w:hideMark/>
          </w:tcPr>
          <w:p w14:paraId="6383A30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$188,38</w:t>
            </w:r>
          </w:p>
        </w:tc>
        <w:tc>
          <w:tcPr>
            <w:tcW w:w="662" w:type="pct"/>
            <w:hideMark/>
          </w:tcPr>
          <w:p w14:paraId="4C12F5A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537,84%</w:t>
            </w:r>
          </w:p>
        </w:tc>
        <w:tc>
          <w:tcPr>
            <w:tcW w:w="776" w:type="pct"/>
            <w:hideMark/>
          </w:tcPr>
          <w:p w14:paraId="0E65D50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121,90%</w:t>
            </w:r>
          </w:p>
        </w:tc>
      </w:tr>
      <w:tr w:rsidR="008A460C" w:rsidRPr="008A460C" w14:paraId="6D9288F8"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79287B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4B6CACC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$69,23</w:t>
            </w:r>
          </w:p>
        </w:tc>
        <w:tc>
          <w:tcPr>
            <w:tcW w:w="879" w:type="pct"/>
            <w:hideMark/>
          </w:tcPr>
          <w:p w14:paraId="232D248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$61,95</w:t>
            </w:r>
          </w:p>
        </w:tc>
        <w:tc>
          <w:tcPr>
            <w:tcW w:w="668" w:type="pct"/>
            <w:hideMark/>
          </w:tcPr>
          <w:p w14:paraId="15DF783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-$7,28</w:t>
            </w:r>
          </w:p>
        </w:tc>
        <w:tc>
          <w:tcPr>
            <w:tcW w:w="666" w:type="pct"/>
            <w:hideMark/>
          </w:tcPr>
          <w:p w14:paraId="39144ED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$131,17</w:t>
            </w:r>
          </w:p>
        </w:tc>
        <w:tc>
          <w:tcPr>
            <w:tcW w:w="662" w:type="pct"/>
            <w:hideMark/>
          </w:tcPr>
          <w:p w14:paraId="5B208A8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344,14%</w:t>
            </w:r>
          </w:p>
        </w:tc>
        <w:tc>
          <w:tcPr>
            <w:tcW w:w="776" w:type="pct"/>
            <w:hideMark/>
          </w:tcPr>
          <w:p w14:paraId="0A6F5EB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-30,37%</w:t>
            </w:r>
          </w:p>
        </w:tc>
      </w:tr>
      <w:tr w:rsidR="008A460C" w:rsidRPr="008A460C" w14:paraId="2614DDF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99D8C27"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1C1689F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$78,58</w:t>
            </w:r>
          </w:p>
        </w:tc>
        <w:tc>
          <w:tcPr>
            <w:tcW w:w="879" w:type="pct"/>
            <w:hideMark/>
          </w:tcPr>
          <w:p w14:paraId="27B77B6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$159,27</w:t>
            </w:r>
          </w:p>
        </w:tc>
        <w:tc>
          <w:tcPr>
            <w:tcW w:w="668" w:type="pct"/>
            <w:hideMark/>
          </w:tcPr>
          <w:p w14:paraId="4505305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$80,70</w:t>
            </w:r>
          </w:p>
        </w:tc>
        <w:tc>
          <w:tcPr>
            <w:tcW w:w="666" w:type="pct"/>
            <w:hideMark/>
          </w:tcPr>
          <w:p w14:paraId="731CA6B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$237,85</w:t>
            </w:r>
          </w:p>
        </w:tc>
        <w:tc>
          <w:tcPr>
            <w:tcW w:w="662" w:type="pct"/>
            <w:hideMark/>
          </w:tcPr>
          <w:p w14:paraId="2D339E6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705,34%</w:t>
            </w:r>
          </w:p>
        </w:tc>
        <w:tc>
          <w:tcPr>
            <w:tcW w:w="776" w:type="pct"/>
            <w:hideMark/>
          </w:tcPr>
          <w:p w14:paraId="3050C7F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81,32%</w:t>
            </w:r>
          </w:p>
        </w:tc>
      </w:tr>
      <w:tr w:rsidR="008A460C" w:rsidRPr="008A460C" w14:paraId="123EACC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994619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1C719AC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$58,49</w:t>
            </w:r>
          </w:p>
        </w:tc>
        <w:tc>
          <w:tcPr>
            <w:tcW w:w="879" w:type="pct"/>
            <w:hideMark/>
          </w:tcPr>
          <w:p w14:paraId="4D4C915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$286,80</w:t>
            </w:r>
          </w:p>
        </w:tc>
        <w:tc>
          <w:tcPr>
            <w:tcW w:w="668" w:type="pct"/>
            <w:hideMark/>
          </w:tcPr>
          <w:p w14:paraId="0D70EC3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$228,31</w:t>
            </w:r>
          </w:p>
        </w:tc>
        <w:tc>
          <w:tcPr>
            <w:tcW w:w="666" w:type="pct"/>
            <w:hideMark/>
          </w:tcPr>
          <w:p w14:paraId="402378A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$345,29</w:t>
            </w:r>
          </w:p>
        </w:tc>
        <w:tc>
          <w:tcPr>
            <w:tcW w:w="662" w:type="pct"/>
            <w:hideMark/>
          </w:tcPr>
          <w:p w14:paraId="2BD8D47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1069,12%</w:t>
            </w:r>
          </w:p>
        </w:tc>
        <w:tc>
          <w:tcPr>
            <w:tcW w:w="776" w:type="pct"/>
            <w:hideMark/>
          </w:tcPr>
          <w:p w14:paraId="385AE63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45,17%</w:t>
            </w:r>
          </w:p>
        </w:tc>
      </w:tr>
      <w:tr w:rsidR="008A460C" w:rsidRPr="008A460C" w14:paraId="1F622296"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9778EF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4AB3409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$101,19</w:t>
            </w:r>
          </w:p>
        </w:tc>
        <w:tc>
          <w:tcPr>
            <w:tcW w:w="879" w:type="pct"/>
            <w:hideMark/>
          </w:tcPr>
          <w:p w14:paraId="59C1AB8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$246,41</w:t>
            </w:r>
          </w:p>
        </w:tc>
        <w:tc>
          <w:tcPr>
            <w:tcW w:w="668" w:type="pct"/>
            <w:hideMark/>
          </w:tcPr>
          <w:p w14:paraId="75DF6A7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$145,22</w:t>
            </w:r>
          </w:p>
        </w:tc>
        <w:tc>
          <w:tcPr>
            <w:tcW w:w="666" w:type="pct"/>
            <w:hideMark/>
          </w:tcPr>
          <w:p w14:paraId="1703FEB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$347,60</w:t>
            </w:r>
          </w:p>
        </w:tc>
        <w:tc>
          <w:tcPr>
            <w:tcW w:w="662" w:type="pct"/>
            <w:hideMark/>
          </w:tcPr>
          <w:p w14:paraId="0F4FA83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1076,94%</w:t>
            </w:r>
          </w:p>
        </w:tc>
        <w:tc>
          <w:tcPr>
            <w:tcW w:w="776" w:type="pct"/>
            <w:hideMark/>
          </w:tcPr>
          <w:p w14:paraId="7DF4475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0,67%</w:t>
            </w:r>
          </w:p>
        </w:tc>
      </w:tr>
      <w:tr w:rsidR="008A460C" w:rsidRPr="008A460C" w14:paraId="56D2B1AD"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2D594B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26B6B0C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$94,26</w:t>
            </w:r>
          </w:p>
        </w:tc>
        <w:tc>
          <w:tcPr>
            <w:tcW w:w="879" w:type="pct"/>
            <w:hideMark/>
          </w:tcPr>
          <w:p w14:paraId="49A8B80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$275,57</w:t>
            </w:r>
          </w:p>
        </w:tc>
        <w:tc>
          <w:tcPr>
            <w:tcW w:w="668" w:type="pct"/>
            <w:hideMark/>
          </w:tcPr>
          <w:p w14:paraId="68A7E5E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$181,31</w:t>
            </w:r>
          </w:p>
        </w:tc>
        <w:tc>
          <w:tcPr>
            <w:tcW w:w="666" w:type="pct"/>
            <w:hideMark/>
          </w:tcPr>
          <w:p w14:paraId="0C2C1C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$369,82</w:t>
            </w:r>
          </w:p>
        </w:tc>
        <w:tc>
          <w:tcPr>
            <w:tcW w:w="662" w:type="pct"/>
            <w:hideMark/>
          </w:tcPr>
          <w:p w14:paraId="135D63B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1152,20%</w:t>
            </w:r>
          </w:p>
        </w:tc>
        <w:tc>
          <w:tcPr>
            <w:tcW w:w="776" w:type="pct"/>
            <w:hideMark/>
          </w:tcPr>
          <w:p w14:paraId="00C669B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6,39%</w:t>
            </w:r>
          </w:p>
        </w:tc>
      </w:tr>
      <w:tr w:rsidR="008A460C" w:rsidRPr="008A460C" w14:paraId="79827FD0"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BF7210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02BACD0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$74,81</w:t>
            </w:r>
          </w:p>
        </w:tc>
        <w:tc>
          <w:tcPr>
            <w:tcW w:w="879" w:type="pct"/>
            <w:hideMark/>
          </w:tcPr>
          <w:p w14:paraId="53595EE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$287,98</w:t>
            </w:r>
          </w:p>
        </w:tc>
        <w:tc>
          <w:tcPr>
            <w:tcW w:w="668" w:type="pct"/>
            <w:hideMark/>
          </w:tcPr>
          <w:p w14:paraId="269A0B4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$213,17</w:t>
            </w:r>
          </w:p>
        </w:tc>
        <w:tc>
          <w:tcPr>
            <w:tcW w:w="666" w:type="pct"/>
            <w:hideMark/>
          </w:tcPr>
          <w:p w14:paraId="7EAF60F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$362,78</w:t>
            </w:r>
          </w:p>
        </w:tc>
        <w:tc>
          <w:tcPr>
            <w:tcW w:w="662" w:type="pct"/>
            <w:hideMark/>
          </w:tcPr>
          <w:p w14:paraId="2928743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1128,37%</w:t>
            </w:r>
          </w:p>
        </w:tc>
        <w:tc>
          <w:tcPr>
            <w:tcW w:w="776" w:type="pct"/>
            <w:hideMark/>
          </w:tcPr>
          <w:p w14:paraId="1000607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-1,90%</w:t>
            </w:r>
          </w:p>
        </w:tc>
      </w:tr>
      <w:tr w:rsidR="008A460C" w:rsidRPr="008A460C" w14:paraId="5586B331"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E6E37B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055B2EC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$62,44</w:t>
            </w:r>
          </w:p>
        </w:tc>
        <w:tc>
          <w:tcPr>
            <w:tcW w:w="879" w:type="pct"/>
            <w:hideMark/>
          </w:tcPr>
          <w:p w14:paraId="161E925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$197,10</w:t>
            </w:r>
          </w:p>
        </w:tc>
        <w:tc>
          <w:tcPr>
            <w:tcW w:w="668" w:type="pct"/>
            <w:hideMark/>
          </w:tcPr>
          <w:p w14:paraId="2DDFD0D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$134,66</w:t>
            </w:r>
          </w:p>
        </w:tc>
        <w:tc>
          <w:tcPr>
            <w:tcW w:w="666" w:type="pct"/>
            <w:hideMark/>
          </w:tcPr>
          <w:p w14:paraId="7E5CAB4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$259,54</w:t>
            </w:r>
          </w:p>
        </w:tc>
        <w:tc>
          <w:tcPr>
            <w:tcW w:w="662" w:type="pct"/>
            <w:hideMark/>
          </w:tcPr>
          <w:p w14:paraId="442328A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778,78%</w:t>
            </w:r>
          </w:p>
        </w:tc>
        <w:tc>
          <w:tcPr>
            <w:tcW w:w="776" w:type="pct"/>
            <w:hideMark/>
          </w:tcPr>
          <w:p w14:paraId="13DB0CC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-28,46%</w:t>
            </w:r>
          </w:p>
        </w:tc>
      </w:tr>
      <w:tr w:rsidR="008A460C" w:rsidRPr="008A460C" w14:paraId="0B1286A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B954AC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19625DF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$59,88</w:t>
            </w:r>
          </w:p>
        </w:tc>
        <w:tc>
          <w:tcPr>
            <w:tcW w:w="879" w:type="pct"/>
            <w:hideMark/>
          </w:tcPr>
          <w:p w14:paraId="6DBB332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$86,19</w:t>
            </w:r>
          </w:p>
        </w:tc>
        <w:tc>
          <w:tcPr>
            <w:tcW w:w="668" w:type="pct"/>
            <w:hideMark/>
          </w:tcPr>
          <w:p w14:paraId="41A747D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$26,31</w:t>
            </w:r>
          </w:p>
        </w:tc>
        <w:tc>
          <w:tcPr>
            <w:tcW w:w="666" w:type="pct"/>
            <w:hideMark/>
          </w:tcPr>
          <w:p w14:paraId="497D200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$146,07</w:t>
            </w:r>
          </w:p>
        </w:tc>
        <w:tc>
          <w:tcPr>
            <w:tcW w:w="662" w:type="pct"/>
            <w:hideMark/>
          </w:tcPr>
          <w:p w14:paraId="6042D3E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394,59%</w:t>
            </w:r>
          </w:p>
        </w:tc>
        <w:tc>
          <w:tcPr>
            <w:tcW w:w="776" w:type="pct"/>
            <w:hideMark/>
          </w:tcPr>
          <w:p w14:paraId="7EC9496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-43,72%</w:t>
            </w:r>
          </w:p>
        </w:tc>
      </w:tr>
      <w:tr w:rsidR="008A460C" w:rsidRPr="008A460C" w14:paraId="58E51FC2"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0C4AD6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743C2D9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$75,64</w:t>
            </w:r>
          </w:p>
        </w:tc>
        <w:tc>
          <w:tcPr>
            <w:tcW w:w="879" w:type="pct"/>
            <w:hideMark/>
          </w:tcPr>
          <w:p w14:paraId="43AED5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$108,52</w:t>
            </w:r>
          </w:p>
        </w:tc>
        <w:tc>
          <w:tcPr>
            <w:tcW w:w="668" w:type="pct"/>
            <w:hideMark/>
          </w:tcPr>
          <w:p w14:paraId="2550A7C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$32,88</w:t>
            </w:r>
          </w:p>
        </w:tc>
        <w:tc>
          <w:tcPr>
            <w:tcW w:w="666" w:type="pct"/>
            <w:hideMark/>
          </w:tcPr>
          <w:p w14:paraId="224070B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$184,17</w:t>
            </w:r>
          </w:p>
        </w:tc>
        <w:tc>
          <w:tcPr>
            <w:tcW w:w="662" w:type="pct"/>
            <w:hideMark/>
          </w:tcPr>
          <w:p w14:paraId="1D3172B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523,58%</w:t>
            </w:r>
          </w:p>
        </w:tc>
        <w:tc>
          <w:tcPr>
            <w:tcW w:w="776" w:type="pct"/>
            <w:hideMark/>
          </w:tcPr>
          <w:p w14:paraId="0D0A22C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26,08%</w:t>
            </w:r>
          </w:p>
        </w:tc>
      </w:tr>
      <w:tr w:rsidR="008A460C" w:rsidRPr="008A460C" w14:paraId="5F2D4EAA"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9002BC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469CEE2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$108,30</w:t>
            </w:r>
          </w:p>
        </w:tc>
        <w:tc>
          <w:tcPr>
            <w:tcW w:w="879" w:type="pct"/>
            <w:hideMark/>
          </w:tcPr>
          <w:p w14:paraId="0D6A0F9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$162,41</w:t>
            </w:r>
          </w:p>
        </w:tc>
        <w:tc>
          <w:tcPr>
            <w:tcW w:w="668" w:type="pct"/>
            <w:hideMark/>
          </w:tcPr>
          <w:p w14:paraId="38E5B6A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$54,11</w:t>
            </w:r>
          </w:p>
        </w:tc>
        <w:tc>
          <w:tcPr>
            <w:tcW w:w="666" w:type="pct"/>
            <w:hideMark/>
          </w:tcPr>
          <w:p w14:paraId="5F9CFC7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$270,71</w:t>
            </w:r>
          </w:p>
        </w:tc>
        <w:tc>
          <w:tcPr>
            <w:tcW w:w="662" w:type="pct"/>
            <w:hideMark/>
          </w:tcPr>
          <w:p w14:paraId="248EF66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816,59%</w:t>
            </w:r>
          </w:p>
        </w:tc>
        <w:tc>
          <w:tcPr>
            <w:tcW w:w="776" w:type="pct"/>
            <w:hideMark/>
          </w:tcPr>
          <w:p w14:paraId="1B8F2FE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46,99%</w:t>
            </w:r>
          </w:p>
        </w:tc>
      </w:tr>
      <w:tr w:rsidR="008A460C" w:rsidRPr="008A460C" w14:paraId="082DFCE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682FADD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Colombia</w:t>
            </w:r>
          </w:p>
        </w:tc>
      </w:tr>
      <w:tr w:rsidR="008A460C" w:rsidRPr="008A460C" w14:paraId="635A9A7B" w14:textId="77777777" w:rsidTr="008A460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674B3EC5"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4CB3EF2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2DEA47A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0FCB395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0262B0F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1F2CCE9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14FDB02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7AFBFBD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5E55F3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6B8378F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$95,93</w:t>
            </w:r>
          </w:p>
        </w:tc>
        <w:tc>
          <w:tcPr>
            <w:tcW w:w="879" w:type="pct"/>
            <w:hideMark/>
          </w:tcPr>
          <w:p w14:paraId="2DC51C8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$26,29</w:t>
            </w:r>
          </w:p>
        </w:tc>
        <w:tc>
          <w:tcPr>
            <w:tcW w:w="668" w:type="pct"/>
            <w:hideMark/>
          </w:tcPr>
          <w:p w14:paraId="7DE393A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-$69,64</w:t>
            </w:r>
          </w:p>
        </w:tc>
        <w:tc>
          <w:tcPr>
            <w:tcW w:w="666" w:type="pct"/>
            <w:hideMark/>
          </w:tcPr>
          <w:p w14:paraId="1EA41AC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$122,22</w:t>
            </w:r>
          </w:p>
        </w:tc>
        <w:tc>
          <w:tcPr>
            <w:tcW w:w="662" w:type="pct"/>
            <w:hideMark/>
          </w:tcPr>
          <w:p w14:paraId="18A4054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32,38%</w:t>
            </w:r>
          </w:p>
        </w:tc>
        <w:tc>
          <w:tcPr>
            <w:tcW w:w="776" w:type="pct"/>
            <w:hideMark/>
          </w:tcPr>
          <w:p w14:paraId="676A7AF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32,38%</w:t>
            </w:r>
          </w:p>
        </w:tc>
      </w:tr>
      <w:tr w:rsidR="008A460C" w:rsidRPr="008A460C" w14:paraId="1F72CEF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FFA5EF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331947F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$175,25</w:t>
            </w:r>
          </w:p>
        </w:tc>
        <w:tc>
          <w:tcPr>
            <w:tcW w:w="879" w:type="pct"/>
            <w:hideMark/>
          </w:tcPr>
          <w:p w14:paraId="6BEA0D8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$45,37</w:t>
            </w:r>
          </w:p>
        </w:tc>
        <w:tc>
          <w:tcPr>
            <w:tcW w:w="668" w:type="pct"/>
            <w:hideMark/>
          </w:tcPr>
          <w:p w14:paraId="0D16664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-$129,87</w:t>
            </w:r>
          </w:p>
        </w:tc>
        <w:tc>
          <w:tcPr>
            <w:tcW w:w="666" w:type="pct"/>
            <w:hideMark/>
          </w:tcPr>
          <w:p w14:paraId="2F5EE1C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$220,62</w:t>
            </w:r>
          </w:p>
        </w:tc>
        <w:tc>
          <w:tcPr>
            <w:tcW w:w="662" w:type="pct"/>
            <w:hideMark/>
          </w:tcPr>
          <w:p w14:paraId="660942C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138,96%</w:t>
            </w:r>
          </w:p>
        </w:tc>
        <w:tc>
          <w:tcPr>
            <w:tcW w:w="776" w:type="pct"/>
            <w:hideMark/>
          </w:tcPr>
          <w:p w14:paraId="0C54775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80,50%</w:t>
            </w:r>
          </w:p>
        </w:tc>
      </w:tr>
      <w:tr w:rsidR="008A460C" w:rsidRPr="008A460C" w14:paraId="485F89F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279F64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6BEAC06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$204,92</w:t>
            </w:r>
          </w:p>
        </w:tc>
        <w:tc>
          <w:tcPr>
            <w:tcW w:w="879" w:type="pct"/>
            <w:hideMark/>
          </w:tcPr>
          <w:p w14:paraId="27E37CB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$51,66</w:t>
            </w:r>
          </w:p>
        </w:tc>
        <w:tc>
          <w:tcPr>
            <w:tcW w:w="668" w:type="pct"/>
            <w:hideMark/>
          </w:tcPr>
          <w:p w14:paraId="5D336D5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-$153,26</w:t>
            </w:r>
          </w:p>
        </w:tc>
        <w:tc>
          <w:tcPr>
            <w:tcW w:w="666" w:type="pct"/>
            <w:hideMark/>
          </w:tcPr>
          <w:p w14:paraId="18F670A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$256,58</w:t>
            </w:r>
          </w:p>
        </w:tc>
        <w:tc>
          <w:tcPr>
            <w:tcW w:w="662" w:type="pct"/>
            <w:hideMark/>
          </w:tcPr>
          <w:p w14:paraId="414DA76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177,91%</w:t>
            </w:r>
          </w:p>
        </w:tc>
        <w:tc>
          <w:tcPr>
            <w:tcW w:w="776" w:type="pct"/>
            <w:hideMark/>
          </w:tcPr>
          <w:p w14:paraId="5B1B7B8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16,30%</w:t>
            </w:r>
          </w:p>
        </w:tc>
      </w:tr>
      <w:tr w:rsidR="008A460C" w:rsidRPr="008A460C" w14:paraId="7DF2070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43DB0D7"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1DB5DA3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$206,51</w:t>
            </w:r>
          </w:p>
        </w:tc>
        <w:tc>
          <w:tcPr>
            <w:tcW w:w="879" w:type="pct"/>
            <w:hideMark/>
          </w:tcPr>
          <w:p w14:paraId="6481F72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$79,22</w:t>
            </w:r>
          </w:p>
        </w:tc>
        <w:tc>
          <w:tcPr>
            <w:tcW w:w="668" w:type="pct"/>
            <w:hideMark/>
          </w:tcPr>
          <w:p w14:paraId="68F283D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-$127,29</w:t>
            </w:r>
          </w:p>
        </w:tc>
        <w:tc>
          <w:tcPr>
            <w:tcW w:w="666" w:type="pct"/>
            <w:hideMark/>
          </w:tcPr>
          <w:p w14:paraId="3AB849D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$285,74</w:t>
            </w:r>
          </w:p>
        </w:tc>
        <w:tc>
          <w:tcPr>
            <w:tcW w:w="662" w:type="pct"/>
            <w:hideMark/>
          </w:tcPr>
          <w:p w14:paraId="4AF661B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209,49%</w:t>
            </w:r>
          </w:p>
        </w:tc>
        <w:tc>
          <w:tcPr>
            <w:tcW w:w="776" w:type="pct"/>
            <w:hideMark/>
          </w:tcPr>
          <w:p w14:paraId="690EF5A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11,36%</w:t>
            </w:r>
          </w:p>
        </w:tc>
      </w:tr>
      <w:tr w:rsidR="008A460C" w:rsidRPr="008A460C" w14:paraId="2D8E8D3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904030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lastRenderedPageBreak/>
              <w:t>2008</w:t>
            </w:r>
          </w:p>
        </w:tc>
        <w:tc>
          <w:tcPr>
            <w:tcW w:w="896" w:type="pct"/>
            <w:hideMark/>
          </w:tcPr>
          <w:p w14:paraId="39F46CE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$271,01</w:t>
            </w:r>
          </w:p>
        </w:tc>
        <w:tc>
          <w:tcPr>
            <w:tcW w:w="879" w:type="pct"/>
            <w:hideMark/>
          </w:tcPr>
          <w:p w14:paraId="7103639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$74,61</w:t>
            </w:r>
          </w:p>
        </w:tc>
        <w:tc>
          <w:tcPr>
            <w:tcW w:w="668" w:type="pct"/>
            <w:hideMark/>
          </w:tcPr>
          <w:p w14:paraId="2A115B9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-$196,39</w:t>
            </w:r>
          </w:p>
        </w:tc>
        <w:tc>
          <w:tcPr>
            <w:tcW w:w="666" w:type="pct"/>
            <w:hideMark/>
          </w:tcPr>
          <w:p w14:paraId="76F4B7A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$345,62</w:t>
            </w:r>
          </w:p>
        </w:tc>
        <w:tc>
          <w:tcPr>
            <w:tcW w:w="662" w:type="pct"/>
            <w:hideMark/>
          </w:tcPr>
          <w:p w14:paraId="25367A2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274,35%</w:t>
            </w:r>
          </w:p>
        </w:tc>
        <w:tc>
          <w:tcPr>
            <w:tcW w:w="776" w:type="pct"/>
            <w:hideMark/>
          </w:tcPr>
          <w:p w14:paraId="35F9070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20,96%</w:t>
            </w:r>
          </w:p>
        </w:tc>
      </w:tr>
      <w:tr w:rsidR="008A460C" w:rsidRPr="008A460C" w14:paraId="1D046CAC"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0CCB81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58BE67C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$382,98</w:t>
            </w:r>
          </w:p>
        </w:tc>
        <w:tc>
          <w:tcPr>
            <w:tcW w:w="879" w:type="pct"/>
            <w:hideMark/>
          </w:tcPr>
          <w:p w14:paraId="1B9F091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$36,04</w:t>
            </w:r>
          </w:p>
        </w:tc>
        <w:tc>
          <w:tcPr>
            <w:tcW w:w="668" w:type="pct"/>
            <w:hideMark/>
          </w:tcPr>
          <w:p w14:paraId="3F2C971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-$346,94</w:t>
            </w:r>
          </w:p>
        </w:tc>
        <w:tc>
          <w:tcPr>
            <w:tcW w:w="666" w:type="pct"/>
            <w:hideMark/>
          </w:tcPr>
          <w:p w14:paraId="2CAE129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$419,03</w:t>
            </w:r>
          </w:p>
        </w:tc>
        <w:tc>
          <w:tcPr>
            <w:tcW w:w="662" w:type="pct"/>
            <w:hideMark/>
          </w:tcPr>
          <w:p w14:paraId="2D0D247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353,86%</w:t>
            </w:r>
          </w:p>
        </w:tc>
        <w:tc>
          <w:tcPr>
            <w:tcW w:w="776" w:type="pct"/>
            <w:hideMark/>
          </w:tcPr>
          <w:p w14:paraId="6C3DE19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21,24%</w:t>
            </w:r>
          </w:p>
        </w:tc>
      </w:tr>
      <w:tr w:rsidR="008A460C" w:rsidRPr="008A460C" w14:paraId="063FF849"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DC9BE0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4F8CE21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$296,77</w:t>
            </w:r>
          </w:p>
        </w:tc>
        <w:tc>
          <w:tcPr>
            <w:tcW w:w="879" w:type="pct"/>
            <w:hideMark/>
          </w:tcPr>
          <w:p w14:paraId="6AC9B53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$52,86</w:t>
            </w:r>
          </w:p>
        </w:tc>
        <w:tc>
          <w:tcPr>
            <w:tcW w:w="668" w:type="pct"/>
            <w:hideMark/>
          </w:tcPr>
          <w:p w14:paraId="5739CF4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-$243,90</w:t>
            </w:r>
          </w:p>
        </w:tc>
        <w:tc>
          <w:tcPr>
            <w:tcW w:w="666" w:type="pct"/>
            <w:hideMark/>
          </w:tcPr>
          <w:p w14:paraId="5FD2B26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$349,63</w:t>
            </w:r>
          </w:p>
        </w:tc>
        <w:tc>
          <w:tcPr>
            <w:tcW w:w="662" w:type="pct"/>
            <w:hideMark/>
          </w:tcPr>
          <w:p w14:paraId="31124BA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278,69%</w:t>
            </w:r>
          </w:p>
        </w:tc>
        <w:tc>
          <w:tcPr>
            <w:tcW w:w="776" w:type="pct"/>
            <w:hideMark/>
          </w:tcPr>
          <w:p w14:paraId="25ECBDF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-16,56%</w:t>
            </w:r>
          </w:p>
        </w:tc>
      </w:tr>
      <w:tr w:rsidR="008A460C" w:rsidRPr="008A460C" w14:paraId="0BCFF43F"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F24B64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1E72812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$678,26</w:t>
            </w:r>
          </w:p>
        </w:tc>
        <w:tc>
          <w:tcPr>
            <w:tcW w:w="879" w:type="pct"/>
            <w:hideMark/>
          </w:tcPr>
          <w:p w14:paraId="29D0FB6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$111,37</w:t>
            </w:r>
          </w:p>
        </w:tc>
        <w:tc>
          <w:tcPr>
            <w:tcW w:w="668" w:type="pct"/>
            <w:hideMark/>
          </w:tcPr>
          <w:p w14:paraId="5149502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-$566,89</w:t>
            </w:r>
          </w:p>
        </w:tc>
        <w:tc>
          <w:tcPr>
            <w:tcW w:w="666" w:type="pct"/>
            <w:hideMark/>
          </w:tcPr>
          <w:p w14:paraId="049572D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$789,62</w:t>
            </w:r>
          </w:p>
        </w:tc>
        <w:tc>
          <w:tcPr>
            <w:tcW w:w="662" w:type="pct"/>
            <w:hideMark/>
          </w:tcPr>
          <w:p w14:paraId="7463673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755,26%</w:t>
            </w:r>
          </w:p>
        </w:tc>
        <w:tc>
          <w:tcPr>
            <w:tcW w:w="776" w:type="pct"/>
            <w:hideMark/>
          </w:tcPr>
          <w:p w14:paraId="247A886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125,85%</w:t>
            </w:r>
          </w:p>
        </w:tc>
      </w:tr>
      <w:tr w:rsidR="008A460C" w:rsidRPr="008A460C" w14:paraId="4B956E31"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3D9CF08"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15E83D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$814,15</w:t>
            </w:r>
          </w:p>
        </w:tc>
        <w:tc>
          <w:tcPr>
            <w:tcW w:w="879" w:type="pct"/>
            <w:hideMark/>
          </w:tcPr>
          <w:p w14:paraId="099D572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$152,13</w:t>
            </w:r>
          </w:p>
        </w:tc>
        <w:tc>
          <w:tcPr>
            <w:tcW w:w="668" w:type="pct"/>
            <w:hideMark/>
          </w:tcPr>
          <w:p w14:paraId="7425AF7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-$662,02</w:t>
            </w:r>
          </w:p>
        </w:tc>
        <w:tc>
          <w:tcPr>
            <w:tcW w:w="666" w:type="pct"/>
            <w:hideMark/>
          </w:tcPr>
          <w:p w14:paraId="64C92D7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$966,28</w:t>
            </w:r>
          </w:p>
        </w:tc>
        <w:tc>
          <w:tcPr>
            <w:tcW w:w="662" w:type="pct"/>
            <w:hideMark/>
          </w:tcPr>
          <w:p w14:paraId="14E201C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946,60%</w:t>
            </w:r>
          </w:p>
        </w:tc>
        <w:tc>
          <w:tcPr>
            <w:tcW w:w="776" w:type="pct"/>
            <w:hideMark/>
          </w:tcPr>
          <w:p w14:paraId="3D6AF71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22,37%</w:t>
            </w:r>
          </w:p>
        </w:tc>
      </w:tr>
      <w:tr w:rsidR="008A460C" w:rsidRPr="008A460C" w14:paraId="4D974434"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EB122E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2C95786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$674,66</w:t>
            </w:r>
          </w:p>
        </w:tc>
        <w:tc>
          <w:tcPr>
            <w:tcW w:w="879" w:type="pct"/>
            <w:hideMark/>
          </w:tcPr>
          <w:p w14:paraId="7D38B18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$124,63</w:t>
            </w:r>
          </w:p>
        </w:tc>
        <w:tc>
          <w:tcPr>
            <w:tcW w:w="668" w:type="pct"/>
            <w:hideMark/>
          </w:tcPr>
          <w:p w14:paraId="02FF650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-$550,03</w:t>
            </w:r>
          </w:p>
        </w:tc>
        <w:tc>
          <w:tcPr>
            <w:tcW w:w="666" w:type="pct"/>
            <w:hideMark/>
          </w:tcPr>
          <w:p w14:paraId="1AD3A76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$799,30</w:t>
            </w:r>
          </w:p>
        </w:tc>
        <w:tc>
          <w:tcPr>
            <w:tcW w:w="662" w:type="pct"/>
            <w:hideMark/>
          </w:tcPr>
          <w:p w14:paraId="44CA809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765,74%</w:t>
            </w:r>
          </w:p>
        </w:tc>
        <w:tc>
          <w:tcPr>
            <w:tcW w:w="776" w:type="pct"/>
            <w:hideMark/>
          </w:tcPr>
          <w:p w14:paraId="27B45E6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-17,28%</w:t>
            </w:r>
          </w:p>
        </w:tc>
      </w:tr>
      <w:tr w:rsidR="008A460C" w:rsidRPr="008A460C" w14:paraId="4AC78A5C"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F20591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57072EF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$814,10</w:t>
            </w:r>
          </w:p>
        </w:tc>
        <w:tc>
          <w:tcPr>
            <w:tcW w:w="879" w:type="pct"/>
            <w:hideMark/>
          </w:tcPr>
          <w:p w14:paraId="49A1582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$183,11</w:t>
            </w:r>
          </w:p>
        </w:tc>
        <w:tc>
          <w:tcPr>
            <w:tcW w:w="668" w:type="pct"/>
            <w:hideMark/>
          </w:tcPr>
          <w:p w14:paraId="4DBFA04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-$630,99</w:t>
            </w:r>
          </w:p>
        </w:tc>
        <w:tc>
          <w:tcPr>
            <w:tcW w:w="666" w:type="pct"/>
            <w:hideMark/>
          </w:tcPr>
          <w:p w14:paraId="4B74313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$997,21</w:t>
            </w:r>
          </w:p>
        </w:tc>
        <w:tc>
          <w:tcPr>
            <w:tcW w:w="662" w:type="pct"/>
            <w:hideMark/>
          </w:tcPr>
          <w:p w14:paraId="4390BCA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980,10%</w:t>
            </w:r>
          </w:p>
        </w:tc>
        <w:tc>
          <w:tcPr>
            <w:tcW w:w="776" w:type="pct"/>
            <w:hideMark/>
          </w:tcPr>
          <w:p w14:paraId="22A2634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24,76%</w:t>
            </w:r>
          </w:p>
        </w:tc>
      </w:tr>
      <w:tr w:rsidR="008A460C" w:rsidRPr="008A460C" w14:paraId="0374FF8D"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413D704"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682CAE5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$800,82</w:t>
            </w:r>
          </w:p>
        </w:tc>
        <w:tc>
          <w:tcPr>
            <w:tcW w:w="879" w:type="pct"/>
            <w:hideMark/>
          </w:tcPr>
          <w:p w14:paraId="1529ED9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$185,91</w:t>
            </w:r>
          </w:p>
        </w:tc>
        <w:tc>
          <w:tcPr>
            <w:tcW w:w="668" w:type="pct"/>
            <w:hideMark/>
          </w:tcPr>
          <w:p w14:paraId="048BADF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-$614,91</w:t>
            </w:r>
          </w:p>
        </w:tc>
        <w:tc>
          <w:tcPr>
            <w:tcW w:w="666" w:type="pct"/>
            <w:hideMark/>
          </w:tcPr>
          <w:p w14:paraId="7D9DB1D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$986,74</w:t>
            </w:r>
          </w:p>
        </w:tc>
        <w:tc>
          <w:tcPr>
            <w:tcW w:w="662" w:type="pct"/>
            <w:hideMark/>
          </w:tcPr>
          <w:p w14:paraId="25BCB8D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968,76%</w:t>
            </w:r>
          </w:p>
        </w:tc>
        <w:tc>
          <w:tcPr>
            <w:tcW w:w="776" w:type="pct"/>
            <w:hideMark/>
          </w:tcPr>
          <w:p w14:paraId="540CA07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-1,05%</w:t>
            </w:r>
          </w:p>
        </w:tc>
      </w:tr>
      <w:tr w:rsidR="008A460C" w:rsidRPr="008A460C" w14:paraId="25B3F26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A7C838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55CF0B4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$953,01</w:t>
            </w:r>
          </w:p>
        </w:tc>
        <w:tc>
          <w:tcPr>
            <w:tcW w:w="879" w:type="pct"/>
            <w:hideMark/>
          </w:tcPr>
          <w:p w14:paraId="02F00A2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$185,13</w:t>
            </w:r>
          </w:p>
        </w:tc>
        <w:tc>
          <w:tcPr>
            <w:tcW w:w="668" w:type="pct"/>
            <w:hideMark/>
          </w:tcPr>
          <w:p w14:paraId="4DC1EA2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-$767,89</w:t>
            </w:r>
          </w:p>
        </w:tc>
        <w:tc>
          <w:tcPr>
            <w:tcW w:w="666" w:type="pct"/>
            <w:hideMark/>
          </w:tcPr>
          <w:p w14:paraId="233FF92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$1.138,14</w:t>
            </w:r>
          </w:p>
        </w:tc>
        <w:tc>
          <w:tcPr>
            <w:tcW w:w="662" w:type="pct"/>
            <w:hideMark/>
          </w:tcPr>
          <w:p w14:paraId="68459BF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1132,75%</w:t>
            </w:r>
          </w:p>
        </w:tc>
        <w:tc>
          <w:tcPr>
            <w:tcW w:w="776" w:type="pct"/>
            <w:hideMark/>
          </w:tcPr>
          <w:p w14:paraId="517C396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15,34%</w:t>
            </w:r>
          </w:p>
        </w:tc>
      </w:tr>
      <w:tr w:rsidR="008A460C" w:rsidRPr="008A460C" w14:paraId="289C93FF"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366164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7E72887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$1.610,65</w:t>
            </w:r>
          </w:p>
        </w:tc>
        <w:tc>
          <w:tcPr>
            <w:tcW w:w="879" w:type="pct"/>
            <w:hideMark/>
          </w:tcPr>
          <w:p w14:paraId="0AEA778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$184,68</w:t>
            </w:r>
          </w:p>
        </w:tc>
        <w:tc>
          <w:tcPr>
            <w:tcW w:w="668" w:type="pct"/>
            <w:hideMark/>
          </w:tcPr>
          <w:p w14:paraId="5FF758E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-$1.425,98</w:t>
            </w:r>
          </w:p>
        </w:tc>
        <w:tc>
          <w:tcPr>
            <w:tcW w:w="666" w:type="pct"/>
            <w:hideMark/>
          </w:tcPr>
          <w:p w14:paraId="2F1B0D0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$1.795,33</w:t>
            </w:r>
          </w:p>
        </w:tc>
        <w:tc>
          <w:tcPr>
            <w:tcW w:w="662" w:type="pct"/>
            <w:hideMark/>
          </w:tcPr>
          <w:p w14:paraId="3BCFC7B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1844,57%</w:t>
            </w:r>
          </w:p>
        </w:tc>
        <w:tc>
          <w:tcPr>
            <w:tcW w:w="776" w:type="pct"/>
            <w:hideMark/>
          </w:tcPr>
          <w:p w14:paraId="2D2CBEB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57,74%</w:t>
            </w:r>
          </w:p>
        </w:tc>
      </w:tr>
      <w:tr w:rsidR="008A460C" w:rsidRPr="008A460C" w14:paraId="0B319D36"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9E6759B"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393A783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$1.883,65</w:t>
            </w:r>
          </w:p>
        </w:tc>
        <w:tc>
          <w:tcPr>
            <w:tcW w:w="879" w:type="pct"/>
            <w:hideMark/>
          </w:tcPr>
          <w:p w14:paraId="1323166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$241,54</w:t>
            </w:r>
          </w:p>
        </w:tc>
        <w:tc>
          <w:tcPr>
            <w:tcW w:w="668" w:type="pct"/>
            <w:hideMark/>
          </w:tcPr>
          <w:p w14:paraId="441F0BE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-$1.642,11</w:t>
            </w:r>
          </w:p>
        </w:tc>
        <w:tc>
          <w:tcPr>
            <w:tcW w:w="666" w:type="pct"/>
            <w:hideMark/>
          </w:tcPr>
          <w:p w14:paraId="7618E71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$2.125,20</w:t>
            </w:r>
          </w:p>
        </w:tc>
        <w:tc>
          <w:tcPr>
            <w:tcW w:w="662" w:type="pct"/>
            <w:hideMark/>
          </w:tcPr>
          <w:p w14:paraId="3465A04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2201,86%</w:t>
            </w:r>
          </w:p>
        </w:tc>
        <w:tc>
          <w:tcPr>
            <w:tcW w:w="776" w:type="pct"/>
            <w:hideMark/>
          </w:tcPr>
          <w:p w14:paraId="39C30F6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18,37%</w:t>
            </w:r>
          </w:p>
        </w:tc>
      </w:tr>
      <w:tr w:rsidR="008A460C" w:rsidRPr="008A460C" w14:paraId="152A7391"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0968D119"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Venezuela</w:t>
            </w:r>
          </w:p>
        </w:tc>
      </w:tr>
      <w:tr w:rsidR="008A460C" w:rsidRPr="008A460C" w14:paraId="5F329B44" w14:textId="77777777" w:rsidTr="008A460C">
        <w:trPr>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18A04018"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56C797F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421D778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7F7F7AF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589D386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2289F68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21C35F7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5A99BDE5"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37B78A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22CFE58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$42,78</w:t>
            </w:r>
          </w:p>
        </w:tc>
        <w:tc>
          <w:tcPr>
            <w:tcW w:w="879" w:type="pct"/>
            <w:hideMark/>
          </w:tcPr>
          <w:p w14:paraId="1CA422A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$12,72</w:t>
            </w:r>
          </w:p>
        </w:tc>
        <w:tc>
          <w:tcPr>
            <w:tcW w:w="668" w:type="pct"/>
            <w:hideMark/>
          </w:tcPr>
          <w:p w14:paraId="5FD1977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-$30,06</w:t>
            </w:r>
          </w:p>
        </w:tc>
        <w:tc>
          <w:tcPr>
            <w:tcW w:w="666" w:type="pct"/>
            <w:hideMark/>
          </w:tcPr>
          <w:p w14:paraId="06AC785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$55,50</w:t>
            </w:r>
          </w:p>
        </w:tc>
        <w:tc>
          <w:tcPr>
            <w:tcW w:w="662" w:type="pct"/>
            <w:hideMark/>
          </w:tcPr>
          <w:p w14:paraId="219064D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34,79%</w:t>
            </w:r>
          </w:p>
        </w:tc>
        <w:tc>
          <w:tcPr>
            <w:tcW w:w="776" w:type="pct"/>
            <w:hideMark/>
          </w:tcPr>
          <w:p w14:paraId="3B7A36E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34,79%</w:t>
            </w:r>
          </w:p>
        </w:tc>
      </w:tr>
      <w:tr w:rsidR="008A460C" w:rsidRPr="008A460C" w14:paraId="2F6D75C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716E2F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240D0ED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$59,17</w:t>
            </w:r>
          </w:p>
        </w:tc>
        <w:tc>
          <w:tcPr>
            <w:tcW w:w="879" w:type="pct"/>
            <w:hideMark/>
          </w:tcPr>
          <w:p w14:paraId="23FF3F6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$38,62</w:t>
            </w:r>
          </w:p>
        </w:tc>
        <w:tc>
          <w:tcPr>
            <w:tcW w:w="668" w:type="pct"/>
            <w:hideMark/>
          </w:tcPr>
          <w:p w14:paraId="122FF81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-$20,56</w:t>
            </w:r>
          </w:p>
        </w:tc>
        <w:tc>
          <w:tcPr>
            <w:tcW w:w="666" w:type="pct"/>
            <w:hideMark/>
          </w:tcPr>
          <w:p w14:paraId="554E0BA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$97,79</w:t>
            </w:r>
          </w:p>
        </w:tc>
        <w:tc>
          <w:tcPr>
            <w:tcW w:w="662" w:type="pct"/>
            <w:hideMark/>
          </w:tcPr>
          <w:p w14:paraId="2E2222C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137,52%</w:t>
            </w:r>
          </w:p>
        </w:tc>
        <w:tc>
          <w:tcPr>
            <w:tcW w:w="776" w:type="pct"/>
            <w:hideMark/>
          </w:tcPr>
          <w:p w14:paraId="6E9D9BC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76,21%</w:t>
            </w:r>
          </w:p>
        </w:tc>
      </w:tr>
      <w:tr w:rsidR="008A460C" w:rsidRPr="008A460C" w14:paraId="60140156"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54B7F4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0C5F6F1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$88,08</w:t>
            </w:r>
          </w:p>
        </w:tc>
        <w:tc>
          <w:tcPr>
            <w:tcW w:w="879" w:type="pct"/>
            <w:hideMark/>
          </w:tcPr>
          <w:p w14:paraId="4434743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$41,86</w:t>
            </w:r>
          </w:p>
        </w:tc>
        <w:tc>
          <w:tcPr>
            <w:tcW w:w="668" w:type="pct"/>
            <w:hideMark/>
          </w:tcPr>
          <w:p w14:paraId="2B5BD6D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-$46,23</w:t>
            </w:r>
          </w:p>
        </w:tc>
        <w:tc>
          <w:tcPr>
            <w:tcW w:w="666" w:type="pct"/>
            <w:hideMark/>
          </w:tcPr>
          <w:p w14:paraId="7D4E0D6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$129,94</w:t>
            </w:r>
          </w:p>
        </w:tc>
        <w:tc>
          <w:tcPr>
            <w:tcW w:w="662" w:type="pct"/>
            <w:hideMark/>
          </w:tcPr>
          <w:p w14:paraId="36645E8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215,60%</w:t>
            </w:r>
          </w:p>
        </w:tc>
        <w:tc>
          <w:tcPr>
            <w:tcW w:w="776" w:type="pct"/>
            <w:hideMark/>
          </w:tcPr>
          <w:p w14:paraId="438BAA6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32,87%</w:t>
            </w:r>
          </w:p>
        </w:tc>
      </w:tr>
      <w:tr w:rsidR="008A460C" w:rsidRPr="008A460C" w14:paraId="44DAC870"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A841F9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39BE1FB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$132,45</w:t>
            </w:r>
          </w:p>
        </w:tc>
        <w:tc>
          <w:tcPr>
            <w:tcW w:w="879" w:type="pct"/>
            <w:hideMark/>
          </w:tcPr>
          <w:p w14:paraId="4DD4244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$41,70</w:t>
            </w:r>
          </w:p>
        </w:tc>
        <w:tc>
          <w:tcPr>
            <w:tcW w:w="668" w:type="pct"/>
            <w:hideMark/>
          </w:tcPr>
          <w:p w14:paraId="5E80550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-$90,76</w:t>
            </w:r>
          </w:p>
        </w:tc>
        <w:tc>
          <w:tcPr>
            <w:tcW w:w="666" w:type="pct"/>
            <w:hideMark/>
          </w:tcPr>
          <w:p w14:paraId="7C4A4E2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$174,15</w:t>
            </w:r>
          </w:p>
        </w:tc>
        <w:tc>
          <w:tcPr>
            <w:tcW w:w="662" w:type="pct"/>
            <w:hideMark/>
          </w:tcPr>
          <w:p w14:paraId="49A4DD8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322,99%</w:t>
            </w:r>
          </w:p>
        </w:tc>
        <w:tc>
          <w:tcPr>
            <w:tcW w:w="776" w:type="pct"/>
            <w:hideMark/>
          </w:tcPr>
          <w:p w14:paraId="54D32FB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34,03%</w:t>
            </w:r>
          </w:p>
        </w:tc>
      </w:tr>
      <w:tr w:rsidR="008A460C" w:rsidRPr="008A460C" w14:paraId="1463572D"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84850AC"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294BA41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$198,28</w:t>
            </w:r>
          </w:p>
        </w:tc>
        <w:tc>
          <w:tcPr>
            <w:tcW w:w="879" w:type="pct"/>
            <w:hideMark/>
          </w:tcPr>
          <w:p w14:paraId="55E3A6E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$27,70</w:t>
            </w:r>
          </w:p>
        </w:tc>
        <w:tc>
          <w:tcPr>
            <w:tcW w:w="668" w:type="pct"/>
            <w:hideMark/>
          </w:tcPr>
          <w:p w14:paraId="1986D8D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-$170,59</w:t>
            </w:r>
          </w:p>
        </w:tc>
        <w:tc>
          <w:tcPr>
            <w:tcW w:w="666" w:type="pct"/>
            <w:hideMark/>
          </w:tcPr>
          <w:p w14:paraId="653A742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$225,98</w:t>
            </w:r>
          </w:p>
        </w:tc>
        <w:tc>
          <w:tcPr>
            <w:tcW w:w="662" w:type="pct"/>
            <w:hideMark/>
          </w:tcPr>
          <w:p w14:paraId="0E87865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448,87%</w:t>
            </w:r>
          </w:p>
        </w:tc>
        <w:tc>
          <w:tcPr>
            <w:tcW w:w="776" w:type="pct"/>
            <w:hideMark/>
          </w:tcPr>
          <w:p w14:paraId="00388C1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29,76%</w:t>
            </w:r>
          </w:p>
        </w:tc>
      </w:tr>
      <w:tr w:rsidR="008A460C" w:rsidRPr="008A460C" w14:paraId="201E8D74"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21426C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1A1F6D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$120,74</w:t>
            </w:r>
          </w:p>
        </w:tc>
        <w:tc>
          <w:tcPr>
            <w:tcW w:w="879" w:type="pct"/>
            <w:hideMark/>
          </w:tcPr>
          <w:p w14:paraId="42C9B2E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$36,42</w:t>
            </w:r>
          </w:p>
        </w:tc>
        <w:tc>
          <w:tcPr>
            <w:tcW w:w="668" w:type="pct"/>
            <w:hideMark/>
          </w:tcPr>
          <w:p w14:paraId="4EE2426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-$84,32</w:t>
            </w:r>
          </w:p>
        </w:tc>
        <w:tc>
          <w:tcPr>
            <w:tcW w:w="666" w:type="pct"/>
            <w:hideMark/>
          </w:tcPr>
          <w:p w14:paraId="59196EF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$157,16</w:t>
            </w:r>
          </w:p>
        </w:tc>
        <w:tc>
          <w:tcPr>
            <w:tcW w:w="662" w:type="pct"/>
            <w:hideMark/>
          </w:tcPr>
          <w:p w14:paraId="3FC39B0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281,72%</w:t>
            </w:r>
          </w:p>
        </w:tc>
        <w:tc>
          <w:tcPr>
            <w:tcW w:w="776" w:type="pct"/>
            <w:hideMark/>
          </w:tcPr>
          <w:p w14:paraId="4E1F417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-30,45%</w:t>
            </w:r>
          </w:p>
        </w:tc>
      </w:tr>
      <w:tr w:rsidR="008A460C" w:rsidRPr="008A460C" w14:paraId="0EFF2E12"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F256937"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6942472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$149,85</w:t>
            </w:r>
          </w:p>
        </w:tc>
        <w:tc>
          <w:tcPr>
            <w:tcW w:w="879" w:type="pct"/>
            <w:hideMark/>
          </w:tcPr>
          <w:p w14:paraId="2EB0C41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$44,17</w:t>
            </w:r>
          </w:p>
        </w:tc>
        <w:tc>
          <w:tcPr>
            <w:tcW w:w="668" w:type="pct"/>
            <w:hideMark/>
          </w:tcPr>
          <w:p w14:paraId="4E606CA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-$105,68</w:t>
            </w:r>
          </w:p>
        </w:tc>
        <w:tc>
          <w:tcPr>
            <w:tcW w:w="666" w:type="pct"/>
            <w:hideMark/>
          </w:tcPr>
          <w:p w14:paraId="6435B7A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$194,02</w:t>
            </w:r>
          </w:p>
        </w:tc>
        <w:tc>
          <w:tcPr>
            <w:tcW w:w="662" w:type="pct"/>
            <w:hideMark/>
          </w:tcPr>
          <w:p w14:paraId="7BD48D1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371,24%</w:t>
            </w:r>
          </w:p>
        </w:tc>
        <w:tc>
          <w:tcPr>
            <w:tcW w:w="776" w:type="pct"/>
            <w:hideMark/>
          </w:tcPr>
          <w:p w14:paraId="24348C8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23,45%</w:t>
            </w:r>
          </w:p>
        </w:tc>
      </w:tr>
      <w:tr w:rsidR="008A460C" w:rsidRPr="008A460C" w14:paraId="45C012D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E97300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391A149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$153,28</w:t>
            </w:r>
          </w:p>
        </w:tc>
        <w:tc>
          <w:tcPr>
            <w:tcW w:w="879" w:type="pct"/>
            <w:hideMark/>
          </w:tcPr>
          <w:p w14:paraId="3894F0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$84,23</w:t>
            </w:r>
          </w:p>
        </w:tc>
        <w:tc>
          <w:tcPr>
            <w:tcW w:w="668" w:type="pct"/>
            <w:hideMark/>
          </w:tcPr>
          <w:p w14:paraId="44EA6DB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-$69,05</w:t>
            </w:r>
          </w:p>
        </w:tc>
        <w:tc>
          <w:tcPr>
            <w:tcW w:w="666" w:type="pct"/>
            <w:hideMark/>
          </w:tcPr>
          <w:p w14:paraId="707ED36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$237,51</w:t>
            </w:r>
          </w:p>
        </w:tc>
        <w:tc>
          <w:tcPr>
            <w:tcW w:w="662" w:type="pct"/>
            <w:hideMark/>
          </w:tcPr>
          <w:p w14:paraId="4C7FECE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476,88%</w:t>
            </w:r>
          </w:p>
        </w:tc>
        <w:tc>
          <w:tcPr>
            <w:tcW w:w="776" w:type="pct"/>
            <w:hideMark/>
          </w:tcPr>
          <w:p w14:paraId="62B1456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22,42%</w:t>
            </w:r>
          </w:p>
        </w:tc>
      </w:tr>
      <w:tr w:rsidR="008A460C" w:rsidRPr="008A460C" w14:paraId="4549C29A"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4A002E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399BF2E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$197,72</w:t>
            </w:r>
          </w:p>
        </w:tc>
        <w:tc>
          <w:tcPr>
            <w:tcW w:w="879" w:type="pct"/>
            <w:hideMark/>
          </w:tcPr>
          <w:p w14:paraId="2EC1FDA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$156,27</w:t>
            </w:r>
          </w:p>
        </w:tc>
        <w:tc>
          <w:tcPr>
            <w:tcW w:w="668" w:type="pct"/>
            <w:hideMark/>
          </w:tcPr>
          <w:p w14:paraId="632CCDE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-$41,45</w:t>
            </w:r>
          </w:p>
        </w:tc>
        <w:tc>
          <w:tcPr>
            <w:tcW w:w="666" w:type="pct"/>
            <w:hideMark/>
          </w:tcPr>
          <w:p w14:paraId="48E4EA4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$353,99</w:t>
            </w:r>
          </w:p>
        </w:tc>
        <w:tc>
          <w:tcPr>
            <w:tcW w:w="662" w:type="pct"/>
            <w:hideMark/>
          </w:tcPr>
          <w:p w14:paraId="10FC257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759,78%</w:t>
            </w:r>
          </w:p>
        </w:tc>
        <w:tc>
          <w:tcPr>
            <w:tcW w:w="776" w:type="pct"/>
            <w:hideMark/>
          </w:tcPr>
          <w:p w14:paraId="3437371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49,04%</w:t>
            </w:r>
          </w:p>
        </w:tc>
      </w:tr>
      <w:tr w:rsidR="008A460C" w:rsidRPr="008A460C" w14:paraId="62F8640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39BB65D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653E9F0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$193,60</w:t>
            </w:r>
          </w:p>
        </w:tc>
        <w:tc>
          <w:tcPr>
            <w:tcW w:w="879" w:type="pct"/>
            <w:hideMark/>
          </w:tcPr>
          <w:p w14:paraId="2E68AD8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$75,83</w:t>
            </w:r>
          </w:p>
        </w:tc>
        <w:tc>
          <w:tcPr>
            <w:tcW w:w="668" w:type="pct"/>
            <w:hideMark/>
          </w:tcPr>
          <w:p w14:paraId="00D6254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-$117,77</w:t>
            </w:r>
          </w:p>
        </w:tc>
        <w:tc>
          <w:tcPr>
            <w:tcW w:w="666" w:type="pct"/>
            <w:hideMark/>
          </w:tcPr>
          <w:p w14:paraId="3260093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$269,42</w:t>
            </w:r>
          </w:p>
        </w:tc>
        <w:tc>
          <w:tcPr>
            <w:tcW w:w="662" w:type="pct"/>
            <w:hideMark/>
          </w:tcPr>
          <w:p w14:paraId="294DDA8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554,38%</w:t>
            </w:r>
          </w:p>
        </w:tc>
        <w:tc>
          <w:tcPr>
            <w:tcW w:w="776" w:type="pct"/>
            <w:hideMark/>
          </w:tcPr>
          <w:p w14:paraId="2AC5025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-23,89%</w:t>
            </w:r>
          </w:p>
        </w:tc>
      </w:tr>
      <w:tr w:rsidR="008A460C" w:rsidRPr="008A460C" w14:paraId="0CE0FA3C"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E22C94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4791AC9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$122,63</w:t>
            </w:r>
          </w:p>
        </w:tc>
        <w:tc>
          <w:tcPr>
            <w:tcW w:w="879" w:type="pct"/>
            <w:hideMark/>
          </w:tcPr>
          <w:p w14:paraId="3A98303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$48,56</w:t>
            </w:r>
          </w:p>
        </w:tc>
        <w:tc>
          <w:tcPr>
            <w:tcW w:w="668" w:type="pct"/>
            <w:hideMark/>
          </w:tcPr>
          <w:p w14:paraId="7B7DBF3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-$74,07</w:t>
            </w:r>
          </w:p>
        </w:tc>
        <w:tc>
          <w:tcPr>
            <w:tcW w:w="666" w:type="pct"/>
            <w:hideMark/>
          </w:tcPr>
          <w:p w14:paraId="221E4F2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$171,20</w:t>
            </w:r>
          </w:p>
        </w:tc>
        <w:tc>
          <w:tcPr>
            <w:tcW w:w="662" w:type="pct"/>
            <w:hideMark/>
          </w:tcPr>
          <w:p w14:paraId="7FCFED8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315,81%</w:t>
            </w:r>
          </w:p>
        </w:tc>
        <w:tc>
          <w:tcPr>
            <w:tcW w:w="776" w:type="pct"/>
            <w:hideMark/>
          </w:tcPr>
          <w:p w14:paraId="66D823C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-36,46%</w:t>
            </w:r>
          </w:p>
        </w:tc>
      </w:tr>
      <w:tr w:rsidR="008A460C" w:rsidRPr="008A460C" w14:paraId="0F84680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DEC961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684665A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$106,97</w:t>
            </w:r>
          </w:p>
        </w:tc>
        <w:tc>
          <w:tcPr>
            <w:tcW w:w="879" w:type="pct"/>
            <w:hideMark/>
          </w:tcPr>
          <w:p w14:paraId="6FB61F6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$18,68</w:t>
            </w:r>
          </w:p>
        </w:tc>
        <w:tc>
          <w:tcPr>
            <w:tcW w:w="668" w:type="pct"/>
            <w:hideMark/>
          </w:tcPr>
          <w:p w14:paraId="38DF1ED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-$88,29</w:t>
            </w:r>
          </w:p>
        </w:tc>
        <w:tc>
          <w:tcPr>
            <w:tcW w:w="666" w:type="pct"/>
            <w:hideMark/>
          </w:tcPr>
          <w:p w14:paraId="62AFCE8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$125,65</w:t>
            </w:r>
          </w:p>
        </w:tc>
        <w:tc>
          <w:tcPr>
            <w:tcW w:w="662" w:type="pct"/>
            <w:hideMark/>
          </w:tcPr>
          <w:p w14:paraId="0D935E3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205,19%</w:t>
            </w:r>
          </w:p>
        </w:tc>
        <w:tc>
          <w:tcPr>
            <w:tcW w:w="776" w:type="pct"/>
            <w:hideMark/>
          </w:tcPr>
          <w:p w14:paraId="69918AB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-26,60%</w:t>
            </w:r>
          </w:p>
        </w:tc>
      </w:tr>
      <w:tr w:rsidR="008A460C" w:rsidRPr="008A460C" w14:paraId="7F00A5DF"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5988A1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27F5BC1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$65,25</w:t>
            </w:r>
          </w:p>
        </w:tc>
        <w:tc>
          <w:tcPr>
            <w:tcW w:w="879" w:type="pct"/>
            <w:hideMark/>
          </w:tcPr>
          <w:p w14:paraId="193D993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$18,03</w:t>
            </w:r>
          </w:p>
        </w:tc>
        <w:tc>
          <w:tcPr>
            <w:tcW w:w="668" w:type="pct"/>
            <w:hideMark/>
          </w:tcPr>
          <w:p w14:paraId="6B2CC60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-$47,22</w:t>
            </w:r>
          </w:p>
        </w:tc>
        <w:tc>
          <w:tcPr>
            <w:tcW w:w="666" w:type="pct"/>
            <w:hideMark/>
          </w:tcPr>
          <w:p w14:paraId="2FB5C09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$83,29</w:t>
            </w:r>
          </w:p>
        </w:tc>
        <w:tc>
          <w:tcPr>
            <w:tcW w:w="662" w:type="pct"/>
            <w:hideMark/>
          </w:tcPr>
          <w:p w14:paraId="6AAAA77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102,29%</w:t>
            </w:r>
          </w:p>
        </w:tc>
        <w:tc>
          <w:tcPr>
            <w:tcW w:w="776" w:type="pct"/>
            <w:hideMark/>
          </w:tcPr>
          <w:p w14:paraId="2FE8548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-33,72%</w:t>
            </w:r>
          </w:p>
        </w:tc>
      </w:tr>
      <w:tr w:rsidR="008A460C" w:rsidRPr="008A460C" w14:paraId="211928C4"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6E8577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2A7163C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$116,54</w:t>
            </w:r>
          </w:p>
        </w:tc>
        <w:tc>
          <w:tcPr>
            <w:tcW w:w="879" w:type="pct"/>
            <w:hideMark/>
          </w:tcPr>
          <w:p w14:paraId="5B0E7FF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$37,48</w:t>
            </w:r>
          </w:p>
        </w:tc>
        <w:tc>
          <w:tcPr>
            <w:tcW w:w="668" w:type="pct"/>
            <w:hideMark/>
          </w:tcPr>
          <w:p w14:paraId="564F43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-$79,05</w:t>
            </w:r>
          </w:p>
        </w:tc>
        <w:tc>
          <w:tcPr>
            <w:tcW w:w="666" w:type="pct"/>
            <w:hideMark/>
          </w:tcPr>
          <w:p w14:paraId="39ECB85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$154,02</w:t>
            </w:r>
          </w:p>
        </w:tc>
        <w:tc>
          <w:tcPr>
            <w:tcW w:w="662" w:type="pct"/>
            <w:hideMark/>
          </w:tcPr>
          <w:p w14:paraId="496940D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274,09%</w:t>
            </w:r>
          </w:p>
        </w:tc>
        <w:tc>
          <w:tcPr>
            <w:tcW w:w="776" w:type="pct"/>
            <w:hideMark/>
          </w:tcPr>
          <w:p w14:paraId="65E86FE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84,93%</w:t>
            </w:r>
          </w:p>
        </w:tc>
      </w:tr>
      <w:tr w:rsidR="008A460C" w:rsidRPr="008A460C" w14:paraId="2ECEFB9F"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D3D9DC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1FD9B19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$1.019,20</w:t>
            </w:r>
          </w:p>
        </w:tc>
        <w:tc>
          <w:tcPr>
            <w:tcW w:w="879" w:type="pct"/>
            <w:hideMark/>
          </w:tcPr>
          <w:p w14:paraId="7D7E6B0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$120,54</w:t>
            </w:r>
          </w:p>
        </w:tc>
        <w:tc>
          <w:tcPr>
            <w:tcW w:w="668" w:type="pct"/>
            <w:hideMark/>
          </w:tcPr>
          <w:p w14:paraId="75DC094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-$898,66</w:t>
            </w:r>
          </w:p>
        </w:tc>
        <w:tc>
          <w:tcPr>
            <w:tcW w:w="666" w:type="pct"/>
            <w:hideMark/>
          </w:tcPr>
          <w:p w14:paraId="155E16F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$1.139,73</w:t>
            </w:r>
          </w:p>
        </w:tc>
        <w:tc>
          <w:tcPr>
            <w:tcW w:w="662" w:type="pct"/>
            <w:hideMark/>
          </w:tcPr>
          <w:p w14:paraId="55A3873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2668,23%</w:t>
            </w:r>
          </w:p>
        </w:tc>
        <w:tc>
          <w:tcPr>
            <w:tcW w:w="776" w:type="pct"/>
            <w:hideMark/>
          </w:tcPr>
          <w:p w14:paraId="7D86935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639,99%</w:t>
            </w:r>
          </w:p>
        </w:tc>
      </w:tr>
      <w:tr w:rsidR="008A460C" w:rsidRPr="008A460C" w14:paraId="3C41E546"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5597D13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México</w:t>
            </w:r>
          </w:p>
        </w:tc>
      </w:tr>
      <w:tr w:rsidR="008A460C" w:rsidRPr="008A460C" w14:paraId="1875B404" w14:textId="77777777" w:rsidTr="008A460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47059468"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3C1B3BC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7BD17E5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2EE88DC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2A949BF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222FDF7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219CD3C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5F12551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687C9C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5255C13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$120,12</w:t>
            </w:r>
          </w:p>
        </w:tc>
        <w:tc>
          <w:tcPr>
            <w:tcW w:w="879" w:type="pct"/>
            <w:hideMark/>
          </w:tcPr>
          <w:p w14:paraId="3EE1819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$150,61</w:t>
            </w:r>
          </w:p>
        </w:tc>
        <w:tc>
          <w:tcPr>
            <w:tcW w:w="668" w:type="pct"/>
            <w:hideMark/>
          </w:tcPr>
          <w:p w14:paraId="6C35634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$30,49</w:t>
            </w:r>
          </w:p>
        </w:tc>
        <w:tc>
          <w:tcPr>
            <w:tcW w:w="666" w:type="pct"/>
            <w:hideMark/>
          </w:tcPr>
          <w:p w14:paraId="572FA54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$270,73</w:t>
            </w:r>
          </w:p>
        </w:tc>
        <w:tc>
          <w:tcPr>
            <w:tcW w:w="662" w:type="pct"/>
            <w:hideMark/>
          </w:tcPr>
          <w:p w14:paraId="59E4EEC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92,83%</w:t>
            </w:r>
          </w:p>
        </w:tc>
        <w:tc>
          <w:tcPr>
            <w:tcW w:w="776" w:type="pct"/>
            <w:hideMark/>
          </w:tcPr>
          <w:p w14:paraId="3EA8716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92,83%</w:t>
            </w:r>
          </w:p>
        </w:tc>
      </w:tr>
      <w:tr w:rsidR="008A460C" w:rsidRPr="008A460C" w14:paraId="6784F9C8"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D57AF7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07F467F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$196,41</w:t>
            </w:r>
          </w:p>
        </w:tc>
        <w:tc>
          <w:tcPr>
            <w:tcW w:w="879" w:type="pct"/>
            <w:hideMark/>
          </w:tcPr>
          <w:p w14:paraId="464442F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$163,67</w:t>
            </w:r>
          </w:p>
        </w:tc>
        <w:tc>
          <w:tcPr>
            <w:tcW w:w="668" w:type="pct"/>
            <w:hideMark/>
          </w:tcPr>
          <w:p w14:paraId="43CAFE3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-$32,74</w:t>
            </w:r>
          </w:p>
        </w:tc>
        <w:tc>
          <w:tcPr>
            <w:tcW w:w="666" w:type="pct"/>
            <w:hideMark/>
          </w:tcPr>
          <w:p w14:paraId="5D86513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$360,08</w:t>
            </w:r>
          </w:p>
        </w:tc>
        <w:tc>
          <w:tcPr>
            <w:tcW w:w="662" w:type="pct"/>
            <w:hideMark/>
          </w:tcPr>
          <w:p w14:paraId="04E6029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156,47%</w:t>
            </w:r>
          </w:p>
        </w:tc>
        <w:tc>
          <w:tcPr>
            <w:tcW w:w="776" w:type="pct"/>
            <w:hideMark/>
          </w:tcPr>
          <w:p w14:paraId="06FE5EB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33,00%</w:t>
            </w:r>
          </w:p>
        </w:tc>
      </w:tr>
      <w:tr w:rsidR="008A460C" w:rsidRPr="008A460C" w14:paraId="4FBF193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36F634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134114D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$261,94</w:t>
            </w:r>
          </w:p>
        </w:tc>
        <w:tc>
          <w:tcPr>
            <w:tcW w:w="879" w:type="pct"/>
            <w:hideMark/>
          </w:tcPr>
          <w:p w14:paraId="42C8E81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$140,78</w:t>
            </w:r>
          </w:p>
        </w:tc>
        <w:tc>
          <w:tcPr>
            <w:tcW w:w="668" w:type="pct"/>
            <w:hideMark/>
          </w:tcPr>
          <w:p w14:paraId="307CF42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-$121,17</w:t>
            </w:r>
          </w:p>
        </w:tc>
        <w:tc>
          <w:tcPr>
            <w:tcW w:w="666" w:type="pct"/>
            <w:hideMark/>
          </w:tcPr>
          <w:p w14:paraId="44B04E2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$402,72</w:t>
            </w:r>
          </w:p>
        </w:tc>
        <w:tc>
          <w:tcPr>
            <w:tcW w:w="662" w:type="pct"/>
            <w:hideMark/>
          </w:tcPr>
          <w:p w14:paraId="3AB3B01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186,84%</w:t>
            </w:r>
          </w:p>
        </w:tc>
        <w:tc>
          <w:tcPr>
            <w:tcW w:w="776" w:type="pct"/>
            <w:hideMark/>
          </w:tcPr>
          <w:p w14:paraId="1A76845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11,84%</w:t>
            </w:r>
          </w:p>
        </w:tc>
      </w:tr>
      <w:tr w:rsidR="008A460C" w:rsidRPr="008A460C" w14:paraId="1E2578A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136AA7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5935A6F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$352,20</w:t>
            </w:r>
          </w:p>
        </w:tc>
        <w:tc>
          <w:tcPr>
            <w:tcW w:w="879" w:type="pct"/>
            <w:hideMark/>
          </w:tcPr>
          <w:p w14:paraId="7A540E2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$196,75</w:t>
            </w:r>
          </w:p>
        </w:tc>
        <w:tc>
          <w:tcPr>
            <w:tcW w:w="668" w:type="pct"/>
            <w:hideMark/>
          </w:tcPr>
          <w:p w14:paraId="05AFCAA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-$155,45</w:t>
            </w:r>
          </w:p>
        </w:tc>
        <w:tc>
          <w:tcPr>
            <w:tcW w:w="666" w:type="pct"/>
            <w:hideMark/>
          </w:tcPr>
          <w:p w14:paraId="43FD620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$548,95</w:t>
            </w:r>
          </w:p>
        </w:tc>
        <w:tc>
          <w:tcPr>
            <w:tcW w:w="662" w:type="pct"/>
            <w:hideMark/>
          </w:tcPr>
          <w:p w14:paraId="6AA64A5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290,99%</w:t>
            </w:r>
          </w:p>
        </w:tc>
        <w:tc>
          <w:tcPr>
            <w:tcW w:w="776" w:type="pct"/>
            <w:hideMark/>
          </w:tcPr>
          <w:p w14:paraId="087F7E8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36,31%</w:t>
            </w:r>
          </w:p>
        </w:tc>
      </w:tr>
      <w:tr w:rsidR="008A460C" w:rsidRPr="008A460C" w14:paraId="0E0102D9"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E926B5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722BFBA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$381,97</w:t>
            </w:r>
          </w:p>
        </w:tc>
        <w:tc>
          <w:tcPr>
            <w:tcW w:w="879" w:type="pct"/>
            <w:hideMark/>
          </w:tcPr>
          <w:p w14:paraId="1C62583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$152,17</w:t>
            </w:r>
          </w:p>
        </w:tc>
        <w:tc>
          <w:tcPr>
            <w:tcW w:w="668" w:type="pct"/>
            <w:hideMark/>
          </w:tcPr>
          <w:p w14:paraId="03DE028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-$229,81</w:t>
            </w:r>
          </w:p>
        </w:tc>
        <w:tc>
          <w:tcPr>
            <w:tcW w:w="666" w:type="pct"/>
            <w:hideMark/>
          </w:tcPr>
          <w:p w14:paraId="7713CDC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$534,14</w:t>
            </w:r>
          </w:p>
        </w:tc>
        <w:tc>
          <w:tcPr>
            <w:tcW w:w="662" w:type="pct"/>
            <w:hideMark/>
          </w:tcPr>
          <w:p w14:paraId="4DC967B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280,44%</w:t>
            </w:r>
          </w:p>
        </w:tc>
        <w:tc>
          <w:tcPr>
            <w:tcW w:w="776" w:type="pct"/>
            <w:hideMark/>
          </w:tcPr>
          <w:p w14:paraId="429CA20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-2,70%</w:t>
            </w:r>
          </w:p>
        </w:tc>
      </w:tr>
      <w:tr w:rsidR="008A460C" w:rsidRPr="008A460C" w14:paraId="0F69801A"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7D6EE8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6B8AD8D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$335,23</w:t>
            </w:r>
          </w:p>
        </w:tc>
        <w:tc>
          <w:tcPr>
            <w:tcW w:w="879" w:type="pct"/>
            <w:hideMark/>
          </w:tcPr>
          <w:p w14:paraId="48AD715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$93,02</w:t>
            </w:r>
          </w:p>
        </w:tc>
        <w:tc>
          <w:tcPr>
            <w:tcW w:w="668" w:type="pct"/>
            <w:hideMark/>
          </w:tcPr>
          <w:p w14:paraId="40E3051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-$242,20</w:t>
            </w:r>
          </w:p>
        </w:tc>
        <w:tc>
          <w:tcPr>
            <w:tcW w:w="666" w:type="pct"/>
            <w:hideMark/>
          </w:tcPr>
          <w:p w14:paraId="6046B99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$428,25</w:t>
            </w:r>
          </w:p>
        </w:tc>
        <w:tc>
          <w:tcPr>
            <w:tcW w:w="662" w:type="pct"/>
            <w:hideMark/>
          </w:tcPr>
          <w:p w14:paraId="144BA4B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205,02%</w:t>
            </w:r>
          </w:p>
        </w:tc>
        <w:tc>
          <w:tcPr>
            <w:tcW w:w="776" w:type="pct"/>
            <w:hideMark/>
          </w:tcPr>
          <w:p w14:paraId="34FAAA7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-19,82%</w:t>
            </w:r>
          </w:p>
        </w:tc>
      </w:tr>
      <w:tr w:rsidR="008A460C" w:rsidRPr="008A460C" w14:paraId="5D9E3AED"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D64311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67BD5DA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$494,61</w:t>
            </w:r>
          </w:p>
        </w:tc>
        <w:tc>
          <w:tcPr>
            <w:tcW w:w="879" w:type="pct"/>
            <w:hideMark/>
          </w:tcPr>
          <w:p w14:paraId="66BDF4D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$145,50</w:t>
            </w:r>
          </w:p>
        </w:tc>
        <w:tc>
          <w:tcPr>
            <w:tcW w:w="668" w:type="pct"/>
            <w:hideMark/>
          </w:tcPr>
          <w:p w14:paraId="206749B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-$349,11</w:t>
            </w:r>
          </w:p>
        </w:tc>
        <w:tc>
          <w:tcPr>
            <w:tcW w:w="666" w:type="pct"/>
            <w:hideMark/>
          </w:tcPr>
          <w:p w14:paraId="3583578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$640,11</w:t>
            </w:r>
          </w:p>
        </w:tc>
        <w:tc>
          <w:tcPr>
            <w:tcW w:w="662" w:type="pct"/>
            <w:hideMark/>
          </w:tcPr>
          <w:p w14:paraId="0AC2C24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355,92%</w:t>
            </w:r>
          </w:p>
        </w:tc>
        <w:tc>
          <w:tcPr>
            <w:tcW w:w="776" w:type="pct"/>
            <w:hideMark/>
          </w:tcPr>
          <w:p w14:paraId="6CA3A92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49,47%</w:t>
            </w:r>
          </w:p>
        </w:tc>
      </w:tr>
      <w:tr w:rsidR="008A460C" w:rsidRPr="008A460C" w14:paraId="27CAD606"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A47819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44447D5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$699,39</w:t>
            </w:r>
          </w:p>
        </w:tc>
        <w:tc>
          <w:tcPr>
            <w:tcW w:w="879" w:type="pct"/>
            <w:hideMark/>
          </w:tcPr>
          <w:p w14:paraId="12893E8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$144,99</w:t>
            </w:r>
          </w:p>
        </w:tc>
        <w:tc>
          <w:tcPr>
            <w:tcW w:w="668" w:type="pct"/>
            <w:hideMark/>
          </w:tcPr>
          <w:p w14:paraId="362FDB2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-$554,41</w:t>
            </w:r>
          </w:p>
        </w:tc>
        <w:tc>
          <w:tcPr>
            <w:tcW w:w="666" w:type="pct"/>
            <w:hideMark/>
          </w:tcPr>
          <w:p w14:paraId="64F6CCB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$844,38</w:t>
            </w:r>
          </w:p>
        </w:tc>
        <w:tc>
          <w:tcPr>
            <w:tcW w:w="662" w:type="pct"/>
            <w:hideMark/>
          </w:tcPr>
          <w:p w14:paraId="6B18841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501,41%</w:t>
            </w:r>
          </w:p>
        </w:tc>
        <w:tc>
          <w:tcPr>
            <w:tcW w:w="776" w:type="pct"/>
            <w:hideMark/>
          </w:tcPr>
          <w:p w14:paraId="26911B2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31,91%</w:t>
            </w:r>
          </w:p>
        </w:tc>
      </w:tr>
      <w:tr w:rsidR="008A460C" w:rsidRPr="008A460C" w14:paraId="157D07E9"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2B81628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1DAD66F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$867,15</w:t>
            </w:r>
          </w:p>
        </w:tc>
        <w:tc>
          <w:tcPr>
            <w:tcW w:w="879" w:type="pct"/>
            <w:hideMark/>
          </w:tcPr>
          <w:p w14:paraId="205361E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$206,00</w:t>
            </w:r>
          </w:p>
        </w:tc>
        <w:tc>
          <w:tcPr>
            <w:tcW w:w="668" w:type="pct"/>
            <w:hideMark/>
          </w:tcPr>
          <w:p w14:paraId="39E09F4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-$661,16</w:t>
            </w:r>
          </w:p>
        </w:tc>
        <w:tc>
          <w:tcPr>
            <w:tcW w:w="666" w:type="pct"/>
            <w:hideMark/>
          </w:tcPr>
          <w:p w14:paraId="794B735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$1.073,15</w:t>
            </w:r>
          </w:p>
        </w:tc>
        <w:tc>
          <w:tcPr>
            <w:tcW w:w="662" w:type="pct"/>
            <w:hideMark/>
          </w:tcPr>
          <w:p w14:paraId="5E9560F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664,35%</w:t>
            </w:r>
          </w:p>
        </w:tc>
        <w:tc>
          <w:tcPr>
            <w:tcW w:w="776" w:type="pct"/>
            <w:hideMark/>
          </w:tcPr>
          <w:p w14:paraId="23B5EE2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27,09%</w:t>
            </w:r>
          </w:p>
        </w:tc>
      </w:tr>
      <w:tr w:rsidR="008A460C" w:rsidRPr="008A460C" w14:paraId="262F006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8A537A7"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lastRenderedPageBreak/>
              <w:t>2013</w:t>
            </w:r>
          </w:p>
        </w:tc>
        <w:tc>
          <w:tcPr>
            <w:tcW w:w="896" w:type="pct"/>
            <w:hideMark/>
          </w:tcPr>
          <w:p w14:paraId="755502D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$1.000,84</w:t>
            </w:r>
          </w:p>
        </w:tc>
        <w:tc>
          <w:tcPr>
            <w:tcW w:w="879" w:type="pct"/>
            <w:hideMark/>
          </w:tcPr>
          <w:p w14:paraId="595AF80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$238,71</w:t>
            </w:r>
          </w:p>
        </w:tc>
        <w:tc>
          <w:tcPr>
            <w:tcW w:w="668" w:type="pct"/>
            <w:hideMark/>
          </w:tcPr>
          <w:p w14:paraId="11E9089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-$762,13</w:t>
            </w:r>
          </w:p>
        </w:tc>
        <w:tc>
          <w:tcPr>
            <w:tcW w:w="666" w:type="pct"/>
            <w:hideMark/>
          </w:tcPr>
          <w:p w14:paraId="33FC6F7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$1.239,55</w:t>
            </w:r>
          </w:p>
        </w:tc>
        <w:tc>
          <w:tcPr>
            <w:tcW w:w="662" w:type="pct"/>
            <w:hideMark/>
          </w:tcPr>
          <w:p w14:paraId="764CE87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782,87%</w:t>
            </w:r>
          </w:p>
        </w:tc>
        <w:tc>
          <w:tcPr>
            <w:tcW w:w="776" w:type="pct"/>
            <w:hideMark/>
          </w:tcPr>
          <w:p w14:paraId="7F7E2A7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15,51%</w:t>
            </w:r>
          </w:p>
        </w:tc>
      </w:tr>
      <w:tr w:rsidR="008A460C" w:rsidRPr="008A460C" w14:paraId="112384EF"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42F30A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516B651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$944,66</w:t>
            </w:r>
          </w:p>
        </w:tc>
        <w:tc>
          <w:tcPr>
            <w:tcW w:w="879" w:type="pct"/>
            <w:hideMark/>
          </w:tcPr>
          <w:p w14:paraId="20111FB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$311,98</w:t>
            </w:r>
          </w:p>
        </w:tc>
        <w:tc>
          <w:tcPr>
            <w:tcW w:w="668" w:type="pct"/>
            <w:hideMark/>
          </w:tcPr>
          <w:p w14:paraId="4BFA371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-$632,69</w:t>
            </w:r>
          </w:p>
        </w:tc>
        <w:tc>
          <w:tcPr>
            <w:tcW w:w="666" w:type="pct"/>
            <w:hideMark/>
          </w:tcPr>
          <w:p w14:paraId="59218E5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$1.256,64</w:t>
            </w:r>
          </w:p>
        </w:tc>
        <w:tc>
          <w:tcPr>
            <w:tcW w:w="662" w:type="pct"/>
            <w:hideMark/>
          </w:tcPr>
          <w:p w14:paraId="775E263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795,04%</w:t>
            </w:r>
          </w:p>
        </w:tc>
        <w:tc>
          <w:tcPr>
            <w:tcW w:w="776" w:type="pct"/>
            <w:hideMark/>
          </w:tcPr>
          <w:p w14:paraId="71EC4BC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1,38%</w:t>
            </w:r>
          </w:p>
        </w:tc>
      </w:tr>
      <w:tr w:rsidR="008A460C" w:rsidRPr="008A460C" w14:paraId="5CEF9D7E"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AAF798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58D4F19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$860,67</w:t>
            </w:r>
          </w:p>
        </w:tc>
        <w:tc>
          <w:tcPr>
            <w:tcW w:w="879" w:type="pct"/>
            <w:hideMark/>
          </w:tcPr>
          <w:p w14:paraId="7C44789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$344,06</w:t>
            </w:r>
          </w:p>
        </w:tc>
        <w:tc>
          <w:tcPr>
            <w:tcW w:w="668" w:type="pct"/>
            <w:hideMark/>
          </w:tcPr>
          <w:p w14:paraId="69D2C05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-$516,62</w:t>
            </w:r>
          </w:p>
        </w:tc>
        <w:tc>
          <w:tcPr>
            <w:tcW w:w="666" w:type="pct"/>
            <w:hideMark/>
          </w:tcPr>
          <w:p w14:paraId="5529F67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$1.204,73</w:t>
            </w:r>
          </w:p>
        </w:tc>
        <w:tc>
          <w:tcPr>
            <w:tcW w:w="662" w:type="pct"/>
            <w:hideMark/>
          </w:tcPr>
          <w:p w14:paraId="45E10EC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758,07%</w:t>
            </w:r>
          </w:p>
        </w:tc>
        <w:tc>
          <w:tcPr>
            <w:tcW w:w="776" w:type="pct"/>
            <w:hideMark/>
          </w:tcPr>
          <w:p w14:paraId="66015A3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-4,13%</w:t>
            </w:r>
          </w:p>
        </w:tc>
      </w:tr>
      <w:tr w:rsidR="008A460C" w:rsidRPr="008A460C" w14:paraId="5C73422C"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F79C19D"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2D0591E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$820,92</w:t>
            </w:r>
          </w:p>
        </w:tc>
        <w:tc>
          <w:tcPr>
            <w:tcW w:w="879" w:type="pct"/>
            <w:hideMark/>
          </w:tcPr>
          <w:p w14:paraId="49BA49A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$443,74</w:t>
            </w:r>
          </w:p>
        </w:tc>
        <w:tc>
          <w:tcPr>
            <w:tcW w:w="668" w:type="pct"/>
            <w:hideMark/>
          </w:tcPr>
          <w:p w14:paraId="0AA8F24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-$377,18</w:t>
            </w:r>
          </w:p>
        </w:tc>
        <w:tc>
          <w:tcPr>
            <w:tcW w:w="666" w:type="pct"/>
            <w:hideMark/>
          </w:tcPr>
          <w:p w14:paraId="0E642AE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$1.264,65</w:t>
            </w:r>
          </w:p>
        </w:tc>
        <w:tc>
          <w:tcPr>
            <w:tcW w:w="662" w:type="pct"/>
            <w:hideMark/>
          </w:tcPr>
          <w:p w14:paraId="33CE728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800,75%</w:t>
            </w:r>
          </w:p>
        </w:tc>
        <w:tc>
          <w:tcPr>
            <w:tcW w:w="776" w:type="pct"/>
            <w:hideMark/>
          </w:tcPr>
          <w:p w14:paraId="120B7424"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4,97%</w:t>
            </w:r>
          </w:p>
        </w:tc>
      </w:tr>
      <w:tr w:rsidR="008A460C" w:rsidRPr="008A460C" w14:paraId="30310811"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CBE7B8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4296F42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$771,85</w:t>
            </w:r>
          </w:p>
        </w:tc>
        <w:tc>
          <w:tcPr>
            <w:tcW w:w="879" w:type="pct"/>
            <w:hideMark/>
          </w:tcPr>
          <w:p w14:paraId="3421D99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$441,43</w:t>
            </w:r>
          </w:p>
        </w:tc>
        <w:tc>
          <w:tcPr>
            <w:tcW w:w="668" w:type="pct"/>
            <w:hideMark/>
          </w:tcPr>
          <w:p w14:paraId="11A4F94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-$330,42</w:t>
            </w:r>
          </w:p>
        </w:tc>
        <w:tc>
          <w:tcPr>
            <w:tcW w:w="666" w:type="pct"/>
            <w:hideMark/>
          </w:tcPr>
          <w:p w14:paraId="00FCE67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$1.213,29</w:t>
            </w:r>
          </w:p>
        </w:tc>
        <w:tc>
          <w:tcPr>
            <w:tcW w:w="662" w:type="pct"/>
            <w:hideMark/>
          </w:tcPr>
          <w:p w14:paraId="01219DB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764,16%</w:t>
            </w:r>
          </w:p>
        </w:tc>
        <w:tc>
          <w:tcPr>
            <w:tcW w:w="776" w:type="pct"/>
            <w:hideMark/>
          </w:tcPr>
          <w:p w14:paraId="01ABA04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-4,06%</w:t>
            </w:r>
          </w:p>
        </w:tc>
      </w:tr>
      <w:tr w:rsidR="008A460C" w:rsidRPr="008A460C" w14:paraId="029CB155"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40F42D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3883606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$634,24</w:t>
            </w:r>
          </w:p>
        </w:tc>
        <w:tc>
          <w:tcPr>
            <w:tcW w:w="879" w:type="pct"/>
            <w:hideMark/>
          </w:tcPr>
          <w:p w14:paraId="23175C9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$600,40</w:t>
            </w:r>
          </w:p>
        </w:tc>
        <w:tc>
          <w:tcPr>
            <w:tcW w:w="668" w:type="pct"/>
            <w:hideMark/>
          </w:tcPr>
          <w:p w14:paraId="5248C82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-$33,84</w:t>
            </w:r>
          </w:p>
        </w:tc>
        <w:tc>
          <w:tcPr>
            <w:tcW w:w="666" w:type="pct"/>
            <w:hideMark/>
          </w:tcPr>
          <w:p w14:paraId="4D33673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$1.234,64</w:t>
            </w:r>
          </w:p>
        </w:tc>
        <w:tc>
          <w:tcPr>
            <w:tcW w:w="662" w:type="pct"/>
            <w:hideMark/>
          </w:tcPr>
          <w:p w14:paraId="480AB9A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779,37%</w:t>
            </w:r>
          </w:p>
        </w:tc>
        <w:tc>
          <w:tcPr>
            <w:tcW w:w="776" w:type="pct"/>
            <w:hideMark/>
          </w:tcPr>
          <w:p w14:paraId="5E807F3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1,76%</w:t>
            </w:r>
          </w:p>
        </w:tc>
      </w:tr>
      <w:tr w:rsidR="008A460C" w:rsidRPr="008A460C" w14:paraId="01A9C065"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7"/>
            <w:hideMark/>
          </w:tcPr>
          <w:p w14:paraId="504BA946"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Costa Rica</w:t>
            </w:r>
          </w:p>
        </w:tc>
      </w:tr>
      <w:tr w:rsidR="008A460C" w:rsidRPr="008A460C" w14:paraId="0B24D605" w14:textId="77777777" w:rsidTr="008A460C">
        <w:trPr>
          <w:trHeight w:val="600"/>
        </w:trPr>
        <w:tc>
          <w:tcPr>
            <w:cnfStyle w:val="001000000000" w:firstRow="0" w:lastRow="0" w:firstColumn="1" w:lastColumn="0" w:oddVBand="0" w:evenVBand="0" w:oddHBand="0" w:evenHBand="0" w:firstRowFirstColumn="0" w:firstRowLastColumn="0" w:lastRowFirstColumn="0" w:lastRowLastColumn="0"/>
            <w:tcW w:w="452" w:type="pct"/>
            <w:hideMark/>
          </w:tcPr>
          <w:p w14:paraId="6846A4A0" w14:textId="77777777" w:rsidR="008A460C" w:rsidRPr="008A460C" w:rsidRDefault="008A460C" w:rsidP="008A460C">
            <w:pPr>
              <w:jc w:val="center"/>
              <w:rPr>
                <w:rFonts w:ascii="Calibri" w:eastAsia="Times New Roman" w:hAnsi="Calibri" w:cs="Calibri"/>
                <w:lang w:eastAsia="es-CR"/>
              </w:rPr>
            </w:pPr>
          </w:p>
        </w:tc>
        <w:tc>
          <w:tcPr>
            <w:tcW w:w="896" w:type="pct"/>
            <w:shd w:val="clear" w:color="auto" w:fill="A6A6A6" w:themeFill="background1" w:themeFillShade="A6"/>
            <w:hideMark/>
          </w:tcPr>
          <w:p w14:paraId="7926885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Importaciones</w:t>
            </w:r>
          </w:p>
        </w:tc>
        <w:tc>
          <w:tcPr>
            <w:tcW w:w="879" w:type="pct"/>
            <w:shd w:val="clear" w:color="auto" w:fill="A6A6A6" w:themeFill="background1" w:themeFillShade="A6"/>
            <w:hideMark/>
          </w:tcPr>
          <w:p w14:paraId="564913F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Exportaciones</w:t>
            </w:r>
          </w:p>
        </w:tc>
        <w:tc>
          <w:tcPr>
            <w:tcW w:w="668" w:type="pct"/>
            <w:shd w:val="clear" w:color="auto" w:fill="A6A6A6" w:themeFill="background1" w:themeFillShade="A6"/>
            <w:hideMark/>
          </w:tcPr>
          <w:p w14:paraId="4C9105D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Balanza Comercial</w:t>
            </w:r>
          </w:p>
        </w:tc>
        <w:tc>
          <w:tcPr>
            <w:tcW w:w="666" w:type="pct"/>
            <w:shd w:val="clear" w:color="auto" w:fill="A6A6A6" w:themeFill="background1" w:themeFillShade="A6"/>
            <w:hideMark/>
          </w:tcPr>
          <w:p w14:paraId="729ABC2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Comercio Total</w:t>
            </w:r>
          </w:p>
        </w:tc>
        <w:tc>
          <w:tcPr>
            <w:tcW w:w="662" w:type="pct"/>
            <w:shd w:val="clear" w:color="auto" w:fill="A6A6A6" w:themeFill="background1" w:themeFillShade="A6"/>
            <w:hideMark/>
          </w:tcPr>
          <w:p w14:paraId="353158A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 Cambio</w:t>
            </w:r>
          </w:p>
        </w:tc>
        <w:tc>
          <w:tcPr>
            <w:tcW w:w="776" w:type="pct"/>
            <w:shd w:val="clear" w:color="auto" w:fill="A6A6A6" w:themeFill="background1" w:themeFillShade="A6"/>
            <w:hideMark/>
          </w:tcPr>
          <w:p w14:paraId="412387F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FFFFFF" w:themeColor="background1"/>
                <w:lang w:eastAsia="es-CR"/>
              </w:rPr>
            </w:pPr>
            <w:r w:rsidRPr="008A460C">
              <w:rPr>
                <w:rFonts w:ascii="Calibri" w:eastAsia="Times New Roman" w:hAnsi="Calibri" w:cs="Calibri"/>
                <w:b/>
                <w:bCs/>
                <w:color w:val="FFFFFF" w:themeColor="background1"/>
                <w:lang w:eastAsia="es-CR"/>
              </w:rPr>
              <w:t>Crecimiento anual</w:t>
            </w:r>
          </w:p>
        </w:tc>
      </w:tr>
      <w:tr w:rsidR="008A460C" w:rsidRPr="008A460C" w14:paraId="5A9B9D4E"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F3340E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2004</w:t>
            </w:r>
          </w:p>
        </w:tc>
        <w:tc>
          <w:tcPr>
            <w:tcW w:w="896" w:type="pct"/>
            <w:hideMark/>
          </w:tcPr>
          <w:p w14:paraId="0C4CC10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$45,59</w:t>
            </w:r>
          </w:p>
        </w:tc>
        <w:tc>
          <w:tcPr>
            <w:tcW w:w="879" w:type="pct"/>
            <w:hideMark/>
          </w:tcPr>
          <w:p w14:paraId="7795A90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$7,60</w:t>
            </w:r>
          </w:p>
        </w:tc>
        <w:tc>
          <w:tcPr>
            <w:tcW w:w="668" w:type="pct"/>
            <w:hideMark/>
          </w:tcPr>
          <w:p w14:paraId="4381F43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-$38,00</w:t>
            </w:r>
          </w:p>
        </w:tc>
        <w:tc>
          <w:tcPr>
            <w:tcW w:w="666" w:type="pct"/>
            <w:hideMark/>
          </w:tcPr>
          <w:p w14:paraId="6B83B6A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$53,19</w:t>
            </w:r>
          </w:p>
        </w:tc>
        <w:tc>
          <w:tcPr>
            <w:tcW w:w="662" w:type="pct"/>
            <w:hideMark/>
          </w:tcPr>
          <w:p w14:paraId="370407F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52,49%</w:t>
            </w:r>
          </w:p>
        </w:tc>
        <w:tc>
          <w:tcPr>
            <w:tcW w:w="776" w:type="pct"/>
            <w:hideMark/>
          </w:tcPr>
          <w:p w14:paraId="30B2E8D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52,49%</w:t>
            </w:r>
          </w:p>
        </w:tc>
      </w:tr>
      <w:tr w:rsidR="008A460C" w:rsidRPr="008A460C" w14:paraId="1EFF81DF"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EEE965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2005</w:t>
            </w:r>
          </w:p>
        </w:tc>
        <w:tc>
          <w:tcPr>
            <w:tcW w:w="896" w:type="pct"/>
            <w:hideMark/>
          </w:tcPr>
          <w:p w14:paraId="4209B19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$53,34</w:t>
            </w:r>
          </w:p>
        </w:tc>
        <w:tc>
          <w:tcPr>
            <w:tcW w:w="879" w:type="pct"/>
            <w:hideMark/>
          </w:tcPr>
          <w:p w14:paraId="08EEB39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$3,46</w:t>
            </w:r>
          </w:p>
        </w:tc>
        <w:tc>
          <w:tcPr>
            <w:tcW w:w="668" w:type="pct"/>
            <w:hideMark/>
          </w:tcPr>
          <w:p w14:paraId="486D6BF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-$49,88</w:t>
            </w:r>
          </w:p>
        </w:tc>
        <w:tc>
          <w:tcPr>
            <w:tcW w:w="666" w:type="pct"/>
            <w:hideMark/>
          </w:tcPr>
          <w:p w14:paraId="28D4E6F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$56,80</w:t>
            </w:r>
          </w:p>
        </w:tc>
        <w:tc>
          <w:tcPr>
            <w:tcW w:w="662" w:type="pct"/>
            <w:hideMark/>
          </w:tcPr>
          <w:p w14:paraId="0AAC3BB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62,83%</w:t>
            </w:r>
          </w:p>
        </w:tc>
        <w:tc>
          <w:tcPr>
            <w:tcW w:w="776" w:type="pct"/>
            <w:hideMark/>
          </w:tcPr>
          <w:p w14:paraId="0C7C7E2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6,78%</w:t>
            </w:r>
          </w:p>
        </w:tc>
      </w:tr>
      <w:tr w:rsidR="008A460C" w:rsidRPr="008A460C" w14:paraId="2FD787F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B25FF3C"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2006</w:t>
            </w:r>
          </w:p>
        </w:tc>
        <w:tc>
          <w:tcPr>
            <w:tcW w:w="896" w:type="pct"/>
            <w:hideMark/>
          </w:tcPr>
          <w:p w14:paraId="0BBD759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$47,56</w:t>
            </w:r>
          </w:p>
        </w:tc>
        <w:tc>
          <w:tcPr>
            <w:tcW w:w="879" w:type="pct"/>
            <w:hideMark/>
          </w:tcPr>
          <w:p w14:paraId="7E55F98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$9,64</w:t>
            </w:r>
          </w:p>
        </w:tc>
        <w:tc>
          <w:tcPr>
            <w:tcW w:w="668" w:type="pct"/>
            <w:hideMark/>
          </w:tcPr>
          <w:p w14:paraId="4353772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-$37,93</w:t>
            </w:r>
          </w:p>
        </w:tc>
        <w:tc>
          <w:tcPr>
            <w:tcW w:w="666" w:type="pct"/>
            <w:hideMark/>
          </w:tcPr>
          <w:p w14:paraId="740FFB5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$57,20</w:t>
            </w:r>
          </w:p>
        </w:tc>
        <w:tc>
          <w:tcPr>
            <w:tcW w:w="662" w:type="pct"/>
            <w:hideMark/>
          </w:tcPr>
          <w:p w14:paraId="242A64C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63,99%</w:t>
            </w:r>
          </w:p>
        </w:tc>
        <w:tc>
          <w:tcPr>
            <w:tcW w:w="776" w:type="pct"/>
            <w:hideMark/>
          </w:tcPr>
          <w:p w14:paraId="0969831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0,71%</w:t>
            </w:r>
          </w:p>
        </w:tc>
      </w:tr>
      <w:tr w:rsidR="008A460C" w:rsidRPr="008A460C" w14:paraId="243DC44C"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A87CA7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2007</w:t>
            </w:r>
          </w:p>
        </w:tc>
        <w:tc>
          <w:tcPr>
            <w:tcW w:w="896" w:type="pct"/>
            <w:hideMark/>
          </w:tcPr>
          <w:p w14:paraId="466E6EB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$41,17</w:t>
            </w:r>
          </w:p>
        </w:tc>
        <w:tc>
          <w:tcPr>
            <w:tcW w:w="879" w:type="pct"/>
            <w:hideMark/>
          </w:tcPr>
          <w:p w14:paraId="1599A97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$10,11</w:t>
            </w:r>
          </w:p>
        </w:tc>
        <w:tc>
          <w:tcPr>
            <w:tcW w:w="668" w:type="pct"/>
            <w:hideMark/>
          </w:tcPr>
          <w:p w14:paraId="4306E4F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-$31,05</w:t>
            </w:r>
          </w:p>
        </w:tc>
        <w:tc>
          <w:tcPr>
            <w:tcW w:w="666" w:type="pct"/>
            <w:hideMark/>
          </w:tcPr>
          <w:p w14:paraId="7A89B98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$51,28</w:t>
            </w:r>
          </w:p>
        </w:tc>
        <w:tc>
          <w:tcPr>
            <w:tcW w:w="662" w:type="pct"/>
            <w:hideMark/>
          </w:tcPr>
          <w:p w14:paraId="10A06BC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47,02%</w:t>
            </w:r>
          </w:p>
        </w:tc>
        <w:tc>
          <w:tcPr>
            <w:tcW w:w="776" w:type="pct"/>
            <w:hideMark/>
          </w:tcPr>
          <w:p w14:paraId="7553A06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-10,35%</w:t>
            </w:r>
          </w:p>
        </w:tc>
      </w:tr>
      <w:tr w:rsidR="008A460C" w:rsidRPr="008A460C" w14:paraId="673E2AF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0A05DAA"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2008</w:t>
            </w:r>
          </w:p>
        </w:tc>
        <w:tc>
          <w:tcPr>
            <w:tcW w:w="896" w:type="pct"/>
            <w:hideMark/>
          </w:tcPr>
          <w:p w14:paraId="53363C9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$40,48</w:t>
            </w:r>
          </w:p>
        </w:tc>
        <w:tc>
          <w:tcPr>
            <w:tcW w:w="879" w:type="pct"/>
            <w:hideMark/>
          </w:tcPr>
          <w:p w14:paraId="62BF542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$9,97</w:t>
            </w:r>
          </w:p>
        </w:tc>
        <w:tc>
          <w:tcPr>
            <w:tcW w:w="668" w:type="pct"/>
            <w:hideMark/>
          </w:tcPr>
          <w:p w14:paraId="610D550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-$30,50</w:t>
            </w:r>
          </w:p>
        </w:tc>
        <w:tc>
          <w:tcPr>
            <w:tcW w:w="666" w:type="pct"/>
            <w:hideMark/>
          </w:tcPr>
          <w:p w14:paraId="5784ECF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$50,45</w:t>
            </w:r>
          </w:p>
        </w:tc>
        <w:tc>
          <w:tcPr>
            <w:tcW w:w="662" w:type="pct"/>
            <w:hideMark/>
          </w:tcPr>
          <w:p w14:paraId="2183119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44,65%</w:t>
            </w:r>
          </w:p>
        </w:tc>
        <w:tc>
          <w:tcPr>
            <w:tcW w:w="776" w:type="pct"/>
            <w:hideMark/>
          </w:tcPr>
          <w:p w14:paraId="3C46127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-1,62%</w:t>
            </w:r>
          </w:p>
        </w:tc>
      </w:tr>
      <w:tr w:rsidR="008A460C" w:rsidRPr="008A460C" w14:paraId="2606D393"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5702AB6E"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2009</w:t>
            </w:r>
          </w:p>
        </w:tc>
        <w:tc>
          <w:tcPr>
            <w:tcW w:w="896" w:type="pct"/>
            <w:hideMark/>
          </w:tcPr>
          <w:p w14:paraId="1C777E2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$60,45</w:t>
            </w:r>
          </w:p>
        </w:tc>
        <w:tc>
          <w:tcPr>
            <w:tcW w:w="879" w:type="pct"/>
            <w:hideMark/>
          </w:tcPr>
          <w:p w14:paraId="2F2FFDF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$7,29</w:t>
            </w:r>
          </w:p>
        </w:tc>
        <w:tc>
          <w:tcPr>
            <w:tcW w:w="668" w:type="pct"/>
            <w:hideMark/>
          </w:tcPr>
          <w:p w14:paraId="5F2F4F2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-$53,16</w:t>
            </w:r>
          </w:p>
        </w:tc>
        <w:tc>
          <w:tcPr>
            <w:tcW w:w="666" w:type="pct"/>
            <w:hideMark/>
          </w:tcPr>
          <w:p w14:paraId="34FCD4F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$67,74</w:t>
            </w:r>
          </w:p>
        </w:tc>
        <w:tc>
          <w:tcPr>
            <w:tcW w:w="662" w:type="pct"/>
            <w:hideMark/>
          </w:tcPr>
          <w:p w14:paraId="62824E2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94,20%</w:t>
            </w:r>
          </w:p>
        </w:tc>
        <w:tc>
          <w:tcPr>
            <w:tcW w:w="776" w:type="pct"/>
            <w:hideMark/>
          </w:tcPr>
          <w:p w14:paraId="3BFE4E1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34,26%</w:t>
            </w:r>
          </w:p>
        </w:tc>
      </w:tr>
      <w:tr w:rsidR="008A460C" w:rsidRPr="008A460C" w14:paraId="7CC42DC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6EEF749C"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2010</w:t>
            </w:r>
          </w:p>
        </w:tc>
        <w:tc>
          <w:tcPr>
            <w:tcW w:w="896" w:type="pct"/>
            <w:hideMark/>
          </w:tcPr>
          <w:p w14:paraId="7359661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$60,51</w:t>
            </w:r>
          </w:p>
        </w:tc>
        <w:tc>
          <w:tcPr>
            <w:tcW w:w="879" w:type="pct"/>
            <w:hideMark/>
          </w:tcPr>
          <w:p w14:paraId="47ADEC3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$7,55</w:t>
            </w:r>
          </w:p>
        </w:tc>
        <w:tc>
          <w:tcPr>
            <w:tcW w:w="668" w:type="pct"/>
            <w:hideMark/>
          </w:tcPr>
          <w:p w14:paraId="764B3FC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-$52,95</w:t>
            </w:r>
          </w:p>
        </w:tc>
        <w:tc>
          <w:tcPr>
            <w:tcW w:w="666" w:type="pct"/>
            <w:hideMark/>
          </w:tcPr>
          <w:p w14:paraId="3FD9F08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$68,06</w:t>
            </w:r>
          </w:p>
        </w:tc>
        <w:tc>
          <w:tcPr>
            <w:tcW w:w="662" w:type="pct"/>
            <w:hideMark/>
          </w:tcPr>
          <w:p w14:paraId="26EC8EF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95,12%</w:t>
            </w:r>
          </w:p>
        </w:tc>
        <w:tc>
          <w:tcPr>
            <w:tcW w:w="776" w:type="pct"/>
            <w:hideMark/>
          </w:tcPr>
          <w:p w14:paraId="5C351DC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0,47%</w:t>
            </w:r>
          </w:p>
        </w:tc>
      </w:tr>
      <w:tr w:rsidR="008A460C" w:rsidRPr="008A460C" w14:paraId="3589C67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D1D77B3"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2011</w:t>
            </w:r>
          </w:p>
        </w:tc>
        <w:tc>
          <w:tcPr>
            <w:tcW w:w="896" w:type="pct"/>
            <w:hideMark/>
          </w:tcPr>
          <w:p w14:paraId="3E85D54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$79,37</w:t>
            </w:r>
          </w:p>
        </w:tc>
        <w:tc>
          <w:tcPr>
            <w:tcW w:w="879" w:type="pct"/>
            <w:hideMark/>
          </w:tcPr>
          <w:p w14:paraId="2F542165"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$10,20</w:t>
            </w:r>
          </w:p>
        </w:tc>
        <w:tc>
          <w:tcPr>
            <w:tcW w:w="668" w:type="pct"/>
            <w:hideMark/>
          </w:tcPr>
          <w:p w14:paraId="4991EB4B"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-$69,17</w:t>
            </w:r>
          </w:p>
        </w:tc>
        <w:tc>
          <w:tcPr>
            <w:tcW w:w="666" w:type="pct"/>
            <w:hideMark/>
          </w:tcPr>
          <w:p w14:paraId="7DFC80A6"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$89,56</w:t>
            </w:r>
          </w:p>
        </w:tc>
        <w:tc>
          <w:tcPr>
            <w:tcW w:w="662" w:type="pct"/>
            <w:hideMark/>
          </w:tcPr>
          <w:p w14:paraId="5AE0496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156,76%</w:t>
            </w:r>
          </w:p>
        </w:tc>
        <w:tc>
          <w:tcPr>
            <w:tcW w:w="776" w:type="pct"/>
            <w:hideMark/>
          </w:tcPr>
          <w:p w14:paraId="696DD4CE"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31,59%</w:t>
            </w:r>
          </w:p>
        </w:tc>
      </w:tr>
      <w:tr w:rsidR="008A460C" w:rsidRPr="008A460C" w14:paraId="0B55F7C9"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0190999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2012</w:t>
            </w:r>
          </w:p>
        </w:tc>
        <w:tc>
          <w:tcPr>
            <w:tcW w:w="896" w:type="pct"/>
            <w:hideMark/>
          </w:tcPr>
          <w:p w14:paraId="23609963"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$76,29</w:t>
            </w:r>
          </w:p>
        </w:tc>
        <w:tc>
          <w:tcPr>
            <w:tcW w:w="879" w:type="pct"/>
            <w:hideMark/>
          </w:tcPr>
          <w:p w14:paraId="4BE91D8B"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$20,31</w:t>
            </w:r>
          </w:p>
        </w:tc>
        <w:tc>
          <w:tcPr>
            <w:tcW w:w="668" w:type="pct"/>
            <w:hideMark/>
          </w:tcPr>
          <w:p w14:paraId="491F33C7"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-$55,98</w:t>
            </w:r>
          </w:p>
        </w:tc>
        <w:tc>
          <w:tcPr>
            <w:tcW w:w="666" w:type="pct"/>
            <w:hideMark/>
          </w:tcPr>
          <w:p w14:paraId="4D12260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$96,60</w:t>
            </w:r>
          </w:p>
        </w:tc>
        <w:tc>
          <w:tcPr>
            <w:tcW w:w="662" w:type="pct"/>
            <w:hideMark/>
          </w:tcPr>
          <w:p w14:paraId="4C4967A8"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176,94%</w:t>
            </w:r>
          </w:p>
        </w:tc>
        <w:tc>
          <w:tcPr>
            <w:tcW w:w="776" w:type="pct"/>
            <w:hideMark/>
          </w:tcPr>
          <w:p w14:paraId="371A69B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7,86%</w:t>
            </w:r>
          </w:p>
        </w:tc>
      </w:tr>
      <w:tr w:rsidR="008A460C" w:rsidRPr="008A460C" w14:paraId="1D48F40E"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C0F81E1"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2013</w:t>
            </w:r>
          </w:p>
        </w:tc>
        <w:tc>
          <w:tcPr>
            <w:tcW w:w="896" w:type="pct"/>
            <w:hideMark/>
          </w:tcPr>
          <w:p w14:paraId="79F686DA"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$82,29</w:t>
            </w:r>
          </w:p>
        </w:tc>
        <w:tc>
          <w:tcPr>
            <w:tcW w:w="879" w:type="pct"/>
            <w:hideMark/>
          </w:tcPr>
          <w:p w14:paraId="01A04B9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$34,84</w:t>
            </w:r>
          </w:p>
        </w:tc>
        <w:tc>
          <w:tcPr>
            <w:tcW w:w="668" w:type="pct"/>
            <w:hideMark/>
          </w:tcPr>
          <w:p w14:paraId="7D818798"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-$47,44</w:t>
            </w:r>
          </w:p>
        </w:tc>
        <w:tc>
          <w:tcPr>
            <w:tcW w:w="666" w:type="pct"/>
            <w:hideMark/>
          </w:tcPr>
          <w:p w14:paraId="6D3BCFF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$117,13</w:t>
            </w:r>
          </w:p>
        </w:tc>
        <w:tc>
          <w:tcPr>
            <w:tcW w:w="662" w:type="pct"/>
            <w:hideMark/>
          </w:tcPr>
          <w:p w14:paraId="2AA57AB7"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235,79%</w:t>
            </w:r>
          </w:p>
        </w:tc>
        <w:tc>
          <w:tcPr>
            <w:tcW w:w="776" w:type="pct"/>
            <w:hideMark/>
          </w:tcPr>
          <w:p w14:paraId="2961857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21,25%</w:t>
            </w:r>
          </w:p>
        </w:tc>
      </w:tr>
      <w:tr w:rsidR="008A460C" w:rsidRPr="008A460C" w14:paraId="022586CE"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2C772D0"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2014</w:t>
            </w:r>
          </w:p>
        </w:tc>
        <w:tc>
          <w:tcPr>
            <w:tcW w:w="896" w:type="pct"/>
            <w:hideMark/>
          </w:tcPr>
          <w:p w14:paraId="088C521C"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$67,89</w:t>
            </w:r>
          </w:p>
        </w:tc>
        <w:tc>
          <w:tcPr>
            <w:tcW w:w="879" w:type="pct"/>
            <w:hideMark/>
          </w:tcPr>
          <w:p w14:paraId="0A36A6A9"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$48,93</w:t>
            </w:r>
          </w:p>
        </w:tc>
        <w:tc>
          <w:tcPr>
            <w:tcW w:w="668" w:type="pct"/>
            <w:hideMark/>
          </w:tcPr>
          <w:p w14:paraId="6DA4547E"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-$18,96</w:t>
            </w:r>
          </w:p>
        </w:tc>
        <w:tc>
          <w:tcPr>
            <w:tcW w:w="666" w:type="pct"/>
            <w:hideMark/>
          </w:tcPr>
          <w:p w14:paraId="544A6154"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$116,82</w:t>
            </w:r>
          </w:p>
        </w:tc>
        <w:tc>
          <w:tcPr>
            <w:tcW w:w="662" w:type="pct"/>
            <w:hideMark/>
          </w:tcPr>
          <w:p w14:paraId="4484C196"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234,91%</w:t>
            </w:r>
          </w:p>
        </w:tc>
        <w:tc>
          <w:tcPr>
            <w:tcW w:w="776" w:type="pct"/>
            <w:hideMark/>
          </w:tcPr>
          <w:p w14:paraId="34036AD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-0,26%</w:t>
            </w:r>
          </w:p>
        </w:tc>
      </w:tr>
      <w:tr w:rsidR="008A460C" w:rsidRPr="008A460C" w14:paraId="0D6DE21A"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74B14D1F"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2015</w:t>
            </w:r>
          </w:p>
        </w:tc>
        <w:tc>
          <w:tcPr>
            <w:tcW w:w="896" w:type="pct"/>
            <w:hideMark/>
          </w:tcPr>
          <w:p w14:paraId="50E8989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$49,72</w:t>
            </w:r>
          </w:p>
        </w:tc>
        <w:tc>
          <w:tcPr>
            <w:tcW w:w="879" w:type="pct"/>
            <w:hideMark/>
          </w:tcPr>
          <w:p w14:paraId="0633EDFF"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$48,03</w:t>
            </w:r>
          </w:p>
        </w:tc>
        <w:tc>
          <w:tcPr>
            <w:tcW w:w="668" w:type="pct"/>
            <w:hideMark/>
          </w:tcPr>
          <w:p w14:paraId="113E0823"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-$1,69</w:t>
            </w:r>
          </w:p>
        </w:tc>
        <w:tc>
          <w:tcPr>
            <w:tcW w:w="666" w:type="pct"/>
            <w:hideMark/>
          </w:tcPr>
          <w:p w14:paraId="13CAD88C"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$97,74</w:t>
            </w:r>
          </w:p>
        </w:tc>
        <w:tc>
          <w:tcPr>
            <w:tcW w:w="662" w:type="pct"/>
            <w:hideMark/>
          </w:tcPr>
          <w:p w14:paraId="67E21E51"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180,22%</w:t>
            </w:r>
          </w:p>
        </w:tc>
        <w:tc>
          <w:tcPr>
            <w:tcW w:w="776" w:type="pct"/>
            <w:hideMark/>
          </w:tcPr>
          <w:p w14:paraId="68B1F0C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-16,33%</w:t>
            </w:r>
          </w:p>
        </w:tc>
      </w:tr>
      <w:tr w:rsidR="008A460C" w:rsidRPr="008A460C" w14:paraId="7D627273"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B87A59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2016</w:t>
            </w:r>
          </w:p>
        </w:tc>
        <w:tc>
          <w:tcPr>
            <w:tcW w:w="896" w:type="pct"/>
            <w:hideMark/>
          </w:tcPr>
          <w:p w14:paraId="2DE8306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$43,68</w:t>
            </w:r>
          </w:p>
        </w:tc>
        <w:tc>
          <w:tcPr>
            <w:tcW w:w="879" w:type="pct"/>
            <w:hideMark/>
          </w:tcPr>
          <w:p w14:paraId="3F96A3A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$46,91</w:t>
            </w:r>
          </w:p>
        </w:tc>
        <w:tc>
          <w:tcPr>
            <w:tcW w:w="668" w:type="pct"/>
            <w:hideMark/>
          </w:tcPr>
          <w:p w14:paraId="1110561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$3,23</w:t>
            </w:r>
          </w:p>
        </w:tc>
        <w:tc>
          <w:tcPr>
            <w:tcW w:w="666" w:type="pct"/>
            <w:hideMark/>
          </w:tcPr>
          <w:p w14:paraId="3AC495B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$90,58</w:t>
            </w:r>
          </w:p>
        </w:tc>
        <w:tc>
          <w:tcPr>
            <w:tcW w:w="662" w:type="pct"/>
            <w:hideMark/>
          </w:tcPr>
          <w:p w14:paraId="22AF6425"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159,69%</w:t>
            </w:r>
          </w:p>
        </w:tc>
        <w:tc>
          <w:tcPr>
            <w:tcW w:w="776" w:type="pct"/>
            <w:hideMark/>
          </w:tcPr>
          <w:p w14:paraId="3DA1A5CD"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-7,33%</w:t>
            </w:r>
          </w:p>
        </w:tc>
      </w:tr>
      <w:tr w:rsidR="008A460C" w:rsidRPr="008A460C" w14:paraId="5009A161" w14:textId="77777777" w:rsidTr="008A460C">
        <w:trPr>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44CDA2D5"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2017</w:t>
            </w:r>
          </w:p>
        </w:tc>
        <w:tc>
          <w:tcPr>
            <w:tcW w:w="896" w:type="pct"/>
            <w:hideMark/>
          </w:tcPr>
          <w:p w14:paraId="1FECA55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$43,53</w:t>
            </w:r>
          </w:p>
        </w:tc>
        <w:tc>
          <w:tcPr>
            <w:tcW w:w="879" w:type="pct"/>
            <w:hideMark/>
          </w:tcPr>
          <w:p w14:paraId="5490AE69"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$51,56</w:t>
            </w:r>
          </w:p>
        </w:tc>
        <w:tc>
          <w:tcPr>
            <w:tcW w:w="668" w:type="pct"/>
            <w:hideMark/>
          </w:tcPr>
          <w:p w14:paraId="4D7FD2E0"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$8,03</w:t>
            </w:r>
          </w:p>
        </w:tc>
        <w:tc>
          <w:tcPr>
            <w:tcW w:w="666" w:type="pct"/>
            <w:hideMark/>
          </w:tcPr>
          <w:p w14:paraId="3BC9C852"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$95,08</w:t>
            </w:r>
          </w:p>
        </w:tc>
        <w:tc>
          <w:tcPr>
            <w:tcW w:w="662" w:type="pct"/>
            <w:hideMark/>
          </w:tcPr>
          <w:p w14:paraId="4716CFA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172,59%</w:t>
            </w:r>
          </w:p>
        </w:tc>
        <w:tc>
          <w:tcPr>
            <w:tcW w:w="776" w:type="pct"/>
            <w:hideMark/>
          </w:tcPr>
          <w:p w14:paraId="5129EA2D" w14:textId="77777777" w:rsidR="008A460C" w:rsidRPr="008A460C" w:rsidRDefault="008A460C" w:rsidP="008A460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4,97%</w:t>
            </w:r>
          </w:p>
        </w:tc>
      </w:tr>
      <w:tr w:rsidR="008A460C" w:rsidRPr="008A460C" w14:paraId="6EFFB967" w14:textId="77777777" w:rsidTr="008A460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pct"/>
            <w:hideMark/>
          </w:tcPr>
          <w:p w14:paraId="1C80E8B2" w14:textId="77777777" w:rsidR="008A460C" w:rsidRPr="008A460C" w:rsidRDefault="008A460C" w:rsidP="008A460C">
            <w:pPr>
              <w:jc w:val="center"/>
              <w:rPr>
                <w:rFonts w:ascii="Calibri" w:eastAsia="Times New Roman" w:hAnsi="Calibri" w:cs="Calibri"/>
                <w:lang w:eastAsia="es-CR"/>
              </w:rPr>
            </w:pPr>
            <w:r w:rsidRPr="008A460C">
              <w:rPr>
                <w:rFonts w:ascii="Calibri" w:eastAsia="Times New Roman" w:hAnsi="Calibri" w:cs="Calibri"/>
                <w:lang w:eastAsia="es-CR"/>
              </w:rPr>
              <w:t>2018</w:t>
            </w:r>
          </w:p>
        </w:tc>
        <w:tc>
          <w:tcPr>
            <w:tcW w:w="896" w:type="pct"/>
            <w:hideMark/>
          </w:tcPr>
          <w:p w14:paraId="186BC211"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$39,04</w:t>
            </w:r>
          </w:p>
        </w:tc>
        <w:tc>
          <w:tcPr>
            <w:tcW w:w="879" w:type="pct"/>
            <w:hideMark/>
          </w:tcPr>
          <w:p w14:paraId="7900D200"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$60,79</w:t>
            </w:r>
          </w:p>
        </w:tc>
        <w:tc>
          <w:tcPr>
            <w:tcW w:w="668" w:type="pct"/>
            <w:hideMark/>
          </w:tcPr>
          <w:p w14:paraId="2F85434F"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$21,76</w:t>
            </w:r>
          </w:p>
        </w:tc>
        <w:tc>
          <w:tcPr>
            <w:tcW w:w="666" w:type="pct"/>
            <w:hideMark/>
          </w:tcPr>
          <w:p w14:paraId="26740A8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$99,83</w:t>
            </w:r>
          </w:p>
        </w:tc>
        <w:tc>
          <w:tcPr>
            <w:tcW w:w="662" w:type="pct"/>
            <w:hideMark/>
          </w:tcPr>
          <w:p w14:paraId="4CC505A2"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186,19%</w:t>
            </w:r>
          </w:p>
        </w:tc>
        <w:tc>
          <w:tcPr>
            <w:tcW w:w="776" w:type="pct"/>
            <w:hideMark/>
          </w:tcPr>
          <w:p w14:paraId="3D75E5DA" w14:textId="77777777" w:rsidR="008A460C" w:rsidRPr="008A460C" w:rsidRDefault="008A460C" w:rsidP="008A460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8A460C">
              <w:rPr>
                <w:rFonts w:ascii="Calibri" w:eastAsia="Times New Roman" w:hAnsi="Calibri" w:cs="Calibri"/>
                <w:color w:val="000000"/>
                <w:lang w:eastAsia="es-CR"/>
              </w:rPr>
              <w:t>4,99%</w:t>
            </w:r>
          </w:p>
        </w:tc>
      </w:tr>
    </w:tbl>
    <w:p w14:paraId="147053AE" w14:textId="572C9BDC" w:rsidR="00383E56" w:rsidRPr="0063668A" w:rsidRDefault="00577B9D" w:rsidP="0063668A">
      <w:pPr>
        <w:ind w:left="-709"/>
        <w:jc w:val="center"/>
        <w:rPr>
          <w:sz w:val="20"/>
          <w:szCs w:val="20"/>
        </w:rPr>
        <w:sectPr w:rsidR="00383E56" w:rsidRPr="0063668A">
          <w:headerReference w:type="default" r:id="rId20"/>
          <w:footerReference w:type="default" r:id="rId21"/>
          <w:pgSz w:w="12240" w:h="15840"/>
          <w:pgMar w:top="1417" w:right="1701" w:bottom="1417" w:left="1701" w:header="708" w:footer="708" w:gutter="0"/>
          <w:cols w:space="708"/>
          <w:docGrid w:linePitch="360"/>
        </w:sectPr>
      </w:pPr>
      <w:r w:rsidRPr="00577B9D">
        <w:rPr>
          <w:sz w:val="20"/>
          <w:szCs w:val="20"/>
        </w:rPr>
        <w:t xml:space="preserve">Fuente: Elaboración propia con base en datos de UN Comtrade Database. (2019). </w:t>
      </w:r>
      <w:r w:rsidRPr="00577B9D">
        <w:rPr>
          <w:i/>
          <w:iCs/>
          <w:sz w:val="20"/>
          <w:szCs w:val="20"/>
        </w:rPr>
        <w:t>Trade Statistics</w:t>
      </w:r>
      <w:r w:rsidRPr="00577B9D">
        <w:rPr>
          <w:sz w:val="20"/>
          <w:szCs w:val="20"/>
        </w:rPr>
        <w:t xml:space="preserve">. Recuperado de: </w:t>
      </w:r>
      <w:hyperlink r:id="rId22" w:history="1">
        <w:r w:rsidRPr="00577B9D">
          <w:rPr>
            <w:rStyle w:val="Hipervnculo"/>
            <w:sz w:val="20"/>
            <w:szCs w:val="20"/>
          </w:rPr>
          <w:t>https://comtrade.un.org/data/</w:t>
        </w:r>
      </w:hyperlink>
    </w:p>
    <w:p w14:paraId="1379350C" w14:textId="4D4BC755" w:rsidR="00383E56" w:rsidRPr="00383E56" w:rsidRDefault="00383E56" w:rsidP="0063668A">
      <w:pPr>
        <w:jc w:val="center"/>
        <w:rPr>
          <w:b/>
          <w:bCs/>
        </w:rPr>
      </w:pPr>
      <w:r w:rsidRPr="00383E56">
        <w:rPr>
          <w:b/>
          <w:bCs/>
        </w:rPr>
        <w:lastRenderedPageBreak/>
        <w:t>Anexo 2. Principales Productos y Mercados de Comercio entre Turquía y sus Socios Más Importantes en Latinoamérica y Costa Rica, 2003-2018</w:t>
      </w:r>
    </w:p>
    <w:tbl>
      <w:tblPr>
        <w:tblStyle w:val="Tablaconcuadrcula5oscura-nfasis3"/>
        <w:tblW w:w="0" w:type="auto"/>
        <w:tblLook w:val="04A0" w:firstRow="1" w:lastRow="0" w:firstColumn="1" w:lastColumn="0" w:noHBand="0" w:noVBand="1"/>
      </w:tblPr>
      <w:tblGrid>
        <w:gridCol w:w="902"/>
        <w:gridCol w:w="1201"/>
        <w:gridCol w:w="786"/>
        <w:gridCol w:w="1004"/>
        <w:gridCol w:w="959"/>
        <w:gridCol w:w="786"/>
        <w:gridCol w:w="1004"/>
        <w:gridCol w:w="1082"/>
        <w:gridCol w:w="786"/>
        <w:gridCol w:w="1025"/>
        <w:gridCol w:w="1082"/>
        <w:gridCol w:w="786"/>
        <w:gridCol w:w="1025"/>
      </w:tblGrid>
      <w:tr w:rsidR="00383E56" w:rsidRPr="00383E56" w14:paraId="30956E81" w14:textId="77777777" w:rsidTr="00383E56">
        <w:trPr>
          <w:cnfStyle w:val="100000000000" w:firstRow="1" w:lastRow="0" w:firstColumn="0" w:lastColumn="0" w:oddVBand="0" w:evenVBand="0" w:oddHBand="0" w:evenHBand="0" w:firstRowFirstColumn="0" w:firstRowLastColumn="0" w:lastRowFirstColumn="0" w:lastRowLastColumn="0"/>
          <w:trHeight w:val="1674"/>
        </w:trPr>
        <w:tc>
          <w:tcPr>
            <w:cnfStyle w:val="001000000000" w:firstRow="0" w:lastRow="0" w:firstColumn="1" w:lastColumn="0" w:oddVBand="0" w:evenVBand="0" w:oddHBand="0" w:evenHBand="0" w:firstRowFirstColumn="0" w:firstRowLastColumn="0" w:lastRowFirstColumn="0" w:lastRowLastColumn="0"/>
            <w:tcW w:w="0" w:type="auto"/>
            <w:hideMark/>
          </w:tcPr>
          <w:p w14:paraId="794142CF" w14:textId="77777777" w:rsidR="00383E56" w:rsidRPr="00383E56" w:rsidRDefault="00383E56" w:rsidP="00383E56">
            <w:pPr>
              <w:jc w:val="center"/>
              <w:rPr>
                <w:rFonts w:ascii="Times New Roman" w:eastAsia="Times New Roman" w:hAnsi="Times New Roman" w:cs="Times New Roman"/>
                <w:sz w:val="24"/>
                <w:szCs w:val="24"/>
                <w:lang w:eastAsia="es-CR"/>
              </w:rPr>
            </w:pPr>
          </w:p>
        </w:tc>
        <w:tc>
          <w:tcPr>
            <w:tcW w:w="0" w:type="auto"/>
            <w:hideMark/>
          </w:tcPr>
          <w:p w14:paraId="57ACF1D7" w14:textId="7A4B0A60"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Principales Productos de Exportación de Turquía</w:t>
            </w:r>
          </w:p>
        </w:tc>
        <w:tc>
          <w:tcPr>
            <w:tcW w:w="0" w:type="auto"/>
            <w:hideMark/>
          </w:tcPr>
          <w:p w14:paraId="20C6A70A"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Valor en US$ Millones de Dólares</w:t>
            </w:r>
          </w:p>
        </w:tc>
        <w:tc>
          <w:tcPr>
            <w:tcW w:w="0" w:type="auto"/>
            <w:hideMark/>
          </w:tcPr>
          <w:p w14:paraId="0002ED9F"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Peso Relativo en Exportación por Producto</w:t>
            </w:r>
          </w:p>
        </w:tc>
        <w:tc>
          <w:tcPr>
            <w:tcW w:w="0" w:type="auto"/>
            <w:hideMark/>
          </w:tcPr>
          <w:p w14:paraId="0B62AF14"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Sector de Producción</w:t>
            </w:r>
          </w:p>
        </w:tc>
        <w:tc>
          <w:tcPr>
            <w:tcW w:w="0" w:type="auto"/>
            <w:hideMark/>
          </w:tcPr>
          <w:p w14:paraId="63E33C3A"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Valor en US$ Millones de Dólares</w:t>
            </w:r>
          </w:p>
        </w:tc>
        <w:tc>
          <w:tcPr>
            <w:tcW w:w="0" w:type="auto"/>
            <w:hideMark/>
          </w:tcPr>
          <w:p w14:paraId="1F8A59F5"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Peso Relativo en Exportación por Sector</w:t>
            </w:r>
          </w:p>
        </w:tc>
        <w:tc>
          <w:tcPr>
            <w:tcW w:w="0" w:type="auto"/>
            <w:hideMark/>
          </w:tcPr>
          <w:p w14:paraId="19A9C10E" w14:textId="5ED6B1F8"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Principales Productos de Importación a Turquía</w:t>
            </w:r>
          </w:p>
        </w:tc>
        <w:tc>
          <w:tcPr>
            <w:tcW w:w="0" w:type="auto"/>
            <w:hideMark/>
          </w:tcPr>
          <w:p w14:paraId="206000A4"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Valor en US$ Millones de Dólares</w:t>
            </w:r>
          </w:p>
        </w:tc>
        <w:tc>
          <w:tcPr>
            <w:tcW w:w="0" w:type="auto"/>
            <w:hideMark/>
          </w:tcPr>
          <w:p w14:paraId="1E056328"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Peso Relativo en Importación por Producto</w:t>
            </w:r>
          </w:p>
        </w:tc>
        <w:tc>
          <w:tcPr>
            <w:tcW w:w="0" w:type="auto"/>
            <w:hideMark/>
          </w:tcPr>
          <w:p w14:paraId="4FB9A543"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Sector de Producción</w:t>
            </w:r>
          </w:p>
        </w:tc>
        <w:tc>
          <w:tcPr>
            <w:tcW w:w="0" w:type="auto"/>
            <w:hideMark/>
          </w:tcPr>
          <w:p w14:paraId="2005C9DE"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Valor en US$ Millones de Dólares</w:t>
            </w:r>
          </w:p>
        </w:tc>
        <w:tc>
          <w:tcPr>
            <w:tcW w:w="0" w:type="auto"/>
            <w:hideMark/>
          </w:tcPr>
          <w:p w14:paraId="191E0AEA" w14:textId="77777777" w:rsidR="00383E56" w:rsidRPr="00383E56" w:rsidRDefault="00383E56" w:rsidP="00383E5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es-CR"/>
              </w:rPr>
            </w:pPr>
            <w:r w:rsidRPr="00383E56">
              <w:rPr>
                <w:rFonts w:ascii="Calibri" w:eastAsia="Times New Roman" w:hAnsi="Calibri" w:cs="Calibri"/>
                <w:lang w:eastAsia="es-CR"/>
              </w:rPr>
              <w:t>Peso Relativo en Importación por Sector</w:t>
            </w:r>
          </w:p>
        </w:tc>
      </w:tr>
      <w:tr w:rsidR="00383E56" w:rsidRPr="00383E56" w14:paraId="699FF0E8" w14:textId="77777777" w:rsidTr="00383E56">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6FBD06E1"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Argentina</w:t>
            </w:r>
          </w:p>
        </w:tc>
        <w:tc>
          <w:tcPr>
            <w:tcW w:w="0" w:type="auto"/>
            <w:hideMark/>
          </w:tcPr>
          <w:p w14:paraId="41BDD28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Piezas de Repuestos</w:t>
            </w:r>
          </w:p>
        </w:tc>
        <w:tc>
          <w:tcPr>
            <w:tcW w:w="0" w:type="auto"/>
            <w:hideMark/>
          </w:tcPr>
          <w:p w14:paraId="2A42A1B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$352</w:t>
            </w:r>
          </w:p>
        </w:tc>
        <w:tc>
          <w:tcPr>
            <w:tcW w:w="0" w:type="auto"/>
            <w:hideMark/>
          </w:tcPr>
          <w:p w14:paraId="5942E26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15%</w:t>
            </w:r>
          </w:p>
        </w:tc>
        <w:tc>
          <w:tcPr>
            <w:tcW w:w="0" w:type="auto"/>
            <w:hideMark/>
          </w:tcPr>
          <w:p w14:paraId="75F4DCCA"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4DC71AE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$907,0</w:t>
            </w:r>
          </w:p>
        </w:tc>
        <w:tc>
          <w:tcPr>
            <w:tcW w:w="0" w:type="auto"/>
            <w:hideMark/>
          </w:tcPr>
          <w:p w14:paraId="6A5F205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28%</w:t>
            </w:r>
          </w:p>
        </w:tc>
        <w:tc>
          <w:tcPr>
            <w:tcW w:w="0" w:type="auto"/>
            <w:hideMark/>
          </w:tcPr>
          <w:p w14:paraId="5E68E4C6"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Harina de Soja</w:t>
            </w:r>
          </w:p>
        </w:tc>
        <w:tc>
          <w:tcPr>
            <w:tcW w:w="0" w:type="auto"/>
            <w:hideMark/>
          </w:tcPr>
          <w:p w14:paraId="791D7617"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$1.720</w:t>
            </w:r>
          </w:p>
        </w:tc>
        <w:tc>
          <w:tcPr>
            <w:tcW w:w="0" w:type="auto"/>
            <w:hideMark/>
          </w:tcPr>
          <w:p w14:paraId="7A483B5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32%</w:t>
            </w:r>
          </w:p>
        </w:tc>
        <w:tc>
          <w:tcPr>
            <w:tcW w:w="0" w:type="auto"/>
            <w:hideMark/>
          </w:tcPr>
          <w:p w14:paraId="4019D438"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Alimenticios</w:t>
            </w:r>
          </w:p>
        </w:tc>
        <w:tc>
          <w:tcPr>
            <w:tcW w:w="0" w:type="auto"/>
            <w:hideMark/>
          </w:tcPr>
          <w:p w14:paraId="39EF512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$1.990</w:t>
            </w:r>
          </w:p>
        </w:tc>
        <w:tc>
          <w:tcPr>
            <w:tcW w:w="0" w:type="auto"/>
            <w:hideMark/>
          </w:tcPr>
          <w:p w14:paraId="2D09BCE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w:t>
            </w:r>
          </w:p>
        </w:tc>
      </w:tr>
      <w:tr w:rsidR="00383E56" w:rsidRPr="00383E56" w14:paraId="70B20941" w14:textId="77777777" w:rsidTr="00383E56">
        <w:trPr>
          <w:trHeight w:val="423"/>
        </w:trPr>
        <w:tc>
          <w:tcPr>
            <w:cnfStyle w:val="001000000000" w:firstRow="0" w:lastRow="0" w:firstColumn="1" w:lastColumn="0" w:oddVBand="0" w:evenVBand="0" w:oddHBand="0" w:evenHBand="0" w:firstRowFirstColumn="0" w:firstRowLastColumn="0" w:lastRowFirstColumn="0" w:lastRowLastColumn="0"/>
            <w:tcW w:w="0" w:type="auto"/>
            <w:vMerge/>
            <w:hideMark/>
          </w:tcPr>
          <w:p w14:paraId="37E9E712" w14:textId="77777777" w:rsidR="00383E56" w:rsidRPr="00383E56" w:rsidRDefault="00383E56" w:rsidP="007B40CA">
            <w:pPr>
              <w:rPr>
                <w:rFonts w:ascii="Calibri" w:eastAsia="Times New Roman" w:hAnsi="Calibri" w:cs="Calibri"/>
                <w:lang w:eastAsia="es-CR"/>
              </w:rPr>
            </w:pPr>
          </w:p>
        </w:tc>
        <w:tc>
          <w:tcPr>
            <w:tcW w:w="0" w:type="auto"/>
            <w:hideMark/>
          </w:tcPr>
          <w:p w14:paraId="235281DF"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Automóviles</w:t>
            </w:r>
          </w:p>
        </w:tc>
        <w:tc>
          <w:tcPr>
            <w:tcW w:w="0" w:type="auto"/>
            <w:hideMark/>
          </w:tcPr>
          <w:p w14:paraId="2F4D03CE"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$261</w:t>
            </w:r>
          </w:p>
        </w:tc>
        <w:tc>
          <w:tcPr>
            <w:tcW w:w="0" w:type="auto"/>
            <w:hideMark/>
          </w:tcPr>
          <w:p w14:paraId="3897CDB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w:t>
            </w:r>
          </w:p>
        </w:tc>
        <w:tc>
          <w:tcPr>
            <w:tcW w:w="0" w:type="auto"/>
            <w:hideMark/>
          </w:tcPr>
          <w:p w14:paraId="32BC34E2"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7945938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$592,0</w:t>
            </w:r>
          </w:p>
        </w:tc>
        <w:tc>
          <w:tcPr>
            <w:tcW w:w="0" w:type="auto"/>
            <w:hideMark/>
          </w:tcPr>
          <w:p w14:paraId="7D3A4CB4"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25%</w:t>
            </w:r>
          </w:p>
        </w:tc>
        <w:tc>
          <w:tcPr>
            <w:tcW w:w="0" w:type="auto"/>
            <w:hideMark/>
          </w:tcPr>
          <w:p w14:paraId="409D967E"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Soja</w:t>
            </w:r>
          </w:p>
        </w:tc>
        <w:tc>
          <w:tcPr>
            <w:tcW w:w="0" w:type="auto"/>
            <w:hideMark/>
          </w:tcPr>
          <w:p w14:paraId="78A3386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$756</w:t>
            </w:r>
          </w:p>
        </w:tc>
        <w:tc>
          <w:tcPr>
            <w:tcW w:w="0" w:type="auto"/>
            <w:hideMark/>
          </w:tcPr>
          <w:p w14:paraId="28B80FC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14%</w:t>
            </w:r>
          </w:p>
        </w:tc>
        <w:tc>
          <w:tcPr>
            <w:tcW w:w="0" w:type="auto"/>
            <w:hideMark/>
          </w:tcPr>
          <w:p w14:paraId="3842140B"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Vegetales</w:t>
            </w:r>
          </w:p>
        </w:tc>
        <w:tc>
          <w:tcPr>
            <w:tcW w:w="0" w:type="auto"/>
            <w:hideMark/>
          </w:tcPr>
          <w:p w14:paraId="5A07C02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$1.450</w:t>
            </w:r>
          </w:p>
        </w:tc>
        <w:tc>
          <w:tcPr>
            <w:tcW w:w="0" w:type="auto"/>
            <w:hideMark/>
          </w:tcPr>
          <w:p w14:paraId="7663E0B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27%</w:t>
            </w:r>
          </w:p>
        </w:tc>
      </w:tr>
      <w:tr w:rsidR="00383E56" w:rsidRPr="00383E56" w14:paraId="5E6841EC" w14:textId="77777777" w:rsidTr="00383E56">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0" w:type="auto"/>
            <w:vMerge/>
            <w:hideMark/>
          </w:tcPr>
          <w:p w14:paraId="7919E4D7" w14:textId="77777777" w:rsidR="00383E56" w:rsidRPr="00383E56" w:rsidRDefault="00383E56" w:rsidP="007B40CA">
            <w:pPr>
              <w:rPr>
                <w:rFonts w:ascii="Calibri" w:eastAsia="Times New Roman" w:hAnsi="Calibri" w:cs="Calibri"/>
                <w:lang w:eastAsia="es-CR"/>
              </w:rPr>
            </w:pPr>
          </w:p>
        </w:tc>
        <w:tc>
          <w:tcPr>
            <w:tcW w:w="0" w:type="auto"/>
            <w:hideMark/>
          </w:tcPr>
          <w:p w14:paraId="716D1166"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Camiones de Reparto</w:t>
            </w:r>
          </w:p>
        </w:tc>
        <w:tc>
          <w:tcPr>
            <w:tcW w:w="0" w:type="auto"/>
            <w:hideMark/>
          </w:tcPr>
          <w:p w14:paraId="00417BA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$182</w:t>
            </w:r>
          </w:p>
        </w:tc>
        <w:tc>
          <w:tcPr>
            <w:tcW w:w="0" w:type="auto"/>
            <w:hideMark/>
          </w:tcPr>
          <w:p w14:paraId="6B318A6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7,50%</w:t>
            </w:r>
          </w:p>
        </w:tc>
        <w:tc>
          <w:tcPr>
            <w:tcW w:w="0" w:type="auto"/>
            <w:hideMark/>
          </w:tcPr>
          <w:p w14:paraId="6697C8B1"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67FB21C3"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$204,0</w:t>
            </w:r>
          </w:p>
        </w:tc>
        <w:tc>
          <w:tcPr>
            <w:tcW w:w="0" w:type="auto"/>
            <w:hideMark/>
          </w:tcPr>
          <w:p w14:paraId="284B328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8,40%</w:t>
            </w:r>
          </w:p>
        </w:tc>
        <w:tc>
          <w:tcPr>
            <w:tcW w:w="0" w:type="auto"/>
            <w:hideMark/>
          </w:tcPr>
          <w:p w14:paraId="67DDFBB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Aceite de Semillas</w:t>
            </w:r>
          </w:p>
        </w:tc>
        <w:tc>
          <w:tcPr>
            <w:tcW w:w="0" w:type="auto"/>
            <w:hideMark/>
          </w:tcPr>
          <w:p w14:paraId="4A0FA9A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$370</w:t>
            </w:r>
          </w:p>
        </w:tc>
        <w:tc>
          <w:tcPr>
            <w:tcW w:w="0" w:type="auto"/>
            <w:hideMark/>
          </w:tcPr>
          <w:p w14:paraId="55EC284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6,90%</w:t>
            </w:r>
          </w:p>
        </w:tc>
        <w:tc>
          <w:tcPr>
            <w:tcW w:w="0" w:type="auto"/>
            <w:hideMark/>
          </w:tcPr>
          <w:p w14:paraId="5FD25055"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derivados de Animales y Vegetales</w:t>
            </w:r>
          </w:p>
        </w:tc>
        <w:tc>
          <w:tcPr>
            <w:tcW w:w="0" w:type="auto"/>
            <w:hideMark/>
          </w:tcPr>
          <w:p w14:paraId="2260C89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$594</w:t>
            </w:r>
          </w:p>
        </w:tc>
        <w:tc>
          <w:tcPr>
            <w:tcW w:w="0" w:type="auto"/>
            <w:hideMark/>
          </w:tcPr>
          <w:p w14:paraId="75FBF80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w:t>
            </w:r>
          </w:p>
        </w:tc>
      </w:tr>
      <w:tr w:rsidR="00383E56" w:rsidRPr="00383E56" w14:paraId="4CADB654" w14:textId="77777777" w:rsidTr="00383E56">
        <w:trPr>
          <w:trHeight w:val="327"/>
        </w:trPr>
        <w:tc>
          <w:tcPr>
            <w:cnfStyle w:val="001000000000" w:firstRow="0" w:lastRow="0" w:firstColumn="1" w:lastColumn="0" w:oddVBand="0" w:evenVBand="0" w:oddHBand="0" w:evenHBand="0" w:firstRowFirstColumn="0" w:firstRowLastColumn="0" w:lastRowFirstColumn="0" w:lastRowLastColumn="0"/>
            <w:tcW w:w="0" w:type="auto"/>
            <w:vMerge/>
            <w:hideMark/>
          </w:tcPr>
          <w:p w14:paraId="60B5D8EB" w14:textId="77777777" w:rsidR="00383E56" w:rsidRPr="00383E56" w:rsidRDefault="00383E56" w:rsidP="007B40CA">
            <w:pPr>
              <w:rPr>
                <w:rFonts w:ascii="Calibri" w:eastAsia="Times New Roman" w:hAnsi="Calibri" w:cs="Calibri"/>
                <w:lang w:eastAsia="es-CR"/>
              </w:rPr>
            </w:pPr>
          </w:p>
        </w:tc>
        <w:tc>
          <w:tcPr>
            <w:tcW w:w="0" w:type="auto"/>
            <w:hideMark/>
          </w:tcPr>
          <w:p w14:paraId="3B4F9593"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Refrigeradores</w:t>
            </w:r>
          </w:p>
        </w:tc>
        <w:tc>
          <w:tcPr>
            <w:tcW w:w="0" w:type="auto"/>
            <w:hideMark/>
          </w:tcPr>
          <w:p w14:paraId="7729F8F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$74</w:t>
            </w:r>
          </w:p>
        </w:tc>
        <w:tc>
          <w:tcPr>
            <w:tcW w:w="0" w:type="auto"/>
            <w:hideMark/>
          </w:tcPr>
          <w:p w14:paraId="2040663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3,10%</w:t>
            </w:r>
          </w:p>
        </w:tc>
        <w:tc>
          <w:tcPr>
            <w:tcW w:w="0" w:type="auto"/>
            <w:hideMark/>
          </w:tcPr>
          <w:p w14:paraId="619ECB42"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23E89D6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$173,0</w:t>
            </w:r>
          </w:p>
        </w:tc>
        <w:tc>
          <w:tcPr>
            <w:tcW w:w="0" w:type="auto"/>
            <w:hideMark/>
          </w:tcPr>
          <w:p w14:paraId="2DEB9758"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7,10%</w:t>
            </w:r>
          </w:p>
        </w:tc>
        <w:tc>
          <w:tcPr>
            <w:tcW w:w="0" w:type="auto"/>
            <w:hideMark/>
          </w:tcPr>
          <w:p w14:paraId="4219C869"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Camiones de Reparto</w:t>
            </w:r>
          </w:p>
        </w:tc>
        <w:tc>
          <w:tcPr>
            <w:tcW w:w="0" w:type="auto"/>
            <w:hideMark/>
          </w:tcPr>
          <w:p w14:paraId="722A3BE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$323</w:t>
            </w:r>
          </w:p>
        </w:tc>
        <w:tc>
          <w:tcPr>
            <w:tcW w:w="0" w:type="auto"/>
            <w:hideMark/>
          </w:tcPr>
          <w:p w14:paraId="594841D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w:t>
            </w:r>
          </w:p>
        </w:tc>
        <w:tc>
          <w:tcPr>
            <w:tcW w:w="0" w:type="auto"/>
            <w:hideMark/>
          </w:tcPr>
          <w:p w14:paraId="4412AEF2"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1BCE4B9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$358</w:t>
            </w:r>
          </w:p>
        </w:tc>
        <w:tc>
          <w:tcPr>
            <w:tcW w:w="0" w:type="auto"/>
            <w:hideMark/>
          </w:tcPr>
          <w:p w14:paraId="543692E1"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6,70%</w:t>
            </w:r>
          </w:p>
        </w:tc>
      </w:tr>
      <w:tr w:rsidR="00383E56" w:rsidRPr="00383E56" w14:paraId="29B54B0B" w14:textId="77777777" w:rsidTr="00383E56">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F388045"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Brasil</w:t>
            </w:r>
          </w:p>
        </w:tc>
        <w:tc>
          <w:tcPr>
            <w:tcW w:w="0" w:type="auto"/>
            <w:hideMark/>
          </w:tcPr>
          <w:p w14:paraId="759DA30A"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Piezas de Repuestos</w:t>
            </w:r>
          </w:p>
        </w:tc>
        <w:tc>
          <w:tcPr>
            <w:tcW w:w="0" w:type="auto"/>
            <w:hideMark/>
          </w:tcPr>
          <w:p w14:paraId="3B84BDE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$886</w:t>
            </w:r>
          </w:p>
        </w:tc>
        <w:tc>
          <w:tcPr>
            <w:tcW w:w="0" w:type="auto"/>
            <w:hideMark/>
          </w:tcPr>
          <w:p w14:paraId="6E753554"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w:t>
            </w:r>
          </w:p>
        </w:tc>
        <w:tc>
          <w:tcPr>
            <w:tcW w:w="0" w:type="auto"/>
            <w:hideMark/>
          </w:tcPr>
          <w:p w14:paraId="218BDA7E"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0D49DAB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$1.600,0</w:t>
            </w:r>
          </w:p>
        </w:tc>
        <w:tc>
          <w:tcPr>
            <w:tcW w:w="0" w:type="auto"/>
            <w:hideMark/>
          </w:tcPr>
          <w:p w14:paraId="6559124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22%</w:t>
            </w:r>
          </w:p>
        </w:tc>
        <w:tc>
          <w:tcPr>
            <w:tcW w:w="0" w:type="auto"/>
            <w:hideMark/>
          </w:tcPr>
          <w:p w14:paraId="251FC9B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Mineral de Hierro</w:t>
            </w:r>
          </w:p>
        </w:tc>
        <w:tc>
          <w:tcPr>
            <w:tcW w:w="0" w:type="auto"/>
            <w:hideMark/>
          </w:tcPr>
          <w:p w14:paraId="4F89949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$3.350</w:t>
            </w:r>
          </w:p>
        </w:tc>
        <w:tc>
          <w:tcPr>
            <w:tcW w:w="0" w:type="auto"/>
            <w:hideMark/>
          </w:tcPr>
          <w:p w14:paraId="6C1575E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19%</w:t>
            </w:r>
          </w:p>
        </w:tc>
        <w:tc>
          <w:tcPr>
            <w:tcW w:w="0" w:type="auto"/>
            <w:hideMark/>
          </w:tcPr>
          <w:p w14:paraId="0E585EE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 xml:space="preserve">Productos </w:t>
            </w:r>
            <w:r w:rsidRPr="00383E56">
              <w:rPr>
                <w:rFonts w:ascii="Calibri" w:eastAsia="Times New Roman" w:hAnsi="Calibri" w:cs="Calibri"/>
                <w:color w:val="000000"/>
                <w:lang w:eastAsia="es-CR"/>
              </w:rPr>
              <w:lastRenderedPageBreak/>
              <w:t>Minerales</w:t>
            </w:r>
          </w:p>
        </w:tc>
        <w:tc>
          <w:tcPr>
            <w:tcW w:w="0" w:type="auto"/>
            <w:hideMark/>
          </w:tcPr>
          <w:p w14:paraId="6F3EA5CD"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lastRenderedPageBreak/>
              <w:t>$3.440</w:t>
            </w:r>
          </w:p>
        </w:tc>
        <w:tc>
          <w:tcPr>
            <w:tcW w:w="0" w:type="auto"/>
            <w:hideMark/>
          </w:tcPr>
          <w:p w14:paraId="516BA567"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20%</w:t>
            </w:r>
          </w:p>
        </w:tc>
      </w:tr>
      <w:tr w:rsidR="00383E56" w:rsidRPr="00383E56" w14:paraId="5BC05D75" w14:textId="77777777" w:rsidTr="00383E56">
        <w:trPr>
          <w:trHeight w:val="603"/>
        </w:trPr>
        <w:tc>
          <w:tcPr>
            <w:cnfStyle w:val="001000000000" w:firstRow="0" w:lastRow="0" w:firstColumn="1" w:lastColumn="0" w:oddVBand="0" w:evenVBand="0" w:oddHBand="0" w:evenHBand="0" w:firstRowFirstColumn="0" w:firstRowLastColumn="0" w:lastRowFirstColumn="0" w:lastRowLastColumn="0"/>
            <w:tcW w:w="0" w:type="auto"/>
            <w:vMerge/>
            <w:hideMark/>
          </w:tcPr>
          <w:p w14:paraId="2B0CAAAE" w14:textId="77777777" w:rsidR="00383E56" w:rsidRPr="00383E56" w:rsidRDefault="00383E56" w:rsidP="007B40CA">
            <w:pPr>
              <w:rPr>
                <w:rFonts w:ascii="Calibri" w:eastAsia="Times New Roman" w:hAnsi="Calibri" w:cs="Calibri"/>
                <w:lang w:eastAsia="es-CR"/>
              </w:rPr>
            </w:pPr>
          </w:p>
        </w:tc>
        <w:tc>
          <w:tcPr>
            <w:tcW w:w="0" w:type="auto"/>
            <w:hideMark/>
          </w:tcPr>
          <w:p w14:paraId="1FFCAC3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Barras de Hierro en Bruto</w:t>
            </w:r>
          </w:p>
        </w:tc>
        <w:tc>
          <w:tcPr>
            <w:tcW w:w="0" w:type="auto"/>
            <w:hideMark/>
          </w:tcPr>
          <w:p w14:paraId="3B671C4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$671</w:t>
            </w:r>
          </w:p>
        </w:tc>
        <w:tc>
          <w:tcPr>
            <w:tcW w:w="0" w:type="auto"/>
            <w:hideMark/>
          </w:tcPr>
          <w:p w14:paraId="7DB5DF3B"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w:t>
            </w:r>
          </w:p>
        </w:tc>
        <w:tc>
          <w:tcPr>
            <w:tcW w:w="0" w:type="auto"/>
            <w:hideMark/>
          </w:tcPr>
          <w:p w14:paraId="4541E726"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0C4D7B71"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$1.390,0</w:t>
            </w:r>
          </w:p>
        </w:tc>
        <w:tc>
          <w:tcPr>
            <w:tcW w:w="0" w:type="auto"/>
            <w:hideMark/>
          </w:tcPr>
          <w:p w14:paraId="1385615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19%</w:t>
            </w:r>
          </w:p>
        </w:tc>
        <w:tc>
          <w:tcPr>
            <w:tcW w:w="0" w:type="auto"/>
            <w:hideMark/>
          </w:tcPr>
          <w:p w14:paraId="7EF3FE6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Soja</w:t>
            </w:r>
          </w:p>
        </w:tc>
        <w:tc>
          <w:tcPr>
            <w:tcW w:w="0" w:type="auto"/>
            <w:noWrap/>
            <w:hideMark/>
          </w:tcPr>
          <w:p w14:paraId="717481C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$1.020</w:t>
            </w:r>
          </w:p>
        </w:tc>
        <w:tc>
          <w:tcPr>
            <w:tcW w:w="0" w:type="auto"/>
            <w:noWrap/>
            <w:hideMark/>
          </w:tcPr>
          <w:p w14:paraId="1DA4660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5,80%</w:t>
            </w:r>
          </w:p>
        </w:tc>
        <w:tc>
          <w:tcPr>
            <w:tcW w:w="0" w:type="auto"/>
            <w:hideMark/>
          </w:tcPr>
          <w:p w14:paraId="46EAB1D8"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34B5981E"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$2.260</w:t>
            </w:r>
          </w:p>
        </w:tc>
        <w:tc>
          <w:tcPr>
            <w:tcW w:w="0" w:type="auto"/>
            <w:hideMark/>
          </w:tcPr>
          <w:p w14:paraId="359978E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r>
      <w:tr w:rsidR="00383E56" w:rsidRPr="00383E56" w14:paraId="26CD9252" w14:textId="77777777" w:rsidTr="00383E56">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0" w:type="auto"/>
            <w:vMerge/>
            <w:hideMark/>
          </w:tcPr>
          <w:p w14:paraId="7DCE3109" w14:textId="77777777" w:rsidR="00383E56" w:rsidRPr="00383E56" w:rsidRDefault="00383E56" w:rsidP="007B40CA">
            <w:pPr>
              <w:rPr>
                <w:rFonts w:ascii="Calibri" w:eastAsia="Times New Roman" w:hAnsi="Calibri" w:cs="Calibri"/>
                <w:lang w:eastAsia="es-CR"/>
              </w:rPr>
            </w:pPr>
          </w:p>
        </w:tc>
        <w:tc>
          <w:tcPr>
            <w:tcW w:w="0" w:type="auto"/>
            <w:hideMark/>
          </w:tcPr>
          <w:p w14:paraId="6A3C16C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Hilados de fibra no artificial</w:t>
            </w:r>
          </w:p>
        </w:tc>
        <w:tc>
          <w:tcPr>
            <w:tcW w:w="0" w:type="auto"/>
            <w:hideMark/>
          </w:tcPr>
          <w:p w14:paraId="1E43FCC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$414</w:t>
            </w:r>
          </w:p>
        </w:tc>
        <w:tc>
          <w:tcPr>
            <w:tcW w:w="0" w:type="auto"/>
            <w:hideMark/>
          </w:tcPr>
          <w:p w14:paraId="3146637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5,60%</w:t>
            </w:r>
          </w:p>
        </w:tc>
        <w:tc>
          <w:tcPr>
            <w:tcW w:w="0" w:type="auto"/>
            <w:hideMark/>
          </w:tcPr>
          <w:p w14:paraId="7462DD5D"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0FD332C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$970,0</w:t>
            </w:r>
          </w:p>
        </w:tc>
        <w:tc>
          <w:tcPr>
            <w:tcW w:w="0" w:type="auto"/>
            <w:hideMark/>
          </w:tcPr>
          <w:p w14:paraId="344F7E5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c>
          <w:tcPr>
            <w:tcW w:w="0" w:type="auto"/>
            <w:hideMark/>
          </w:tcPr>
          <w:p w14:paraId="68ADBF97"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Tabaco Crudo</w:t>
            </w:r>
          </w:p>
        </w:tc>
        <w:tc>
          <w:tcPr>
            <w:tcW w:w="0" w:type="auto"/>
            <w:hideMark/>
          </w:tcPr>
          <w:p w14:paraId="6C9BFFB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$1.010</w:t>
            </w:r>
          </w:p>
        </w:tc>
        <w:tc>
          <w:tcPr>
            <w:tcW w:w="0" w:type="auto"/>
            <w:hideMark/>
          </w:tcPr>
          <w:p w14:paraId="37ADCC9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5,70%</w:t>
            </w:r>
          </w:p>
        </w:tc>
        <w:tc>
          <w:tcPr>
            <w:tcW w:w="0" w:type="auto"/>
            <w:hideMark/>
          </w:tcPr>
          <w:p w14:paraId="218FD1F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2577DC2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$2.120</w:t>
            </w:r>
          </w:p>
        </w:tc>
        <w:tc>
          <w:tcPr>
            <w:tcW w:w="0" w:type="auto"/>
            <w:hideMark/>
          </w:tcPr>
          <w:p w14:paraId="0244DC8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w:t>
            </w:r>
          </w:p>
        </w:tc>
      </w:tr>
      <w:tr w:rsidR="00383E56" w:rsidRPr="00383E56" w14:paraId="5B4D5709" w14:textId="77777777" w:rsidTr="00383E56">
        <w:trPr>
          <w:trHeight w:val="420"/>
        </w:trPr>
        <w:tc>
          <w:tcPr>
            <w:cnfStyle w:val="001000000000" w:firstRow="0" w:lastRow="0" w:firstColumn="1" w:lastColumn="0" w:oddVBand="0" w:evenVBand="0" w:oddHBand="0" w:evenHBand="0" w:firstRowFirstColumn="0" w:firstRowLastColumn="0" w:lastRowFirstColumn="0" w:lastRowLastColumn="0"/>
            <w:tcW w:w="0" w:type="auto"/>
            <w:vMerge/>
            <w:hideMark/>
          </w:tcPr>
          <w:p w14:paraId="377314C1" w14:textId="77777777" w:rsidR="00383E56" w:rsidRPr="00383E56" w:rsidRDefault="00383E56" w:rsidP="007B40CA">
            <w:pPr>
              <w:rPr>
                <w:rFonts w:ascii="Calibri" w:eastAsia="Times New Roman" w:hAnsi="Calibri" w:cs="Calibri"/>
                <w:lang w:eastAsia="es-CR"/>
              </w:rPr>
            </w:pPr>
          </w:p>
        </w:tc>
        <w:tc>
          <w:tcPr>
            <w:tcW w:w="0" w:type="auto"/>
            <w:hideMark/>
          </w:tcPr>
          <w:p w14:paraId="54F00D19"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Petróleo Refinado</w:t>
            </w:r>
          </w:p>
        </w:tc>
        <w:tc>
          <w:tcPr>
            <w:tcW w:w="0" w:type="auto"/>
            <w:hideMark/>
          </w:tcPr>
          <w:p w14:paraId="183361E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$312</w:t>
            </w:r>
          </w:p>
        </w:tc>
        <w:tc>
          <w:tcPr>
            <w:tcW w:w="0" w:type="auto"/>
            <w:hideMark/>
          </w:tcPr>
          <w:p w14:paraId="063EE0D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4,20%</w:t>
            </w:r>
          </w:p>
        </w:tc>
        <w:tc>
          <w:tcPr>
            <w:tcW w:w="0" w:type="auto"/>
            <w:hideMark/>
          </w:tcPr>
          <w:p w14:paraId="354535E2"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3B30F06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$943,0</w:t>
            </w:r>
          </w:p>
        </w:tc>
        <w:tc>
          <w:tcPr>
            <w:tcW w:w="0" w:type="auto"/>
            <w:hideMark/>
          </w:tcPr>
          <w:p w14:paraId="5F8355F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c>
          <w:tcPr>
            <w:tcW w:w="0" w:type="auto"/>
            <w:hideMark/>
          </w:tcPr>
          <w:p w14:paraId="4C85C78F"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Algodón en Bruto</w:t>
            </w:r>
          </w:p>
        </w:tc>
        <w:tc>
          <w:tcPr>
            <w:tcW w:w="0" w:type="auto"/>
            <w:hideMark/>
          </w:tcPr>
          <w:p w14:paraId="4345A931"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$1.000</w:t>
            </w:r>
          </w:p>
        </w:tc>
        <w:tc>
          <w:tcPr>
            <w:tcW w:w="0" w:type="auto"/>
            <w:hideMark/>
          </w:tcPr>
          <w:p w14:paraId="62789A6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5,70%</w:t>
            </w:r>
          </w:p>
        </w:tc>
        <w:tc>
          <w:tcPr>
            <w:tcW w:w="0" w:type="auto"/>
            <w:hideMark/>
          </w:tcPr>
          <w:p w14:paraId="47C79CC9"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Vegetales</w:t>
            </w:r>
          </w:p>
        </w:tc>
        <w:tc>
          <w:tcPr>
            <w:tcW w:w="0" w:type="auto"/>
            <w:hideMark/>
          </w:tcPr>
          <w:p w14:paraId="4FD6962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$2.040</w:t>
            </w:r>
          </w:p>
        </w:tc>
        <w:tc>
          <w:tcPr>
            <w:tcW w:w="0" w:type="auto"/>
            <w:hideMark/>
          </w:tcPr>
          <w:p w14:paraId="764BF6F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w:t>
            </w:r>
          </w:p>
        </w:tc>
      </w:tr>
      <w:tr w:rsidR="00383E56" w:rsidRPr="00383E56" w14:paraId="5F255C1B" w14:textId="77777777" w:rsidTr="00383E56">
        <w:trPr>
          <w:cnfStyle w:val="000000100000" w:firstRow="0" w:lastRow="0" w:firstColumn="0" w:lastColumn="0" w:oddVBand="0" w:evenVBand="0" w:oddHBand="1"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110EC3B"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Chile</w:t>
            </w:r>
          </w:p>
        </w:tc>
        <w:tc>
          <w:tcPr>
            <w:tcW w:w="0" w:type="auto"/>
            <w:hideMark/>
          </w:tcPr>
          <w:p w14:paraId="414365DB"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Petróleo Crudo</w:t>
            </w:r>
          </w:p>
        </w:tc>
        <w:tc>
          <w:tcPr>
            <w:tcW w:w="0" w:type="auto"/>
            <w:hideMark/>
          </w:tcPr>
          <w:p w14:paraId="51A754E7"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$1.290</w:t>
            </w:r>
          </w:p>
        </w:tc>
        <w:tc>
          <w:tcPr>
            <w:tcW w:w="0" w:type="auto"/>
            <w:hideMark/>
          </w:tcPr>
          <w:p w14:paraId="1B7113A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38%</w:t>
            </w:r>
          </w:p>
        </w:tc>
        <w:tc>
          <w:tcPr>
            <w:tcW w:w="0" w:type="auto"/>
            <w:hideMark/>
          </w:tcPr>
          <w:p w14:paraId="5C0C09E4"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Minerales</w:t>
            </w:r>
          </w:p>
        </w:tc>
        <w:tc>
          <w:tcPr>
            <w:tcW w:w="0" w:type="auto"/>
            <w:hideMark/>
          </w:tcPr>
          <w:p w14:paraId="54E4655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$1.340,0</w:t>
            </w:r>
          </w:p>
        </w:tc>
        <w:tc>
          <w:tcPr>
            <w:tcW w:w="0" w:type="auto"/>
            <w:hideMark/>
          </w:tcPr>
          <w:p w14:paraId="590FA71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38%</w:t>
            </w:r>
          </w:p>
        </w:tc>
        <w:tc>
          <w:tcPr>
            <w:tcW w:w="0" w:type="auto"/>
            <w:hideMark/>
          </w:tcPr>
          <w:p w14:paraId="488944CA"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Cobre Refinado</w:t>
            </w:r>
          </w:p>
        </w:tc>
        <w:tc>
          <w:tcPr>
            <w:tcW w:w="0" w:type="auto"/>
            <w:hideMark/>
          </w:tcPr>
          <w:p w14:paraId="5520DEC3"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$3.770</w:t>
            </w:r>
          </w:p>
        </w:tc>
        <w:tc>
          <w:tcPr>
            <w:tcW w:w="0" w:type="auto"/>
            <w:hideMark/>
          </w:tcPr>
          <w:p w14:paraId="690EAF7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77%</w:t>
            </w:r>
          </w:p>
        </w:tc>
        <w:tc>
          <w:tcPr>
            <w:tcW w:w="0" w:type="auto"/>
            <w:hideMark/>
          </w:tcPr>
          <w:p w14:paraId="736E2CC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64B922F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$3.820</w:t>
            </w:r>
          </w:p>
        </w:tc>
        <w:tc>
          <w:tcPr>
            <w:tcW w:w="0" w:type="auto"/>
            <w:hideMark/>
          </w:tcPr>
          <w:p w14:paraId="2D7E3E3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78%</w:t>
            </w:r>
          </w:p>
        </w:tc>
      </w:tr>
      <w:tr w:rsidR="00383E56" w:rsidRPr="00383E56" w14:paraId="011ABEA7" w14:textId="77777777" w:rsidTr="00383E56">
        <w:trPr>
          <w:trHeight w:val="713"/>
        </w:trPr>
        <w:tc>
          <w:tcPr>
            <w:cnfStyle w:val="001000000000" w:firstRow="0" w:lastRow="0" w:firstColumn="1" w:lastColumn="0" w:oddVBand="0" w:evenVBand="0" w:oddHBand="0" w:evenHBand="0" w:firstRowFirstColumn="0" w:firstRowLastColumn="0" w:lastRowFirstColumn="0" w:lastRowLastColumn="0"/>
            <w:tcW w:w="0" w:type="auto"/>
            <w:vMerge/>
            <w:hideMark/>
          </w:tcPr>
          <w:p w14:paraId="374B6461" w14:textId="77777777" w:rsidR="00383E56" w:rsidRPr="00383E56" w:rsidRDefault="00383E56" w:rsidP="007B40CA">
            <w:pPr>
              <w:rPr>
                <w:rFonts w:ascii="Calibri" w:eastAsia="Times New Roman" w:hAnsi="Calibri" w:cs="Calibri"/>
                <w:lang w:eastAsia="es-CR"/>
              </w:rPr>
            </w:pPr>
          </w:p>
        </w:tc>
        <w:tc>
          <w:tcPr>
            <w:tcW w:w="0" w:type="auto"/>
            <w:hideMark/>
          </w:tcPr>
          <w:p w14:paraId="6256BEA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Barras de Hierro en Bruto</w:t>
            </w:r>
          </w:p>
        </w:tc>
        <w:tc>
          <w:tcPr>
            <w:tcW w:w="0" w:type="auto"/>
            <w:hideMark/>
          </w:tcPr>
          <w:p w14:paraId="34DC9EE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$309</w:t>
            </w:r>
          </w:p>
        </w:tc>
        <w:tc>
          <w:tcPr>
            <w:tcW w:w="0" w:type="auto"/>
            <w:hideMark/>
          </w:tcPr>
          <w:p w14:paraId="0EC7D68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8,70%</w:t>
            </w:r>
          </w:p>
        </w:tc>
        <w:tc>
          <w:tcPr>
            <w:tcW w:w="0" w:type="auto"/>
            <w:hideMark/>
          </w:tcPr>
          <w:p w14:paraId="237E1379"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36BDCA4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$692,0</w:t>
            </w:r>
          </w:p>
        </w:tc>
        <w:tc>
          <w:tcPr>
            <w:tcW w:w="0" w:type="auto"/>
            <w:hideMark/>
          </w:tcPr>
          <w:p w14:paraId="2A06881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19%</w:t>
            </w:r>
          </w:p>
        </w:tc>
        <w:tc>
          <w:tcPr>
            <w:tcW w:w="0" w:type="auto"/>
            <w:hideMark/>
          </w:tcPr>
          <w:p w14:paraId="579EF8C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Otros Frutos Secos</w:t>
            </w:r>
          </w:p>
        </w:tc>
        <w:tc>
          <w:tcPr>
            <w:tcW w:w="0" w:type="auto"/>
            <w:hideMark/>
          </w:tcPr>
          <w:p w14:paraId="08BB974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$319</w:t>
            </w:r>
          </w:p>
        </w:tc>
        <w:tc>
          <w:tcPr>
            <w:tcW w:w="0" w:type="auto"/>
            <w:hideMark/>
          </w:tcPr>
          <w:p w14:paraId="1FA7719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6,50%</w:t>
            </w:r>
          </w:p>
        </w:tc>
        <w:tc>
          <w:tcPr>
            <w:tcW w:w="0" w:type="auto"/>
            <w:hideMark/>
          </w:tcPr>
          <w:p w14:paraId="75BD457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Vegetales</w:t>
            </w:r>
          </w:p>
        </w:tc>
        <w:tc>
          <w:tcPr>
            <w:tcW w:w="0" w:type="auto"/>
            <w:hideMark/>
          </w:tcPr>
          <w:p w14:paraId="791E7BA8"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$453</w:t>
            </w:r>
          </w:p>
        </w:tc>
        <w:tc>
          <w:tcPr>
            <w:tcW w:w="0" w:type="auto"/>
            <w:hideMark/>
          </w:tcPr>
          <w:p w14:paraId="217ADA7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9,20%</w:t>
            </w:r>
          </w:p>
        </w:tc>
      </w:tr>
      <w:tr w:rsidR="00383E56" w:rsidRPr="00383E56" w14:paraId="2B5F99E7" w14:textId="77777777" w:rsidTr="00383E5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vMerge/>
            <w:hideMark/>
          </w:tcPr>
          <w:p w14:paraId="7A10B67A" w14:textId="77777777" w:rsidR="00383E56" w:rsidRPr="00383E56" w:rsidRDefault="00383E56" w:rsidP="007B40CA">
            <w:pPr>
              <w:rPr>
                <w:rFonts w:ascii="Calibri" w:eastAsia="Times New Roman" w:hAnsi="Calibri" w:cs="Calibri"/>
                <w:lang w:eastAsia="es-CR"/>
              </w:rPr>
            </w:pPr>
          </w:p>
        </w:tc>
        <w:tc>
          <w:tcPr>
            <w:tcW w:w="0" w:type="auto"/>
            <w:hideMark/>
          </w:tcPr>
          <w:p w14:paraId="6E354DCC"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Camiones de Reparto</w:t>
            </w:r>
          </w:p>
        </w:tc>
        <w:tc>
          <w:tcPr>
            <w:tcW w:w="0" w:type="auto"/>
            <w:hideMark/>
          </w:tcPr>
          <w:p w14:paraId="0DF66AA5"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$183</w:t>
            </w:r>
          </w:p>
        </w:tc>
        <w:tc>
          <w:tcPr>
            <w:tcW w:w="0" w:type="auto"/>
            <w:hideMark/>
          </w:tcPr>
          <w:p w14:paraId="4166063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5,20%</w:t>
            </w:r>
          </w:p>
        </w:tc>
        <w:tc>
          <w:tcPr>
            <w:tcW w:w="0" w:type="auto"/>
            <w:hideMark/>
          </w:tcPr>
          <w:p w14:paraId="0208863B"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1C1245A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$517,0</w:t>
            </w:r>
          </w:p>
        </w:tc>
        <w:tc>
          <w:tcPr>
            <w:tcW w:w="0" w:type="auto"/>
            <w:hideMark/>
          </w:tcPr>
          <w:p w14:paraId="0406BE5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15%</w:t>
            </w:r>
          </w:p>
        </w:tc>
        <w:tc>
          <w:tcPr>
            <w:tcW w:w="0" w:type="auto"/>
            <w:hideMark/>
          </w:tcPr>
          <w:p w14:paraId="11C0A93C"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Nitritos y Nitratos</w:t>
            </w:r>
          </w:p>
        </w:tc>
        <w:tc>
          <w:tcPr>
            <w:tcW w:w="0" w:type="auto"/>
            <w:hideMark/>
          </w:tcPr>
          <w:p w14:paraId="27291AE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$141</w:t>
            </w:r>
          </w:p>
        </w:tc>
        <w:tc>
          <w:tcPr>
            <w:tcW w:w="0" w:type="auto"/>
            <w:hideMark/>
          </w:tcPr>
          <w:p w14:paraId="6EFA8515"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2,90%</w:t>
            </w:r>
          </w:p>
        </w:tc>
        <w:tc>
          <w:tcPr>
            <w:tcW w:w="0" w:type="auto"/>
            <w:hideMark/>
          </w:tcPr>
          <w:p w14:paraId="1BD05D0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Químicos</w:t>
            </w:r>
          </w:p>
        </w:tc>
        <w:tc>
          <w:tcPr>
            <w:tcW w:w="0" w:type="auto"/>
            <w:hideMark/>
          </w:tcPr>
          <w:p w14:paraId="238EC79E"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$263</w:t>
            </w:r>
          </w:p>
        </w:tc>
        <w:tc>
          <w:tcPr>
            <w:tcW w:w="0" w:type="auto"/>
            <w:hideMark/>
          </w:tcPr>
          <w:p w14:paraId="378CB09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5,40%</w:t>
            </w:r>
          </w:p>
        </w:tc>
      </w:tr>
      <w:tr w:rsidR="00383E56" w:rsidRPr="00383E56" w14:paraId="2E4169E3" w14:textId="77777777" w:rsidTr="00383E56">
        <w:trPr>
          <w:trHeight w:val="890"/>
        </w:trPr>
        <w:tc>
          <w:tcPr>
            <w:cnfStyle w:val="001000000000" w:firstRow="0" w:lastRow="0" w:firstColumn="1" w:lastColumn="0" w:oddVBand="0" w:evenVBand="0" w:oddHBand="0" w:evenHBand="0" w:firstRowFirstColumn="0" w:firstRowLastColumn="0" w:lastRowFirstColumn="0" w:lastRowLastColumn="0"/>
            <w:tcW w:w="0" w:type="auto"/>
            <w:vMerge/>
            <w:hideMark/>
          </w:tcPr>
          <w:p w14:paraId="0D9FEEDD" w14:textId="77777777" w:rsidR="00383E56" w:rsidRPr="00383E56" w:rsidRDefault="00383E56" w:rsidP="007B40CA">
            <w:pPr>
              <w:rPr>
                <w:rFonts w:ascii="Calibri" w:eastAsia="Times New Roman" w:hAnsi="Calibri" w:cs="Calibri"/>
                <w:lang w:eastAsia="es-CR"/>
              </w:rPr>
            </w:pPr>
          </w:p>
        </w:tc>
        <w:tc>
          <w:tcPr>
            <w:tcW w:w="0" w:type="auto"/>
            <w:hideMark/>
          </w:tcPr>
          <w:p w14:paraId="4B9B53C0"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Automóviles</w:t>
            </w:r>
          </w:p>
        </w:tc>
        <w:tc>
          <w:tcPr>
            <w:tcW w:w="0" w:type="auto"/>
            <w:hideMark/>
          </w:tcPr>
          <w:p w14:paraId="20E8C0D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$132</w:t>
            </w:r>
          </w:p>
        </w:tc>
        <w:tc>
          <w:tcPr>
            <w:tcW w:w="0" w:type="auto"/>
            <w:hideMark/>
          </w:tcPr>
          <w:p w14:paraId="1C3A0A7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3,70%</w:t>
            </w:r>
          </w:p>
        </w:tc>
        <w:tc>
          <w:tcPr>
            <w:tcW w:w="0" w:type="auto"/>
            <w:hideMark/>
          </w:tcPr>
          <w:p w14:paraId="79B11AD9"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1A5FF4F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$341,0</w:t>
            </w:r>
          </w:p>
        </w:tc>
        <w:tc>
          <w:tcPr>
            <w:tcW w:w="0" w:type="auto"/>
            <w:hideMark/>
          </w:tcPr>
          <w:p w14:paraId="6E4469A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9,60%</w:t>
            </w:r>
          </w:p>
        </w:tc>
        <w:tc>
          <w:tcPr>
            <w:tcW w:w="0" w:type="auto"/>
            <w:hideMark/>
          </w:tcPr>
          <w:p w14:paraId="519572DF"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Pasta Química de Madera</w:t>
            </w:r>
          </w:p>
        </w:tc>
        <w:tc>
          <w:tcPr>
            <w:tcW w:w="0" w:type="auto"/>
            <w:hideMark/>
          </w:tcPr>
          <w:p w14:paraId="6D64BB2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$121</w:t>
            </w:r>
          </w:p>
        </w:tc>
        <w:tc>
          <w:tcPr>
            <w:tcW w:w="0" w:type="auto"/>
            <w:hideMark/>
          </w:tcPr>
          <w:p w14:paraId="4C6C1DA8"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2,50%</w:t>
            </w:r>
          </w:p>
        </w:tc>
        <w:tc>
          <w:tcPr>
            <w:tcW w:w="0" w:type="auto"/>
            <w:hideMark/>
          </w:tcPr>
          <w:p w14:paraId="6ABA9E41"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de Papel</w:t>
            </w:r>
          </w:p>
        </w:tc>
        <w:tc>
          <w:tcPr>
            <w:tcW w:w="0" w:type="auto"/>
            <w:hideMark/>
          </w:tcPr>
          <w:p w14:paraId="145616DB"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$130</w:t>
            </w:r>
          </w:p>
        </w:tc>
        <w:tc>
          <w:tcPr>
            <w:tcW w:w="0" w:type="auto"/>
            <w:hideMark/>
          </w:tcPr>
          <w:p w14:paraId="45B790F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2,70%</w:t>
            </w:r>
          </w:p>
        </w:tc>
      </w:tr>
      <w:tr w:rsidR="00383E56" w:rsidRPr="00383E56" w14:paraId="1F9D1657" w14:textId="77777777" w:rsidTr="00383E56">
        <w:trPr>
          <w:cnfStyle w:val="000000100000" w:firstRow="0" w:lastRow="0" w:firstColumn="0" w:lastColumn="0" w:oddVBand="0" w:evenVBand="0" w:oddHBand="1"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E88039B"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Colombia</w:t>
            </w:r>
          </w:p>
        </w:tc>
        <w:tc>
          <w:tcPr>
            <w:tcW w:w="0" w:type="auto"/>
            <w:hideMark/>
          </w:tcPr>
          <w:p w14:paraId="62FF187D"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Barras de Hierro en Bruto</w:t>
            </w:r>
          </w:p>
        </w:tc>
        <w:tc>
          <w:tcPr>
            <w:tcW w:w="0" w:type="auto"/>
            <w:hideMark/>
          </w:tcPr>
          <w:p w14:paraId="6F5B62AD"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$217</w:t>
            </w:r>
          </w:p>
        </w:tc>
        <w:tc>
          <w:tcPr>
            <w:tcW w:w="0" w:type="auto"/>
            <w:hideMark/>
          </w:tcPr>
          <w:p w14:paraId="1FE57CF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w:t>
            </w:r>
          </w:p>
        </w:tc>
        <w:tc>
          <w:tcPr>
            <w:tcW w:w="0" w:type="auto"/>
            <w:hideMark/>
          </w:tcPr>
          <w:p w14:paraId="41F6C0DB"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325157D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$522,0</w:t>
            </w:r>
          </w:p>
        </w:tc>
        <w:tc>
          <w:tcPr>
            <w:tcW w:w="0" w:type="auto"/>
            <w:hideMark/>
          </w:tcPr>
          <w:p w14:paraId="75A3BB7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29%</w:t>
            </w:r>
          </w:p>
        </w:tc>
        <w:tc>
          <w:tcPr>
            <w:tcW w:w="0" w:type="auto"/>
            <w:hideMark/>
          </w:tcPr>
          <w:p w14:paraId="255C3880"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Briquetas de Carbón</w:t>
            </w:r>
          </w:p>
        </w:tc>
        <w:tc>
          <w:tcPr>
            <w:tcW w:w="0" w:type="auto"/>
            <w:hideMark/>
          </w:tcPr>
          <w:p w14:paraId="5DF03FA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$6.250</w:t>
            </w:r>
          </w:p>
        </w:tc>
        <w:tc>
          <w:tcPr>
            <w:tcW w:w="0" w:type="auto"/>
            <w:hideMark/>
          </w:tcPr>
          <w:p w14:paraId="64C773A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89%</w:t>
            </w:r>
          </w:p>
        </w:tc>
        <w:tc>
          <w:tcPr>
            <w:tcW w:w="0" w:type="auto"/>
            <w:hideMark/>
          </w:tcPr>
          <w:p w14:paraId="52AD13DA"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Minerales</w:t>
            </w:r>
          </w:p>
        </w:tc>
        <w:tc>
          <w:tcPr>
            <w:tcW w:w="0" w:type="auto"/>
            <w:hideMark/>
          </w:tcPr>
          <w:p w14:paraId="54DF7CE4"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$6.700</w:t>
            </w:r>
          </w:p>
        </w:tc>
        <w:tc>
          <w:tcPr>
            <w:tcW w:w="0" w:type="auto"/>
            <w:hideMark/>
          </w:tcPr>
          <w:p w14:paraId="1CC729D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95%</w:t>
            </w:r>
          </w:p>
        </w:tc>
      </w:tr>
      <w:tr w:rsidR="00383E56" w:rsidRPr="00383E56" w14:paraId="17A36E2F" w14:textId="77777777" w:rsidTr="00383E56">
        <w:trPr>
          <w:trHeight w:val="607"/>
        </w:trPr>
        <w:tc>
          <w:tcPr>
            <w:cnfStyle w:val="001000000000" w:firstRow="0" w:lastRow="0" w:firstColumn="1" w:lastColumn="0" w:oddVBand="0" w:evenVBand="0" w:oddHBand="0" w:evenHBand="0" w:firstRowFirstColumn="0" w:firstRowLastColumn="0" w:lastRowFirstColumn="0" w:lastRowLastColumn="0"/>
            <w:tcW w:w="0" w:type="auto"/>
            <w:vMerge/>
            <w:hideMark/>
          </w:tcPr>
          <w:p w14:paraId="686EDD65" w14:textId="77777777" w:rsidR="00383E56" w:rsidRPr="00383E56" w:rsidRDefault="00383E56" w:rsidP="007B40CA">
            <w:pPr>
              <w:rPr>
                <w:rFonts w:ascii="Calibri" w:eastAsia="Times New Roman" w:hAnsi="Calibri" w:cs="Calibri"/>
                <w:lang w:eastAsia="es-CR"/>
              </w:rPr>
            </w:pPr>
          </w:p>
        </w:tc>
        <w:tc>
          <w:tcPr>
            <w:tcW w:w="0" w:type="auto"/>
            <w:hideMark/>
          </w:tcPr>
          <w:p w14:paraId="00306B13"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Otras Barras de Acero</w:t>
            </w:r>
          </w:p>
        </w:tc>
        <w:tc>
          <w:tcPr>
            <w:tcW w:w="0" w:type="auto"/>
            <w:hideMark/>
          </w:tcPr>
          <w:p w14:paraId="5C88634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$88</w:t>
            </w:r>
          </w:p>
        </w:tc>
        <w:tc>
          <w:tcPr>
            <w:tcW w:w="0" w:type="auto"/>
            <w:hideMark/>
          </w:tcPr>
          <w:p w14:paraId="7755C7E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w:t>
            </w:r>
          </w:p>
        </w:tc>
        <w:tc>
          <w:tcPr>
            <w:tcW w:w="0" w:type="auto"/>
            <w:hideMark/>
          </w:tcPr>
          <w:p w14:paraId="30E1DB3B"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63A42DD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$370,0</w:t>
            </w:r>
          </w:p>
        </w:tc>
        <w:tc>
          <w:tcPr>
            <w:tcW w:w="0" w:type="auto"/>
            <w:hideMark/>
          </w:tcPr>
          <w:p w14:paraId="2C7F6EEB"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w:t>
            </w:r>
          </w:p>
        </w:tc>
        <w:tc>
          <w:tcPr>
            <w:tcW w:w="0" w:type="auto"/>
            <w:hideMark/>
          </w:tcPr>
          <w:p w14:paraId="2FCEF0B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Petróleo Crudo</w:t>
            </w:r>
          </w:p>
        </w:tc>
        <w:tc>
          <w:tcPr>
            <w:tcW w:w="0" w:type="auto"/>
            <w:hideMark/>
          </w:tcPr>
          <w:p w14:paraId="30F61B1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$348</w:t>
            </w:r>
          </w:p>
        </w:tc>
        <w:tc>
          <w:tcPr>
            <w:tcW w:w="0" w:type="auto"/>
            <w:hideMark/>
          </w:tcPr>
          <w:p w14:paraId="6C79FD1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4,90%</w:t>
            </w:r>
          </w:p>
        </w:tc>
        <w:tc>
          <w:tcPr>
            <w:tcW w:w="0" w:type="auto"/>
            <w:hideMark/>
          </w:tcPr>
          <w:p w14:paraId="1EEE92D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Plásticos y Cauchos</w:t>
            </w:r>
          </w:p>
        </w:tc>
        <w:tc>
          <w:tcPr>
            <w:tcW w:w="0" w:type="auto"/>
            <w:hideMark/>
          </w:tcPr>
          <w:p w14:paraId="4183891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$201</w:t>
            </w:r>
          </w:p>
        </w:tc>
        <w:tc>
          <w:tcPr>
            <w:tcW w:w="0" w:type="auto"/>
            <w:hideMark/>
          </w:tcPr>
          <w:p w14:paraId="6E2EE21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2,50%</w:t>
            </w:r>
          </w:p>
        </w:tc>
      </w:tr>
      <w:tr w:rsidR="00383E56" w:rsidRPr="00383E56" w14:paraId="68A654FB" w14:textId="77777777" w:rsidTr="00383E56">
        <w:trPr>
          <w:cnfStyle w:val="000000100000" w:firstRow="0" w:lastRow="0" w:firstColumn="0" w:lastColumn="0" w:oddVBand="0" w:evenVBand="0" w:oddHBand="1" w:evenHBand="0" w:firstRowFirstColumn="0" w:firstRowLastColumn="0" w:lastRowFirstColumn="0" w:lastRowLastColumn="0"/>
          <w:trHeight w:val="535"/>
        </w:trPr>
        <w:tc>
          <w:tcPr>
            <w:cnfStyle w:val="001000000000" w:firstRow="0" w:lastRow="0" w:firstColumn="1" w:lastColumn="0" w:oddVBand="0" w:evenVBand="0" w:oddHBand="0" w:evenHBand="0" w:firstRowFirstColumn="0" w:firstRowLastColumn="0" w:lastRowFirstColumn="0" w:lastRowLastColumn="0"/>
            <w:tcW w:w="0" w:type="auto"/>
            <w:vMerge/>
            <w:hideMark/>
          </w:tcPr>
          <w:p w14:paraId="73C6C9FA" w14:textId="77777777" w:rsidR="00383E56" w:rsidRPr="00383E56" w:rsidRDefault="00383E56" w:rsidP="007B40CA">
            <w:pPr>
              <w:rPr>
                <w:rFonts w:ascii="Calibri" w:eastAsia="Times New Roman" w:hAnsi="Calibri" w:cs="Calibri"/>
                <w:lang w:eastAsia="es-CR"/>
              </w:rPr>
            </w:pPr>
          </w:p>
        </w:tc>
        <w:tc>
          <w:tcPr>
            <w:tcW w:w="0" w:type="auto"/>
            <w:hideMark/>
          </w:tcPr>
          <w:p w14:paraId="2C3F71E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Cemento</w:t>
            </w:r>
          </w:p>
        </w:tc>
        <w:tc>
          <w:tcPr>
            <w:tcW w:w="0" w:type="auto"/>
            <w:hideMark/>
          </w:tcPr>
          <w:p w14:paraId="1901B55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$80</w:t>
            </w:r>
          </w:p>
        </w:tc>
        <w:tc>
          <w:tcPr>
            <w:tcW w:w="0" w:type="auto"/>
            <w:hideMark/>
          </w:tcPr>
          <w:p w14:paraId="7195845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4,50%</w:t>
            </w:r>
          </w:p>
        </w:tc>
        <w:tc>
          <w:tcPr>
            <w:tcW w:w="0" w:type="auto"/>
            <w:hideMark/>
          </w:tcPr>
          <w:p w14:paraId="10030C5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5FFD66D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$238,0</w:t>
            </w:r>
          </w:p>
        </w:tc>
        <w:tc>
          <w:tcPr>
            <w:tcW w:w="0" w:type="auto"/>
            <w:hideMark/>
          </w:tcPr>
          <w:p w14:paraId="175FC61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c>
          <w:tcPr>
            <w:tcW w:w="0" w:type="auto"/>
            <w:hideMark/>
          </w:tcPr>
          <w:p w14:paraId="503E19D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Polímeros de Propileno</w:t>
            </w:r>
          </w:p>
        </w:tc>
        <w:tc>
          <w:tcPr>
            <w:tcW w:w="0" w:type="auto"/>
            <w:hideMark/>
          </w:tcPr>
          <w:p w14:paraId="7973537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$153</w:t>
            </w:r>
          </w:p>
        </w:tc>
        <w:tc>
          <w:tcPr>
            <w:tcW w:w="0" w:type="auto"/>
            <w:hideMark/>
          </w:tcPr>
          <w:p w14:paraId="58567CD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2,20%</w:t>
            </w:r>
          </w:p>
        </w:tc>
        <w:tc>
          <w:tcPr>
            <w:tcW w:w="0" w:type="auto"/>
            <w:hideMark/>
          </w:tcPr>
          <w:p w14:paraId="0900E26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Vegetales</w:t>
            </w:r>
          </w:p>
        </w:tc>
        <w:tc>
          <w:tcPr>
            <w:tcW w:w="0" w:type="auto"/>
            <w:hideMark/>
          </w:tcPr>
          <w:p w14:paraId="01FA8B7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$49</w:t>
            </w:r>
          </w:p>
        </w:tc>
        <w:tc>
          <w:tcPr>
            <w:tcW w:w="0" w:type="auto"/>
            <w:hideMark/>
          </w:tcPr>
          <w:p w14:paraId="03C64734"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0,70%</w:t>
            </w:r>
          </w:p>
        </w:tc>
      </w:tr>
      <w:tr w:rsidR="00383E56" w:rsidRPr="00383E56" w14:paraId="1CC52D44" w14:textId="77777777" w:rsidTr="00383E56">
        <w:trPr>
          <w:trHeight w:val="335"/>
        </w:trPr>
        <w:tc>
          <w:tcPr>
            <w:cnfStyle w:val="001000000000" w:firstRow="0" w:lastRow="0" w:firstColumn="1" w:lastColumn="0" w:oddVBand="0" w:evenVBand="0" w:oddHBand="0" w:evenHBand="0" w:firstRowFirstColumn="0" w:firstRowLastColumn="0" w:lastRowFirstColumn="0" w:lastRowLastColumn="0"/>
            <w:tcW w:w="0" w:type="auto"/>
            <w:vMerge/>
            <w:hideMark/>
          </w:tcPr>
          <w:p w14:paraId="50170FC5" w14:textId="77777777" w:rsidR="00383E56" w:rsidRPr="00383E56" w:rsidRDefault="00383E56" w:rsidP="007B40CA">
            <w:pPr>
              <w:rPr>
                <w:rFonts w:ascii="Calibri" w:eastAsia="Times New Roman" w:hAnsi="Calibri" w:cs="Calibri"/>
                <w:lang w:eastAsia="es-CR"/>
              </w:rPr>
            </w:pPr>
          </w:p>
        </w:tc>
        <w:tc>
          <w:tcPr>
            <w:tcW w:w="0" w:type="auto"/>
            <w:hideMark/>
          </w:tcPr>
          <w:p w14:paraId="1FC4C70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Bloques de Hierro</w:t>
            </w:r>
          </w:p>
        </w:tc>
        <w:tc>
          <w:tcPr>
            <w:tcW w:w="0" w:type="auto"/>
            <w:hideMark/>
          </w:tcPr>
          <w:p w14:paraId="5B13C51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$72</w:t>
            </w:r>
          </w:p>
        </w:tc>
        <w:tc>
          <w:tcPr>
            <w:tcW w:w="0" w:type="auto"/>
            <w:hideMark/>
          </w:tcPr>
          <w:p w14:paraId="207DA92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4,10%</w:t>
            </w:r>
          </w:p>
        </w:tc>
        <w:tc>
          <w:tcPr>
            <w:tcW w:w="0" w:type="auto"/>
            <w:hideMark/>
          </w:tcPr>
          <w:p w14:paraId="0FCEF8D0"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122C0D8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$184,0</w:t>
            </w:r>
          </w:p>
        </w:tc>
        <w:tc>
          <w:tcPr>
            <w:tcW w:w="0" w:type="auto"/>
            <w:hideMark/>
          </w:tcPr>
          <w:p w14:paraId="3F0F658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w:t>
            </w:r>
          </w:p>
        </w:tc>
        <w:tc>
          <w:tcPr>
            <w:tcW w:w="0" w:type="auto"/>
            <w:hideMark/>
          </w:tcPr>
          <w:p w14:paraId="4CB5FCED"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Coque</w:t>
            </w:r>
          </w:p>
        </w:tc>
        <w:tc>
          <w:tcPr>
            <w:tcW w:w="0" w:type="auto"/>
            <w:hideMark/>
          </w:tcPr>
          <w:p w14:paraId="7CB4DB9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$97</w:t>
            </w:r>
          </w:p>
        </w:tc>
        <w:tc>
          <w:tcPr>
            <w:tcW w:w="0" w:type="auto"/>
            <w:hideMark/>
          </w:tcPr>
          <w:p w14:paraId="415A669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1,4%</w:t>
            </w:r>
          </w:p>
        </w:tc>
        <w:tc>
          <w:tcPr>
            <w:tcW w:w="0" w:type="auto"/>
            <w:hideMark/>
          </w:tcPr>
          <w:p w14:paraId="441D694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Químicos</w:t>
            </w:r>
          </w:p>
        </w:tc>
        <w:tc>
          <w:tcPr>
            <w:tcW w:w="0" w:type="auto"/>
            <w:hideMark/>
          </w:tcPr>
          <w:p w14:paraId="375C566E"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w:t>
            </w:r>
          </w:p>
        </w:tc>
        <w:tc>
          <w:tcPr>
            <w:tcW w:w="0" w:type="auto"/>
            <w:hideMark/>
          </w:tcPr>
          <w:p w14:paraId="6C6C960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0,53%</w:t>
            </w:r>
          </w:p>
        </w:tc>
      </w:tr>
      <w:tr w:rsidR="00383E56" w:rsidRPr="00383E56" w14:paraId="73F5223D" w14:textId="77777777" w:rsidTr="00383E5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53665A8D"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Venezuela</w:t>
            </w:r>
          </w:p>
        </w:tc>
        <w:tc>
          <w:tcPr>
            <w:tcW w:w="0" w:type="auto"/>
            <w:hideMark/>
          </w:tcPr>
          <w:p w14:paraId="18ACACB1"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Jabón</w:t>
            </w:r>
          </w:p>
        </w:tc>
        <w:tc>
          <w:tcPr>
            <w:tcW w:w="0" w:type="auto"/>
            <w:hideMark/>
          </w:tcPr>
          <w:p w14:paraId="3369B12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$62</w:t>
            </w:r>
          </w:p>
        </w:tc>
        <w:tc>
          <w:tcPr>
            <w:tcW w:w="0" w:type="auto"/>
            <w:hideMark/>
          </w:tcPr>
          <w:p w14:paraId="78BD2CF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8,10%</w:t>
            </w:r>
          </w:p>
        </w:tc>
        <w:tc>
          <w:tcPr>
            <w:tcW w:w="0" w:type="auto"/>
            <w:hideMark/>
          </w:tcPr>
          <w:p w14:paraId="0C738BE7"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Químicos</w:t>
            </w:r>
          </w:p>
        </w:tc>
        <w:tc>
          <w:tcPr>
            <w:tcW w:w="0" w:type="auto"/>
            <w:hideMark/>
          </w:tcPr>
          <w:p w14:paraId="47CAD3FD"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$143,0</w:t>
            </w:r>
          </w:p>
        </w:tc>
        <w:tc>
          <w:tcPr>
            <w:tcW w:w="0" w:type="auto"/>
            <w:hideMark/>
          </w:tcPr>
          <w:p w14:paraId="4B337E2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19%</w:t>
            </w:r>
          </w:p>
        </w:tc>
        <w:tc>
          <w:tcPr>
            <w:tcW w:w="0" w:type="auto"/>
            <w:hideMark/>
          </w:tcPr>
          <w:p w14:paraId="117B97EE"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Coque de Petróleo</w:t>
            </w:r>
          </w:p>
        </w:tc>
        <w:tc>
          <w:tcPr>
            <w:tcW w:w="0" w:type="auto"/>
            <w:noWrap/>
            <w:hideMark/>
          </w:tcPr>
          <w:p w14:paraId="4D803F4E"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$913</w:t>
            </w:r>
          </w:p>
        </w:tc>
        <w:tc>
          <w:tcPr>
            <w:tcW w:w="0" w:type="auto"/>
            <w:noWrap/>
            <w:hideMark/>
          </w:tcPr>
          <w:p w14:paraId="4C0975DE"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60%</w:t>
            </w:r>
          </w:p>
        </w:tc>
        <w:tc>
          <w:tcPr>
            <w:tcW w:w="0" w:type="auto"/>
            <w:hideMark/>
          </w:tcPr>
          <w:p w14:paraId="21FB9A05"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Minerales</w:t>
            </w:r>
          </w:p>
        </w:tc>
        <w:tc>
          <w:tcPr>
            <w:tcW w:w="0" w:type="auto"/>
            <w:hideMark/>
          </w:tcPr>
          <w:p w14:paraId="4C50798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$1.100</w:t>
            </w:r>
          </w:p>
        </w:tc>
        <w:tc>
          <w:tcPr>
            <w:tcW w:w="0" w:type="auto"/>
            <w:hideMark/>
          </w:tcPr>
          <w:p w14:paraId="4652DD0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72%</w:t>
            </w:r>
          </w:p>
        </w:tc>
      </w:tr>
      <w:tr w:rsidR="00383E56" w:rsidRPr="00383E56" w14:paraId="559694DB" w14:textId="77777777" w:rsidTr="00383E56">
        <w:trPr>
          <w:trHeight w:val="703"/>
        </w:trPr>
        <w:tc>
          <w:tcPr>
            <w:cnfStyle w:val="001000000000" w:firstRow="0" w:lastRow="0" w:firstColumn="1" w:lastColumn="0" w:oddVBand="0" w:evenVBand="0" w:oddHBand="0" w:evenHBand="0" w:firstRowFirstColumn="0" w:firstRowLastColumn="0" w:lastRowFirstColumn="0" w:lastRowLastColumn="0"/>
            <w:tcW w:w="0" w:type="auto"/>
            <w:vMerge/>
            <w:hideMark/>
          </w:tcPr>
          <w:p w14:paraId="1E2F64D0" w14:textId="77777777" w:rsidR="00383E56" w:rsidRPr="00383E56" w:rsidRDefault="00383E56" w:rsidP="007B40CA">
            <w:pPr>
              <w:rPr>
                <w:rFonts w:ascii="Calibri" w:eastAsia="Times New Roman" w:hAnsi="Calibri" w:cs="Calibri"/>
                <w:lang w:eastAsia="es-CR"/>
              </w:rPr>
            </w:pPr>
          </w:p>
        </w:tc>
        <w:tc>
          <w:tcPr>
            <w:tcW w:w="0" w:type="auto"/>
            <w:hideMark/>
          </w:tcPr>
          <w:p w14:paraId="1B3B53B6"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Barras de Hierro en Bruto</w:t>
            </w:r>
          </w:p>
        </w:tc>
        <w:tc>
          <w:tcPr>
            <w:tcW w:w="0" w:type="auto"/>
            <w:hideMark/>
          </w:tcPr>
          <w:p w14:paraId="4E071FEB"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$51</w:t>
            </w:r>
          </w:p>
        </w:tc>
        <w:tc>
          <w:tcPr>
            <w:tcW w:w="0" w:type="auto"/>
            <w:hideMark/>
          </w:tcPr>
          <w:p w14:paraId="02605A0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6,60%</w:t>
            </w:r>
          </w:p>
        </w:tc>
        <w:tc>
          <w:tcPr>
            <w:tcW w:w="0" w:type="auto"/>
            <w:hideMark/>
          </w:tcPr>
          <w:p w14:paraId="456BA33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4D60CCB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$135,0</w:t>
            </w:r>
          </w:p>
        </w:tc>
        <w:tc>
          <w:tcPr>
            <w:tcW w:w="0" w:type="auto"/>
            <w:hideMark/>
          </w:tcPr>
          <w:p w14:paraId="159B977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w:t>
            </w:r>
          </w:p>
        </w:tc>
        <w:tc>
          <w:tcPr>
            <w:tcW w:w="0" w:type="auto"/>
            <w:hideMark/>
          </w:tcPr>
          <w:p w14:paraId="0D0EDFDE"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Reducciones de Hierro</w:t>
            </w:r>
          </w:p>
        </w:tc>
        <w:tc>
          <w:tcPr>
            <w:tcW w:w="0" w:type="auto"/>
            <w:hideMark/>
          </w:tcPr>
          <w:p w14:paraId="0EAEF22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$231</w:t>
            </w:r>
          </w:p>
        </w:tc>
        <w:tc>
          <w:tcPr>
            <w:tcW w:w="0" w:type="auto"/>
            <w:hideMark/>
          </w:tcPr>
          <w:p w14:paraId="688BDBD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15%</w:t>
            </w:r>
          </w:p>
        </w:tc>
        <w:tc>
          <w:tcPr>
            <w:tcW w:w="0" w:type="auto"/>
            <w:hideMark/>
          </w:tcPr>
          <w:p w14:paraId="587CB61E"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43638AE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$240</w:t>
            </w:r>
          </w:p>
        </w:tc>
        <w:tc>
          <w:tcPr>
            <w:tcW w:w="0" w:type="auto"/>
            <w:hideMark/>
          </w:tcPr>
          <w:p w14:paraId="5CD43F8B"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16%</w:t>
            </w:r>
          </w:p>
        </w:tc>
      </w:tr>
      <w:tr w:rsidR="00383E56" w:rsidRPr="00383E56" w14:paraId="00B10A18" w14:textId="77777777" w:rsidTr="00383E56">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0" w:type="auto"/>
            <w:vMerge/>
            <w:hideMark/>
          </w:tcPr>
          <w:p w14:paraId="0CD97BD7" w14:textId="77777777" w:rsidR="00383E56" w:rsidRPr="00383E56" w:rsidRDefault="00383E56" w:rsidP="007B40CA">
            <w:pPr>
              <w:rPr>
                <w:rFonts w:ascii="Calibri" w:eastAsia="Times New Roman" w:hAnsi="Calibri" w:cs="Calibri"/>
                <w:lang w:eastAsia="es-CR"/>
              </w:rPr>
            </w:pPr>
          </w:p>
        </w:tc>
        <w:tc>
          <w:tcPr>
            <w:tcW w:w="0" w:type="auto"/>
            <w:hideMark/>
          </w:tcPr>
          <w:p w14:paraId="0E70984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Pasta</w:t>
            </w:r>
          </w:p>
        </w:tc>
        <w:tc>
          <w:tcPr>
            <w:tcW w:w="0" w:type="auto"/>
            <w:hideMark/>
          </w:tcPr>
          <w:p w14:paraId="108DFBD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$46</w:t>
            </w:r>
          </w:p>
        </w:tc>
        <w:tc>
          <w:tcPr>
            <w:tcW w:w="0" w:type="auto"/>
            <w:hideMark/>
          </w:tcPr>
          <w:p w14:paraId="32021A4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w:t>
            </w:r>
          </w:p>
        </w:tc>
        <w:tc>
          <w:tcPr>
            <w:tcW w:w="0" w:type="auto"/>
            <w:hideMark/>
          </w:tcPr>
          <w:p w14:paraId="15B5F23A"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001A60E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$102,0</w:t>
            </w:r>
          </w:p>
        </w:tc>
        <w:tc>
          <w:tcPr>
            <w:tcW w:w="0" w:type="auto"/>
            <w:hideMark/>
          </w:tcPr>
          <w:p w14:paraId="0F0462D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c>
          <w:tcPr>
            <w:tcW w:w="0" w:type="auto"/>
            <w:hideMark/>
          </w:tcPr>
          <w:p w14:paraId="3650EC0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Madera Combustible</w:t>
            </w:r>
          </w:p>
        </w:tc>
        <w:tc>
          <w:tcPr>
            <w:tcW w:w="0" w:type="auto"/>
            <w:hideMark/>
          </w:tcPr>
          <w:p w14:paraId="597AF46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$117</w:t>
            </w:r>
          </w:p>
        </w:tc>
        <w:tc>
          <w:tcPr>
            <w:tcW w:w="0" w:type="auto"/>
            <w:hideMark/>
          </w:tcPr>
          <w:p w14:paraId="5CFE0F9E"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7,70%</w:t>
            </w:r>
          </w:p>
        </w:tc>
        <w:tc>
          <w:tcPr>
            <w:tcW w:w="0" w:type="auto"/>
            <w:hideMark/>
          </w:tcPr>
          <w:p w14:paraId="19AA0D32"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de Madera</w:t>
            </w:r>
          </w:p>
        </w:tc>
        <w:tc>
          <w:tcPr>
            <w:tcW w:w="0" w:type="auto"/>
            <w:hideMark/>
          </w:tcPr>
          <w:p w14:paraId="2BC9071D"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$117</w:t>
            </w:r>
          </w:p>
        </w:tc>
        <w:tc>
          <w:tcPr>
            <w:tcW w:w="0" w:type="auto"/>
            <w:hideMark/>
          </w:tcPr>
          <w:p w14:paraId="5A22B61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7,70%</w:t>
            </w:r>
          </w:p>
        </w:tc>
      </w:tr>
      <w:tr w:rsidR="00383E56" w:rsidRPr="00383E56" w14:paraId="55BD78A2" w14:textId="77777777" w:rsidTr="00383E56">
        <w:trPr>
          <w:trHeight w:val="1013"/>
        </w:trPr>
        <w:tc>
          <w:tcPr>
            <w:cnfStyle w:val="001000000000" w:firstRow="0" w:lastRow="0" w:firstColumn="1" w:lastColumn="0" w:oddVBand="0" w:evenVBand="0" w:oddHBand="0" w:evenHBand="0" w:firstRowFirstColumn="0" w:firstRowLastColumn="0" w:lastRowFirstColumn="0" w:lastRowLastColumn="0"/>
            <w:tcW w:w="0" w:type="auto"/>
            <w:vMerge/>
            <w:hideMark/>
          </w:tcPr>
          <w:p w14:paraId="22DCFDDB" w14:textId="77777777" w:rsidR="00383E56" w:rsidRPr="00383E56" w:rsidRDefault="00383E56" w:rsidP="007B40CA">
            <w:pPr>
              <w:rPr>
                <w:rFonts w:ascii="Calibri" w:eastAsia="Times New Roman" w:hAnsi="Calibri" w:cs="Calibri"/>
                <w:lang w:eastAsia="es-CR"/>
              </w:rPr>
            </w:pPr>
          </w:p>
        </w:tc>
        <w:tc>
          <w:tcPr>
            <w:tcW w:w="0" w:type="auto"/>
            <w:hideMark/>
          </w:tcPr>
          <w:p w14:paraId="13038AD0"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Construcciones Prefabricadas</w:t>
            </w:r>
          </w:p>
        </w:tc>
        <w:tc>
          <w:tcPr>
            <w:tcW w:w="0" w:type="auto"/>
            <w:hideMark/>
          </w:tcPr>
          <w:p w14:paraId="09F0FAC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$36</w:t>
            </w:r>
          </w:p>
        </w:tc>
        <w:tc>
          <w:tcPr>
            <w:tcW w:w="0" w:type="auto"/>
            <w:hideMark/>
          </w:tcPr>
          <w:p w14:paraId="7CD1A91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4,70%</w:t>
            </w:r>
          </w:p>
        </w:tc>
        <w:tc>
          <w:tcPr>
            <w:tcW w:w="0" w:type="auto"/>
            <w:hideMark/>
          </w:tcPr>
          <w:p w14:paraId="125135D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508BE7E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$73,9</w:t>
            </w:r>
          </w:p>
        </w:tc>
        <w:tc>
          <w:tcPr>
            <w:tcW w:w="0" w:type="auto"/>
            <w:hideMark/>
          </w:tcPr>
          <w:p w14:paraId="224C5E7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9,70%</w:t>
            </w:r>
          </w:p>
        </w:tc>
        <w:tc>
          <w:tcPr>
            <w:tcW w:w="0" w:type="auto"/>
            <w:hideMark/>
          </w:tcPr>
          <w:p w14:paraId="66D1A58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Petróleo Refinado</w:t>
            </w:r>
          </w:p>
        </w:tc>
        <w:tc>
          <w:tcPr>
            <w:tcW w:w="0" w:type="auto"/>
            <w:hideMark/>
          </w:tcPr>
          <w:p w14:paraId="13C7BD6E"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$111</w:t>
            </w:r>
          </w:p>
        </w:tc>
        <w:tc>
          <w:tcPr>
            <w:tcW w:w="0" w:type="auto"/>
            <w:hideMark/>
          </w:tcPr>
          <w:p w14:paraId="70BADDD4"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7,30%</w:t>
            </w:r>
          </w:p>
        </w:tc>
        <w:tc>
          <w:tcPr>
            <w:tcW w:w="0" w:type="auto"/>
            <w:hideMark/>
          </w:tcPr>
          <w:p w14:paraId="4BDD090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Químicos</w:t>
            </w:r>
          </w:p>
        </w:tc>
        <w:tc>
          <w:tcPr>
            <w:tcW w:w="0" w:type="auto"/>
            <w:hideMark/>
          </w:tcPr>
          <w:p w14:paraId="79B0F51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$39</w:t>
            </w:r>
          </w:p>
        </w:tc>
        <w:tc>
          <w:tcPr>
            <w:tcW w:w="0" w:type="auto"/>
            <w:hideMark/>
          </w:tcPr>
          <w:p w14:paraId="14B7442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2,60%</w:t>
            </w:r>
          </w:p>
        </w:tc>
      </w:tr>
      <w:tr w:rsidR="00383E56" w:rsidRPr="00383E56" w14:paraId="3D7ACA77" w14:textId="77777777" w:rsidTr="00383E56">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0" w:type="auto"/>
            <w:vMerge w:val="restart"/>
            <w:noWrap/>
            <w:hideMark/>
          </w:tcPr>
          <w:p w14:paraId="60C9C61A"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México</w:t>
            </w:r>
          </w:p>
        </w:tc>
        <w:tc>
          <w:tcPr>
            <w:tcW w:w="0" w:type="auto"/>
            <w:hideMark/>
          </w:tcPr>
          <w:p w14:paraId="37C1B8D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Piezas de Repuestos</w:t>
            </w:r>
          </w:p>
        </w:tc>
        <w:tc>
          <w:tcPr>
            <w:tcW w:w="0" w:type="auto"/>
            <w:hideMark/>
          </w:tcPr>
          <w:p w14:paraId="1DDC4747"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$494</w:t>
            </w:r>
          </w:p>
        </w:tc>
        <w:tc>
          <w:tcPr>
            <w:tcW w:w="0" w:type="auto"/>
            <w:noWrap/>
            <w:hideMark/>
          </w:tcPr>
          <w:p w14:paraId="26A7335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9,30%</w:t>
            </w:r>
          </w:p>
        </w:tc>
        <w:tc>
          <w:tcPr>
            <w:tcW w:w="0" w:type="auto"/>
            <w:hideMark/>
          </w:tcPr>
          <w:p w14:paraId="7769E540"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348CB51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$1.200,0</w:t>
            </w:r>
          </w:p>
        </w:tc>
        <w:tc>
          <w:tcPr>
            <w:tcW w:w="0" w:type="auto"/>
            <w:noWrap/>
            <w:hideMark/>
          </w:tcPr>
          <w:p w14:paraId="150D3D4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22%</w:t>
            </w:r>
          </w:p>
        </w:tc>
        <w:tc>
          <w:tcPr>
            <w:tcW w:w="0" w:type="auto"/>
            <w:hideMark/>
          </w:tcPr>
          <w:p w14:paraId="37F3BC08"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Automóviles</w:t>
            </w:r>
          </w:p>
        </w:tc>
        <w:tc>
          <w:tcPr>
            <w:tcW w:w="0" w:type="auto"/>
            <w:hideMark/>
          </w:tcPr>
          <w:p w14:paraId="1C815B7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$2.330</w:t>
            </w:r>
          </w:p>
        </w:tc>
        <w:tc>
          <w:tcPr>
            <w:tcW w:w="0" w:type="auto"/>
            <w:hideMark/>
          </w:tcPr>
          <w:p w14:paraId="299DE468"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30%</w:t>
            </w:r>
          </w:p>
        </w:tc>
        <w:tc>
          <w:tcPr>
            <w:tcW w:w="0" w:type="auto"/>
            <w:hideMark/>
          </w:tcPr>
          <w:p w14:paraId="295021E7"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023176A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$2.690</w:t>
            </w:r>
          </w:p>
        </w:tc>
        <w:tc>
          <w:tcPr>
            <w:tcW w:w="0" w:type="auto"/>
            <w:hideMark/>
          </w:tcPr>
          <w:p w14:paraId="3EA0E4E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34%</w:t>
            </w:r>
          </w:p>
        </w:tc>
      </w:tr>
      <w:tr w:rsidR="00383E56" w:rsidRPr="00383E56" w14:paraId="7B251B0F" w14:textId="77777777" w:rsidTr="00383E56">
        <w:trPr>
          <w:trHeight w:val="900"/>
        </w:trPr>
        <w:tc>
          <w:tcPr>
            <w:cnfStyle w:val="001000000000" w:firstRow="0" w:lastRow="0" w:firstColumn="1" w:lastColumn="0" w:oddVBand="0" w:evenVBand="0" w:oddHBand="0" w:evenHBand="0" w:firstRowFirstColumn="0" w:firstRowLastColumn="0" w:lastRowFirstColumn="0" w:lastRowLastColumn="0"/>
            <w:tcW w:w="0" w:type="auto"/>
            <w:vMerge/>
            <w:hideMark/>
          </w:tcPr>
          <w:p w14:paraId="2AB5FF77" w14:textId="77777777" w:rsidR="00383E56" w:rsidRPr="00383E56" w:rsidRDefault="00383E56" w:rsidP="007B40CA">
            <w:pPr>
              <w:rPr>
                <w:rFonts w:ascii="Calibri" w:eastAsia="Times New Roman" w:hAnsi="Calibri" w:cs="Calibri"/>
                <w:lang w:eastAsia="es-CR"/>
              </w:rPr>
            </w:pPr>
          </w:p>
        </w:tc>
        <w:tc>
          <w:tcPr>
            <w:tcW w:w="0" w:type="auto"/>
            <w:hideMark/>
          </w:tcPr>
          <w:p w14:paraId="23162F9B"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Automóviles</w:t>
            </w:r>
          </w:p>
        </w:tc>
        <w:tc>
          <w:tcPr>
            <w:tcW w:w="0" w:type="auto"/>
            <w:hideMark/>
          </w:tcPr>
          <w:p w14:paraId="252D09B4"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$372</w:t>
            </w:r>
          </w:p>
        </w:tc>
        <w:tc>
          <w:tcPr>
            <w:tcW w:w="0" w:type="auto"/>
            <w:noWrap/>
            <w:hideMark/>
          </w:tcPr>
          <w:p w14:paraId="4BDA014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w:t>
            </w:r>
          </w:p>
        </w:tc>
        <w:tc>
          <w:tcPr>
            <w:tcW w:w="0" w:type="auto"/>
            <w:hideMark/>
          </w:tcPr>
          <w:p w14:paraId="0570C8AF"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52CF8FA8"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$1.120,0</w:t>
            </w:r>
          </w:p>
        </w:tc>
        <w:tc>
          <w:tcPr>
            <w:tcW w:w="0" w:type="auto"/>
            <w:noWrap/>
            <w:hideMark/>
          </w:tcPr>
          <w:p w14:paraId="7FC6EEB4"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w:t>
            </w:r>
          </w:p>
        </w:tc>
        <w:tc>
          <w:tcPr>
            <w:tcW w:w="0" w:type="auto"/>
            <w:hideMark/>
          </w:tcPr>
          <w:p w14:paraId="0DC064F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Polímeros de Cloruro de Vinilo</w:t>
            </w:r>
          </w:p>
        </w:tc>
        <w:tc>
          <w:tcPr>
            <w:tcW w:w="0" w:type="auto"/>
            <w:hideMark/>
          </w:tcPr>
          <w:p w14:paraId="28EDBE5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$521</w:t>
            </w:r>
          </w:p>
        </w:tc>
        <w:tc>
          <w:tcPr>
            <w:tcW w:w="0" w:type="auto"/>
            <w:hideMark/>
          </w:tcPr>
          <w:p w14:paraId="43AB869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6,60%</w:t>
            </w:r>
          </w:p>
        </w:tc>
        <w:tc>
          <w:tcPr>
            <w:tcW w:w="0" w:type="auto"/>
            <w:hideMark/>
          </w:tcPr>
          <w:p w14:paraId="265816AB"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1C6A6B9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$1.810</w:t>
            </w:r>
          </w:p>
        </w:tc>
        <w:tc>
          <w:tcPr>
            <w:tcW w:w="0" w:type="auto"/>
            <w:hideMark/>
          </w:tcPr>
          <w:p w14:paraId="39AE9F61"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23%</w:t>
            </w:r>
          </w:p>
        </w:tc>
      </w:tr>
      <w:tr w:rsidR="00383E56" w:rsidRPr="00383E56" w14:paraId="65105BDA" w14:textId="77777777" w:rsidTr="00383E56">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0" w:type="auto"/>
            <w:vMerge/>
            <w:hideMark/>
          </w:tcPr>
          <w:p w14:paraId="598C11F2" w14:textId="77777777" w:rsidR="00383E56" w:rsidRPr="00383E56" w:rsidRDefault="00383E56" w:rsidP="007B40CA">
            <w:pPr>
              <w:rPr>
                <w:rFonts w:ascii="Calibri" w:eastAsia="Times New Roman" w:hAnsi="Calibri" w:cs="Calibri"/>
                <w:lang w:eastAsia="es-CR"/>
              </w:rPr>
            </w:pPr>
          </w:p>
        </w:tc>
        <w:tc>
          <w:tcPr>
            <w:tcW w:w="0" w:type="auto"/>
            <w:hideMark/>
          </w:tcPr>
          <w:p w14:paraId="6D9968B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Petróleo Refinado</w:t>
            </w:r>
          </w:p>
        </w:tc>
        <w:tc>
          <w:tcPr>
            <w:tcW w:w="0" w:type="auto"/>
            <w:hideMark/>
          </w:tcPr>
          <w:p w14:paraId="31536C0E"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$250</w:t>
            </w:r>
          </w:p>
        </w:tc>
        <w:tc>
          <w:tcPr>
            <w:tcW w:w="0" w:type="auto"/>
            <w:noWrap/>
            <w:hideMark/>
          </w:tcPr>
          <w:p w14:paraId="68652FD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4,70%</w:t>
            </w:r>
          </w:p>
        </w:tc>
        <w:tc>
          <w:tcPr>
            <w:tcW w:w="0" w:type="auto"/>
            <w:hideMark/>
          </w:tcPr>
          <w:p w14:paraId="0CE88A39"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500B54A5"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$963,0</w:t>
            </w:r>
          </w:p>
        </w:tc>
        <w:tc>
          <w:tcPr>
            <w:tcW w:w="0" w:type="auto"/>
            <w:noWrap/>
            <w:hideMark/>
          </w:tcPr>
          <w:p w14:paraId="5DBB10A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w:t>
            </w:r>
          </w:p>
        </w:tc>
        <w:tc>
          <w:tcPr>
            <w:tcW w:w="0" w:type="auto"/>
            <w:hideMark/>
          </w:tcPr>
          <w:p w14:paraId="6C7B119D"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Teléfonos</w:t>
            </w:r>
          </w:p>
        </w:tc>
        <w:tc>
          <w:tcPr>
            <w:tcW w:w="0" w:type="auto"/>
            <w:hideMark/>
          </w:tcPr>
          <w:p w14:paraId="485F954B"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$419</w:t>
            </w:r>
          </w:p>
        </w:tc>
        <w:tc>
          <w:tcPr>
            <w:tcW w:w="0" w:type="auto"/>
            <w:hideMark/>
          </w:tcPr>
          <w:p w14:paraId="15EF2F65"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5,30%</w:t>
            </w:r>
          </w:p>
        </w:tc>
        <w:tc>
          <w:tcPr>
            <w:tcW w:w="0" w:type="auto"/>
            <w:hideMark/>
          </w:tcPr>
          <w:p w14:paraId="13FA04AB"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Plásticos y Cauchos</w:t>
            </w:r>
          </w:p>
        </w:tc>
        <w:tc>
          <w:tcPr>
            <w:tcW w:w="0" w:type="auto"/>
            <w:hideMark/>
          </w:tcPr>
          <w:p w14:paraId="7991D8D4"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$791</w:t>
            </w:r>
          </w:p>
        </w:tc>
        <w:tc>
          <w:tcPr>
            <w:tcW w:w="0" w:type="auto"/>
            <w:hideMark/>
          </w:tcPr>
          <w:p w14:paraId="6B382C8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w:t>
            </w:r>
          </w:p>
        </w:tc>
      </w:tr>
      <w:tr w:rsidR="00383E56" w:rsidRPr="00383E56" w14:paraId="31D61B3B" w14:textId="77777777" w:rsidTr="00383E56">
        <w:trPr>
          <w:trHeight w:val="609"/>
        </w:trPr>
        <w:tc>
          <w:tcPr>
            <w:cnfStyle w:val="001000000000" w:firstRow="0" w:lastRow="0" w:firstColumn="1" w:lastColumn="0" w:oddVBand="0" w:evenVBand="0" w:oddHBand="0" w:evenHBand="0" w:firstRowFirstColumn="0" w:firstRowLastColumn="0" w:lastRowFirstColumn="0" w:lastRowLastColumn="0"/>
            <w:tcW w:w="0" w:type="auto"/>
            <w:vMerge/>
            <w:hideMark/>
          </w:tcPr>
          <w:p w14:paraId="3FA0B84D" w14:textId="77777777" w:rsidR="00383E56" w:rsidRPr="00383E56" w:rsidRDefault="00383E56" w:rsidP="007B40CA">
            <w:pPr>
              <w:rPr>
                <w:rFonts w:ascii="Calibri" w:eastAsia="Times New Roman" w:hAnsi="Calibri" w:cs="Calibri"/>
                <w:lang w:eastAsia="es-CR"/>
              </w:rPr>
            </w:pPr>
          </w:p>
        </w:tc>
        <w:tc>
          <w:tcPr>
            <w:tcW w:w="0" w:type="auto"/>
            <w:hideMark/>
          </w:tcPr>
          <w:p w14:paraId="13CB305A"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Joyería</w:t>
            </w:r>
          </w:p>
        </w:tc>
        <w:tc>
          <w:tcPr>
            <w:tcW w:w="0" w:type="auto"/>
            <w:hideMark/>
          </w:tcPr>
          <w:p w14:paraId="750AA00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$176</w:t>
            </w:r>
          </w:p>
        </w:tc>
        <w:tc>
          <w:tcPr>
            <w:tcW w:w="0" w:type="auto"/>
            <w:noWrap/>
            <w:hideMark/>
          </w:tcPr>
          <w:p w14:paraId="33A9C9E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3,30%</w:t>
            </w:r>
          </w:p>
        </w:tc>
        <w:tc>
          <w:tcPr>
            <w:tcW w:w="0" w:type="auto"/>
            <w:hideMark/>
          </w:tcPr>
          <w:p w14:paraId="13B3F7A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7A301C0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$646,0</w:t>
            </w:r>
          </w:p>
        </w:tc>
        <w:tc>
          <w:tcPr>
            <w:tcW w:w="0" w:type="auto"/>
            <w:noWrap/>
            <w:hideMark/>
          </w:tcPr>
          <w:p w14:paraId="22B117E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12%</w:t>
            </w:r>
          </w:p>
        </w:tc>
        <w:tc>
          <w:tcPr>
            <w:tcW w:w="0" w:type="auto"/>
            <w:hideMark/>
          </w:tcPr>
          <w:p w14:paraId="7EEE07FF"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Instrumentos Médicos</w:t>
            </w:r>
          </w:p>
        </w:tc>
        <w:tc>
          <w:tcPr>
            <w:tcW w:w="0" w:type="auto"/>
            <w:hideMark/>
          </w:tcPr>
          <w:p w14:paraId="0CB5CC1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$374</w:t>
            </w:r>
          </w:p>
        </w:tc>
        <w:tc>
          <w:tcPr>
            <w:tcW w:w="0" w:type="auto"/>
            <w:hideMark/>
          </w:tcPr>
          <w:p w14:paraId="3563F510"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4,80%</w:t>
            </w:r>
          </w:p>
        </w:tc>
        <w:tc>
          <w:tcPr>
            <w:tcW w:w="0" w:type="auto"/>
            <w:hideMark/>
          </w:tcPr>
          <w:p w14:paraId="56BD24B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Químicos</w:t>
            </w:r>
          </w:p>
        </w:tc>
        <w:tc>
          <w:tcPr>
            <w:tcW w:w="0" w:type="auto"/>
            <w:hideMark/>
          </w:tcPr>
          <w:p w14:paraId="3135E894"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$705</w:t>
            </w:r>
          </w:p>
        </w:tc>
        <w:tc>
          <w:tcPr>
            <w:tcW w:w="0" w:type="auto"/>
            <w:hideMark/>
          </w:tcPr>
          <w:p w14:paraId="7C2851C6"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9%</w:t>
            </w:r>
          </w:p>
        </w:tc>
      </w:tr>
      <w:tr w:rsidR="00383E56" w:rsidRPr="00383E56" w14:paraId="2F66F32F" w14:textId="77777777" w:rsidTr="00383E56">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0" w:type="auto"/>
            <w:vMerge w:val="restart"/>
            <w:noWrap/>
            <w:hideMark/>
          </w:tcPr>
          <w:p w14:paraId="7DDF7B79" w14:textId="77777777" w:rsidR="00383E56" w:rsidRPr="00383E56" w:rsidRDefault="00383E56" w:rsidP="007B40CA">
            <w:pPr>
              <w:jc w:val="center"/>
              <w:rPr>
                <w:rFonts w:ascii="Calibri" w:eastAsia="Times New Roman" w:hAnsi="Calibri" w:cs="Calibri"/>
                <w:lang w:eastAsia="es-CR"/>
              </w:rPr>
            </w:pPr>
            <w:r w:rsidRPr="00383E56">
              <w:rPr>
                <w:rFonts w:ascii="Calibri" w:eastAsia="Times New Roman" w:hAnsi="Calibri" w:cs="Calibri"/>
                <w:lang w:eastAsia="es-CR"/>
              </w:rPr>
              <w:t>Costa Rica</w:t>
            </w:r>
          </w:p>
        </w:tc>
        <w:tc>
          <w:tcPr>
            <w:tcW w:w="0" w:type="auto"/>
            <w:hideMark/>
          </w:tcPr>
          <w:p w14:paraId="0190D762"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Barras de Hierro en Bruto</w:t>
            </w:r>
          </w:p>
        </w:tc>
        <w:tc>
          <w:tcPr>
            <w:tcW w:w="0" w:type="auto"/>
            <w:hideMark/>
          </w:tcPr>
          <w:p w14:paraId="2CA378F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$104</w:t>
            </w:r>
          </w:p>
        </w:tc>
        <w:tc>
          <w:tcPr>
            <w:tcW w:w="0" w:type="auto"/>
            <w:noWrap/>
            <w:hideMark/>
          </w:tcPr>
          <w:p w14:paraId="16651FB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w:t>
            </w:r>
          </w:p>
        </w:tc>
        <w:tc>
          <w:tcPr>
            <w:tcW w:w="0" w:type="auto"/>
            <w:hideMark/>
          </w:tcPr>
          <w:p w14:paraId="407F398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Metales</w:t>
            </w:r>
          </w:p>
        </w:tc>
        <w:tc>
          <w:tcPr>
            <w:tcW w:w="0" w:type="auto"/>
            <w:hideMark/>
          </w:tcPr>
          <w:p w14:paraId="6BCE4059"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$214,0</w:t>
            </w:r>
          </w:p>
        </w:tc>
        <w:tc>
          <w:tcPr>
            <w:tcW w:w="0" w:type="auto"/>
            <w:noWrap/>
            <w:hideMark/>
          </w:tcPr>
          <w:p w14:paraId="6287921D"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54%</w:t>
            </w:r>
          </w:p>
        </w:tc>
        <w:tc>
          <w:tcPr>
            <w:tcW w:w="0" w:type="auto"/>
            <w:hideMark/>
          </w:tcPr>
          <w:p w14:paraId="05FD3F13"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Circuitos Integrados</w:t>
            </w:r>
          </w:p>
        </w:tc>
        <w:tc>
          <w:tcPr>
            <w:tcW w:w="0" w:type="auto"/>
            <w:hideMark/>
          </w:tcPr>
          <w:p w14:paraId="5F697BE4"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$434</w:t>
            </w:r>
          </w:p>
        </w:tc>
        <w:tc>
          <w:tcPr>
            <w:tcW w:w="0" w:type="auto"/>
            <w:hideMark/>
          </w:tcPr>
          <w:p w14:paraId="6CC2B84F"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54%</w:t>
            </w:r>
          </w:p>
        </w:tc>
        <w:tc>
          <w:tcPr>
            <w:tcW w:w="0" w:type="auto"/>
            <w:hideMark/>
          </w:tcPr>
          <w:p w14:paraId="0525B0C7"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11FB825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$457</w:t>
            </w:r>
          </w:p>
        </w:tc>
        <w:tc>
          <w:tcPr>
            <w:tcW w:w="0" w:type="auto"/>
            <w:hideMark/>
          </w:tcPr>
          <w:p w14:paraId="78C4C282"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57%</w:t>
            </w:r>
          </w:p>
        </w:tc>
      </w:tr>
      <w:tr w:rsidR="00383E56" w:rsidRPr="00383E56" w14:paraId="435C3E26" w14:textId="77777777" w:rsidTr="00383E56">
        <w:trPr>
          <w:trHeight w:val="733"/>
        </w:trPr>
        <w:tc>
          <w:tcPr>
            <w:cnfStyle w:val="001000000000" w:firstRow="0" w:lastRow="0" w:firstColumn="1" w:lastColumn="0" w:oddVBand="0" w:evenVBand="0" w:oddHBand="0" w:evenHBand="0" w:firstRowFirstColumn="0" w:firstRowLastColumn="0" w:lastRowFirstColumn="0" w:lastRowLastColumn="0"/>
            <w:tcW w:w="0" w:type="auto"/>
            <w:vMerge/>
            <w:hideMark/>
          </w:tcPr>
          <w:p w14:paraId="1B8C1297" w14:textId="77777777" w:rsidR="00383E56" w:rsidRPr="00383E56" w:rsidRDefault="00383E56" w:rsidP="007B40CA">
            <w:pPr>
              <w:rPr>
                <w:rFonts w:ascii="Calibri" w:eastAsia="Times New Roman" w:hAnsi="Calibri" w:cs="Calibri"/>
                <w:color w:val="000000"/>
                <w:lang w:eastAsia="es-CR"/>
              </w:rPr>
            </w:pPr>
          </w:p>
        </w:tc>
        <w:tc>
          <w:tcPr>
            <w:tcW w:w="0" w:type="auto"/>
            <w:hideMark/>
          </w:tcPr>
          <w:p w14:paraId="67B1ED6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Otras Barras de Acero</w:t>
            </w:r>
          </w:p>
        </w:tc>
        <w:tc>
          <w:tcPr>
            <w:tcW w:w="0" w:type="auto"/>
            <w:hideMark/>
          </w:tcPr>
          <w:p w14:paraId="2FECFA8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$46</w:t>
            </w:r>
          </w:p>
        </w:tc>
        <w:tc>
          <w:tcPr>
            <w:tcW w:w="0" w:type="auto"/>
            <w:noWrap/>
            <w:hideMark/>
          </w:tcPr>
          <w:p w14:paraId="315502A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11%</w:t>
            </w:r>
          </w:p>
        </w:tc>
        <w:tc>
          <w:tcPr>
            <w:tcW w:w="0" w:type="auto"/>
            <w:hideMark/>
          </w:tcPr>
          <w:p w14:paraId="2552F405"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Textiles</w:t>
            </w:r>
          </w:p>
        </w:tc>
        <w:tc>
          <w:tcPr>
            <w:tcW w:w="0" w:type="auto"/>
            <w:hideMark/>
          </w:tcPr>
          <w:p w14:paraId="7A681E4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$31,7</w:t>
            </w:r>
          </w:p>
        </w:tc>
        <w:tc>
          <w:tcPr>
            <w:tcW w:w="0" w:type="auto"/>
            <w:noWrap/>
            <w:hideMark/>
          </w:tcPr>
          <w:p w14:paraId="075DBDE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8%</w:t>
            </w:r>
          </w:p>
        </w:tc>
        <w:tc>
          <w:tcPr>
            <w:tcW w:w="0" w:type="auto"/>
            <w:hideMark/>
          </w:tcPr>
          <w:p w14:paraId="324AADAB"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Plátanos</w:t>
            </w:r>
          </w:p>
        </w:tc>
        <w:tc>
          <w:tcPr>
            <w:tcW w:w="0" w:type="auto"/>
            <w:hideMark/>
          </w:tcPr>
          <w:p w14:paraId="75F54AC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$138</w:t>
            </w:r>
          </w:p>
        </w:tc>
        <w:tc>
          <w:tcPr>
            <w:tcW w:w="0" w:type="auto"/>
            <w:hideMark/>
          </w:tcPr>
          <w:p w14:paraId="5E432722"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17%</w:t>
            </w:r>
          </w:p>
        </w:tc>
        <w:tc>
          <w:tcPr>
            <w:tcW w:w="0" w:type="auto"/>
            <w:hideMark/>
          </w:tcPr>
          <w:p w14:paraId="51413804"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Productos Vegetales</w:t>
            </w:r>
          </w:p>
        </w:tc>
        <w:tc>
          <w:tcPr>
            <w:tcW w:w="0" w:type="auto"/>
            <w:hideMark/>
          </w:tcPr>
          <w:p w14:paraId="4E0EC42C"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$189</w:t>
            </w:r>
          </w:p>
        </w:tc>
        <w:tc>
          <w:tcPr>
            <w:tcW w:w="0" w:type="auto"/>
            <w:hideMark/>
          </w:tcPr>
          <w:p w14:paraId="2788BA3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24%</w:t>
            </w:r>
          </w:p>
        </w:tc>
      </w:tr>
      <w:tr w:rsidR="00383E56" w:rsidRPr="00383E56" w14:paraId="03D3412C" w14:textId="77777777" w:rsidTr="00383E5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vMerge/>
            <w:hideMark/>
          </w:tcPr>
          <w:p w14:paraId="44C908CD" w14:textId="77777777" w:rsidR="00383E56" w:rsidRPr="00383E56" w:rsidRDefault="00383E56" w:rsidP="007B40CA">
            <w:pPr>
              <w:rPr>
                <w:rFonts w:ascii="Calibri" w:eastAsia="Times New Roman" w:hAnsi="Calibri" w:cs="Calibri"/>
                <w:color w:val="000000"/>
                <w:lang w:eastAsia="es-CR"/>
              </w:rPr>
            </w:pPr>
          </w:p>
        </w:tc>
        <w:tc>
          <w:tcPr>
            <w:tcW w:w="0" w:type="auto"/>
            <w:hideMark/>
          </w:tcPr>
          <w:p w14:paraId="6F6387DF"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Bloques de Hierro</w:t>
            </w:r>
          </w:p>
        </w:tc>
        <w:tc>
          <w:tcPr>
            <w:tcW w:w="0" w:type="auto"/>
            <w:hideMark/>
          </w:tcPr>
          <w:p w14:paraId="58606953"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$24</w:t>
            </w:r>
          </w:p>
        </w:tc>
        <w:tc>
          <w:tcPr>
            <w:tcW w:w="0" w:type="auto"/>
            <w:noWrap/>
            <w:hideMark/>
          </w:tcPr>
          <w:p w14:paraId="05B583FA"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5,90%</w:t>
            </w:r>
          </w:p>
        </w:tc>
        <w:tc>
          <w:tcPr>
            <w:tcW w:w="0" w:type="auto"/>
            <w:hideMark/>
          </w:tcPr>
          <w:p w14:paraId="1F94B3BD"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Transporte</w:t>
            </w:r>
          </w:p>
        </w:tc>
        <w:tc>
          <w:tcPr>
            <w:tcW w:w="0" w:type="auto"/>
            <w:hideMark/>
          </w:tcPr>
          <w:p w14:paraId="26C009B1"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$26,4</w:t>
            </w:r>
          </w:p>
        </w:tc>
        <w:tc>
          <w:tcPr>
            <w:tcW w:w="0" w:type="auto"/>
            <w:noWrap/>
            <w:hideMark/>
          </w:tcPr>
          <w:p w14:paraId="30408F5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6,60%</w:t>
            </w:r>
          </w:p>
        </w:tc>
        <w:tc>
          <w:tcPr>
            <w:tcW w:w="0" w:type="auto"/>
            <w:hideMark/>
          </w:tcPr>
          <w:p w14:paraId="37C7AD62"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Instrumentos Médicos</w:t>
            </w:r>
          </w:p>
        </w:tc>
        <w:tc>
          <w:tcPr>
            <w:tcW w:w="0" w:type="auto"/>
            <w:hideMark/>
          </w:tcPr>
          <w:p w14:paraId="02536BF6"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$107</w:t>
            </w:r>
          </w:p>
        </w:tc>
        <w:tc>
          <w:tcPr>
            <w:tcW w:w="0" w:type="auto"/>
            <w:hideMark/>
          </w:tcPr>
          <w:p w14:paraId="55616A4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w:t>
            </w:r>
          </w:p>
        </w:tc>
        <w:tc>
          <w:tcPr>
            <w:tcW w:w="0" w:type="auto"/>
            <w:hideMark/>
          </w:tcPr>
          <w:p w14:paraId="1537CCB7" w14:textId="77777777" w:rsidR="00383E56" w:rsidRPr="00383E56" w:rsidRDefault="00383E56" w:rsidP="007B40C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Instrumentos</w:t>
            </w:r>
          </w:p>
        </w:tc>
        <w:tc>
          <w:tcPr>
            <w:tcW w:w="0" w:type="auto"/>
            <w:hideMark/>
          </w:tcPr>
          <w:p w14:paraId="18B55090"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$132</w:t>
            </w:r>
          </w:p>
        </w:tc>
        <w:tc>
          <w:tcPr>
            <w:tcW w:w="0" w:type="auto"/>
            <w:hideMark/>
          </w:tcPr>
          <w:p w14:paraId="7EE0741C" w14:textId="77777777" w:rsidR="00383E56" w:rsidRPr="00383E56" w:rsidRDefault="00383E56" w:rsidP="007B40C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16%</w:t>
            </w:r>
          </w:p>
        </w:tc>
      </w:tr>
      <w:tr w:rsidR="00383E56" w:rsidRPr="00383E56" w14:paraId="25EC86F9" w14:textId="77777777" w:rsidTr="00383E56">
        <w:trPr>
          <w:trHeight w:val="900"/>
        </w:trPr>
        <w:tc>
          <w:tcPr>
            <w:cnfStyle w:val="001000000000" w:firstRow="0" w:lastRow="0" w:firstColumn="1" w:lastColumn="0" w:oddVBand="0" w:evenVBand="0" w:oddHBand="0" w:evenHBand="0" w:firstRowFirstColumn="0" w:firstRowLastColumn="0" w:lastRowFirstColumn="0" w:lastRowLastColumn="0"/>
            <w:tcW w:w="0" w:type="auto"/>
            <w:vMerge/>
            <w:hideMark/>
          </w:tcPr>
          <w:p w14:paraId="5A77F725" w14:textId="77777777" w:rsidR="00383E56" w:rsidRPr="00383E56" w:rsidRDefault="00383E56" w:rsidP="007B40CA">
            <w:pPr>
              <w:rPr>
                <w:rFonts w:ascii="Calibri" w:eastAsia="Times New Roman" w:hAnsi="Calibri" w:cs="Calibri"/>
                <w:color w:val="000000"/>
                <w:lang w:eastAsia="es-CR"/>
              </w:rPr>
            </w:pPr>
          </w:p>
        </w:tc>
        <w:tc>
          <w:tcPr>
            <w:tcW w:w="0" w:type="auto"/>
            <w:hideMark/>
          </w:tcPr>
          <w:p w14:paraId="47512F31"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Medicamentos envasados</w:t>
            </w:r>
          </w:p>
        </w:tc>
        <w:tc>
          <w:tcPr>
            <w:tcW w:w="0" w:type="auto"/>
            <w:hideMark/>
          </w:tcPr>
          <w:p w14:paraId="108C4218"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$21</w:t>
            </w:r>
          </w:p>
        </w:tc>
        <w:tc>
          <w:tcPr>
            <w:tcW w:w="0" w:type="auto"/>
            <w:noWrap/>
            <w:hideMark/>
          </w:tcPr>
          <w:p w14:paraId="6FD05DA5"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5,30%</w:t>
            </w:r>
          </w:p>
        </w:tc>
        <w:tc>
          <w:tcPr>
            <w:tcW w:w="0" w:type="auto"/>
            <w:hideMark/>
          </w:tcPr>
          <w:p w14:paraId="27A5755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Maquinaria</w:t>
            </w:r>
          </w:p>
        </w:tc>
        <w:tc>
          <w:tcPr>
            <w:tcW w:w="0" w:type="auto"/>
            <w:hideMark/>
          </w:tcPr>
          <w:p w14:paraId="11940BFD"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$26,3</w:t>
            </w:r>
          </w:p>
        </w:tc>
        <w:tc>
          <w:tcPr>
            <w:tcW w:w="0" w:type="auto"/>
            <w:noWrap/>
            <w:hideMark/>
          </w:tcPr>
          <w:p w14:paraId="779C99E9"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6,60%</w:t>
            </w:r>
          </w:p>
        </w:tc>
        <w:tc>
          <w:tcPr>
            <w:tcW w:w="0" w:type="auto"/>
            <w:hideMark/>
          </w:tcPr>
          <w:p w14:paraId="4DC977E7"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Frutas Tropicales</w:t>
            </w:r>
          </w:p>
        </w:tc>
        <w:tc>
          <w:tcPr>
            <w:tcW w:w="0" w:type="auto"/>
            <w:hideMark/>
          </w:tcPr>
          <w:p w14:paraId="4509C74A"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$41</w:t>
            </w:r>
          </w:p>
        </w:tc>
        <w:tc>
          <w:tcPr>
            <w:tcW w:w="0" w:type="auto"/>
            <w:hideMark/>
          </w:tcPr>
          <w:p w14:paraId="232F2AB7"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5,10%</w:t>
            </w:r>
          </w:p>
        </w:tc>
        <w:tc>
          <w:tcPr>
            <w:tcW w:w="0" w:type="auto"/>
            <w:hideMark/>
          </w:tcPr>
          <w:p w14:paraId="6386773C" w14:textId="77777777" w:rsidR="00383E56" w:rsidRPr="00383E56" w:rsidRDefault="00383E56" w:rsidP="007B40C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Plásticos y Cauchos</w:t>
            </w:r>
          </w:p>
        </w:tc>
        <w:tc>
          <w:tcPr>
            <w:tcW w:w="0" w:type="auto"/>
            <w:hideMark/>
          </w:tcPr>
          <w:p w14:paraId="389920F3"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$6</w:t>
            </w:r>
          </w:p>
        </w:tc>
        <w:tc>
          <w:tcPr>
            <w:tcW w:w="0" w:type="auto"/>
            <w:hideMark/>
          </w:tcPr>
          <w:p w14:paraId="6591D02F" w14:textId="77777777" w:rsidR="00383E56" w:rsidRPr="00383E56" w:rsidRDefault="00383E56" w:rsidP="007B40C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383E56">
              <w:rPr>
                <w:rFonts w:ascii="Calibri" w:eastAsia="Times New Roman" w:hAnsi="Calibri" w:cs="Calibri"/>
                <w:color w:val="000000"/>
                <w:lang w:eastAsia="es-CR"/>
              </w:rPr>
              <w:t>0,73%</w:t>
            </w:r>
          </w:p>
        </w:tc>
      </w:tr>
      <w:tr w:rsidR="00577B9D" w:rsidRPr="00383E56" w14:paraId="02BB5A9C" w14:textId="77777777" w:rsidTr="00577B9D">
        <w:trPr>
          <w:cnfStyle w:val="000000100000" w:firstRow="0" w:lastRow="0" w:firstColumn="0" w:lastColumn="0" w:oddVBand="0" w:evenVBand="0" w:oddHBand="1"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0" w:type="auto"/>
            <w:gridSpan w:val="13"/>
          </w:tcPr>
          <w:p w14:paraId="6E926F0E" w14:textId="2E26D399" w:rsidR="00577B9D" w:rsidRPr="00577B9D" w:rsidRDefault="00361D2E" w:rsidP="00577B9D">
            <w:pPr>
              <w:ind w:hanging="709"/>
              <w:jc w:val="center"/>
              <w:rPr>
                <w:b w:val="0"/>
                <w:bCs w:val="0"/>
                <w:color w:val="auto"/>
                <w:sz w:val="20"/>
                <w:szCs w:val="20"/>
              </w:rPr>
            </w:pPr>
            <w:r>
              <w:rPr>
                <w:b w:val="0"/>
                <w:bCs w:val="0"/>
                <w:color w:val="auto"/>
                <w:sz w:val="20"/>
                <w:szCs w:val="20"/>
              </w:rPr>
              <w:t xml:space="preserve">                 </w:t>
            </w:r>
            <w:r w:rsidR="00577B9D" w:rsidRPr="00577B9D">
              <w:rPr>
                <w:b w:val="0"/>
                <w:bCs w:val="0"/>
                <w:color w:val="auto"/>
                <w:sz w:val="20"/>
                <w:szCs w:val="20"/>
              </w:rPr>
              <w:t xml:space="preserve">Elaboración propia con base en datos del Observatorio de Complejidad Económica (2019). </w:t>
            </w:r>
            <w:r w:rsidR="00577B9D" w:rsidRPr="00577B9D">
              <w:rPr>
                <w:b w:val="0"/>
                <w:bCs w:val="0"/>
                <w:i/>
                <w:iCs/>
                <w:color w:val="auto"/>
                <w:sz w:val="20"/>
                <w:szCs w:val="20"/>
              </w:rPr>
              <w:t>Turquía</w:t>
            </w:r>
            <w:r w:rsidR="00577B9D" w:rsidRPr="00577B9D">
              <w:rPr>
                <w:b w:val="0"/>
                <w:bCs w:val="0"/>
                <w:color w:val="auto"/>
                <w:sz w:val="20"/>
                <w:szCs w:val="20"/>
              </w:rPr>
              <w:t xml:space="preserve">. Recuperado de: </w:t>
            </w:r>
            <w:r w:rsidR="00577B9D" w:rsidRPr="00577B9D">
              <w:rPr>
                <w:b w:val="0"/>
                <w:bCs w:val="0"/>
                <w:color w:val="auto"/>
                <w:sz w:val="20"/>
                <w:szCs w:val="20"/>
                <w:u w:val="single"/>
              </w:rPr>
              <w:t>https://oec.world/es/profile/country/tur/</w:t>
            </w:r>
          </w:p>
        </w:tc>
      </w:tr>
    </w:tbl>
    <w:p w14:paraId="2054A29D" w14:textId="77777777" w:rsidR="00383E56" w:rsidRDefault="00383E56" w:rsidP="00383E56"/>
    <w:p w14:paraId="00D4A818" w14:textId="48E59D7D" w:rsidR="00383E56" w:rsidRPr="00383E56" w:rsidRDefault="0034609C" w:rsidP="0034609C">
      <w:pPr>
        <w:tabs>
          <w:tab w:val="left" w:pos="4425"/>
        </w:tabs>
      </w:pPr>
      <w:r>
        <w:tab/>
      </w:r>
    </w:p>
    <w:sectPr w:rsidR="00383E56" w:rsidRPr="00383E56" w:rsidSect="0063668A">
      <w:pgSz w:w="15840" w:h="12240" w:orient="landscape"/>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E8CDC7" w14:textId="77777777" w:rsidR="006F6BF8" w:rsidRDefault="006F6BF8" w:rsidP="00B65C5D">
      <w:pPr>
        <w:spacing w:after="0" w:line="240" w:lineRule="auto"/>
      </w:pPr>
      <w:r>
        <w:separator/>
      </w:r>
    </w:p>
  </w:endnote>
  <w:endnote w:type="continuationSeparator" w:id="0">
    <w:p w14:paraId="3AE6F874" w14:textId="77777777" w:rsidR="006F6BF8" w:rsidRDefault="006F6BF8" w:rsidP="00B65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3360872"/>
      <w:docPartObj>
        <w:docPartGallery w:val="Page Numbers (Bottom of Page)"/>
        <w:docPartUnique/>
      </w:docPartObj>
    </w:sdtPr>
    <w:sdtContent>
      <w:p w14:paraId="5BC1AB8C" w14:textId="77777777" w:rsidR="001B52F1" w:rsidRDefault="001B52F1">
        <w:pPr>
          <w:pStyle w:val="Piedepgina"/>
          <w:jc w:val="right"/>
        </w:pPr>
        <w:r>
          <w:fldChar w:fldCharType="begin"/>
        </w:r>
        <w:r>
          <w:instrText>PAGE   \* MERGEFORMAT</w:instrText>
        </w:r>
        <w:r>
          <w:fldChar w:fldCharType="separate"/>
        </w:r>
        <w:r>
          <w:rPr>
            <w:lang w:val="es-ES"/>
          </w:rPr>
          <w:t>2</w:t>
        </w:r>
        <w:r>
          <w:fldChar w:fldCharType="end"/>
        </w:r>
      </w:p>
    </w:sdtContent>
  </w:sdt>
  <w:p w14:paraId="2FDEF965" w14:textId="77777777" w:rsidR="001B52F1" w:rsidRDefault="001B52F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5CA4F5" w14:textId="77777777" w:rsidR="006F6BF8" w:rsidRDefault="006F6BF8" w:rsidP="00B65C5D">
      <w:pPr>
        <w:spacing w:after="0" w:line="240" w:lineRule="auto"/>
      </w:pPr>
      <w:r>
        <w:separator/>
      </w:r>
    </w:p>
  </w:footnote>
  <w:footnote w:type="continuationSeparator" w:id="0">
    <w:p w14:paraId="7942DC73" w14:textId="77777777" w:rsidR="006F6BF8" w:rsidRDefault="006F6BF8" w:rsidP="00B65C5D">
      <w:pPr>
        <w:spacing w:after="0" w:line="240" w:lineRule="auto"/>
      </w:pPr>
      <w:r>
        <w:continuationSeparator/>
      </w:r>
    </w:p>
  </w:footnote>
  <w:footnote w:id="1">
    <w:p w14:paraId="09B5E66B" w14:textId="37A36794" w:rsidR="001B52F1" w:rsidRPr="001C49B8" w:rsidRDefault="001B52F1" w:rsidP="001C49B8">
      <w:pPr>
        <w:ind w:left="-709"/>
        <w:jc w:val="both"/>
        <w:rPr>
          <w:rFonts w:cstheme="minorHAnsi"/>
          <w:sz w:val="18"/>
          <w:szCs w:val="18"/>
        </w:rPr>
      </w:pPr>
      <w:r w:rsidRPr="001C49B8">
        <w:rPr>
          <w:rStyle w:val="Refdenotaalpie"/>
          <w:sz w:val="18"/>
          <w:szCs w:val="18"/>
        </w:rPr>
        <w:footnoteRef/>
      </w:r>
      <w:r w:rsidRPr="001C49B8">
        <w:rPr>
          <w:sz w:val="18"/>
          <w:szCs w:val="18"/>
        </w:rPr>
        <w:t xml:space="preserve"> Para conocer más sobre la superexplotación se recomienda ver: </w:t>
      </w:r>
      <w:r w:rsidRPr="001C49B8">
        <w:rPr>
          <w:rFonts w:cstheme="minorHAnsi"/>
          <w:sz w:val="18"/>
          <w:szCs w:val="18"/>
        </w:rPr>
        <w:t xml:space="preserve">Marini, R.M. (1991). </w:t>
      </w:r>
      <w:r w:rsidRPr="001C49B8">
        <w:rPr>
          <w:rFonts w:cstheme="minorHAnsi"/>
          <w:i/>
          <w:iCs/>
          <w:sz w:val="18"/>
          <w:szCs w:val="18"/>
        </w:rPr>
        <w:t>Dialéctica de la Dependencia</w:t>
      </w:r>
      <w:r w:rsidRPr="001C49B8">
        <w:rPr>
          <w:rFonts w:cstheme="minorHAnsi"/>
          <w:sz w:val="18"/>
          <w:szCs w:val="18"/>
        </w:rPr>
        <w:t>. Ediciones Era: México</w:t>
      </w:r>
      <w:r>
        <w:rPr>
          <w:rFonts w:cstheme="minorHAnsi"/>
          <w:sz w:val="18"/>
          <w:szCs w:val="18"/>
        </w:rPr>
        <w:t xml:space="preserve">; </w:t>
      </w:r>
      <w:r w:rsidRPr="001C49B8">
        <w:rPr>
          <w:rFonts w:cstheme="minorHAnsi"/>
          <w:sz w:val="18"/>
          <w:szCs w:val="18"/>
        </w:rPr>
        <w:t xml:space="preserve">Osorio, J. (1984). El marxismo latinoamericano y la dependencia. </w:t>
      </w:r>
      <w:r w:rsidRPr="001C49B8">
        <w:rPr>
          <w:rFonts w:cstheme="minorHAnsi"/>
          <w:i/>
          <w:iCs/>
          <w:sz w:val="18"/>
          <w:szCs w:val="18"/>
        </w:rPr>
        <w:t>Cuadernos Políticos, N°38</w:t>
      </w:r>
      <w:r w:rsidRPr="001C49B8">
        <w:rPr>
          <w:rFonts w:cstheme="minorHAnsi"/>
          <w:sz w:val="18"/>
          <w:szCs w:val="18"/>
        </w:rPr>
        <w:t>, pp. 40-59</w:t>
      </w:r>
      <w:r>
        <w:rPr>
          <w:rFonts w:cstheme="minorHAnsi"/>
          <w:sz w:val="18"/>
          <w:szCs w:val="18"/>
        </w:rPr>
        <w:t xml:space="preserve">; </w:t>
      </w:r>
      <w:r w:rsidRPr="001C49B8">
        <w:rPr>
          <w:rFonts w:cstheme="minorHAnsi"/>
          <w:sz w:val="18"/>
          <w:szCs w:val="18"/>
        </w:rPr>
        <w:t>Osorio, J</w:t>
      </w:r>
      <w:r>
        <w:rPr>
          <w:rFonts w:cstheme="minorHAnsi"/>
          <w:sz w:val="18"/>
          <w:szCs w:val="18"/>
        </w:rPr>
        <w:t>.</w:t>
      </w:r>
      <w:r w:rsidRPr="001C49B8">
        <w:rPr>
          <w:rFonts w:cstheme="minorHAnsi"/>
          <w:sz w:val="18"/>
          <w:szCs w:val="18"/>
        </w:rPr>
        <w:t xml:space="preserve"> (2017). </w:t>
      </w:r>
      <w:r w:rsidRPr="001C49B8">
        <w:rPr>
          <w:rFonts w:cstheme="minorHAnsi"/>
          <w:i/>
          <w:sz w:val="18"/>
          <w:szCs w:val="18"/>
        </w:rPr>
        <w:t>Sistema mundial, intercambio desigual y renta de la tierra</w:t>
      </w:r>
      <w:r w:rsidRPr="001C49B8">
        <w:rPr>
          <w:rFonts w:cstheme="minorHAnsi"/>
          <w:sz w:val="18"/>
          <w:szCs w:val="18"/>
        </w:rPr>
        <w:t>. Ciudad de México: UAM</w:t>
      </w:r>
      <w:r>
        <w:rPr>
          <w:rFonts w:cstheme="minorHAnsi"/>
          <w:sz w:val="18"/>
          <w:szCs w:val="18"/>
        </w:rPr>
        <w:t xml:space="preserve">; </w:t>
      </w:r>
      <w:r w:rsidRPr="001C49B8">
        <w:rPr>
          <w:rFonts w:cstheme="minorHAnsi"/>
          <w:sz w:val="18"/>
          <w:szCs w:val="18"/>
        </w:rPr>
        <w:t xml:space="preserve">Osorio, J. (23 de marzo de 2017). Sistema mundial y formas de capitalismo. La teoría marxista de la dependencia revisitada. </w:t>
      </w:r>
      <w:r w:rsidRPr="001C49B8">
        <w:rPr>
          <w:rFonts w:cstheme="minorHAnsi"/>
          <w:i/>
          <w:iCs/>
          <w:sz w:val="18"/>
          <w:szCs w:val="18"/>
        </w:rPr>
        <w:t>Marxismo y Revolución</w:t>
      </w:r>
      <w:r w:rsidRPr="001C49B8">
        <w:rPr>
          <w:rFonts w:cstheme="minorHAnsi"/>
          <w:sz w:val="18"/>
          <w:szCs w:val="18"/>
        </w:rPr>
        <w:t xml:space="preserve">. Recuperado de: </w:t>
      </w:r>
      <w:hyperlink r:id="rId1" w:history="1">
        <w:r w:rsidRPr="001C49B8">
          <w:rPr>
            <w:rStyle w:val="Hipervnculo"/>
            <w:rFonts w:cstheme="minorHAnsi"/>
            <w:sz w:val="18"/>
            <w:szCs w:val="18"/>
          </w:rPr>
          <w:t>http://marxismoyrevolucion.org/?p=550</w:t>
        </w:r>
      </w:hyperlink>
      <w:r>
        <w:rPr>
          <w:rFonts w:cstheme="minorHAnsi"/>
          <w:sz w:val="18"/>
          <w:szCs w:val="18"/>
        </w:rPr>
        <w:t xml:space="preserve">; </w:t>
      </w:r>
      <w:r w:rsidRPr="001C49B8">
        <w:rPr>
          <w:rFonts w:cstheme="minorHAnsi"/>
          <w:sz w:val="18"/>
          <w:szCs w:val="18"/>
        </w:rPr>
        <w:t xml:space="preserve">Osorio, J. (17 de julio de 2018). Acerca de la superexplotación y el capitalismo dependiente. </w:t>
      </w:r>
      <w:r w:rsidRPr="001C49B8">
        <w:rPr>
          <w:rFonts w:cstheme="minorHAnsi"/>
          <w:i/>
          <w:iCs/>
          <w:sz w:val="18"/>
          <w:szCs w:val="18"/>
        </w:rPr>
        <w:t>Marxismo y Revolución</w:t>
      </w:r>
      <w:r w:rsidRPr="001C49B8">
        <w:rPr>
          <w:rFonts w:cstheme="minorHAnsi"/>
          <w:sz w:val="18"/>
          <w:szCs w:val="18"/>
        </w:rPr>
        <w:t xml:space="preserve">. Recuperado de: </w:t>
      </w:r>
      <w:hyperlink r:id="rId2" w:history="1">
        <w:r w:rsidRPr="001C49B8">
          <w:rPr>
            <w:rStyle w:val="Hipervnculo"/>
            <w:rFonts w:cstheme="minorHAnsi"/>
            <w:sz w:val="18"/>
            <w:szCs w:val="18"/>
          </w:rPr>
          <w:t>http://marxismoyrevolucion.org/?p=865</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96D643" w14:textId="77777777" w:rsidR="001B52F1" w:rsidRDefault="001B52F1">
    <w:pPr>
      <w:pStyle w:val="Encabezado"/>
    </w:pPr>
    <w:r>
      <w:t>MRI 703</w:t>
    </w:r>
    <w:r>
      <w:tab/>
    </w:r>
    <w:r>
      <w:tab/>
      <w:t xml:space="preserve">           Política Internacional</w:t>
    </w:r>
  </w:p>
  <w:p w14:paraId="38A6B4FD" w14:textId="77777777" w:rsidR="001B52F1" w:rsidRDefault="001B52F1">
    <w:pPr>
      <w:pStyle w:val="Encabezado"/>
    </w:pPr>
    <w:r>
      <w:t>Prof. Sergio Moya</w:t>
    </w:r>
    <w:r>
      <w:tab/>
    </w:r>
    <w:r>
      <w:tab/>
      <w:t xml:space="preserve">16 de junio de 2019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97942"/>
    <w:multiLevelType w:val="hybridMultilevel"/>
    <w:tmpl w:val="8D2EB1AA"/>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447A2EC0"/>
    <w:multiLevelType w:val="multilevel"/>
    <w:tmpl w:val="65D28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404"/>
    <w:rsid w:val="00000B64"/>
    <w:rsid w:val="00064A7A"/>
    <w:rsid w:val="000D0A17"/>
    <w:rsid w:val="00122AD9"/>
    <w:rsid w:val="00140853"/>
    <w:rsid w:val="00161154"/>
    <w:rsid w:val="00171E29"/>
    <w:rsid w:val="0018148E"/>
    <w:rsid w:val="001B52F1"/>
    <w:rsid w:val="001C49B8"/>
    <w:rsid w:val="00253C6E"/>
    <w:rsid w:val="002642CB"/>
    <w:rsid w:val="00295404"/>
    <w:rsid w:val="002E578F"/>
    <w:rsid w:val="0033325D"/>
    <w:rsid w:val="0034609C"/>
    <w:rsid w:val="0035145F"/>
    <w:rsid w:val="00361D2E"/>
    <w:rsid w:val="0037690C"/>
    <w:rsid w:val="00383E56"/>
    <w:rsid w:val="00385B17"/>
    <w:rsid w:val="003B11FD"/>
    <w:rsid w:val="00416644"/>
    <w:rsid w:val="00424A0B"/>
    <w:rsid w:val="00432356"/>
    <w:rsid w:val="00443D34"/>
    <w:rsid w:val="004A4041"/>
    <w:rsid w:val="004D6CE8"/>
    <w:rsid w:val="004E3FEE"/>
    <w:rsid w:val="004E57D3"/>
    <w:rsid w:val="00504777"/>
    <w:rsid w:val="0055402D"/>
    <w:rsid w:val="00555983"/>
    <w:rsid w:val="00567CFC"/>
    <w:rsid w:val="0057627E"/>
    <w:rsid w:val="00577B9D"/>
    <w:rsid w:val="00591DFC"/>
    <w:rsid w:val="005A2FAE"/>
    <w:rsid w:val="006264C7"/>
    <w:rsid w:val="0063668A"/>
    <w:rsid w:val="006512A8"/>
    <w:rsid w:val="00657942"/>
    <w:rsid w:val="00666933"/>
    <w:rsid w:val="00681241"/>
    <w:rsid w:val="006F6BF8"/>
    <w:rsid w:val="00767780"/>
    <w:rsid w:val="00770730"/>
    <w:rsid w:val="007744F9"/>
    <w:rsid w:val="00775639"/>
    <w:rsid w:val="00793ADA"/>
    <w:rsid w:val="007B40CA"/>
    <w:rsid w:val="007F2A4D"/>
    <w:rsid w:val="00860AAE"/>
    <w:rsid w:val="00874E8F"/>
    <w:rsid w:val="008A460C"/>
    <w:rsid w:val="008C4AC0"/>
    <w:rsid w:val="009279F4"/>
    <w:rsid w:val="00947D9B"/>
    <w:rsid w:val="0096792F"/>
    <w:rsid w:val="00A618A4"/>
    <w:rsid w:val="00A7154E"/>
    <w:rsid w:val="00AF5FE5"/>
    <w:rsid w:val="00B17BDB"/>
    <w:rsid w:val="00B2281F"/>
    <w:rsid w:val="00B2449B"/>
    <w:rsid w:val="00B52E8A"/>
    <w:rsid w:val="00B6451E"/>
    <w:rsid w:val="00B64B0F"/>
    <w:rsid w:val="00B65C5D"/>
    <w:rsid w:val="00B8047F"/>
    <w:rsid w:val="00B86374"/>
    <w:rsid w:val="00BF3C7F"/>
    <w:rsid w:val="00BF6004"/>
    <w:rsid w:val="00C246BA"/>
    <w:rsid w:val="00C40AD4"/>
    <w:rsid w:val="00C60074"/>
    <w:rsid w:val="00CA171A"/>
    <w:rsid w:val="00CD1360"/>
    <w:rsid w:val="00CD32D5"/>
    <w:rsid w:val="00D078EA"/>
    <w:rsid w:val="00D1382F"/>
    <w:rsid w:val="00D423B0"/>
    <w:rsid w:val="00D4623D"/>
    <w:rsid w:val="00D57CE8"/>
    <w:rsid w:val="00D71E19"/>
    <w:rsid w:val="00D73875"/>
    <w:rsid w:val="00D93501"/>
    <w:rsid w:val="00DD2FA2"/>
    <w:rsid w:val="00E82829"/>
    <w:rsid w:val="00EC527A"/>
    <w:rsid w:val="00EE0B19"/>
    <w:rsid w:val="00EF6B42"/>
    <w:rsid w:val="00EF733C"/>
    <w:rsid w:val="00F01E14"/>
    <w:rsid w:val="00F05DA6"/>
    <w:rsid w:val="00F15D22"/>
    <w:rsid w:val="00F4269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638E0"/>
  <w15:chartTrackingRefBased/>
  <w15:docId w15:val="{71CEA36F-30B5-40C2-B7F7-1A8EE0DBB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29540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95404"/>
    <w:rPr>
      <w:rFonts w:asciiTheme="majorHAnsi" w:eastAsiaTheme="majorEastAsia" w:hAnsiTheme="majorHAnsi" w:cstheme="majorBidi"/>
      <w:color w:val="2F5496" w:themeColor="accent1" w:themeShade="BF"/>
      <w:sz w:val="32"/>
      <w:szCs w:val="32"/>
    </w:rPr>
  </w:style>
  <w:style w:type="paragraph" w:styleId="Textonotapie">
    <w:name w:val="footnote text"/>
    <w:basedOn w:val="Normal"/>
    <w:link w:val="TextonotapieCar"/>
    <w:uiPriority w:val="99"/>
    <w:unhideWhenUsed/>
    <w:rsid w:val="00B65C5D"/>
    <w:pPr>
      <w:spacing w:after="0" w:line="240" w:lineRule="auto"/>
    </w:pPr>
    <w:rPr>
      <w:sz w:val="20"/>
      <w:szCs w:val="20"/>
    </w:rPr>
  </w:style>
  <w:style w:type="character" w:customStyle="1" w:styleId="TextonotapieCar">
    <w:name w:val="Texto nota pie Car"/>
    <w:basedOn w:val="Fuentedeprrafopredeter"/>
    <w:link w:val="Textonotapie"/>
    <w:uiPriority w:val="99"/>
    <w:rsid w:val="00B65C5D"/>
    <w:rPr>
      <w:sz w:val="20"/>
      <w:szCs w:val="20"/>
    </w:rPr>
  </w:style>
  <w:style w:type="character" w:styleId="Refdenotaalpie">
    <w:name w:val="footnote reference"/>
    <w:basedOn w:val="Fuentedeprrafopredeter"/>
    <w:uiPriority w:val="99"/>
    <w:semiHidden/>
    <w:unhideWhenUsed/>
    <w:rsid w:val="00B65C5D"/>
    <w:rPr>
      <w:vertAlign w:val="superscript"/>
    </w:rPr>
  </w:style>
  <w:style w:type="character" w:customStyle="1" w:styleId="A2">
    <w:name w:val="A2"/>
    <w:uiPriority w:val="99"/>
    <w:rsid w:val="00F42699"/>
    <w:rPr>
      <w:b/>
      <w:bCs/>
      <w:color w:val="000000"/>
      <w:sz w:val="28"/>
      <w:szCs w:val="28"/>
    </w:rPr>
  </w:style>
  <w:style w:type="paragraph" w:styleId="Encabezado">
    <w:name w:val="header"/>
    <w:basedOn w:val="Normal"/>
    <w:link w:val="EncabezadoCar"/>
    <w:uiPriority w:val="99"/>
    <w:unhideWhenUsed/>
    <w:rsid w:val="00F426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42699"/>
  </w:style>
  <w:style w:type="paragraph" w:styleId="Piedepgina">
    <w:name w:val="footer"/>
    <w:basedOn w:val="Normal"/>
    <w:link w:val="PiedepginaCar"/>
    <w:uiPriority w:val="99"/>
    <w:unhideWhenUsed/>
    <w:rsid w:val="00F426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42699"/>
  </w:style>
  <w:style w:type="character" w:customStyle="1" w:styleId="A4">
    <w:name w:val="A4"/>
    <w:uiPriority w:val="99"/>
    <w:rsid w:val="0096792F"/>
    <w:rPr>
      <w:color w:val="000000"/>
      <w:sz w:val="20"/>
      <w:szCs w:val="20"/>
    </w:rPr>
  </w:style>
  <w:style w:type="paragraph" w:styleId="Prrafodelista">
    <w:name w:val="List Paragraph"/>
    <w:basedOn w:val="Normal"/>
    <w:uiPriority w:val="34"/>
    <w:qFormat/>
    <w:rsid w:val="00416644"/>
    <w:pPr>
      <w:ind w:left="720"/>
      <w:contextualSpacing/>
    </w:pPr>
  </w:style>
  <w:style w:type="character" w:customStyle="1" w:styleId="A7">
    <w:name w:val="A7"/>
    <w:uiPriority w:val="99"/>
    <w:rsid w:val="006512A8"/>
    <w:rPr>
      <w:color w:val="000000"/>
      <w:sz w:val="11"/>
      <w:szCs w:val="11"/>
    </w:rPr>
  </w:style>
  <w:style w:type="character" w:styleId="nfasis">
    <w:name w:val="Emphasis"/>
    <w:basedOn w:val="Fuentedeprrafopredeter"/>
    <w:uiPriority w:val="20"/>
    <w:qFormat/>
    <w:rsid w:val="00432356"/>
    <w:rPr>
      <w:i/>
      <w:iCs/>
    </w:rPr>
  </w:style>
  <w:style w:type="table" w:styleId="Tablaconcuadrcula">
    <w:name w:val="Table Grid"/>
    <w:basedOn w:val="Tablanormal"/>
    <w:uiPriority w:val="39"/>
    <w:rsid w:val="00860A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3">
    <w:name w:val="Grid Table 5 Dark Accent 3"/>
    <w:basedOn w:val="Tablanormal"/>
    <w:uiPriority w:val="50"/>
    <w:rsid w:val="00860A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Hipervnculo">
    <w:name w:val="Hyperlink"/>
    <w:basedOn w:val="Fuentedeprrafopredeter"/>
    <w:uiPriority w:val="99"/>
    <w:unhideWhenUsed/>
    <w:rsid w:val="00B52E8A"/>
    <w:rPr>
      <w:color w:val="0000FF"/>
      <w:u w:val="single"/>
    </w:rPr>
  </w:style>
  <w:style w:type="paragraph" w:styleId="NormalWeb">
    <w:name w:val="Normal (Web)"/>
    <w:basedOn w:val="Normal"/>
    <w:uiPriority w:val="99"/>
    <w:semiHidden/>
    <w:unhideWhenUsed/>
    <w:rsid w:val="004D6CE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
    <w:name w:val="Default"/>
    <w:rsid w:val="00577B9D"/>
    <w:pPr>
      <w:autoSpaceDE w:val="0"/>
      <w:autoSpaceDN w:val="0"/>
      <w:adjustRightInd w:val="0"/>
      <w:spacing w:after="0" w:line="240" w:lineRule="auto"/>
    </w:pPr>
    <w:rPr>
      <w:rFonts w:ascii="Cambria" w:hAnsi="Cambria" w:cs="Cambria"/>
      <w:color w:val="000000"/>
      <w:sz w:val="24"/>
      <w:szCs w:val="24"/>
    </w:rPr>
  </w:style>
  <w:style w:type="character" w:styleId="Mencinsinresolver">
    <w:name w:val="Unresolved Mention"/>
    <w:basedOn w:val="Fuentedeprrafopredeter"/>
    <w:uiPriority w:val="99"/>
    <w:semiHidden/>
    <w:unhideWhenUsed/>
    <w:rsid w:val="00577B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231920">
      <w:bodyDiv w:val="1"/>
      <w:marLeft w:val="0"/>
      <w:marRight w:val="0"/>
      <w:marTop w:val="0"/>
      <w:marBottom w:val="0"/>
      <w:divBdr>
        <w:top w:val="none" w:sz="0" w:space="0" w:color="auto"/>
        <w:left w:val="none" w:sz="0" w:space="0" w:color="auto"/>
        <w:bottom w:val="none" w:sz="0" w:space="0" w:color="auto"/>
        <w:right w:val="none" w:sz="0" w:space="0" w:color="auto"/>
      </w:divBdr>
    </w:div>
    <w:div w:id="106702701">
      <w:bodyDiv w:val="1"/>
      <w:marLeft w:val="0"/>
      <w:marRight w:val="0"/>
      <w:marTop w:val="0"/>
      <w:marBottom w:val="0"/>
      <w:divBdr>
        <w:top w:val="none" w:sz="0" w:space="0" w:color="auto"/>
        <w:left w:val="none" w:sz="0" w:space="0" w:color="auto"/>
        <w:bottom w:val="none" w:sz="0" w:space="0" w:color="auto"/>
        <w:right w:val="none" w:sz="0" w:space="0" w:color="auto"/>
      </w:divBdr>
    </w:div>
    <w:div w:id="117846336">
      <w:bodyDiv w:val="1"/>
      <w:marLeft w:val="0"/>
      <w:marRight w:val="0"/>
      <w:marTop w:val="0"/>
      <w:marBottom w:val="0"/>
      <w:divBdr>
        <w:top w:val="none" w:sz="0" w:space="0" w:color="auto"/>
        <w:left w:val="none" w:sz="0" w:space="0" w:color="auto"/>
        <w:bottom w:val="none" w:sz="0" w:space="0" w:color="auto"/>
        <w:right w:val="none" w:sz="0" w:space="0" w:color="auto"/>
      </w:divBdr>
    </w:div>
    <w:div w:id="136994117">
      <w:bodyDiv w:val="1"/>
      <w:marLeft w:val="0"/>
      <w:marRight w:val="0"/>
      <w:marTop w:val="0"/>
      <w:marBottom w:val="0"/>
      <w:divBdr>
        <w:top w:val="none" w:sz="0" w:space="0" w:color="auto"/>
        <w:left w:val="none" w:sz="0" w:space="0" w:color="auto"/>
        <w:bottom w:val="none" w:sz="0" w:space="0" w:color="auto"/>
        <w:right w:val="none" w:sz="0" w:space="0" w:color="auto"/>
      </w:divBdr>
      <w:divsChild>
        <w:div w:id="698697803">
          <w:marLeft w:val="0"/>
          <w:marRight w:val="0"/>
          <w:marTop w:val="0"/>
          <w:marBottom w:val="0"/>
          <w:divBdr>
            <w:top w:val="none" w:sz="0" w:space="0" w:color="auto"/>
            <w:left w:val="none" w:sz="0" w:space="0" w:color="auto"/>
            <w:bottom w:val="none" w:sz="0" w:space="0" w:color="auto"/>
            <w:right w:val="none" w:sz="0" w:space="0" w:color="auto"/>
          </w:divBdr>
        </w:div>
      </w:divsChild>
    </w:div>
    <w:div w:id="160196467">
      <w:bodyDiv w:val="1"/>
      <w:marLeft w:val="0"/>
      <w:marRight w:val="0"/>
      <w:marTop w:val="0"/>
      <w:marBottom w:val="0"/>
      <w:divBdr>
        <w:top w:val="none" w:sz="0" w:space="0" w:color="auto"/>
        <w:left w:val="none" w:sz="0" w:space="0" w:color="auto"/>
        <w:bottom w:val="none" w:sz="0" w:space="0" w:color="auto"/>
        <w:right w:val="none" w:sz="0" w:space="0" w:color="auto"/>
      </w:divBdr>
    </w:div>
    <w:div w:id="212352952">
      <w:bodyDiv w:val="1"/>
      <w:marLeft w:val="0"/>
      <w:marRight w:val="0"/>
      <w:marTop w:val="0"/>
      <w:marBottom w:val="0"/>
      <w:divBdr>
        <w:top w:val="none" w:sz="0" w:space="0" w:color="auto"/>
        <w:left w:val="none" w:sz="0" w:space="0" w:color="auto"/>
        <w:bottom w:val="none" w:sz="0" w:space="0" w:color="auto"/>
        <w:right w:val="none" w:sz="0" w:space="0" w:color="auto"/>
      </w:divBdr>
    </w:div>
    <w:div w:id="360785030">
      <w:bodyDiv w:val="1"/>
      <w:marLeft w:val="0"/>
      <w:marRight w:val="0"/>
      <w:marTop w:val="0"/>
      <w:marBottom w:val="0"/>
      <w:divBdr>
        <w:top w:val="none" w:sz="0" w:space="0" w:color="auto"/>
        <w:left w:val="none" w:sz="0" w:space="0" w:color="auto"/>
        <w:bottom w:val="none" w:sz="0" w:space="0" w:color="auto"/>
        <w:right w:val="none" w:sz="0" w:space="0" w:color="auto"/>
      </w:divBdr>
      <w:divsChild>
        <w:div w:id="1783258241">
          <w:marLeft w:val="0"/>
          <w:marRight w:val="0"/>
          <w:marTop w:val="0"/>
          <w:marBottom w:val="0"/>
          <w:divBdr>
            <w:top w:val="none" w:sz="0" w:space="0" w:color="auto"/>
            <w:left w:val="none" w:sz="0" w:space="0" w:color="auto"/>
            <w:bottom w:val="none" w:sz="0" w:space="0" w:color="auto"/>
            <w:right w:val="none" w:sz="0" w:space="0" w:color="auto"/>
          </w:divBdr>
        </w:div>
      </w:divsChild>
    </w:div>
    <w:div w:id="1053312606">
      <w:bodyDiv w:val="1"/>
      <w:marLeft w:val="0"/>
      <w:marRight w:val="0"/>
      <w:marTop w:val="0"/>
      <w:marBottom w:val="0"/>
      <w:divBdr>
        <w:top w:val="none" w:sz="0" w:space="0" w:color="auto"/>
        <w:left w:val="none" w:sz="0" w:space="0" w:color="auto"/>
        <w:bottom w:val="none" w:sz="0" w:space="0" w:color="auto"/>
        <w:right w:val="none" w:sz="0" w:space="0" w:color="auto"/>
      </w:divBdr>
      <w:divsChild>
        <w:div w:id="2057579875">
          <w:marLeft w:val="0"/>
          <w:marRight w:val="0"/>
          <w:marTop w:val="0"/>
          <w:marBottom w:val="0"/>
          <w:divBdr>
            <w:top w:val="none" w:sz="0" w:space="0" w:color="auto"/>
            <w:left w:val="none" w:sz="0" w:space="0" w:color="auto"/>
            <w:bottom w:val="none" w:sz="0" w:space="0" w:color="auto"/>
            <w:right w:val="none" w:sz="0" w:space="0" w:color="auto"/>
          </w:divBdr>
        </w:div>
      </w:divsChild>
    </w:div>
    <w:div w:id="1371951982">
      <w:bodyDiv w:val="1"/>
      <w:marLeft w:val="0"/>
      <w:marRight w:val="0"/>
      <w:marTop w:val="0"/>
      <w:marBottom w:val="0"/>
      <w:divBdr>
        <w:top w:val="none" w:sz="0" w:space="0" w:color="auto"/>
        <w:left w:val="none" w:sz="0" w:space="0" w:color="auto"/>
        <w:bottom w:val="none" w:sz="0" w:space="0" w:color="auto"/>
        <w:right w:val="none" w:sz="0" w:space="0" w:color="auto"/>
      </w:divBdr>
    </w:div>
    <w:div w:id="1589339751">
      <w:bodyDiv w:val="1"/>
      <w:marLeft w:val="0"/>
      <w:marRight w:val="0"/>
      <w:marTop w:val="0"/>
      <w:marBottom w:val="0"/>
      <w:divBdr>
        <w:top w:val="none" w:sz="0" w:space="0" w:color="auto"/>
        <w:left w:val="none" w:sz="0" w:space="0" w:color="auto"/>
        <w:bottom w:val="none" w:sz="0" w:space="0" w:color="auto"/>
        <w:right w:val="none" w:sz="0" w:space="0" w:color="auto"/>
      </w:divBdr>
      <w:divsChild>
        <w:div w:id="1324045540">
          <w:marLeft w:val="0"/>
          <w:marRight w:val="0"/>
          <w:marTop w:val="0"/>
          <w:marBottom w:val="0"/>
          <w:divBdr>
            <w:top w:val="none" w:sz="0" w:space="0" w:color="auto"/>
            <w:left w:val="none" w:sz="0" w:space="0" w:color="auto"/>
            <w:bottom w:val="none" w:sz="0" w:space="0" w:color="auto"/>
            <w:right w:val="none" w:sz="0" w:space="0" w:color="auto"/>
          </w:divBdr>
        </w:div>
      </w:divsChild>
    </w:div>
    <w:div w:id="1602761202">
      <w:bodyDiv w:val="1"/>
      <w:marLeft w:val="0"/>
      <w:marRight w:val="0"/>
      <w:marTop w:val="0"/>
      <w:marBottom w:val="0"/>
      <w:divBdr>
        <w:top w:val="none" w:sz="0" w:space="0" w:color="auto"/>
        <w:left w:val="none" w:sz="0" w:space="0" w:color="auto"/>
        <w:bottom w:val="none" w:sz="0" w:space="0" w:color="auto"/>
        <w:right w:val="none" w:sz="0" w:space="0" w:color="auto"/>
      </w:divBdr>
    </w:div>
    <w:div w:id="1946304186">
      <w:bodyDiv w:val="1"/>
      <w:marLeft w:val="0"/>
      <w:marRight w:val="0"/>
      <w:marTop w:val="0"/>
      <w:marBottom w:val="0"/>
      <w:divBdr>
        <w:top w:val="none" w:sz="0" w:space="0" w:color="auto"/>
        <w:left w:val="none" w:sz="0" w:space="0" w:color="auto"/>
        <w:bottom w:val="none" w:sz="0" w:space="0" w:color="auto"/>
        <w:right w:val="none" w:sz="0" w:space="0" w:color="auto"/>
      </w:divBdr>
      <w:divsChild>
        <w:div w:id="105858006">
          <w:marLeft w:val="0"/>
          <w:marRight w:val="0"/>
          <w:marTop w:val="0"/>
          <w:marBottom w:val="0"/>
          <w:divBdr>
            <w:top w:val="none" w:sz="0" w:space="0" w:color="auto"/>
            <w:left w:val="none" w:sz="0" w:space="0" w:color="auto"/>
            <w:bottom w:val="none" w:sz="0" w:space="0" w:color="auto"/>
            <w:right w:val="none" w:sz="0" w:space="0" w:color="auto"/>
          </w:divBdr>
        </w:div>
      </w:divsChild>
    </w:div>
    <w:div w:id="2128544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haaretz.com/world-news/turkey-s-lira-and-south-africa-s-rand-tumble-as-argentine-peso-crashes-1.6431962" TargetMode="External"/><Relationship Id="rId18" Type="http://schemas.openxmlformats.org/officeDocument/2006/relationships/hyperlink" Target="http://www.mei.edu/content/us-sanctions-turkish-ministers-require-recalibration"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marxismoyrevolucion.org/?p=865" TargetMode="External"/><Relationship Id="rId2" Type="http://schemas.openxmlformats.org/officeDocument/2006/relationships/numbering" Target="numbering.xml"/><Relationship Id="rId16" Type="http://schemas.openxmlformats.org/officeDocument/2006/relationships/hyperlink" Target="http://marxismoyrevolucion.org/?p=55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pi.ucr.ac.cr/node/1109" TargetMode="Externa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comtrade.un.org/data/"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turkstat.gov.tr/UstMenu.do?metod=temelist" TargetMode="External"/><Relationship Id="rId22" Type="http://schemas.openxmlformats.org/officeDocument/2006/relationships/hyperlink" Target="https://comtrade.un.org/dat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marxismoyrevolucion.org/?p=865" TargetMode="External"/><Relationship Id="rId1" Type="http://schemas.openxmlformats.org/officeDocument/2006/relationships/hyperlink" Target="http://marxismoyrevolucion.org/?p=550"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R" sz="1800" b="0" i="0" baseline="0">
                <a:effectLst/>
              </a:rPr>
              <a:t>Gráfico 1. Exportaciones de Turquía hacia sus principales socios Latinoamericanos y Costa Rica 2003-2018</a:t>
            </a:r>
            <a:endParaRPr lang="es-CR">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manualLayout>
          <c:layoutTarget val="inner"/>
          <c:xMode val="edge"/>
          <c:yMode val="edge"/>
          <c:x val="9.0554320145311146E-2"/>
          <c:y val="0.22427437869570249"/>
          <c:w val="0.7836158899252389"/>
          <c:h val="0.64617546936563308"/>
        </c:manualLayout>
      </c:layout>
      <c:lineChart>
        <c:grouping val="standard"/>
        <c:varyColors val="0"/>
        <c:ser>
          <c:idx val="0"/>
          <c:order val="0"/>
          <c:tx>
            <c:strRef>
              <c:f>Exportaciones!$B$1</c:f>
              <c:strCache>
                <c:ptCount val="1"/>
                <c:pt idx="0">
                  <c:v>Brasil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Exportaciones!$B$2:$B$17</c:f>
              <c:numCache>
                <c:formatCode>[$$-409]#,##0</c:formatCode>
                <c:ptCount val="16"/>
                <c:pt idx="0">
                  <c:v>50.165495</c:v>
                </c:pt>
                <c:pt idx="1">
                  <c:v>69.355258000000006</c:v>
                </c:pt>
                <c:pt idx="2">
                  <c:v>103.45788899999999</c:v>
                </c:pt>
                <c:pt idx="3">
                  <c:v>121.881519</c:v>
                </c:pt>
                <c:pt idx="4">
                  <c:v>229.91365200000001</c:v>
                </c:pt>
                <c:pt idx="5">
                  <c:v>318.02748000000003</c:v>
                </c:pt>
                <c:pt idx="6">
                  <c:v>388.20671700000003</c:v>
                </c:pt>
                <c:pt idx="7">
                  <c:v>614.55100000000004</c:v>
                </c:pt>
                <c:pt idx="8">
                  <c:v>883.47129399999994</c:v>
                </c:pt>
                <c:pt idx="9">
                  <c:v>1002.759403</c:v>
                </c:pt>
                <c:pt idx="10">
                  <c:v>936.09584299999995</c:v>
                </c:pt>
                <c:pt idx="11">
                  <c:v>794.18631000000005</c:v>
                </c:pt>
                <c:pt idx="12">
                  <c:v>458.366804</c:v>
                </c:pt>
                <c:pt idx="13">
                  <c:v>333.74140999999997</c:v>
                </c:pt>
                <c:pt idx="14">
                  <c:v>384.90407900000002</c:v>
                </c:pt>
                <c:pt idx="15">
                  <c:v>489.54265199999998</c:v>
                </c:pt>
              </c:numCache>
            </c:numRef>
          </c:val>
          <c:smooth val="0"/>
          <c:extLst>
            <c:ext xmlns:c16="http://schemas.microsoft.com/office/drawing/2014/chart" uri="{C3380CC4-5D6E-409C-BE32-E72D297353CC}">
              <c16:uniqueId val="{00000000-2596-42C4-ABDC-B25BA5C68AD8}"/>
            </c:ext>
          </c:extLst>
        </c:ser>
        <c:ser>
          <c:idx val="1"/>
          <c:order val="1"/>
          <c:tx>
            <c:strRef>
              <c:f>Exportaciones!$C$1</c:f>
              <c:strCache>
                <c:ptCount val="1"/>
                <c:pt idx="0">
                  <c:v>Argentina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Exportaciones!$C$2:$C$17</c:f>
              <c:numCache>
                <c:formatCode>[$$-409]#,##0</c:formatCode>
                <c:ptCount val="16"/>
                <c:pt idx="0">
                  <c:v>10.807708999999999</c:v>
                </c:pt>
                <c:pt idx="1">
                  <c:v>19.910305999999999</c:v>
                </c:pt>
                <c:pt idx="2">
                  <c:v>37.798575</c:v>
                </c:pt>
                <c:pt idx="3">
                  <c:v>44.396338</c:v>
                </c:pt>
                <c:pt idx="4">
                  <c:v>64.495722999999998</c:v>
                </c:pt>
                <c:pt idx="5">
                  <c:v>107.09915599999999</c:v>
                </c:pt>
                <c:pt idx="6">
                  <c:v>73.734018000000006</c:v>
                </c:pt>
                <c:pt idx="7">
                  <c:v>179.21566000000001</c:v>
                </c:pt>
                <c:pt idx="8">
                  <c:v>214.104375</c:v>
                </c:pt>
                <c:pt idx="9">
                  <c:v>316.48223200000001</c:v>
                </c:pt>
                <c:pt idx="10">
                  <c:v>318.18112400000001</c:v>
                </c:pt>
                <c:pt idx="11">
                  <c:v>141.319928</c:v>
                </c:pt>
                <c:pt idx="12">
                  <c:v>118.306763</c:v>
                </c:pt>
                <c:pt idx="13">
                  <c:v>126.87006599999999</c:v>
                </c:pt>
                <c:pt idx="14">
                  <c:v>159.28761600000001</c:v>
                </c:pt>
                <c:pt idx="15">
                  <c:v>169.281262</c:v>
                </c:pt>
              </c:numCache>
            </c:numRef>
          </c:val>
          <c:smooth val="0"/>
          <c:extLst>
            <c:ext xmlns:c16="http://schemas.microsoft.com/office/drawing/2014/chart" uri="{C3380CC4-5D6E-409C-BE32-E72D297353CC}">
              <c16:uniqueId val="{00000001-2596-42C4-ABDC-B25BA5C68AD8}"/>
            </c:ext>
          </c:extLst>
        </c:ser>
        <c:ser>
          <c:idx val="2"/>
          <c:order val="2"/>
          <c:tx>
            <c:strRef>
              <c:f>Exportaciones!$D$1</c:f>
              <c:strCache>
                <c:ptCount val="1"/>
                <c:pt idx="0">
                  <c:v>Perú</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Exportaciones!$D$2:$D$17</c:f>
              <c:numCache>
                <c:formatCode>[$$-409]#,##0</c:formatCode>
                <c:ptCount val="16"/>
                <c:pt idx="0">
                  <c:v>7.3364909999999997</c:v>
                </c:pt>
                <c:pt idx="1">
                  <c:v>6.9535689999999999</c:v>
                </c:pt>
                <c:pt idx="2">
                  <c:v>7.2110620000000001</c:v>
                </c:pt>
                <c:pt idx="3">
                  <c:v>9.356071</c:v>
                </c:pt>
                <c:pt idx="4">
                  <c:v>15.305415</c:v>
                </c:pt>
                <c:pt idx="5">
                  <c:v>124.63291700000001</c:v>
                </c:pt>
                <c:pt idx="6">
                  <c:v>61.947040000000001</c:v>
                </c:pt>
                <c:pt idx="7">
                  <c:v>159.27198100000001</c:v>
                </c:pt>
                <c:pt idx="8">
                  <c:v>286.80009799999999</c:v>
                </c:pt>
                <c:pt idx="9">
                  <c:v>246.410402</c:v>
                </c:pt>
                <c:pt idx="10">
                  <c:v>275.56543799999997</c:v>
                </c:pt>
                <c:pt idx="11">
                  <c:v>287.97616099999999</c:v>
                </c:pt>
                <c:pt idx="12">
                  <c:v>197.098412</c:v>
                </c:pt>
                <c:pt idx="13">
                  <c:v>86.191001</c:v>
                </c:pt>
                <c:pt idx="14">
                  <c:v>108.523973</c:v>
                </c:pt>
                <c:pt idx="15">
                  <c:v>162.406532</c:v>
                </c:pt>
              </c:numCache>
            </c:numRef>
          </c:val>
          <c:smooth val="0"/>
          <c:extLst>
            <c:ext xmlns:c16="http://schemas.microsoft.com/office/drawing/2014/chart" uri="{C3380CC4-5D6E-409C-BE32-E72D297353CC}">
              <c16:uniqueId val="{00000002-2596-42C4-ABDC-B25BA5C68AD8}"/>
            </c:ext>
          </c:extLst>
        </c:ser>
        <c:ser>
          <c:idx val="3"/>
          <c:order val="3"/>
          <c:tx>
            <c:strRef>
              <c:f>Exportaciones!$E$1</c:f>
              <c:strCache>
                <c:ptCount val="1"/>
                <c:pt idx="0">
                  <c:v>Chile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Exportaciones!$E$2:$E$17</c:f>
              <c:numCache>
                <c:formatCode>[$$-409]#,##0</c:formatCode>
                <c:ptCount val="16"/>
                <c:pt idx="0">
                  <c:v>15.528294000000001</c:v>
                </c:pt>
                <c:pt idx="1">
                  <c:v>24.528648</c:v>
                </c:pt>
                <c:pt idx="2">
                  <c:v>24.959437000000001</c:v>
                </c:pt>
                <c:pt idx="3">
                  <c:v>34.788060999999999</c:v>
                </c:pt>
                <c:pt idx="4">
                  <c:v>41.842953999999999</c:v>
                </c:pt>
                <c:pt idx="5">
                  <c:v>150.26746800000001</c:v>
                </c:pt>
                <c:pt idx="6">
                  <c:v>37.434963000000003</c:v>
                </c:pt>
                <c:pt idx="7">
                  <c:v>81.221774999999994</c:v>
                </c:pt>
                <c:pt idx="8">
                  <c:v>130.616241</c:v>
                </c:pt>
                <c:pt idx="9">
                  <c:v>174.85212200000001</c:v>
                </c:pt>
                <c:pt idx="10">
                  <c:v>219.33804799999999</c:v>
                </c:pt>
                <c:pt idx="11">
                  <c:v>198.57933299999999</c:v>
                </c:pt>
                <c:pt idx="12">
                  <c:v>187.91881699999999</c:v>
                </c:pt>
                <c:pt idx="13">
                  <c:v>217.15713700000001</c:v>
                </c:pt>
                <c:pt idx="14">
                  <c:v>254.625676</c:v>
                </c:pt>
                <c:pt idx="15">
                  <c:v>386.34668699999997</c:v>
                </c:pt>
              </c:numCache>
            </c:numRef>
          </c:val>
          <c:smooth val="0"/>
          <c:extLst>
            <c:ext xmlns:c16="http://schemas.microsoft.com/office/drawing/2014/chart" uri="{C3380CC4-5D6E-409C-BE32-E72D297353CC}">
              <c16:uniqueId val="{00000003-2596-42C4-ABDC-B25BA5C68AD8}"/>
            </c:ext>
          </c:extLst>
        </c:ser>
        <c:ser>
          <c:idx val="4"/>
          <c:order val="4"/>
          <c:tx>
            <c:strRef>
              <c:f>Exportaciones!$F$1</c:f>
              <c:strCache>
                <c:ptCount val="1"/>
                <c:pt idx="0">
                  <c:v>Venezuela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Exportaciones!$F$2:$F$17</c:f>
              <c:numCache>
                <c:formatCode>[$$-409]#,##0</c:formatCode>
                <c:ptCount val="16"/>
                <c:pt idx="0">
                  <c:v>21.501659</c:v>
                </c:pt>
                <c:pt idx="1">
                  <c:v>12.716695</c:v>
                </c:pt>
                <c:pt idx="2">
                  <c:v>38.617769000000003</c:v>
                </c:pt>
                <c:pt idx="3">
                  <c:v>41.855499999999999</c:v>
                </c:pt>
                <c:pt idx="4">
                  <c:v>41.698663000000003</c:v>
                </c:pt>
                <c:pt idx="5">
                  <c:v>27.696380999999999</c:v>
                </c:pt>
                <c:pt idx="6">
                  <c:v>36.420400999999998</c:v>
                </c:pt>
                <c:pt idx="7">
                  <c:v>44.170608000000001</c:v>
                </c:pt>
                <c:pt idx="8">
                  <c:v>84.232322999999994</c:v>
                </c:pt>
                <c:pt idx="9">
                  <c:v>156.26768799999999</c:v>
                </c:pt>
                <c:pt idx="10">
                  <c:v>75.826583999999997</c:v>
                </c:pt>
                <c:pt idx="11">
                  <c:v>48.563291</c:v>
                </c:pt>
                <c:pt idx="12">
                  <c:v>18.681486</c:v>
                </c:pt>
                <c:pt idx="13">
                  <c:v>18.033840999999999</c:v>
                </c:pt>
                <c:pt idx="14">
                  <c:v>37.483497999999997</c:v>
                </c:pt>
                <c:pt idx="15">
                  <c:v>120.535898</c:v>
                </c:pt>
              </c:numCache>
            </c:numRef>
          </c:val>
          <c:smooth val="0"/>
          <c:extLst>
            <c:ext xmlns:c16="http://schemas.microsoft.com/office/drawing/2014/chart" uri="{C3380CC4-5D6E-409C-BE32-E72D297353CC}">
              <c16:uniqueId val="{00000004-2596-42C4-ABDC-B25BA5C68AD8}"/>
            </c:ext>
          </c:extLst>
        </c:ser>
        <c:ser>
          <c:idx val="5"/>
          <c:order val="5"/>
          <c:tx>
            <c:strRef>
              <c:f>Exportaciones!$G$1</c:f>
              <c:strCache>
                <c:ptCount val="1"/>
                <c:pt idx="0">
                  <c:v>Colombia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Exportaciones!$G$2:$G$17</c:f>
              <c:numCache>
                <c:formatCode>[$$-409]#,##0</c:formatCode>
                <c:ptCount val="16"/>
                <c:pt idx="0">
                  <c:v>16.620183999999998</c:v>
                </c:pt>
                <c:pt idx="1">
                  <c:v>26.292794000000001</c:v>
                </c:pt>
                <c:pt idx="2">
                  <c:v>45.371074999999998</c:v>
                </c:pt>
                <c:pt idx="3">
                  <c:v>51.663733999999998</c:v>
                </c:pt>
                <c:pt idx="4">
                  <c:v>79.221436999999995</c:v>
                </c:pt>
                <c:pt idx="5">
                  <c:v>74.614358999999993</c:v>
                </c:pt>
                <c:pt idx="6">
                  <c:v>36.043914000000001</c:v>
                </c:pt>
                <c:pt idx="7">
                  <c:v>52.862544999999997</c:v>
                </c:pt>
                <c:pt idx="8">
                  <c:v>111.36702099999999</c:v>
                </c:pt>
                <c:pt idx="9">
                  <c:v>152.130618</c:v>
                </c:pt>
                <c:pt idx="10">
                  <c:v>124.631657</c:v>
                </c:pt>
                <c:pt idx="11">
                  <c:v>183.11041399999999</c:v>
                </c:pt>
                <c:pt idx="12">
                  <c:v>185.914277</c:v>
                </c:pt>
                <c:pt idx="13">
                  <c:v>185.12529000000001</c:v>
                </c:pt>
                <c:pt idx="14">
                  <c:v>184.67544699999999</c:v>
                </c:pt>
                <c:pt idx="15">
                  <c:v>241.543722</c:v>
                </c:pt>
              </c:numCache>
            </c:numRef>
          </c:val>
          <c:smooth val="0"/>
          <c:extLst>
            <c:ext xmlns:c16="http://schemas.microsoft.com/office/drawing/2014/chart" uri="{C3380CC4-5D6E-409C-BE32-E72D297353CC}">
              <c16:uniqueId val="{00000005-2596-42C4-ABDC-B25BA5C68AD8}"/>
            </c:ext>
          </c:extLst>
        </c:ser>
        <c:ser>
          <c:idx val="6"/>
          <c:order val="6"/>
          <c:tx>
            <c:strRef>
              <c:f>Exportaciones!$H$1</c:f>
              <c:strCache>
                <c:ptCount val="1"/>
                <c:pt idx="0">
                  <c:v>Costa Rica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Exportaciones!$H$2:$H$17</c:f>
              <c:numCache>
                <c:formatCode>[$$-409]#,##0</c:formatCode>
                <c:ptCount val="16"/>
                <c:pt idx="0">
                  <c:v>3.284624</c:v>
                </c:pt>
                <c:pt idx="1">
                  <c:v>7.5974019999999998</c:v>
                </c:pt>
                <c:pt idx="2">
                  <c:v>3.4606840000000001</c:v>
                </c:pt>
                <c:pt idx="3">
                  <c:v>9.6372210000000003</c:v>
                </c:pt>
                <c:pt idx="4">
                  <c:v>10.114153999999999</c:v>
                </c:pt>
                <c:pt idx="5">
                  <c:v>9.9747810000000001</c:v>
                </c:pt>
                <c:pt idx="6">
                  <c:v>7.2879680000000002</c:v>
                </c:pt>
                <c:pt idx="7">
                  <c:v>7.5542059999999998</c:v>
                </c:pt>
                <c:pt idx="8">
                  <c:v>10.195497</c:v>
                </c:pt>
                <c:pt idx="9">
                  <c:v>20.312431</c:v>
                </c:pt>
                <c:pt idx="10">
                  <c:v>34.842362999999999</c:v>
                </c:pt>
                <c:pt idx="11">
                  <c:v>48.928494999999998</c:v>
                </c:pt>
                <c:pt idx="12">
                  <c:v>48.025297000000002</c:v>
                </c:pt>
                <c:pt idx="13">
                  <c:v>46.907711999999997</c:v>
                </c:pt>
                <c:pt idx="14">
                  <c:v>51.557191000000003</c:v>
                </c:pt>
                <c:pt idx="15">
                  <c:v>60.791114999999998</c:v>
                </c:pt>
              </c:numCache>
            </c:numRef>
          </c:val>
          <c:smooth val="0"/>
          <c:extLst>
            <c:ext xmlns:c16="http://schemas.microsoft.com/office/drawing/2014/chart" uri="{C3380CC4-5D6E-409C-BE32-E72D297353CC}">
              <c16:uniqueId val="{00000006-2596-42C4-ABDC-B25BA5C68AD8}"/>
            </c:ext>
          </c:extLst>
        </c:ser>
        <c:ser>
          <c:idx val="7"/>
          <c:order val="7"/>
          <c:tx>
            <c:strRef>
              <c:f>Exportaciones!$I$1</c:f>
              <c:strCache>
                <c:ptCount val="1"/>
                <c:pt idx="0">
                  <c:v>Mexico</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Exportaciones!$A$2:$A$17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Exportaciones!$I$2:$I$17</c:f>
              <c:numCache>
                <c:formatCode>[$$-409]#,##0</c:formatCode>
                <c:ptCount val="16"/>
                <c:pt idx="0">
                  <c:v>40.421689000000001</c:v>
                </c:pt>
                <c:pt idx="1">
                  <c:v>150.60756900000001</c:v>
                </c:pt>
                <c:pt idx="2">
                  <c:v>163.671931</c:v>
                </c:pt>
                <c:pt idx="3">
                  <c:v>140.77832900000001</c:v>
                </c:pt>
                <c:pt idx="4">
                  <c:v>196.750471</c:v>
                </c:pt>
                <c:pt idx="5">
                  <c:v>152.16581199999999</c:v>
                </c:pt>
                <c:pt idx="6">
                  <c:v>93.022865999999993</c:v>
                </c:pt>
                <c:pt idx="7">
                  <c:v>145.50022200000001</c:v>
                </c:pt>
                <c:pt idx="8">
                  <c:v>144.98616899999999</c:v>
                </c:pt>
                <c:pt idx="9">
                  <c:v>205.99908600000001</c:v>
                </c:pt>
                <c:pt idx="10">
                  <c:v>238.71245999999999</c:v>
                </c:pt>
                <c:pt idx="11">
                  <c:v>311.97808400000002</c:v>
                </c:pt>
                <c:pt idx="12">
                  <c:v>344.05857400000002</c:v>
                </c:pt>
                <c:pt idx="13">
                  <c:v>443.73758099999998</c:v>
                </c:pt>
                <c:pt idx="14">
                  <c:v>441.43266299999999</c:v>
                </c:pt>
                <c:pt idx="15">
                  <c:v>600.40103299999998</c:v>
                </c:pt>
              </c:numCache>
            </c:numRef>
          </c:val>
          <c:smooth val="0"/>
          <c:extLst>
            <c:ext xmlns:c16="http://schemas.microsoft.com/office/drawing/2014/chart" uri="{C3380CC4-5D6E-409C-BE32-E72D297353CC}">
              <c16:uniqueId val="{00000007-2596-42C4-ABDC-B25BA5C68AD8}"/>
            </c:ext>
          </c:extLst>
        </c:ser>
        <c:dLbls>
          <c:showLegendKey val="0"/>
          <c:showVal val="0"/>
          <c:showCatName val="0"/>
          <c:showSerName val="0"/>
          <c:showPercent val="0"/>
          <c:showBubbleSize val="0"/>
        </c:dLbls>
        <c:dropLines>
          <c:spPr>
            <a:ln w="9525" cap="flat" cmpd="sng" algn="ctr">
              <a:solidFill>
                <a:schemeClr val="tx1">
                  <a:lumMod val="35000"/>
                  <a:lumOff val="65000"/>
                </a:schemeClr>
              </a:solidFill>
              <a:round/>
            </a:ln>
            <a:effectLst/>
          </c:spPr>
        </c:dropLines>
        <c:marker val="1"/>
        <c:smooth val="0"/>
        <c:axId val="540878456"/>
        <c:axId val="540878776"/>
      </c:lineChart>
      <c:catAx>
        <c:axId val="540878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900"/>
                  <a:t>Fuente: Elaboración propia</a:t>
                </a:r>
                <a:r>
                  <a:rPr lang="es-CR" sz="900" baseline="0"/>
                  <a:t> con base en datos de UN Comtrade Database. (2019). Trade Statistics. Recuperado de: </a:t>
                </a:r>
                <a:r>
                  <a:rPr lang="es-CR" sz="900" b="0" i="0" u="none" strike="noStrike" baseline="0"/>
                  <a:t>https://comtrade.un.org/data/ </a:t>
                </a:r>
                <a:endParaRPr lang="es-CR" sz="900"/>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878776"/>
        <c:crosses val="autoZero"/>
        <c:auto val="1"/>
        <c:lblAlgn val="ctr"/>
        <c:lblOffset val="100"/>
        <c:noMultiLvlLbl val="0"/>
      </c:catAx>
      <c:valAx>
        <c:axId val="540878776"/>
        <c:scaling>
          <c:orientation val="minMax"/>
          <c:max val="1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Exportaciones en US$</a:t>
                </a:r>
                <a:r>
                  <a:rPr lang="es-CR" baseline="0"/>
                  <a:t> Millones de Dólares</a:t>
                </a:r>
                <a:endParaRPr lang="es-C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409]#,##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408784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R"/>
              <a:t>Gráfico 2. Importaciones de Turquía provenientes de sus principales socios Latinoamericanos y Costa</a:t>
            </a:r>
            <a:r>
              <a:rPr lang="es-CR" baseline="0"/>
              <a:t> Rica 2003-2018</a:t>
            </a:r>
            <a:endParaRPr lang="es-C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manualLayout>
          <c:layoutTarget val="inner"/>
          <c:xMode val="edge"/>
          <c:yMode val="edge"/>
          <c:x val="9.250726179091405E-2"/>
          <c:y val="0.13470790378006872"/>
          <c:w val="0.77894923747471412"/>
          <c:h val="0.74322114890277891"/>
        </c:manualLayout>
      </c:layout>
      <c:lineChart>
        <c:grouping val="standard"/>
        <c:varyColors val="0"/>
        <c:ser>
          <c:idx val="0"/>
          <c:order val="0"/>
          <c:tx>
            <c:strRef>
              <c:f>Importaciones!$B$1</c:f>
              <c:strCache>
                <c:ptCount val="1"/>
                <c:pt idx="0">
                  <c:v>Brasil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Importaciones!$B$2:$B$17</c:f>
              <c:numCache>
                <c:formatCode>[$$-409]#,##0</c:formatCode>
                <c:ptCount val="16"/>
                <c:pt idx="0">
                  <c:v>401.82609000000002</c:v>
                </c:pt>
                <c:pt idx="1">
                  <c:v>566.29286999999999</c:v>
                </c:pt>
                <c:pt idx="2">
                  <c:v>798.57585800000004</c:v>
                </c:pt>
                <c:pt idx="3">
                  <c:v>934.78247599999997</c:v>
                </c:pt>
                <c:pt idx="4">
                  <c:v>117.2669219</c:v>
                </c:pt>
                <c:pt idx="5">
                  <c:v>1423.8677640000001</c:v>
                </c:pt>
                <c:pt idx="6">
                  <c:v>1105.8899699999999</c:v>
                </c:pt>
                <c:pt idx="7">
                  <c:v>1347.52494</c:v>
                </c:pt>
                <c:pt idx="8">
                  <c:v>2074.3539310000001</c:v>
                </c:pt>
                <c:pt idx="9">
                  <c:v>1770.09412</c:v>
                </c:pt>
                <c:pt idx="10">
                  <c:v>1408.806202</c:v>
                </c:pt>
                <c:pt idx="11">
                  <c:v>1728.7452069999999</c:v>
                </c:pt>
                <c:pt idx="12">
                  <c:v>1792.241432</c:v>
                </c:pt>
                <c:pt idx="13">
                  <c:v>1788.012371</c:v>
                </c:pt>
                <c:pt idx="14">
                  <c:v>2544.9279219999999</c:v>
                </c:pt>
                <c:pt idx="15">
                  <c:v>3257.7060299999998</c:v>
                </c:pt>
              </c:numCache>
            </c:numRef>
          </c:val>
          <c:smooth val="0"/>
          <c:extLst>
            <c:ext xmlns:c16="http://schemas.microsoft.com/office/drawing/2014/chart" uri="{C3380CC4-5D6E-409C-BE32-E72D297353CC}">
              <c16:uniqueId val="{00000000-DB58-4AC1-8BCE-5E6BCB10BAA7}"/>
            </c:ext>
          </c:extLst>
        </c:ser>
        <c:ser>
          <c:idx val="1"/>
          <c:order val="1"/>
          <c:tx>
            <c:strRef>
              <c:f>Importaciones!$C$1</c:f>
              <c:strCache>
                <c:ptCount val="1"/>
                <c:pt idx="0">
                  <c:v>Argentina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Importaciones!$C$2:$C$17</c:f>
              <c:numCache>
                <c:formatCode>[$$-409]#,##0</c:formatCode>
                <c:ptCount val="16"/>
                <c:pt idx="0">
                  <c:v>265.04516699999999</c:v>
                </c:pt>
                <c:pt idx="1">
                  <c:v>264.66965199999999</c:v>
                </c:pt>
                <c:pt idx="2">
                  <c:v>261.26943399999999</c:v>
                </c:pt>
                <c:pt idx="3">
                  <c:v>300.76122800000002</c:v>
                </c:pt>
                <c:pt idx="4">
                  <c:v>417.50614999999999</c:v>
                </c:pt>
                <c:pt idx="5">
                  <c:v>789.81148900000005</c:v>
                </c:pt>
                <c:pt idx="6">
                  <c:v>225.82070899999999</c:v>
                </c:pt>
                <c:pt idx="7">
                  <c:v>281.12798700000002</c:v>
                </c:pt>
                <c:pt idx="8">
                  <c:v>490.57370400000002</c:v>
                </c:pt>
                <c:pt idx="9">
                  <c:v>367.89356800000002</c:v>
                </c:pt>
                <c:pt idx="10">
                  <c:v>394.100281</c:v>
                </c:pt>
                <c:pt idx="11">
                  <c:v>325.40687400000002</c:v>
                </c:pt>
                <c:pt idx="12">
                  <c:v>234.49529699999999</c:v>
                </c:pt>
                <c:pt idx="13">
                  <c:v>382.19109600000002</c:v>
                </c:pt>
                <c:pt idx="14">
                  <c:v>450.27200599999998</c:v>
                </c:pt>
                <c:pt idx="15">
                  <c:v>357.90521200000001</c:v>
                </c:pt>
              </c:numCache>
            </c:numRef>
          </c:val>
          <c:smooth val="0"/>
          <c:extLst>
            <c:ext xmlns:c16="http://schemas.microsoft.com/office/drawing/2014/chart" uri="{C3380CC4-5D6E-409C-BE32-E72D297353CC}">
              <c16:uniqueId val="{00000001-DB58-4AC1-8BCE-5E6BCB10BAA7}"/>
            </c:ext>
          </c:extLst>
        </c:ser>
        <c:ser>
          <c:idx val="2"/>
          <c:order val="2"/>
          <c:tx>
            <c:strRef>
              <c:f>Importaciones!$D$1</c:f>
              <c:strCache>
                <c:ptCount val="1"/>
                <c:pt idx="0">
                  <c:v>Perú</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Importaciones!$D$2:$D$17</c:f>
              <c:numCache>
                <c:formatCode>[$$-409]#,##0</c:formatCode>
                <c:ptCount val="16"/>
                <c:pt idx="0">
                  <c:v>22.197420000000001</c:v>
                </c:pt>
                <c:pt idx="1">
                  <c:v>49.372428999999997</c:v>
                </c:pt>
                <c:pt idx="2">
                  <c:v>37.311120000000003</c:v>
                </c:pt>
                <c:pt idx="3">
                  <c:v>61.092452999999999</c:v>
                </c:pt>
                <c:pt idx="4">
                  <c:v>69.587759000000005</c:v>
                </c:pt>
                <c:pt idx="5">
                  <c:v>63.746371000000003</c:v>
                </c:pt>
                <c:pt idx="6">
                  <c:v>69.225052000000005</c:v>
                </c:pt>
                <c:pt idx="7">
                  <c:v>78.575376000000006</c:v>
                </c:pt>
                <c:pt idx="8">
                  <c:v>58.487330999999998</c:v>
                </c:pt>
                <c:pt idx="9">
                  <c:v>101.18642699999999</c:v>
                </c:pt>
                <c:pt idx="10">
                  <c:v>94.256912</c:v>
                </c:pt>
                <c:pt idx="11">
                  <c:v>74.808390000000003</c:v>
                </c:pt>
                <c:pt idx="12">
                  <c:v>62.438975999999997</c:v>
                </c:pt>
                <c:pt idx="13">
                  <c:v>59.880249999999997</c:v>
                </c:pt>
                <c:pt idx="14">
                  <c:v>75.644730999999993</c:v>
                </c:pt>
                <c:pt idx="15">
                  <c:v>108.299143</c:v>
                </c:pt>
              </c:numCache>
            </c:numRef>
          </c:val>
          <c:smooth val="0"/>
          <c:extLst>
            <c:ext xmlns:c16="http://schemas.microsoft.com/office/drawing/2014/chart" uri="{C3380CC4-5D6E-409C-BE32-E72D297353CC}">
              <c16:uniqueId val="{00000002-DB58-4AC1-8BCE-5E6BCB10BAA7}"/>
            </c:ext>
          </c:extLst>
        </c:ser>
        <c:ser>
          <c:idx val="3"/>
          <c:order val="3"/>
          <c:tx>
            <c:strRef>
              <c:f>Importaciones!$E$1</c:f>
              <c:strCache>
                <c:ptCount val="1"/>
                <c:pt idx="0">
                  <c:v>Chile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Importaciones!$E$2:$E$17</c:f>
              <c:numCache>
                <c:formatCode>[$$-409]#,##0</c:formatCode>
                <c:ptCount val="16"/>
                <c:pt idx="0">
                  <c:v>160.48999800000001</c:v>
                </c:pt>
                <c:pt idx="1">
                  <c:v>176.44919999999999</c:v>
                </c:pt>
                <c:pt idx="2">
                  <c:v>326.17698000000001</c:v>
                </c:pt>
                <c:pt idx="3">
                  <c:v>441.92451899999998</c:v>
                </c:pt>
                <c:pt idx="4">
                  <c:v>533.96877600000005</c:v>
                </c:pt>
                <c:pt idx="5">
                  <c:v>324.10988200000003</c:v>
                </c:pt>
                <c:pt idx="6">
                  <c:v>200.38690500000001</c:v>
                </c:pt>
                <c:pt idx="7">
                  <c:v>311.70944200000002</c:v>
                </c:pt>
                <c:pt idx="8">
                  <c:v>474.340869</c:v>
                </c:pt>
                <c:pt idx="9">
                  <c:v>466.04228499999999</c:v>
                </c:pt>
                <c:pt idx="10">
                  <c:v>405.86140499999999</c:v>
                </c:pt>
                <c:pt idx="11">
                  <c:v>363.30385699999999</c:v>
                </c:pt>
                <c:pt idx="12">
                  <c:v>282.572405</c:v>
                </c:pt>
                <c:pt idx="13">
                  <c:v>232.97171</c:v>
                </c:pt>
                <c:pt idx="14">
                  <c:v>264.99961500000001</c:v>
                </c:pt>
                <c:pt idx="15">
                  <c:v>370.58380799999998</c:v>
                </c:pt>
              </c:numCache>
            </c:numRef>
          </c:val>
          <c:smooth val="0"/>
          <c:extLst>
            <c:ext xmlns:c16="http://schemas.microsoft.com/office/drawing/2014/chart" uri="{C3380CC4-5D6E-409C-BE32-E72D297353CC}">
              <c16:uniqueId val="{00000003-DB58-4AC1-8BCE-5E6BCB10BAA7}"/>
            </c:ext>
          </c:extLst>
        </c:ser>
        <c:ser>
          <c:idx val="4"/>
          <c:order val="4"/>
          <c:tx>
            <c:strRef>
              <c:f>Importaciones!$F$1</c:f>
              <c:strCache>
                <c:ptCount val="1"/>
                <c:pt idx="0">
                  <c:v>Venezuela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Importaciones!$F$2:$F$17</c:f>
              <c:numCache>
                <c:formatCode>[$$-409]#,##0</c:formatCode>
                <c:ptCount val="16"/>
                <c:pt idx="0">
                  <c:v>19.670213</c:v>
                </c:pt>
                <c:pt idx="1">
                  <c:v>42.779404999999997</c:v>
                </c:pt>
                <c:pt idx="2">
                  <c:v>59.174320999999999</c:v>
                </c:pt>
                <c:pt idx="3">
                  <c:v>88.082716000000005</c:v>
                </c:pt>
                <c:pt idx="4">
                  <c:v>132.45417699999999</c:v>
                </c:pt>
                <c:pt idx="5">
                  <c:v>198.283579</c:v>
                </c:pt>
                <c:pt idx="6">
                  <c:v>120.74202</c:v>
                </c:pt>
                <c:pt idx="7">
                  <c:v>149.84611699999999</c:v>
                </c:pt>
                <c:pt idx="8">
                  <c:v>153.28039999999999</c:v>
                </c:pt>
                <c:pt idx="9">
                  <c:v>197.720192</c:v>
                </c:pt>
                <c:pt idx="10">
                  <c:v>193.595168</c:v>
                </c:pt>
                <c:pt idx="11">
                  <c:v>122.632735</c:v>
                </c:pt>
                <c:pt idx="12">
                  <c:v>106.96954100000001</c:v>
                </c:pt>
                <c:pt idx="13">
                  <c:v>65.251513000000003</c:v>
                </c:pt>
                <c:pt idx="14">
                  <c:v>116.537536</c:v>
                </c:pt>
                <c:pt idx="15">
                  <c:v>1019.197223</c:v>
                </c:pt>
              </c:numCache>
            </c:numRef>
          </c:val>
          <c:smooth val="0"/>
          <c:extLst>
            <c:ext xmlns:c16="http://schemas.microsoft.com/office/drawing/2014/chart" uri="{C3380CC4-5D6E-409C-BE32-E72D297353CC}">
              <c16:uniqueId val="{00000004-DB58-4AC1-8BCE-5E6BCB10BAA7}"/>
            </c:ext>
          </c:extLst>
        </c:ser>
        <c:ser>
          <c:idx val="5"/>
          <c:order val="5"/>
          <c:tx>
            <c:strRef>
              <c:f>Importaciones!$G$1</c:f>
              <c:strCache>
                <c:ptCount val="1"/>
                <c:pt idx="0">
                  <c:v>Colombia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Importaciones!$G$2:$G$17</c:f>
              <c:numCache>
                <c:formatCode>[$$-409]#,##0</c:formatCode>
                <c:ptCount val="16"/>
                <c:pt idx="0">
                  <c:v>75.705044000000001</c:v>
                </c:pt>
                <c:pt idx="1">
                  <c:v>95.931596999999996</c:v>
                </c:pt>
                <c:pt idx="2">
                  <c:v>175.24558300000001</c:v>
                </c:pt>
                <c:pt idx="3">
                  <c:v>204.92086399999999</c:v>
                </c:pt>
                <c:pt idx="4">
                  <c:v>206.514996</c:v>
                </c:pt>
                <c:pt idx="5">
                  <c:v>271.00534599999997</c:v>
                </c:pt>
                <c:pt idx="6">
                  <c:v>382.984285</c:v>
                </c:pt>
                <c:pt idx="7">
                  <c:v>296.765626</c:v>
                </c:pt>
                <c:pt idx="8">
                  <c:v>678.25509799999998</c:v>
                </c:pt>
                <c:pt idx="9">
                  <c:v>814.14618199999995</c:v>
                </c:pt>
                <c:pt idx="10">
                  <c:v>674.66478500000005</c:v>
                </c:pt>
                <c:pt idx="11">
                  <c:v>814.09569599999998</c:v>
                </c:pt>
                <c:pt idx="12">
                  <c:v>800.82368399999996</c:v>
                </c:pt>
                <c:pt idx="13">
                  <c:v>953.01076799999998</c:v>
                </c:pt>
                <c:pt idx="14">
                  <c:v>1610.651938</c:v>
                </c:pt>
                <c:pt idx="15">
                  <c:v>1883.6526240000001</c:v>
                </c:pt>
              </c:numCache>
            </c:numRef>
          </c:val>
          <c:smooth val="0"/>
          <c:extLst>
            <c:ext xmlns:c16="http://schemas.microsoft.com/office/drawing/2014/chart" uri="{C3380CC4-5D6E-409C-BE32-E72D297353CC}">
              <c16:uniqueId val="{00000005-DB58-4AC1-8BCE-5E6BCB10BAA7}"/>
            </c:ext>
          </c:extLst>
        </c:ser>
        <c:ser>
          <c:idx val="6"/>
          <c:order val="6"/>
          <c:tx>
            <c:strRef>
              <c:f>Importaciones!$H$1</c:f>
              <c:strCache>
                <c:ptCount val="1"/>
                <c:pt idx="0">
                  <c:v>Costa Rica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Importaciones!$H$2:$H$17</c:f>
              <c:numCache>
                <c:formatCode>[$$-409]#,##0</c:formatCode>
                <c:ptCount val="16"/>
                <c:pt idx="0">
                  <c:v>31.596554000000001</c:v>
                </c:pt>
                <c:pt idx="1">
                  <c:v>45.592680000000001</c:v>
                </c:pt>
                <c:pt idx="2">
                  <c:v>53.337901000000002</c:v>
                </c:pt>
                <c:pt idx="3">
                  <c:v>47.563710999999998</c:v>
                </c:pt>
                <c:pt idx="4">
                  <c:v>41.168928999999999</c:v>
                </c:pt>
                <c:pt idx="5">
                  <c:v>40.479125000000003</c:v>
                </c:pt>
                <c:pt idx="6">
                  <c:v>60.452261</c:v>
                </c:pt>
                <c:pt idx="7">
                  <c:v>60.506110999999997</c:v>
                </c:pt>
                <c:pt idx="8">
                  <c:v>79.367098999999996</c:v>
                </c:pt>
                <c:pt idx="9">
                  <c:v>76.288179999999997</c:v>
                </c:pt>
                <c:pt idx="10">
                  <c:v>82.286203</c:v>
                </c:pt>
                <c:pt idx="11">
                  <c:v>67.893276999999998</c:v>
                </c:pt>
                <c:pt idx="12">
                  <c:v>49.719298999999999</c:v>
                </c:pt>
                <c:pt idx="13">
                  <c:v>43.675966000000003</c:v>
                </c:pt>
                <c:pt idx="14">
                  <c:v>43.526615</c:v>
                </c:pt>
                <c:pt idx="15">
                  <c:v>39.035614000000002</c:v>
                </c:pt>
              </c:numCache>
            </c:numRef>
          </c:val>
          <c:smooth val="0"/>
          <c:extLst>
            <c:ext xmlns:c16="http://schemas.microsoft.com/office/drawing/2014/chart" uri="{C3380CC4-5D6E-409C-BE32-E72D297353CC}">
              <c16:uniqueId val="{00000006-DB58-4AC1-8BCE-5E6BCB10BAA7}"/>
            </c:ext>
          </c:extLst>
        </c:ser>
        <c:ser>
          <c:idx val="7"/>
          <c:order val="7"/>
          <c:tx>
            <c:strRef>
              <c:f>Importaciones!$I$1</c:f>
              <c:strCache>
                <c:ptCount val="1"/>
                <c:pt idx="0">
                  <c:v>Mexico</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Importaciones!$A$2:$A$17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Importaciones!$I$2:$I$17</c:f>
              <c:numCache>
                <c:formatCode>[$$-409]#,##0</c:formatCode>
                <c:ptCount val="16"/>
                <c:pt idx="0">
                  <c:v>99.978999999999999</c:v>
                </c:pt>
                <c:pt idx="1">
                  <c:v>120.121512</c:v>
                </c:pt>
                <c:pt idx="2">
                  <c:v>196.40879699999999</c:v>
                </c:pt>
                <c:pt idx="3">
                  <c:v>261.944232</c:v>
                </c:pt>
                <c:pt idx="4">
                  <c:v>352.19665400000002</c:v>
                </c:pt>
                <c:pt idx="5">
                  <c:v>381.97253899999998</c:v>
                </c:pt>
                <c:pt idx="6">
                  <c:v>335.22637500000002</c:v>
                </c:pt>
                <c:pt idx="7">
                  <c:v>494.60846800000002</c:v>
                </c:pt>
                <c:pt idx="8">
                  <c:v>699.39392799999996</c:v>
                </c:pt>
                <c:pt idx="9">
                  <c:v>867.15419199999997</c:v>
                </c:pt>
                <c:pt idx="10">
                  <c:v>1000.838083</c:v>
                </c:pt>
                <c:pt idx="11">
                  <c:v>944.66452800000002</c:v>
                </c:pt>
                <c:pt idx="12">
                  <c:v>860.674936</c:v>
                </c:pt>
                <c:pt idx="13">
                  <c:v>820.91667399999994</c:v>
                </c:pt>
                <c:pt idx="14">
                  <c:v>771.85377800000003</c:v>
                </c:pt>
                <c:pt idx="15">
                  <c:v>634.238606</c:v>
                </c:pt>
              </c:numCache>
            </c:numRef>
          </c:val>
          <c:smooth val="0"/>
          <c:extLst>
            <c:ext xmlns:c16="http://schemas.microsoft.com/office/drawing/2014/chart" uri="{C3380CC4-5D6E-409C-BE32-E72D297353CC}">
              <c16:uniqueId val="{00000007-DB58-4AC1-8BCE-5E6BCB10BAA7}"/>
            </c:ext>
          </c:extLst>
        </c:ser>
        <c:dLbls>
          <c:showLegendKey val="0"/>
          <c:showVal val="0"/>
          <c:showCatName val="0"/>
          <c:showSerName val="0"/>
          <c:showPercent val="0"/>
          <c:showBubbleSize val="0"/>
        </c:dLbls>
        <c:dropLines>
          <c:spPr>
            <a:ln w="9525" cap="flat" cmpd="sng" algn="ctr">
              <a:solidFill>
                <a:schemeClr val="tx1">
                  <a:lumMod val="35000"/>
                  <a:lumOff val="65000"/>
                </a:schemeClr>
              </a:solidFill>
              <a:round/>
            </a:ln>
            <a:effectLst/>
          </c:spPr>
        </c:dropLines>
        <c:marker val="1"/>
        <c:smooth val="0"/>
        <c:axId val="80036600"/>
        <c:axId val="80032760"/>
      </c:lineChart>
      <c:catAx>
        <c:axId val="800366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900" b="0" i="0" baseline="0">
                    <a:effectLst/>
                  </a:rPr>
                  <a:t>Fuente: Elaboración propia con base en datos de UN Comtrade Database. (2019). Trade Statistics. Recuperado de: https://comtrade.un.org/data/ </a:t>
                </a:r>
                <a:endParaRPr lang="es-CR" sz="9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80032760"/>
        <c:crosses val="autoZero"/>
        <c:auto val="1"/>
        <c:lblAlgn val="ctr"/>
        <c:lblOffset val="100"/>
        <c:noMultiLvlLbl val="0"/>
      </c:catAx>
      <c:valAx>
        <c:axId val="80032760"/>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Importaciones en US$ Millones de Dólares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409]#,##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80036600"/>
        <c:crosses val="autoZero"/>
        <c:crossBetween val="between"/>
      </c:valAx>
      <c:spPr>
        <a:noFill/>
        <a:ln>
          <a:noFill/>
        </a:ln>
        <a:effectLst/>
      </c:spPr>
    </c:plotArea>
    <c:legend>
      <c:legendPos val="r"/>
      <c:layout>
        <c:manualLayout>
          <c:xMode val="edge"/>
          <c:yMode val="edge"/>
          <c:x val="0.87594619821458508"/>
          <c:y val="0.24780126893587118"/>
          <c:w val="0.11497323472863764"/>
          <c:h val="0.607086476395174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R"/>
              <a:t>Gráfico 3. Balanza</a:t>
            </a:r>
            <a:r>
              <a:rPr lang="es-CR" baseline="0"/>
              <a:t> Comercial de Turquía con sus Principales Socios Latinoamericanos y Costa Rica, 2003-2018</a:t>
            </a:r>
            <a:endParaRPr lang="es-C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lineChart>
        <c:grouping val="standard"/>
        <c:varyColors val="0"/>
        <c:ser>
          <c:idx val="0"/>
          <c:order val="0"/>
          <c:tx>
            <c:strRef>
              <c:f>'Balanza comercial'!$B$1</c:f>
              <c:strCache>
                <c:ptCount val="1"/>
                <c:pt idx="0">
                  <c:v>Brasil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comercial'!$B$2:$B$17</c:f>
              <c:numCache>
                <c:formatCode>[$$-540A]#,##0.00</c:formatCode>
                <c:ptCount val="16"/>
                <c:pt idx="0">
                  <c:v>-351.660595</c:v>
                </c:pt>
                <c:pt idx="1">
                  <c:v>-496.937612</c:v>
                </c:pt>
                <c:pt idx="2">
                  <c:v>-695.11796900000002</c:v>
                </c:pt>
                <c:pt idx="3">
                  <c:v>-812.90095699999995</c:v>
                </c:pt>
                <c:pt idx="4">
                  <c:v>112.64673010000001</c:v>
                </c:pt>
                <c:pt idx="5">
                  <c:v>-1105.8402840000001</c:v>
                </c:pt>
                <c:pt idx="6">
                  <c:v>-717.68325299999992</c:v>
                </c:pt>
                <c:pt idx="7">
                  <c:v>-732.97393999999997</c:v>
                </c:pt>
                <c:pt idx="8">
                  <c:v>-1190.8826370000002</c:v>
                </c:pt>
                <c:pt idx="9">
                  <c:v>-767.33471699999996</c:v>
                </c:pt>
                <c:pt idx="10">
                  <c:v>-472.71035900000004</c:v>
                </c:pt>
                <c:pt idx="11">
                  <c:v>-934.55889699999989</c:v>
                </c:pt>
                <c:pt idx="12">
                  <c:v>-1333.874628</c:v>
                </c:pt>
                <c:pt idx="13">
                  <c:v>-1454.2709610000002</c:v>
                </c:pt>
                <c:pt idx="14">
                  <c:v>-2160.0238429999999</c:v>
                </c:pt>
                <c:pt idx="15">
                  <c:v>-2768.1633779999997</c:v>
                </c:pt>
              </c:numCache>
            </c:numRef>
          </c:val>
          <c:smooth val="0"/>
          <c:extLst>
            <c:ext xmlns:c16="http://schemas.microsoft.com/office/drawing/2014/chart" uri="{C3380CC4-5D6E-409C-BE32-E72D297353CC}">
              <c16:uniqueId val="{00000000-DDBD-477C-94D8-2B93482E129D}"/>
            </c:ext>
          </c:extLst>
        </c:ser>
        <c:ser>
          <c:idx val="1"/>
          <c:order val="1"/>
          <c:tx>
            <c:strRef>
              <c:f>'Balanza comercial'!$C$1</c:f>
              <c:strCache>
                <c:ptCount val="1"/>
                <c:pt idx="0">
                  <c:v>Argentina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comercial'!$C$2:$C$17</c:f>
              <c:numCache>
                <c:formatCode>[$$-540A]#,##0.00</c:formatCode>
                <c:ptCount val="16"/>
                <c:pt idx="0">
                  <c:v>-254.237458</c:v>
                </c:pt>
                <c:pt idx="1">
                  <c:v>-244.75934599999999</c:v>
                </c:pt>
                <c:pt idx="2">
                  <c:v>-223.47085899999999</c:v>
                </c:pt>
                <c:pt idx="3">
                  <c:v>-256.36489</c:v>
                </c:pt>
                <c:pt idx="4">
                  <c:v>-353.01042699999999</c:v>
                </c:pt>
                <c:pt idx="5">
                  <c:v>-682.71233300000006</c:v>
                </c:pt>
                <c:pt idx="6">
                  <c:v>-152.08669099999997</c:v>
                </c:pt>
                <c:pt idx="7">
                  <c:v>-101.912327</c:v>
                </c:pt>
                <c:pt idx="8">
                  <c:v>-276.46932900000002</c:v>
                </c:pt>
                <c:pt idx="9">
                  <c:v>-51.411336000000006</c:v>
                </c:pt>
                <c:pt idx="10">
                  <c:v>-75.919156999999984</c:v>
                </c:pt>
                <c:pt idx="11">
                  <c:v>-184.08694600000001</c:v>
                </c:pt>
                <c:pt idx="12">
                  <c:v>-116.18853399999999</c:v>
                </c:pt>
                <c:pt idx="13">
                  <c:v>-255.32103000000001</c:v>
                </c:pt>
                <c:pt idx="14">
                  <c:v>-290.98438999999996</c:v>
                </c:pt>
                <c:pt idx="15">
                  <c:v>-188.62395000000001</c:v>
                </c:pt>
              </c:numCache>
            </c:numRef>
          </c:val>
          <c:smooth val="0"/>
          <c:extLst>
            <c:ext xmlns:c16="http://schemas.microsoft.com/office/drawing/2014/chart" uri="{C3380CC4-5D6E-409C-BE32-E72D297353CC}">
              <c16:uniqueId val="{00000001-DDBD-477C-94D8-2B93482E129D}"/>
            </c:ext>
          </c:extLst>
        </c:ser>
        <c:ser>
          <c:idx val="2"/>
          <c:order val="2"/>
          <c:tx>
            <c:strRef>
              <c:f>'Balanza comercial'!$D$1</c:f>
              <c:strCache>
                <c:ptCount val="1"/>
                <c:pt idx="0">
                  <c:v>Perú</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comercial'!$D$2:$D$17</c:f>
              <c:numCache>
                <c:formatCode>[$$-540A]#,##0.00</c:formatCode>
                <c:ptCount val="16"/>
                <c:pt idx="0">
                  <c:v>-14.860929000000002</c:v>
                </c:pt>
                <c:pt idx="1">
                  <c:v>-42.418859999999995</c:v>
                </c:pt>
                <c:pt idx="2">
                  <c:v>-30.100058000000004</c:v>
                </c:pt>
                <c:pt idx="3">
                  <c:v>-51.736381999999999</c:v>
                </c:pt>
                <c:pt idx="4">
                  <c:v>-54.282344000000009</c:v>
                </c:pt>
                <c:pt idx="5">
                  <c:v>60.886546000000003</c:v>
                </c:pt>
                <c:pt idx="6">
                  <c:v>-7.2780120000000039</c:v>
                </c:pt>
                <c:pt idx="7">
                  <c:v>80.696605000000005</c:v>
                </c:pt>
                <c:pt idx="8">
                  <c:v>228.31276700000001</c:v>
                </c:pt>
                <c:pt idx="9">
                  <c:v>145.223975</c:v>
                </c:pt>
                <c:pt idx="10">
                  <c:v>181.30852599999997</c:v>
                </c:pt>
                <c:pt idx="11">
                  <c:v>213.16777099999999</c:v>
                </c:pt>
                <c:pt idx="12">
                  <c:v>134.659436</c:v>
                </c:pt>
                <c:pt idx="13">
                  <c:v>26.310751000000003</c:v>
                </c:pt>
                <c:pt idx="14">
                  <c:v>32.879242000000005</c:v>
                </c:pt>
                <c:pt idx="15">
                  <c:v>54.107388999999998</c:v>
                </c:pt>
              </c:numCache>
            </c:numRef>
          </c:val>
          <c:smooth val="0"/>
          <c:extLst>
            <c:ext xmlns:c16="http://schemas.microsoft.com/office/drawing/2014/chart" uri="{C3380CC4-5D6E-409C-BE32-E72D297353CC}">
              <c16:uniqueId val="{00000002-DDBD-477C-94D8-2B93482E129D}"/>
            </c:ext>
          </c:extLst>
        </c:ser>
        <c:ser>
          <c:idx val="3"/>
          <c:order val="3"/>
          <c:tx>
            <c:strRef>
              <c:f>'Balanza comercial'!$E$1</c:f>
              <c:strCache>
                <c:ptCount val="1"/>
                <c:pt idx="0">
                  <c:v>Chile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comercial'!$E$2:$E$17</c:f>
              <c:numCache>
                <c:formatCode>[$$-540A]#,##0.00</c:formatCode>
                <c:ptCount val="16"/>
                <c:pt idx="0">
                  <c:v>-144.96170400000003</c:v>
                </c:pt>
                <c:pt idx="1">
                  <c:v>-151.92055199999999</c:v>
                </c:pt>
                <c:pt idx="2">
                  <c:v>-301.21754300000003</c:v>
                </c:pt>
                <c:pt idx="3">
                  <c:v>-407.13645799999995</c:v>
                </c:pt>
                <c:pt idx="4">
                  <c:v>-492.12582200000003</c:v>
                </c:pt>
                <c:pt idx="5">
                  <c:v>-173.84241400000002</c:v>
                </c:pt>
                <c:pt idx="6">
                  <c:v>-162.951942</c:v>
                </c:pt>
                <c:pt idx="7">
                  <c:v>-230.48766700000004</c:v>
                </c:pt>
                <c:pt idx="8">
                  <c:v>-343.724628</c:v>
                </c:pt>
                <c:pt idx="9">
                  <c:v>-291.19016299999998</c:v>
                </c:pt>
                <c:pt idx="10">
                  <c:v>-186.523357</c:v>
                </c:pt>
                <c:pt idx="11">
                  <c:v>-164.724524</c:v>
                </c:pt>
                <c:pt idx="12">
                  <c:v>-94.653588000000013</c:v>
                </c:pt>
                <c:pt idx="13">
                  <c:v>-15.814572999999996</c:v>
                </c:pt>
                <c:pt idx="14">
                  <c:v>-10.373939000000007</c:v>
                </c:pt>
                <c:pt idx="15">
                  <c:v>15.762878999999998</c:v>
                </c:pt>
              </c:numCache>
            </c:numRef>
          </c:val>
          <c:smooth val="0"/>
          <c:extLst>
            <c:ext xmlns:c16="http://schemas.microsoft.com/office/drawing/2014/chart" uri="{C3380CC4-5D6E-409C-BE32-E72D297353CC}">
              <c16:uniqueId val="{00000003-DDBD-477C-94D8-2B93482E129D}"/>
            </c:ext>
          </c:extLst>
        </c:ser>
        <c:ser>
          <c:idx val="4"/>
          <c:order val="4"/>
          <c:tx>
            <c:strRef>
              <c:f>'Balanza comercial'!$F$1</c:f>
              <c:strCache>
                <c:ptCount val="1"/>
                <c:pt idx="0">
                  <c:v>Colombia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comercial'!$F$2:$F$17</c:f>
              <c:numCache>
                <c:formatCode>[$$-540A]#,##0.00</c:formatCode>
                <c:ptCount val="16"/>
                <c:pt idx="0">
                  <c:v>-59.084860000000006</c:v>
                </c:pt>
                <c:pt idx="1">
                  <c:v>-69.638802999999996</c:v>
                </c:pt>
                <c:pt idx="2">
                  <c:v>-129.87450800000002</c:v>
                </c:pt>
                <c:pt idx="3">
                  <c:v>-153.25712999999999</c:v>
                </c:pt>
                <c:pt idx="4">
                  <c:v>-127.293559</c:v>
                </c:pt>
                <c:pt idx="5">
                  <c:v>-196.390987</c:v>
                </c:pt>
                <c:pt idx="6">
                  <c:v>-346.94037100000003</c:v>
                </c:pt>
                <c:pt idx="7">
                  <c:v>-243.90308099999999</c:v>
                </c:pt>
                <c:pt idx="8">
                  <c:v>-566.88807699999995</c:v>
                </c:pt>
                <c:pt idx="9">
                  <c:v>-662.01556399999993</c:v>
                </c:pt>
                <c:pt idx="10">
                  <c:v>-550.03312800000003</c:v>
                </c:pt>
                <c:pt idx="11">
                  <c:v>-630.98528199999998</c:v>
                </c:pt>
                <c:pt idx="12">
                  <c:v>-614.90940699999999</c:v>
                </c:pt>
                <c:pt idx="13">
                  <c:v>-767.88547799999992</c:v>
                </c:pt>
                <c:pt idx="14">
                  <c:v>-1425.9764909999999</c:v>
                </c:pt>
                <c:pt idx="15">
                  <c:v>-1642.1089019999999</c:v>
                </c:pt>
              </c:numCache>
            </c:numRef>
          </c:val>
          <c:smooth val="0"/>
          <c:extLst>
            <c:ext xmlns:c16="http://schemas.microsoft.com/office/drawing/2014/chart" uri="{C3380CC4-5D6E-409C-BE32-E72D297353CC}">
              <c16:uniqueId val="{00000004-DDBD-477C-94D8-2B93482E129D}"/>
            </c:ext>
          </c:extLst>
        </c:ser>
        <c:ser>
          <c:idx val="5"/>
          <c:order val="5"/>
          <c:tx>
            <c:strRef>
              <c:f>'Balanza comercial'!$G$1</c:f>
              <c:strCache>
                <c:ptCount val="1"/>
                <c:pt idx="0">
                  <c:v>Venezuela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comercial'!$G$2:$G$17</c:f>
              <c:numCache>
                <c:formatCode>[$$-540A]#,##0.00</c:formatCode>
                <c:ptCount val="16"/>
                <c:pt idx="0">
                  <c:v>1.8314459999999997</c:v>
                </c:pt>
                <c:pt idx="1">
                  <c:v>-30.062709999999996</c:v>
                </c:pt>
                <c:pt idx="2">
                  <c:v>-20.556551999999996</c:v>
                </c:pt>
                <c:pt idx="3">
                  <c:v>-46.227216000000006</c:v>
                </c:pt>
                <c:pt idx="4">
                  <c:v>-90.755513999999977</c:v>
                </c:pt>
                <c:pt idx="5">
                  <c:v>-170.587198</c:v>
                </c:pt>
                <c:pt idx="6">
                  <c:v>-84.321618999999998</c:v>
                </c:pt>
                <c:pt idx="7">
                  <c:v>-105.67550899999999</c:v>
                </c:pt>
                <c:pt idx="8">
                  <c:v>-69.048076999999992</c:v>
                </c:pt>
                <c:pt idx="9">
                  <c:v>-41.452504000000005</c:v>
                </c:pt>
                <c:pt idx="10">
                  <c:v>-117.768584</c:v>
                </c:pt>
                <c:pt idx="11">
                  <c:v>-74.069444000000004</c:v>
                </c:pt>
                <c:pt idx="12">
                  <c:v>-88.288055000000014</c:v>
                </c:pt>
                <c:pt idx="13">
                  <c:v>-47.217672000000007</c:v>
                </c:pt>
                <c:pt idx="14">
                  <c:v>-79.054038000000006</c:v>
                </c:pt>
                <c:pt idx="15">
                  <c:v>-898.66132500000003</c:v>
                </c:pt>
              </c:numCache>
            </c:numRef>
          </c:val>
          <c:smooth val="0"/>
          <c:extLst>
            <c:ext xmlns:c16="http://schemas.microsoft.com/office/drawing/2014/chart" uri="{C3380CC4-5D6E-409C-BE32-E72D297353CC}">
              <c16:uniqueId val="{00000005-DDBD-477C-94D8-2B93482E129D}"/>
            </c:ext>
          </c:extLst>
        </c:ser>
        <c:ser>
          <c:idx val="6"/>
          <c:order val="6"/>
          <c:tx>
            <c:strRef>
              <c:f>'Balanza comercial'!$H$1</c:f>
              <c:strCache>
                <c:ptCount val="1"/>
                <c:pt idx="0">
                  <c:v>Mexico</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comercial'!$H$2:$H$17</c:f>
              <c:numCache>
                <c:formatCode>[$$-540A]#,##0.00</c:formatCode>
                <c:ptCount val="16"/>
                <c:pt idx="0">
                  <c:v>-59.557310999999999</c:v>
                </c:pt>
                <c:pt idx="1">
                  <c:v>30.486057000000017</c:v>
                </c:pt>
                <c:pt idx="2">
                  <c:v>-32.736865999999992</c:v>
                </c:pt>
                <c:pt idx="3">
                  <c:v>-121.16590299999999</c:v>
                </c:pt>
                <c:pt idx="4">
                  <c:v>-155.44618300000002</c:v>
                </c:pt>
                <c:pt idx="5">
                  <c:v>-229.806727</c:v>
                </c:pt>
                <c:pt idx="6">
                  <c:v>-242.20350900000003</c:v>
                </c:pt>
                <c:pt idx="7">
                  <c:v>-349.10824600000001</c:v>
                </c:pt>
                <c:pt idx="8">
                  <c:v>-554.40775899999994</c:v>
                </c:pt>
                <c:pt idx="9">
                  <c:v>-661.15510599999993</c:v>
                </c:pt>
                <c:pt idx="10">
                  <c:v>-762.12562300000002</c:v>
                </c:pt>
                <c:pt idx="11">
                  <c:v>-632.68644399999994</c:v>
                </c:pt>
                <c:pt idx="12">
                  <c:v>-516.61636199999998</c:v>
                </c:pt>
                <c:pt idx="13">
                  <c:v>-377.17909299999997</c:v>
                </c:pt>
                <c:pt idx="14">
                  <c:v>-330.42111500000004</c:v>
                </c:pt>
                <c:pt idx="15">
                  <c:v>-33.83757300000002</c:v>
                </c:pt>
              </c:numCache>
            </c:numRef>
          </c:val>
          <c:smooth val="0"/>
          <c:extLst>
            <c:ext xmlns:c16="http://schemas.microsoft.com/office/drawing/2014/chart" uri="{C3380CC4-5D6E-409C-BE32-E72D297353CC}">
              <c16:uniqueId val="{00000006-DDBD-477C-94D8-2B93482E129D}"/>
            </c:ext>
          </c:extLst>
        </c:ser>
        <c:ser>
          <c:idx val="7"/>
          <c:order val="7"/>
          <c:tx>
            <c:strRef>
              <c:f>'Balanza comercial'!$I$1</c:f>
              <c:strCache>
                <c:ptCount val="1"/>
                <c:pt idx="0">
                  <c:v>Costa Rica</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'Balanza comercial'!$A$2:$A$17</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'Balanza comercial'!$I$2:$I$17</c:f>
              <c:numCache>
                <c:formatCode>[$$-540A]#,##0.00</c:formatCode>
                <c:ptCount val="16"/>
                <c:pt idx="0">
                  <c:v>-28.31193</c:v>
                </c:pt>
                <c:pt idx="1">
                  <c:v>-37.995277999999999</c:v>
                </c:pt>
                <c:pt idx="2">
                  <c:v>-49.877217000000002</c:v>
                </c:pt>
                <c:pt idx="3">
                  <c:v>-37.926490000000001</c:v>
                </c:pt>
                <c:pt idx="4">
                  <c:v>-31.054774999999999</c:v>
                </c:pt>
                <c:pt idx="5">
                  <c:v>-30.504344000000003</c:v>
                </c:pt>
                <c:pt idx="6">
                  <c:v>-53.164293000000001</c:v>
                </c:pt>
                <c:pt idx="7">
                  <c:v>-52.951904999999996</c:v>
                </c:pt>
                <c:pt idx="8">
                  <c:v>-69.171601999999993</c:v>
                </c:pt>
                <c:pt idx="9">
                  <c:v>-55.975748999999993</c:v>
                </c:pt>
                <c:pt idx="10">
                  <c:v>-47.443840000000002</c:v>
                </c:pt>
                <c:pt idx="11">
                  <c:v>-18.964782</c:v>
                </c:pt>
                <c:pt idx="12">
                  <c:v>-1.6940019999999976</c:v>
                </c:pt>
                <c:pt idx="13">
                  <c:v>3.231745999999994</c:v>
                </c:pt>
                <c:pt idx="14">
                  <c:v>8.0305760000000035</c:v>
                </c:pt>
                <c:pt idx="15">
                  <c:v>21.755500999999995</c:v>
                </c:pt>
              </c:numCache>
            </c:numRef>
          </c:val>
          <c:smooth val="0"/>
          <c:extLst>
            <c:ext xmlns:c16="http://schemas.microsoft.com/office/drawing/2014/chart" uri="{C3380CC4-5D6E-409C-BE32-E72D297353CC}">
              <c16:uniqueId val="{00000007-DDBD-477C-94D8-2B93482E129D}"/>
            </c:ext>
          </c:extLst>
        </c:ser>
        <c:dLbls>
          <c:showLegendKey val="0"/>
          <c:showVal val="0"/>
          <c:showCatName val="0"/>
          <c:showSerName val="0"/>
          <c:showPercent val="0"/>
          <c:showBubbleSize val="0"/>
        </c:dLbls>
        <c:marker val="1"/>
        <c:smooth val="0"/>
        <c:axId val="552639376"/>
        <c:axId val="552639696"/>
      </c:lineChart>
      <c:catAx>
        <c:axId val="5526393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900" b="0" i="0" baseline="0">
                    <a:effectLst/>
                  </a:rPr>
                  <a:t>Fuente: Elaboración propia con base en datos de UN Comtrade Database. (2019). Trade Statistics. Recuperado de: https://comtrade.un.org/data/ </a:t>
                </a:r>
                <a:endParaRPr lang="es-CR" sz="9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2">
                    <a:lumMod val="75000"/>
                  </a:schemeClr>
                </a:solidFill>
                <a:latin typeface="+mn-lt"/>
                <a:ea typeface="+mn-ea"/>
                <a:cs typeface="+mn-cs"/>
              </a:defRPr>
            </a:pPr>
            <a:endParaRPr lang="es-CR"/>
          </a:p>
        </c:txPr>
        <c:crossAx val="552639696"/>
        <c:crosses val="autoZero"/>
        <c:auto val="1"/>
        <c:lblAlgn val="ctr"/>
        <c:lblOffset val="100"/>
        <c:noMultiLvlLbl val="0"/>
      </c:catAx>
      <c:valAx>
        <c:axId val="5526396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US$Millones</a:t>
                </a:r>
                <a:r>
                  <a:rPr lang="es-CR" baseline="0"/>
                  <a:t> de Dólares</a:t>
                </a:r>
                <a:endParaRPr lang="es-C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540A]#,##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52639376"/>
        <c:crosses val="autoZero"/>
        <c:crossBetween val="between"/>
      </c:valAx>
      <c:spPr>
        <a:noFill/>
        <a:ln>
          <a:noFill/>
        </a:ln>
        <a:effectLst/>
      </c:spPr>
    </c:plotArea>
    <c:legend>
      <c:legendPos val="r"/>
      <c:layout>
        <c:manualLayout>
          <c:xMode val="edge"/>
          <c:yMode val="edge"/>
          <c:x val="0.84327478937946743"/>
          <c:y val="0.26303922535998786"/>
          <c:w val="0.14400660966663745"/>
          <c:h val="0.5346731658542681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Gráfico 4. Principales Productos de Exportación de Turquía Hacia sus Principales Socios en América Latina y el Caribe, 2003-2017 </a:t>
            </a:r>
            <a:endParaRPr lang="es-CR">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barChart>
        <c:barDir val="col"/>
        <c:grouping val="clustered"/>
        <c:varyColors val="0"/>
        <c:ser>
          <c:idx val="0"/>
          <c:order val="0"/>
          <c:tx>
            <c:strRef>
              <c:f>Hoja5!$B$1</c:f>
              <c:strCache>
                <c:ptCount val="1"/>
                <c:pt idx="0">
                  <c:v>Sector de Producción</c:v>
                </c:pt>
              </c:strCache>
            </c:strRef>
          </c:tx>
          <c:spPr>
            <a:solidFill>
              <a:schemeClr val="accent1"/>
            </a:solidFill>
            <a:ln>
              <a:noFill/>
            </a:ln>
            <a:effectLst/>
          </c:spPr>
          <c:invertIfNegative val="0"/>
          <c:dLbls>
            <c:delete val="1"/>
          </c:dLbls>
          <c:cat>
            <c:multiLvlStrRef>
              <c:f>Hoja5!$A$2:$B$29</c:f>
              <c:multiLvlStrCache>
                <c:ptCount val="28"/>
                <c:lvl>
                  <c:pt idx="0">
                    <c:v>Transporte</c:v>
                  </c:pt>
                  <c:pt idx="1">
                    <c:v>Maquinaria</c:v>
                  </c:pt>
                  <c:pt idx="2">
                    <c:v>Metales</c:v>
                  </c:pt>
                  <c:pt idx="3">
                    <c:v>Textiles</c:v>
                  </c:pt>
                  <c:pt idx="4">
                    <c:v>Metales</c:v>
                  </c:pt>
                  <c:pt idx="5">
                    <c:v>Transporte</c:v>
                  </c:pt>
                  <c:pt idx="6">
                    <c:v>Maquinaria</c:v>
                  </c:pt>
                  <c:pt idx="7">
                    <c:v>Textiles</c:v>
                  </c:pt>
                  <c:pt idx="8">
                    <c:v>Productos Minerales</c:v>
                  </c:pt>
                  <c:pt idx="9">
                    <c:v>Metales</c:v>
                  </c:pt>
                  <c:pt idx="10">
                    <c:v>Transporte</c:v>
                  </c:pt>
                  <c:pt idx="11">
                    <c:v>Maquinaria</c:v>
                  </c:pt>
                  <c:pt idx="12">
                    <c:v>Metales</c:v>
                  </c:pt>
                  <c:pt idx="13">
                    <c:v>Textiles</c:v>
                  </c:pt>
                  <c:pt idx="14">
                    <c:v>Maquinaria</c:v>
                  </c:pt>
                  <c:pt idx="15">
                    <c:v>Transporte</c:v>
                  </c:pt>
                  <c:pt idx="16">
                    <c:v>Productos Químicos</c:v>
                  </c:pt>
                  <c:pt idx="17">
                    <c:v>Metales</c:v>
                  </c:pt>
                  <c:pt idx="18">
                    <c:v>Maquinaria</c:v>
                  </c:pt>
                  <c:pt idx="19">
                    <c:v>Textiles</c:v>
                  </c:pt>
                  <c:pt idx="20">
                    <c:v>Textiles</c:v>
                  </c:pt>
                  <c:pt idx="21">
                    <c:v>Transporte</c:v>
                  </c:pt>
                  <c:pt idx="22">
                    <c:v>Maquinaria</c:v>
                  </c:pt>
                  <c:pt idx="23">
                    <c:v>Metales</c:v>
                  </c:pt>
                  <c:pt idx="24">
                    <c:v>Metales</c:v>
                  </c:pt>
                  <c:pt idx="25">
                    <c:v>Textiles</c:v>
                  </c:pt>
                  <c:pt idx="26">
                    <c:v>Transporte</c:v>
                  </c:pt>
                  <c:pt idx="27">
                    <c:v>Maquinaria</c:v>
                  </c:pt>
                </c:lvl>
                <c:lvl>
                  <c:pt idx="0">
                    <c:v>Argentina</c:v>
                  </c:pt>
                  <c:pt idx="4">
                    <c:v>Brasil</c:v>
                  </c:pt>
                  <c:pt idx="8">
                    <c:v>Chile</c:v>
                  </c:pt>
                  <c:pt idx="12">
                    <c:v>Colombia</c:v>
                  </c:pt>
                  <c:pt idx="16">
                    <c:v>Venezuela</c:v>
                  </c:pt>
                  <c:pt idx="20">
                    <c:v>México</c:v>
                  </c:pt>
                  <c:pt idx="24">
                    <c:v>Costa Rica</c:v>
                  </c:pt>
                </c:lvl>
              </c:multiLvlStrCache>
            </c:multiLvlStrRef>
          </c:cat>
          <c:val>
            <c:numRef>
              <c:f>Hoja5!$B$2:$B$29</c:f>
              <c:numCache>
                <c:formatCode>General</c:formatCode>
                <c:ptCount val="2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numCache>
            </c:numRef>
          </c:val>
          <c:extLst>
            <c:ext xmlns:c16="http://schemas.microsoft.com/office/drawing/2014/chart" uri="{C3380CC4-5D6E-409C-BE32-E72D297353CC}">
              <c16:uniqueId val="{00000000-837A-4570-B524-69D53389AAE8}"/>
            </c:ext>
          </c:extLst>
        </c:ser>
        <c:ser>
          <c:idx val="1"/>
          <c:order val="1"/>
          <c:tx>
            <c:strRef>
              <c:f>Hoja5!$C$1</c:f>
              <c:strCache>
                <c:ptCount val="1"/>
                <c:pt idx="0">
                  <c:v>Valor en US$ Millones de Dólares</c:v>
                </c:pt>
              </c:strCache>
            </c:strRef>
          </c:tx>
          <c:spPr>
            <a:solidFill>
              <a:srgbClr val="002060"/>
            </a:solidFill>
            <a:ln>
              <a:noFill/>
            </a:ln>
            <a:effectLst/>
          </c:spPr>
          <c:invertIfNegative val="0"/>
          <c:dLbls>
            <c:delete val="1"/>
          </c:dLbls>
          <c:cat>
            <c:multiLvlStrRef>
              <c:f>Hoja5!$A$2:$B$29</c:f>
              <c:multiLvlStrCache>
                <c:ptCount val="28"/>
                <c:lvl>
                  <c:pt idx="0">
                    <c:v>Transporte</c:v>
                  </c:pt>
                  <c:pt idx="1">
                    <c:v>Maquinaria</c:v>
                  </c:pt>
                  <c:pt idx="2">
                    <c:v>Metales</c:v>
                  </c:pt>
                  <c:pt idx="3">
                    <c:v>Textiles</c:v>
                  </c:pt>
                  <c:pt idx="4">
                    <c:v>Metales</c:v>
                  </c:pt>
                  <c:pt idx="5">
                    <c:v>Transporte</c:v>
                  </c:pt>
                  <c:pt idx="6">
                    <c:v>Maquinaria</c:v>
                  </c:pt>
                  <c:pt idx="7">
                    <c:v>Textiles</c:v>
                  </c:pt>
                  <c:pt idx="8">
                    <c:v>Productos Minerales</c:v>
                  </c:pt>
                  <c:pt idx="9">
                    <c:v>Metales</c:v>
                  </c:pt>
                  <c:pt idx="10">
                    <c:v>Transporte</c:v>
                  </c:pt>
                  <c:pt idx="11">
                    <c:v>Maquinaria</c:v>
                  </c:pt>
                  <c:pt idx="12">
                    <c:v>Metales</c:v>
                  </c:pt>
                  <c:pt idx="13">
                    <c:v>Textiles</c:v>
                  </c:pt>
                  <c:pt idx="14">
                    <c:v>Maquinaria</c:v>
                  </c:pt>
                  <c:pt idx="15">
                    <c:v>Transporte</c:v>
                  </c:pt>
                  <c:pt idx="16">
                    <c:v>Productos Químicos</c:v>
                  </c:pt>
                  <c:pt idx="17">
                    <c:v>Metales</c:v>
                  </c:pt>
                  <c:pt idx="18">
                    <c:v>Maquinaria</c:v>
                  </c:pt>
                  <c:pt idx="19">
                    <c:v>Textiles</c:v>
                  </c:pt>
                  <c:pt idx="20">
                    <c:v>Textiles</c:v>
                  </c:pt>
                  <c:pt idx="21">
                    <c:v>Transporte</c:v>
                  </c:pt>
                  <c:pt idx="22">
                    <c:v>Maquinaria</c:v>
                  </c:pt>
                  <c:pt idx="23">
                    <c:v>Metales</c:v>
                  </c:pt>
                  <c:pt idx="24">
                    <c:v>Metales</c:v>
                  </c:pt>
                  <c:pt idx="25">
                    <c:v>Textiles</c:v>
                  </c:pt>
                  <c:pt idx="26">
                    <c:v>Transporte</c:v>
                  </c:pt>
                  <c:pt idx="27">
                    <c:v>Maquinaria</c:v>
                  </c:pt>
                </c:lvl>
                <c:lvl>
                  <c:pt idx="0">
                    <c:v>Argentina</c:v>
                  </c:pt>
                  <c:pt idx="4">
                    <c:v>Brasil</c:v>
                  </c:pt>
                  <c:pt idx="8">
                    <c:v>Chile</c:v>
                  </c:pt>
                  <c:pt idx="12">
                    <c:v>Colombia</c:v>
                  </c:pt>
                  <c:pt idx="16">
                    <c:v>Venezuela</c:v>
                  </c:pt>
                  <c:pt idx="20">
                    <c:v>México</c:v>
                  </c:pt>
                  <c:pt idx="24">
                    <c:v>Costa Rica</c:v>
                  </c:pt>
                </c:lvl>
              </c:multiLvlStrCache>
            </c:multiLvlStrRef>
          </c:cat>
          <c:val>
            <c:numRef>
              <c:f>Hoja5!$C$2:$C$29</c:f>
              <c:numCache>
                <c:formatCode>[$$-540A]#,##0</c:formatCode>
                <c:ptCount val="28"/>
                <c:pt idx="0">
                  <c:v>907</c:v>
                </c:pt>
                <c:pt idx="1">
                  <c:v>592</c:v>
                </c:pt>
                <c:pt idx="2">
                  <c:v>204</c:v>
                </c:pt>
                <c:pt idx="3">
                  <c:v>173</c:v>
                </c:pt>
                <c:pt idx="4">
                  <c:v>1600</c:v>
                </c:pt>
                <c:pt idx="5">
                  <c:v>1390</c:v>
                </c:pt>
                <c:pt idx="6">
                  <c:v>970</c:v>
                </c:pt>
                <c:pt idx="7">
                  <c:v>943</c:v>
                </c:pt>
                <c:pt idx="8">
                  <c:v>1340</c:v>
                </c:pt>
                <c:pt idx="9">
                  <c:v>692</c:v>
                </c:pt>
                <c:pt idx="10">
                  <c:v>517</c:v>
                </c:pt>
                <c:pt idx="11">
                  <c:v>341</c:v>
                </c:pt>
                <c:pt idx="12">
                  <c:v>522</c:v>
                </c:pt>
                <c:pt idx="13">
                  <c:v>370</c:v>
                </c:pt>
                <c:pt idx="14">
                  <c:v>238</c:v>
                </c:pt>
                <c:pt idx="15">
                  <c:v>184</c:v>
                </c:pt>
                <c:pt idx="16">
                  <c:v>143</c:v>
                </c:pt>
                <c:pt idx="17">
                  <c:v>135</c:v>
                </c:pt>
                <c:pt idx="18">
                  <c:v>102</c:v>
                </c:pt>
                <c:pt idx="19">
                  <c:v>73.900000000000006</c:v>
                </c:pt>
                <c:pt idx="20">
                  <c:v>1200</c:v>
                </c:pt>
                <c:pt idx="21">
                  <c:v>1120</c:v>
                </c:pt>
                <c:pt idx="22">
                  <c:v>963</c:v>
                </c:pt>
                <c:pt idx="23">
                  <c:v>646</c:v>
                </c:pt>
                <c:pt idx="24">
                  <c:v>214</c:v>
                </c:pt>
                <c:pt idx="25">
                  <c:v>31.7</c:v>
                </c:pt>
                <c:pt idx="26">
                  <c:v>26.4</c:v>
                </c:pt>
                <c:pt idx="27">
                  <c:v>26.3</c:v>
                </c:pt>
              </c:numCache>
            </c:numRef>
          </c:val>
          <c:extLst>
            <c:ext xmlns:c16="http://schemas.microsoft.com/office/drawing/2014/chart" uri="{C3380CC4-5D6E-409C-BE32-E72D297353CC}">
              <c16:uniqueId val="{00000001-837A-4570-B524-69D53389AAE8}"/>
            </c:ext>
          </c:extLst>
        </c:ser>
        <c:dLbls>
          <c:dLblPos val="outEnd"/>
          <c:showLegendKey val="0"/>
          <c:showVal val="1"/>
          <c:showCatName val="0"/>
          <c:showSerName val="0"/>
          <c:showPercent val="0"/>
          <c:showBubbleSize val="0"/>
        </c:dLbls>
        <c:gapWidth val="219"/>
        <c:overlap val="-27"/>
        <c:axId val="554321616"/>
        <c:axId val="554323856"/>
      </c:barChart>
      <c:catAx>
        <c:axId val="554321616"/>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CR" sz="900"/>
                  <a:t>Fuente: Elaboración propia con base en datos</a:t>
                </a:r>
                <a:r>
                  <a:rPr lang="es-CR" sz="900" baseline="0"/>
                  <a:t> del</a:t>
                </a:r>
                <a:r>
                  <a:rPr lang="es-CR" sz="900"/>
                  <a:t> </a:t>
                </a:r>
                <a:r>
                  <a:rPr lang="es-CR" sz="900">
                    <a:effectLst/>
                  </a:rPr>
                  <a:t>Observatorio de Complejidad Económica (2019). </a:t>
                </a:r>
                <a:r>
                  <a:rPr lang="es-CR" sz="900" i="1">
                    <a:effectLst/>
                  </a:rPr>
                  <a:t>Turquía</a:t>
                </a:r>
                <a:r>
                  <a:rPr lang="es-CR" sz="900">
                    <a:effectLst/>
                  </a:rPr>
                  <a:t>. Recuperado de: </a:t>
                </a:r>
                <a:r>
                  <a:rPr lang="es-CR" sz="900" u="sng">
                    <a:effectLst/>
                  </a:rPr>
                  <a:t>https://oec.world/es/profile/country/tur/</a:t>
                </a:r>
                <a:endParaRPr lang="es-CR" sz="9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C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54323856"/>
        <c:crosses val="autoZero"/>
        <c:auto val="1"/>
        <c:lblAlgn val="ctr"/>
        <c:lblOffset val="100"/>
        <c:noMultiLvlLbl val="0"/>
      </c:catAx>
      <c:valAx>
        <c:axId val="554323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US$ Millones de Dólares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54321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Gráfico 5.</a:t>
            </a:r>
            <a:r>
              <a:rPr lang="en-US" baseline="0"/>
              <a:t> </a:t>
            </a:r>
            <a:r>
              <a:rPr lang="en-US"/>
              <a:t>Principales</a:t>
            </a:r>
            <a:r>
              <a:rPr lang="en-US" baseline="0"/>
              <a:t> Productos de </a:t>
            </a:r>
            <a:r>
              <a:rPr lang="en-US"/>
              <a:t>Importación de</a:t>
            </a:r>
            <a:r>
              <a:rPr lang="en-US" baseline="0"/>
              <a:t> Turquía desde sus Principales Socios en América Latina y el Caribe, 2003-2017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barChart>
        <c:barDir val="col"/>
        <c:grouping val="clustered"/>
        <c:varyColors val="0"/>
        <c:ser>
          <c:idx val="0"/>
          <c:order val="0"/>
          <c:tx>
            <c:strRef>
              <c:f>'	Principales Productos de Expor'!$C$1</c:f>
              <c:strCache>
                <c:ptCount val="1"/>
                <c:pt idx="0">
                  <c:v>Valor en US$ Millones de Dólares</c:v>
                </c:pt>
              </c:strCache>
            </c:strRef>
          </c:tx>
          <c:spPr>
            <a:solidFill>
              <a:schemeClr val="accent1"/>
            </a:solidFill>
            <a:ln>
              <a:noFill/>
            </a:ln>
            <a:effectLst/>
          </c:spPr>
          <c:invertIfNegative val="0"/>
          <c:dLbls>
            <c:delete val="1"/>
          </c:dLbls>
          <c:cat>
            <c:multiLvlStrRef>
              <c:f>'	Principales Productos de Expor'!$A$2:$B$29</c:f>
              <c:multiLvlStrCache>
                <c:ptCount val="28"/>
                <c:lvl>
                  <c:pt idx="0">
                    <c:v>Productos Alimenticios</c:v>
                  </c:pt>
                  <c:pt idx="1">
                    <c:v>Productos Vegetales</c:v>
                  </c:pt>
                  <c:pt idx="2">
                    <c:v>Productos derivados de Animales y Vegetales</c:v>
                  </c:pt>
                  <c:pt idx="3">
                    <c:v>Transporte</c:v>
                  </c:pt>
                  <c:pt idx="4">
                    <c:v>Productos Minerales</c:v>
                  </c:pt>
                  <c:pt idx="5">
                    <c:v>Metales</c:v>
                  </c:pt>
                  <c:pt idx="6">
                    <c:v>Maquinaria</c:v>
                  </c:pt>
                  <c:pt idx="7">
                    <c:v>Productos Vegetales</c:v>
                  </c:pt>
                  <c:pt idx="8">
                    <c:v>Metales</c:v>
                  </c:pt>
                  <c:pt idx="9">
                    <c:v>Productos Vegetales</c:v>
                  </c:pt>
                  <c:pt idx="10">
                    <c:v>Productos Químicos</c:v>
                  </c:pt>
                  <c:pt idx="11">
                    <c:v>Productos de Papel</c:v>
                  </c:pt>
                  <c:pt idx="12">
                    <c:v>Productos Minerales</c:v>
                  </c:pt>
                  <c:pt idx="13">
                    <c:v>Plásticos y Cauchos</c:v>
                  </c:pt>
                  <c:pt idx="14">
                    <c:v>Productos Vegetales</c:v>
                  </c:pt>
                  <c:pt idx="15">
                    <c:v>Productos Químicos</c:v>
                  </c:pt>
                  <c:pt idx="16">
                    <c:v>Productos Minerales</c:v>
                  </c:pt>
                  <c:pt idx="17">
                    <c:v>Metales</c:v>
                  </c:pt>
                  <c:pt idx="18">
                    <c:v>Productos de Madera</c:v>
                  </c:pt>
                  <c:pt idx="19">
                    <c:v>Productos Químicos</c:v>
                  </c:pt>
                  <c:pt idx="20">
                    <c:v>Transporte</c:v>
                  </c:pt>
                  <c:pt idx="21">
                    <c:v>Maquinaria</c:v>
                  </c:pt>
                  <c:pt idx="22">
                    <c:v>Plásticos y Cauchos</c:v>
                  </c:pt>
                  <c:pt idx="23">
                    <c:v>Productos Químicos</c:v>
                  </c:pt>
                  <c:pt idx="24">
                    <c:v>Maquinaria</c:v>
                  </c:pt>
                  <c:pt idx="25">
                    <c:v>Productos Vegetales</c:v>
                  </c:pt>
                  <c:pt idx="26">
                    <c:v>Instrumentos</c:v>
                  </c:pt>
                  <c:pt idx="27">
                    <c:v>Plásticos y Cauchos</c:v>
                  </c:pt>
                </c:lvl>
                <c:lvl>
                  <c:pt idx="0">
                    <c:v>Argentina</c:v>
                  </c:pt>
                  <c:pt idx="4">
                    <c:v>Brasil</c:v>
                  </c:pt>
                  <c:pt idx="8">
                    <c:v>Chile</c:v>
                  </c:pt>
                  <c:pt idx="12">
                    <c:v>Colombia</c:v>
                  </c:pt>
                  <c:pt idx="16">
                    <c:v>Venezuela</c:v>
                  </c:pt>
                  <c:pt idx="20">
                    <c:v>México</c:v>
                  </c:pt>
                  <c:pt idx="24">
                    <c:v>Costa Rica</c:v>
                  </c:pt>
                </c:lvl>
              </c:multiLvlStrCache>
            </c:multiLvlStrRef>
          </c:cat>
          <c:val>
            <c:numRef>
              <c:f>'	Principales Productos de Expor'!$C$2:$C$29</c:f>
              <c:numCache>
                <c:formatCode>[$$-540A]#,##0</c:formatCode>
                <c:ptCount val="28"/>
                <c:pt idx="0">
                  <c:v>1990</c:v>
                </c:pt>
                <c:pt idx="1">
                  <c:v>1450</c:v>
                </c:pt>
                <c:pt idx="2">
                  <c:v>594</c:v>
                </c:pt>
                <c:pt idx="3">
                  <c:v>358</c:v>
                </c:pt>
                <c:pt idx="4">
                  <c:v>3440</c:v>
                </c:pt>
                <c:pt idx="5">
                  <c:v>2260</c:v>
                </c:pt>
                <c:pt idx="6">
                  <c:v>2120</c:v>
                </c:pt>
                <c:pt idx="7">
                  <c:v>2040</c:v>
                </c:pt>
                <c:pt idx="8">
                  <c:v>3820</c:v>
                </c:pt>
                <c:pt idx="9">
                  <c:v>453</c:v>
                </c:pt>
                <c:pt idx="10">
                  <c:v>263</c:v>
                </c:pt>
                <c:pt idx="11">
                  <c:v>130</c:v>
                </c:pt>
                <c:pt idx="12">
                  <c:v>6700</c:v>
                </c:pt>
                <c:pt idx="13">
                  <c:v>201</c:v>
                </c:pt>
                <c:pt idx="14">
                  <c:v>49.1</c:v>
                </c:pt>
                <c:pt idx="15">
                  <c:v>37.1</c:v>
                </c:pt>
                <c:pt idx="16">
                  <c:v>1100</c:v>
                </c:pt>
                <c:pt idx="17">
                  <c:v>240</c:v>
                </c:pt>
                <c:pt idx="18">
                  <c:v>117</c:v>
                </c:pt>
                <c:pt idx="19">
                  <c:v>39.299999999999997</c:v>
                </c:pt>
                <c:pt idx="20">
                  <c:v>2690</c:v>
                </c:pt>
                <c:pt idx="21">
                  <c:v>1810</c:v>
                </c:pt>
                <c:pt idx="22">
                  <c:v>791</c:v>
                </c:pt>
                <c:pt idx="23">
                  <c:v>705</c:v>
                </c:pt>
                <c:pt idx="24">
                  <c:v>457</c:v>
                </c:pt>
                <c:pt idx="25">
                  <c:v>189</c:v>
                </c:pt>
                <c:pt idx="26">
                  <c:v>132</c:v>
                </c:pt>
                <c:pt idx="27">
                  <c:v>5.81</c:v>
                </c:pt>
              </c:numCache>
            </c:numRef>
          </c:val>
          <c:extLst>
            <c:ext xmlns:c16="http://schemas.microsoft.com/office/drawing/2014/chart" uri="{C3380CC4-5D6E-409C-BE32-E72D297353CC}">
              <c16:uniqueId val="{00000000-C5C5-437E-8FC4-3AEB11E3927C}"/>
            </c:ext>
          </c:extLst>
        </c:ser>
        <c:ser>
          <c:idx val="1"/>
          <c:order val="1"/>
          <c:tx>
            <c:strRef>
              <c:f>'	Principales Productos de Expor'!$A$2:$A$29</c:f>
              <c:strCache>
                <c:ptCount val="28"/>
                <c:pt idx="0">
                  <c:v>Argentina</c:v>
                </c:pt>
                <c:pt idx="4">
                  <c:v>Brasil</c:v>
                </c:pt>
                <c:pt idx="8">
                  <c:v>Chile</c:v>
                </c:pt>
                <c:pt idx="12">
                  <c:v>Colombia</c:v>
                </c:pt>
                <c:pt idx="16">
                  <c:v>Venezuela</c:v>
                </c:pt>
                <c:pt idx="20">
                  <c:v>México</c:v>
                </c:pt>
                <c:pt idx="24">
                  <c:v>Costa Rica</c:v>
                </c:pt>
              </c:strCache>
            </c:strRef>
          </c:tx>
          <c:spPr>
            <a:solidFill>
              <a:schemeClr val="accent2"/>
            </a:solidFill>
            <a:ln>
              <a:noFill/>
            </a:ln>
            <a:effectLst/>
          </c:spPr>
          <c:invertIfNegative val="0"/>
          <c:dLbls>
            <c:delete val="1"/>
          </c:dLbls>
          <c:val>
            <c:numLit>
              <c:formatCode>General</c:formatCode>
              <c:ptCount val="1"/>
              <c:pt idx="0">
                <c:v>1</c:v>
              </c:pt>
            </c:numLit>
          </c:val>
          <c:extLst>
            <c:ext xmlns:c16="http://schemas.microsoft.com/office/drawing/2014/chart" uri="{C3380CC4-5D6E-409C-BE32-E72D297353CC}">
              <c16:uniqueId val="{00000001-C5C5-437E-8FC4-3AEB11E3927C}"/>
            </c:ext>
          </c:extLst>
        </c:ser>
        <c:dLbls>
          <c:dLblPos val="outEnd"/>
          <c:showLegendKey val="0"/>
          <c:showVal val="1"/>
          <c:showCatName val="0"/>
          <c:showSerName val="0"/>
          <c:showPercent val="0"/>
          <c:showBubbleSize val="0"/>
        </c:dLbls>
        <c:gapWidth val="219"/>
        <c:axId val="590864824"/>
        <c:axId val="590862904"/>
      </c:barChart>
      <c:catAx>
        <c:axId val="590864824"/>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CR" sz="900" b="0" i="0" baseline="0">
                    <a:effectLst/>
                  </a:rPr>
                  <a:t>Fuente: Elaboración propia con base en datos del Observatorio de Complejidad Económica (2019). </a:t>
                </a:r>
                <a:r>
                  <a:rPr lang="es-CR" sz="900" b="0" i="1" baseline="0">
                    <a:effectLst/>
                  </a:rPr>
                  <a:t>Turquía</a:t>
                </a:r>
                <a:r>
                  <a:rPr lang="es-CR" sz="900" b="0" i="0" baseline="0">
                    <a:effectLst/>
                  </a:rPr>
                  <a:t>. Recuperado de: </a:t>
                </a:r>
                <a:r>
                  <a:rPr lang="es-CR" sz="900" b="0" i="0" u="sng" baseline="0">
                    <a:effectLst/>
                  </a:rPr>
                  <a:t>https://oec.world/es/profile/country/tur/</a:t>
                </a:r>
                <a:r>
                  <a:rPr lang="es-CR"/>
                  <a:t> </a:t>
                </a:r>
              </a:p>
            </c:rich>
          </c:tx>
          <c:layout>
            <c:manualLayout>
              <c:xMode val="edge"/>
              <c:yMode val="edge"/>
              <c:x val="0.13879061960432135"/>
              <c:y val="0.9267255988231454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0862904"/>
        <c:crosses val="autoZero"/>
        <c:auto val="1"/>
        <c:lblAlgn val="ctr"/>
        <c:lblOffset val="100"/>
        <c:noMultiLvlLbl val="0"/>
      </c:catAx>
      <c:valAx>
        <c:axId val="590862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US$ Millones</a:t>
                </a:r>
                <a:r>
                  <a:rPr lang="es-CR" baseline="0"/>
                  <a:t> de Dólares</a:t>
                </a:r>
                <a:endParaRPr lang="es-C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540A]#,##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90864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C8176D-0942-4157-AFF6-B6BF6F848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Pages>
  <Words>13770</Words>
  <Characters>75735</Characters>
  <Application>Microsoft Office Word</Application>
  <DocSecurity>0</DocSecurity>
  <Lines>631</Lines>
  <Paragraphs>178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Johanning</dc:creator>
  <cp:keywords/>
  <dc:description/>
  <cp:lastModifiedBy>Javier  Johanning Solís</cp:lastModifiedBy>
  <cp:revision>6</cp:revision>
  <dcterms:created xsi:type="dcterms:W3CDTF">2019-07-20T21:41:00Z</dcterms:created>
  <dcterms:modified xsi:type="dcterms:W3CDTF">2019-08-07T01:37:00Z</dcterms:modified>
</cp:coreProperties>
</file>