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5.xml" ContentType="application/vnd.openxmlformats-officedocument.wordprocessingml.footer+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footer4.xml" ContentType="application/vnd.openxmlformats-officedocument.wordprocessingml.footer+xml"/>
  <Override PartName="/word/settings.xml" ContentType="application/vnd.openxmlformats-officedocument.wordprocessingml.settings+xml"/>
  <Override PartName="/word/header3.xml" ContentType="application/vnd.openxmlformats-officedocument.wordprocessingml.header+xml"/>
  <Override PartName="/word/glossary/_rels/document.xml.rels" ContentType="application/vnd.openxmlformats-package.relationships+xml"/>
  <Override PartName="/word/glossary/document.xml" ContentType="application/vnd.openxmlformats-officedocument.wordprocessingml.document.glossary+xml"/>
  <Override PartName="/word/glossary/webSettings.xml" ContentType="application/vnd.openxmlformats-officedocument.wordprocessingml.webSettings+xml"/>
  <Override PartName="/word/glossary/settings.xml" ContentType="application/vnd.openxmlformats-officedocument.wordprocessingml.settings+xml"/>
  <Override PartName="/word/glossary/styles.xml" ContentType="application/vnd.openxmlformats-officedocument.wordprocessingml.styles+xml"/>
  <Override PartName="/word/glossary/fontTable.xml" ContentType="application/vnd.openxmlformats-officedocument.wordprocessingml.fontTable+xml"/>
  <Override PartName="/word/numbering.xml" ContentType="application/vnd.openxmlformats-officedocument.wordprocessingml.number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0.xml" ContentType="application/vnd.openxmlformats-officedocument.drawingml.chart+xml"/>
  <Override PartName="/word/charts/chart6.xml" ContentType="application/vnd.openxmlformats-officedocument.drawingml.chart+xml"/>
  <Override PartName="/word/charts/chart11.xml" ContentType="application/vnd.openxmlformats-officedocument.drawingml.chart+xml"/>
  <Override PartName="/word/charts/chart7.xml" ContentType="application/vnd.openxmlformats-officedocument.drawingml.chart+xml"/>
  <Override PartName="/word/charts/chart12.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Override PartName="/word/footer6.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footer3.xml" ContentType="application/vnd.openxmlformats-officedocument.wordprocessingml.footer+xml"/>
  <Override PartName="/word/header2.xml" ContentType="application/vnd.openxmlformats-officedocument.wordprocessingml.header+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360"/>
        <w:jc w:val="center"/>
        <w:rPr/>
      </w:pPr>
      <w:bookmarkStart w:id="0" w:name="_Hlk196403992"/>
      <w:bookmarkEnd w:id="0"/>
      <w:r>
        <w:rPr/>
        <w:t>UNIVERSIDAD DE COSTA RICA</w:t>
      </w:r>
    </w:p>
    <w:p>
      <w:pPr>
        <w:pStyle w:val="Normal"/>
        <w:spacing w:lineRule="auto" w:line="360"/>
        <w:jc w:val="center"/>
        <w:rPr/>
      </w:pPr>
      <w:r>
        <w:rPr/>
        <w:t>SISTEMA DE ESTUDIOS DE POSGRADO</w:t>
      </w:r>
    </w:p>
    <w:p>
      <w:pPr>
        <w:pStyle w:val="Normal"/>
        <w:spacing w:lineRule="auto" w:line="360"/>
        <w:jc w:val="center"/>
        <w:rPr/>
      </w:pPr>
      <w:r>
        <w:rPr/>
      </w:r>
    </w:p>
    <w:p>
      <w:pPr>
        <w:pStyle w:val="Normal"/>
        <w:spacing w:lineRule="auto" w:line="360"/>
        <w:rPr/>
      </w:pPr>
      <w:r>
        <w:rPr/>
      </w:r>
    </w:p>
    <w:p>
      <w:pPr>
        <w:pStyle w:val="Normal"/>
        <w:spacing w:lineRule="auto" w:line="360"/>
        <w:rPr/>
      </w:pPr>
      <w:r>
        <w:rPr/>
      </w:r>
    </w:p>
    <w:p>
      <w:pPr>
        <w:pStyle w:val="Normal"/>
        <w:spacing w:lineRule="auto" w:line="360"/>
        <w:rPr/>
      </w:pPr>
      <w:r>
        <w:rPr>
          <w:szCs w:val="22"/>
          <w:lang w:val="es-ES" w:eastAsia="es-ES"/>
        </w:rPr>
        <w:t>PANORAMA DEL CÁNCER APENDICULAR: REVISIÓN CRÍTICA DE LA LITERATURA, ANÁLISIS DE SU COMPORTAMIENTO EN COSTA RICA Y EVALUACIÓN DEL MANEJO QUIRÚRGICO INSTITUCIONAL</w:t>
      </w:r>
    </w:p>
    <w:p>
      <w:pPr>
        <w:pStyle w:val="Normal"/>
        <w:spacing w:lineRule="auto" w:line="360"/>
        <w:rPr/>
      </w:pPr>
      <w:r>
        <w:rPr/>
      </w:r>
    </w:p>
    <w:p>
      <w:pPr>
        <w:pStyle w:val="Normal"/>
        <w:spacing w:lineRule="auto" w:line="360"/>
        <w:rPr/>
      </w:pPr>
      <w:r>
        <w:rPr/>
      </w:r>
    </w:p>
    <w:p>
      <w:pPr>
        <w:pStyle w:val="Normal"/>
        <w:spacing w:lineRule="auto" w:line="360"/>
        <w:jc w:val="center"/>
        <w:rPr/>
      </w:pPr>
      <w:r>
        <w:rPr/>
        <w:t>Trabajo Final de Graduación sometida a la consideración del Comité de la Especialidad en Cirugía General para optar al grado y título de Especialista en Cirugía General</w:t>
      </w:r>
    </w:p>
    <w:p>
      <w:pPr>
        <w:pStyle w:val="Normal"/>
        <w:spacing w:lineRule="auto" w:line="360"/>
        <w:rPr/>
      </w:pPr>
      <w:r>
        <w:rPr/>
      </w:r>
    </w:p>
    <w:p>
      <w:pPr>
        <w:pStyle w:val="Normal"/>
        <w:spacing w:lineRule="auto" w:line="360"/>
        <w:jc w:val="center"/>
        <w:rPr/>
      </w:pPr>
      <w:r>
        <w:rPr/>
      </w:r>
    </w:p>
    <w:p>
      <w:pPr>
        <w:pStyle w:val="Normal"/>
        <w:spacing w:lineRule="auto" w:line="360"/>
        <w:jc w:val="center"/>
        <w:rPr/>
      </w:pPr>
      <w:r>
        <w:rPr/>
      </w:r>
    </w:p>
    <w:p>
      <w:pPr>
        <w:pStyle w:val="Normal"/>
        <w:spacing w:lineRule="auto" w:line="360"/>
        <w:rPr/>
      </w:pPr>
      <w:r>
        <w:rPr/>
      </w:r>
    </w:p>
    <w:p>
      <w:pPr>
        <w:pStyle w:val="Normal"/>
        <w:spacing w:lineRule="auto" w:line="360"/>
        <w:jc w:val="center"/>
        <w:rPr/>
      </w:pPr>
      <w:r>
        <w:rPr/>
        <w:t>STEFANOS KOUTSOWRIS SÁENZ</w:t>
      </w:r>
    </w:p>
    <w:p>
      <w:pPr>
        <w:pStyle w:val="Normal"/>
        <w:spacing w:lineRule="auto" w:line="360"/>
        <w:jc w:val="center"/>
        <w:rPr/>
      </w:pPr>
      <w:r>
        <w:rPr/>
      </w:r>
    </w:p>
    <w:p>
      <w:pPr>
        <w:pStyle w:val="Normal"/>
        <w:spacing w:lineRule="auto" w:line="360"/>
        <w:rPr/>
      </w:pPr>
      <w:r>
        <w:rPr/>
      </w:r>
    </w:p>
    <w:p>
      <w:pPr>
        <w:pStyle w:val="Normal"/>
        <w:spacing w:lineRule="auto" w:line="360"/>
        <w:jc w:val="center"/>
        <w:rPr/>
      </w:pPr>
      <w:r>
        <w:rPr/>
      </w:r>
    </w:p>
    <w:p>
      <w:pPr>
        <w:pStyle w:val="Normal"/>
        <w:spacing w:lineRule="auto" w:line="360"/>
        <w:jc w:val="center"/>
        <w:rPr/>
      </w:pPr>
      <w:r>
        <w:rPr/>
      </w:r>
    </w:p>
    <w:p>
      <w:pPr>
        <w:pStyle w:val="Normal"/>
        <w:spacing w:lineRule="auto" w:line="360"/>
        <w:jc w:val="center"/>
        <w:rPr/>
      </w:pPr>
      <w:r>
        <w:rPr/>
        <w:t>Ciudad Universitaria Rodrigo Facio, Costa Rica</w:t>
      </w:r>
    </w:p>
    <w:p>
      <w:pPr>
        <w:pStyle w:val="Normal"/>
        <w:spacing w:lineRule="auto" w:line="360"/>
        <w:jc w:val="center"/>
        <w:rPr/>
      </w:pPr>
      <w:r>
        <w:rPr/>
      </w:r>
    </w:p>
    <w:p>
      <w:pPr>
        <w:pStyle w:val="Normal"/>
        <w:spacing w:lineRule="auto" w:line="360"/>
        <w:jc w:val="center"/>
        <w:rPr/>
      </w:pPr>
      <w:r>
        <w:rPr/>
      </w:r>
    </w:p>
    <w:p>
      <w:pPr>
        <w:pStyle w:val="Normal"/>
        <w:spacing w:lineRule="auto" w:line="360"/>
        <w:jc w:val="center"/>
        <w:rPr/>
      </w:pPr>
      <w:r>
        <w:rPr/>
      </w:r>
    </w:p>
    <w:p>
      <w:pPr>
        <w:pStyle w:val="Normal"/>
        <w:spacing w:lineRule="auto" w:line="360"/>
        <w:jc w:val="center"/>
        <w:rPr/>
      </w:pPr>
      <w:r>
        <w:rPr/>
      </w:r>
    </w:p>
    <w:p>
      <w:pPr>
        <w:pStyle w:val="Normal"/>
        <w:spacing w:lineRule="auto" w:line="360"/>
        <w:jc w:val="center"/>
        <w:rPr/>
      </w:pPr>
      <w:r>
        <w:rPr/>
        <w:t>2025</w:t>
      </w:r>
    </w:p>
    <w:p>
      <w:pPr>
        <w:pStyle w:val="Heading1"/>
        <w:numPr>
          <w:ilvl w:val="0"/>
          <w:numId w:val="0"/>
        </w:numPr>
        <w:ind w:hanging="0" w:left="0"/>
        <w:rPr/>
      </w:pPr>
      <w:r>
        <w:rPr/>
      </w:r>
      <w:r>
        <w:br w:type="page"/>
      </w:r>
    </w:p>
    <w:p>
      <w:pPr>
        <w:pStyle w:val="Heading1"/>
        <w:numPr>
          <w:ilvl w:val="0"/>
          <w:numId w:val="0"/>
        </w:numPr>
        <w:ind w:hanging="0" w:left="0"/>
        <w:rPr/>
      </w:pPr>
      <w:bookmarkStart w:id="1" w:name="_Toc199584549"/>
      <w:bookmarkStart w:id="2" w:name="_Toc200580191"/>
      <w:r>
        <w:rPr/>
        <w:t>DEDICATORIA</w:t>
      </w:r>
      <w:bookmarkEnd w:id="1"/>
      <w:bookmarkEnd w:id="2"/>
      <w:r>
        <w:rPr/>
        <w:t xml:space="preserve"> </w:t>
      </w:r>
    </w:p>
    <w:p>
      <w:pPr>
        <w:pStyle w:val="p1"/>
        <w:spacing w:lineRule="auto" w:line="360" w:before="280" w:after="280"/>
        <w:jc w:val="both"/>
        <w:rPr/>
      </w:pPr>
      <w:r>
        <w:rPr/>
        <w:t>A mi yo de niño, que soñaba con ser médico desde el consultorio de mi pediatra. Aquel que alguna vez pensó que el camino era demasiado empinado. Hoy le dedico este logro como prueba de que los sueños, por más lejanos que parezcan, pueden alcanzarse con constancia, pasión y fe.</w:t>
      </w:r>
    </w:p>
    <w:p>
      <w:pPr>
        <w:pStyle w:val="p1"/>
        <w:spacing w:lineRule="auto" w:line="360" w:before="280" w:after="280"/>
        <w:jc w:val="both"/>
        <w:rPr/>
      </w:pPr>
      <w:r>
        <w:rPr/>
        <w:t>A mi abuelita, quien me visualizó como médico mucho antes de que yo siquiera creyera que era posible. Su fe silenciosa y amor incondicional siguen siendo una guía, incluso en su ausencia.</w:t>
      </w:r>
    </w:p>
    <w:p>
      <w:pPr>
        <w:pStyle w:val="p1"/>
        <w:spacing w:lineRule="auto" w:line="360" w:before="280" w:after="280"/>
        <w:jc w:val="both"/>
        <w:rPr/>
      </w:pPr>
      <w:r>
        <w:rPr/>
        <w:t>A mis padres, pilares inquebrantables de mi vida, cuyo esfuerzo, apoyo y sacrificios han sido la base de cada uno de mis pasos. Esta tesis es también suya.</w:t>
      </w:r>
    </w:p>
    <w:p>
      <w:pPr>
        <w:pStyle w:val="p1"/>
        <w:spacing w:lineRule="auto" w:line="360" w:before="280" w:after="280"/>
        <w:jc w:val="both"/>
        <w:rPr/>
      </w:pPr>
      <w:r>
        <w:rPr/>
        <w:t>A mi hermano, mi mejor amigo, confidente y compañero de aventuras. Gracias por compartir cada triunfo, cada caída y cada desvelo en este largo recorrido. Nada hubiera sido igual sin tu presencia a mi lado.</w:t>
      </w:r>
    </w:p>
    <w:p>
      <w:pPr>
        <w:pStyle w:val="p1"/>
        <w:spacing w:lineRule="auto" w:line="360" w:before="280" w:after="280"/>
        <w:jc w:val="both"/>
        <w:rPr/>
      </w:pPr>
      <w:r>
        <w:rPr/>
        <w:t>Y también a quienes, en algún momento, pusieron obstáculos en mi camino. Porque sin quererlo, me enseñaron a resistir, a fortalecerme y a seguir adelante con más determinación. Hoy, cada traba se ha transformado en impulso.</w:t>
      </w:r>
    </w:p>
    <w:p>
      <w:pPr>
        <w:pStyle w:val="p1"/>
        <w:spacing w:lineRule="auto" w:line="360" w:before="280" w:after="280"/>
        <w:jc w:val="both"/>
        <w:rPr/>
      </w:pPr>
      <w:r>
        <w:rPr/>
        <w:t>Esta tesis, más que un trabajo académico, representa un viaje de vida. Y a cada uno de ustedes, les pertenece una parte esencial de él.</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Heading1"/>
        <w:numPr>
          <w:ilvl w:val="0"/>
          <w:numId w:val="0"/>
        </w:numPr>
        <w:ind w:hanging="0" w:left="0"/>
        <w:rPr/>
      </w:pPr>
      <w:bookmarkStart w:id="3" w:name="_Toc200580192"/>
      <w:bookmarkStart w:id="4" w:name="_Toc199584550"/>
      <w:r>
        <w:rPr/>
        <w:t>AGRADECIMIENTO</w:t>
      </w:r>
      <w:bookmarkEnd w:id="3"/>
      <w:bookmarkEnd w:id="4"/>
      <w:r>
        <w:rPr/>
        <w:t xml:space="preserve"> </w:t>
      </w:r>
    </w:p>
    <w:p>
      <w:pPr>
        <w:pStyle w:val="Normal"/>
        <w:rPr/>
      </w:pPr>
      <w:r>
        <w:rPr/>
      </w:r>
    </w:p>
    <w:p>
      <w:pPr>
        <w:pStyle w:val="p1"/>
        <w:spacing w:lineRule="auto" w:line="360" w:before="280" w:after="280"/>
        <w:jc w:val="both"/>
        <w:rPr/>
      </w:pPr>
      <w:r>
        <w:rPr/>
        <w:t>A mi familia, que aunque no ha sido perfecta, ha sido mi núcleo, mi impulso y mi refugio constante. Su incondicionalidad siempre presente me ha sostenido en los momentos más duros y me ha empujado, día tras día, a llegar hasta donde estoy hoy, de pie, con gratitud y entereza.</w:t>
      </w:r>
    </w:p>
    <w:p>
      <w:pPr>
        <w:pStyle w:val="p1"/>
        <w:spacing w:lineRule="auto" w:line="360" w:before="280" w:after="280"/>
        <w:jc w:val="both"/>
        <w:rPr/>
      </w:pPr>
      <w:r>
        <w:rPr/>
        <w:t>A mis amigos, por ser mucho más que una compañía: por ser distracción cuando fue necesario desconectar, por ser apoyo cuando faltaban las fuerzas, por ser motivación en medio del cansancio y por caminar a mi lado como verdaderos compañeros de vida.</w:t>
      </w:r>
    </w:p>
    <w:p>
      <w:pPr>
        <w:pStyle w:val="p1"/>
        <w:spacing w:lineRule="auto" w:line="360" w:before="280" w:after="280"/>
        <w:jc w:val="both"/>
        <w:rPr/>
      </w:pPr>
      <w:r>
        <w:rPr/>
        <w:t>A mis colegas residentes, mis hermanos de hospital, quienes han compartido guardias, desvelos, lágrimas y pequeñas victorias. Porque si algo sabemos con certeza, es que la residencia es un camino arduo, lleno de sacrificios y renuncias. Sin ustedes, esta etapa no estaría completa, y este logro no tendría el mismo significado.</w:t>
      </w:r>
    </w:p>
    <w:p>
      <w:pPr>
        <w:pStyle w:val="p1"/>
        <w:spacing w:lineRule="auto" w:line="360" w:before="280" w:after="280"/>
        <w:jc w:val="both"/>
        <w:rPr/>
      </w:pPr>
      <w:r>
        <w:rPr/>
        <w:t>A mis tutores y profesores, por la paciencia, la guía y la sabiduría compartida. Por cada clase, cada corrección, cada cirugía otorgada y cada acto de humanidad conmigo y con los pacientes. Gracias a ustedes, ese ideal de ser cirujano está a punto de concretarse.</w:t>
      </w:r>
    </w:p>
    <w:p>
      <w:pPr>
        <w:pStyle w:val="p1"/>
        <w:spacing w:lineRule="auto" w:line="360" w:before="280" w:after="280"/>
        <w:jc w:val="both"/>
        <w:rPr/>
      </w:pPr>
      <w:r>
        <w:rPr/>
        <w:t>Y finalmente, a cada una de las personas que, muchas veces de forma silenciosa, fueron parte esencial de mi formación: a la enfermera que me enseñó a tomar una vía; al microbiólogo que procesó rápidamente una amilasa para que mi asistente no se diera cuenta de que se me había olvidado pedírsela; al misceláneo que limpió mi desastre la primera vez que coloqué una sonda Foley sin bolsa recolectora; al guarda que me saludaba cortésmente cada madrugada al llegar a pasar visita, cuando ni siquiera el sol había salido.</w:t>
      </w:r>
    </w:p>
    <w:p>
      <w:pPr>
        <w:pStyle w:val="p1"/>
        <w:spacing w:lineRule="auto" w:line="360" w:before="280" w:after="280"/>
        <w:jc w:val="both"/>
        <w:rPr/>
      </w:pPr>
      <w:r>
        <w:rPr/>
        <w:t>Este agradecimiento no es exclusivo, es inclusivo. Es para todos y cada uno con quienes crucé palabra, mirada o guardia. A todos los que, desde su rol, sumaron para que este sueño hoy esté más cerca de ser una realidad.</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spacing w:lineRule="auto" w:line="276" w:before="0" w:after="200"/>
        <w:rPr/>
      </w:pPr>
      <w:r>
        <w:rPr/>
      </w:r>
    </w:p>
    <w:p>
      <w:pPr>
        <w:pStyle w:val="Normal"/>
        <w:spacing w:lineRule="auto" w:line="276" w:before="0" w:after="200"/>
        <w:rPr>
          <w:rFonts w:eastAsia="" w:cs="" w:cstheme="majorBidi" w:eastAsiaTheme="majorEastAsia"/>
          <w:b/>
          <w:bCs/>
          <w:szCs w:val="28"/>
        </w:rPr>
      </w:pPr>
      <w:r>
        <w:rPr>
          <w:rFonts w:eastAsia="" w:cs="" w:cstheme="majorBidi" w:eastAsiaTheme="majorEastAsia"/>
          <w:b/>
          <w:bCs/>
          <w:szCs w:val="28"/>
        </w:rPr>
        <w:drawing>
          <wp:anchor behindDoc="0" distT="0" distB="0" distL="114300" distR="114300" simplePos="0" locked="0" layoutInCell="0" allowOverlap="1" relativeHeight="9">
            <wp:simplePos x="0" y="0"/>
            <wp:positionH relativeFrom="column">
              <wp:posOffset>0</wp:posOffset>
            </wp:positionH>
            <wp:positionV relativeFrom="paragraph">
              <wp:posOffset>323215</wp:posOffset>
            </wp:positionV>
            <wp:extent cx="5611495" cy="7282815"/>
            <wp:effectExtent l="0" t="0" r="0" b="0"/>
            <wp:wrapTopAndBottom/>
            <wp:docPr id="1"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
                    <pic:cNvPicPr>
                      <a:picLocks noChangeAspect="1" noChangeArrowheads="1"/>
                    </pic:cNvPicPr>
                  </pic:nvPicPr>
                  <pic:blipFill>
                    <a:blip r:embed="rId2"/>
                    <a:stretch>
                      <a:fillRect/>
                    </a:stretch>
                  </pic:blipFill>
                  <pic:spPr bwMode="auto">
                    <a:xfrm>
                      <a:off x="0" y="0"/>
                      <a:ext cx="5611495" cy="7282815"/>
                    </a:xfrm>
                    <a:prstGeom prst="rect">
                      <a:avLst/>
                    </a:prstGeom>
                    <a:noFill/>
                  </pic:spPr>
                </pic:pic>
              </a:graphicData>
            </a:graphic>
          </wp:anchor>
        </w:drawing>
      </w:r>
      <w:r>
        <w:br w:type="page"/>
      </w:r>
    </w:p>
    <w:p>
      <w:pPr>
        <w:pStyle w:val="Heading1"/>
        <w:numPr>
          <w:ilvl w:val="0"/>
          <w:numId w:val="0"/>
        </w:numPr>
        <w:spacing w:before="0" w:after="0"/>
        <w:ind w:hanging="0" w:left="0"/>
        <w:rPr/>
      </w:pPr>
      <w:bookmarkStart w:id="5" w:name="_Toc200580193"/>
      <w:bookmarkStart w:id="6" w:name="_Toc199584551"/>
      <w:r>
        <w:rPr/>
        <w:t>TABLA DE CONTENIDO</w:t>
      </w:r>
      <w:bookmarkEnd w:id="5"/>
      <w:bookmarkEnd w:id="6"/>
      <w:r>
        <w:rPr/>
        <w:t xml:space="preserve"> </w:t>
      </w:r>
    </w:p>
    <w:sdt>
      <w:sdtPr>
        <w:docPartObj>
          <w:docPartGallery w:val="Table of Contents"/>
          <w:docPartUnique w:val="true"/>
        </w:docPartObj>
        <w:id w:val="324612804"/>
      </w:sdtPr>
      <w:sdtContent>
        <w:p>
          <w:pPr>
            <w:pStyle w:val="TOCHeading"/>
            <w:numPr>
              <w:ilvl w:val="0"/>
              <w:numId w:val="0"/>
            </w:numPr>
            <w:spacing w:lineRule="auto" w:line="240" w:before="0" w:after="0"/>
            <w:ind w:hanging="0" w:left="0"/>
            <w:rPr/>
          </w:pPr>
          <w:r>
            <w:rPr/>
          </w:r>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r>
            <w:fldChar w:fldCharType="begin"/>
          </w:r>
          <w:r>
            <w:rPr>
              <w:webHidden/>
              <w:rStyle w:val="IndexLink"/>
            </w:rPr>
            <w:instrText xml:space="preserve"> TOC \z \o "1-3" \u \h</w:instrText>
          </w:r>
          <w:r>
            <w:rPr>
              <w:webHidden/>
              <w:rStyle w:val="IndexLink"/>
            </w:rPr>
            <w:fldChar w:fldCharType="separate"/>
          </w:r>
          <w:hyperlink w:anchor="_Toc200580191">
            <w:r>
              <w:rPr>
                <w:webHidden/>
                <w:rStyle w:val="IndexLink"/>
              </w:rPr>
              <w:t>DEDICATORIA</w:t>
            </w:r>
            <w:r>
              <w:rPr>
                <w:webHidden/>
              </w:rPr>
              <w:fldChar w:fldCharType="begin"/>
            </w:r>
            <w:r>
              <w:rPr>
                <w:webHidden/>
              </w:rPr>
              <w:instrText xml:space="preserve">PAGEREF _Toc200580191 \h</w:instrText>
            </w:r>
            <w:r>
              <w:rPr>
                <w:webHidden/>
              </w:rPr>
              <w:fldChar w:fldCharType="separate"/>
            </w:r>
            <w:r>
              <w:rPr>
                <w:rStyle w:val="IndexLink"/>
                <w:vanish w:val="false"/>
              </w:rPr>
              <w:tab/>
              <w:t>ii</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2">
            <w:r>
              <w:rPr>
                <w:webHidden/>
                <w:rStyle w:val="IndexLink"/>
              </w:rPr>
              <w:t>AGRADECIMIENTO</w:t>
            </w:r>
            <w:r>
              <w:rPr>
                <w:webHidden/>
              </w:rPr>
              <w:fldChar w:fldCharType="begin"/>
            </w:r>
            <w:r>
              <w:rPr>
                <w:webHidden/>
              </w:rPr>
              <w:instrText xml:space="preserve">PAGEREF _Toc200580192 \h</w:instrText>
            </w:r>
            <w:r>
              <w:rPr>
                <w:webHidden/>
              </w:rPr>
              <w:fldChar w:fldCharType="separate"/>
            </w:r>
            <w:r>
              <w:rPr>
                <w:rStyle w:val="IndexLink"/>
                <w:vanish w:val="false"/>
              </w:rPr>
              <w:tab/>
              <w:t>iii</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3">
            <w:r>
              <w:rPr>
                <w:webHidden/>
                <w:rStyle w:val="IndexLink"/>
              </w:rPr>
              <w:t>TABLA DE CONTENIDO</w:t>
            </w:r>
            <w:r>
              <w:rPr>
                <w:webHidden/>
              </w:rPr>
              <w:fldChar w:fldCharType="begin"/>
            </w:r>
            <w:r>
              <w:rPr>
                <w:webHidden/>
              </w:rPr>
              <w:instrText xml:space="preserve">PAGEREF _Toc200580193 \h</w:instrText>
            </w:r>
            <w:r>
              <w:rPr>
                <w:webHidden/>
              </w:rPr>
              <w:fldChar w:fldCharType="separate"/>
            </w:r>
            <w:r>
              <w:rPr>
                <w:rStyle w:val="IndexLink"/>
                <w:vanish w:val="false"/>
              </w:rPr>
              <w:tab/>
              <w:t>v</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4">
            <w:r>
              <w:rPr>
                <w:webHidden/>
                <w:rStyle w:val="IndexLink"/>
              </w:rPr>
              <w:t>RESUMEN EJECUTIVO</w:t>
            </w:r>
            <w:r>
              <w:rPr>
                <w:webHidden/>
              </w:rPr>
              <w:fldChar w:fldCharType="begin"/>
            </w:r>
            <w:r>
              <w:rPr>
                <w:webHidden/>
              </w:rPr>
              <w:instrText xml:space="preserve">PAGEREF _Toc200580194 \h</w:instrText>
            </w:r>
            <w:r>
              <w:rPr>
                <w:webHidden/>
              </w:rPr>
              <w:fldChar w:fldCharType="separate"/>
            </w:r>
            <w:r>
              <w:rPr>
                <w:rStyle w:val="IndexLink"/>
                <w:vanish w:val="false"/>
              </w:rPr>
              <w:tab/>
              <w:t>vii</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5">
            <w:r>
              <w:rPr>
                <w:webHidden/>
                <w:rStyle w:val="IndexLink"/>
                <w:lang w:val="en-US"/>
              </w:rPr>
              <w:t>ABSTRACT</w:t>
            </w:r>
            <w:r>
              <w:rPr>
                <w:webHidden/>
              </w:rPr>
              <w:fldChar w:fldCharType="begin"/>
            </w:r>
            <w:r>
              <w:rPr>
                <w:webHidden/>
              </w:rPr>
              <w:instrText xml:space="preserve">PAGEREF _Toc200580195 \h</w:instrText>
            </w:r>
            <w:r>
              <w:rPr>
                <w:webHidden/>
              </w:rPr>
              <w:fldChar w:fldCharType="separate"/>
            </w:r>
            <w:r>
              <w:rPr>
                <w:rStyle w:val="IndexLink"/>
                <w:vanish w:val="false"/>
              </w:rPr>
              <w:tab/>
              <w:t>ix</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6">
            <w:r>
              <w:rPr>
                <w:webHidden/>
                <w:rStyle w:val="IndexLink"/>
              </w:rPr>
              <w:t>LISTA DE TABLAS</w:t>
            </w:r>
            <w:r>
              <w:rPr>
                <w:webHidden/>
              </w:rPr>
              <w:fldChar w:fldCharType="begin"/>
            </w:r>
            <w:r>
              <w:rPr>
                <w:webHidden/>
              </w:rPr>
              <w:instrText xml:space="preserve">PAGEREF _Toc200580196 \h</w:instrText>
            </w:r>
            <w:r>
              <w:rPr>
                <w:webHidden/>
              </w:rPr>
              <w:fldChar w:fldCharType="separate"/>
            </w:r>
            <w:r>
              <w:rPr>
                <w:rStyle w:val="IndexLink"/>
                <w:vanish w:val="false"/>
              </w:rPr>
              <w:tab/>
              <w:t>xi</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7">
            <w:r>
              <w:rPr>
                <w:webHidden/>
                <w:rStyle w:val="IndexLink"/>
              </w:rPr>
              <w:t>LISTA DE FIGURAS</w:t>
            </w:r>
            <w:r>
              <w:rPr>
                <w:webHidden/>
              </w:rPr>
              <w:fldChar w:fldCharType="begin"/>
            </w:r>
            <w:r>
              <w:rPr>
                <w:webHidden/>
              </w:rPr>
              <w:instrText xml:space="preserve">PAGEREF _Toc200580197 \h</w:instrText>
            </w:r>
            <w:r>
              <w:rPr>
                <w:webHidden/>
              </w:rPr>
              <w:fldChar w:fldCharType="separate"/>
            </w:r>
            <w:r>
              <w:rPr>
                <w:rStyle w:val="IndexLink"/>
                <w:vanish w:val="false"/>
              </w:rPr>
              <w:tab/>
              <w:t>xii</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8">
            <w:r>
              <w:rPr>
                <w:webHidden/>
                <w:rStyle w:val="IndexLink"/>
              </w:rPr>
              <w:t>LISTA DE ABREVIATURAS</w:t>
            </w:r>
            <w:r>
              <w:rPr>
                <w:webHidden/>
              </w:rPr>
              <w:fldChar w:fldCharType="begin"/>
            </w:r>
            <w:r>
              <w:rPr>
                <w:webHidden/>
              </w:rPr>
              <w:instrText xml:space="preserve">PAGEREF _Toc200580198 \h</w:instrText>
            </w:r>
            <w:r>
              <w:rPr>
                <w:webHidden/>
              </w:rPr>
              <w:fldChar w:fldCharType="separate"/>
            </w:r>
            <w:r>
              <w:rPr>
                <w:rStyle w:val="IndexLink"/>
                <w:vanish w:val="false"/>
              </w:rPr>
              <w:tab/>
              <w:t>xiii</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199">
            <w:r>
              <w:rPr>
                <w:webHidden/>
                <w:rStyle w:val="IndexLink"/>
              </w:rPr>
              <w:t>CAPÍTULO I. INTRODUCCIÓN</w:t>
            </w:r>
            <w:r>
              <w:rPr>
                <w:webHidden/>
              </w:rPr>
              <w:fldChar w:fldCharType="begin"/>
            </w:r>
            <w:r>
              <w:rPr>
                <w:webHidden/>
              </w:rPr>
              <w:instrText xml:space="preserve">PAGEREF _Toc200580199 \h</w:instrText>
            </w:r>
            <w:r>
              <w:rPr>
                <w:webHidden/>
              </w:rPr>
              <w:fldChar w:fldCharType="separate"/>
            </w:r>
            <w:r>
              <w:rPr>
                <w:rStyle w:val="IndexLink"/>
                <w:vanish w:val="false"/>
              </w:rPr>
              <w:tab/>
              <w:t>1</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0">
            <w:r>
              <w:rPr>
                <w:webHidden/>
                <w:rStyle w:val="IndexLink"/>
              </w:rPr>
              <w:t>1.1</w:t>
            </w:r>
            <w:r>
              <w:rPr>
                <w:rStyle w:val="IndexLink"/>
                <w:rFonts w:eastAsia="" w:cs="" w:ascii="Calibri" w:hAnsi="Calibri" w:asciiTheme="minorHAnsi" w:cstheme="minorBidi" w:eastAsiaTheme="minorEastAsia" w:hAnsiTheme="minorHAnsi"/>
                <w:sz w:val="22"/>
                <w:szCs w:val="22"/>
                <w:lang w:eastAsia="es-CR"/>
              </w:rPr>
              <w:tab/>
            </w:r>
            <w:r>
              <w:rPr>
                <w:rStyle w:val="IndexLink"/>
              </w:rPr>
              <w:t>Introducción</w:t>
            </w:r>
            <w:r>
              <w:rPr>
                <w:webHidden/>
              </w:rPr>
              <w:fldChar w:fldCharType="begin"/>
            </w:r>
            <w:r>
              <w:rPr>
                <w:webHidden/>
              </w:rPr>
              <w:instrText xml:space="preserve">PAGEREF _Toc200580200 \h</w:instrText>
            </w:r>
            <w:r>
              <w:rPr>
                <w:webHidden/>
              </w:rPr>
              <w:fldChar w:fldCharType="separate"/>
            </w:r>
            <w:r>
              <w:rPr>
                <w:rStyle w:val="IndexLink"/>
                <w:vanish w:val="false"/>
              </w:rPr>
              <w:tab/>
              <w:t>1</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1">
            <w:r>
              <w:rPr>
                <w:webHidden/>
                <w:rStyle w:val="IndexLink"/>
              </w:rPr>
              <w:t>1.2</w:t>
            </w:r>
            <w:r>
              <w:rPr>
                <w:rStyle w:val="IndexLink"/>
                <w:rFonts w:eastAsia="" w:cs="" w:ascii="Calibri" w:hAnsi="Calibri" w:asciiTheme="minorHAnsi" w:cstheme="minorBidi" w:eastAsiaTheme="minorEastAsia" w:hAnsiTheme="minorHAnsi"/>
                <w:sz w:val="22"/>
                <w:szCs w:val="22"/>
                <w:lang w:eastAsia="es-CR"/>
              </w:rPr>
              <w:tab/>
            </w:r>
            <w:r>
              <w:rPr>
                <w:rStyle w:val="IndexLink"/>
              </w:rPr>
              <w:t>Pregunta de investigación</w:t>
            </w:r>
            <w:r>
              <w:rPr>
                <w:webHidden/>
              </w:rPr>
              <w:fldChar w:fldCharType="begin"/>
            </w:r>
            <w:r>
              <w:rPr>
                <w:webHidden/>
              </w:rPr>
              <w:instrText xml:space="preserve">PAGEREF _Toc200580201 \h</w:instrText>
            </w:r>
            <w:r>
              <w:rPr>
                <w:webHidden/>
              </w:rPr>
              <w:fldChar w:fldCharType="separate"/>
            </w:r>
            <w:r>
              <w:rPr>
                <w:rStyle w:val="IndexLink"/>
                <w:vanish w:val="false"/>
              </w:rPr>
              <w:tab/>
              <w:t>2</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2">
            <w:r>
              <w:rPr>
                <w:webHidden/>
                <w:rStyle w:val="IndexLink"/>
              </w:rPr>
              <w:t>1.3</w:t>
            </w:r>
            <w:r>
              <w:rPr>
                <w:rStyle w:val="IndexLink"/>
                <w:rFonts w:eastAsia="" w:cs="" w:ascii="Calibri" w:hAnsi="Calibri" w:asciiTheme="minorHAnsi" w:cstheme="minorBidi" w:eastAsiaTheme="minorEastAsia" w:hAnsiTheme="minorHAnsi"/>
                <w:sz w:val="22"/>
                <w:szCs w:val="22"/>
                <w:lang w:eastAsia="es-CR"/>
              </w:rPr>
              <w:tab/>
            </w:r>
            <w:r>
              <w:rPr>
                <w:rStyle w:val="IndexLink"/>
              </w:rPr>
              <w:t>Justificación</w:t>
            </w:r>
            <w:r>
              <w:rPr>
                <w:webHidden/>
              </w:rPr>
              <w:fldChar w:fldCharType="begin"/>
            </w:r>
            <w:r>
              <w:rPr>
                <w:webHidden/>
              </w:rPr>
              <w:instrText xml:space="preserve">PAGEREF _Toc200580202 \h</w:instrText>
            </w:r>
            <w:r>
              <w:rPr>
                <w:webHidden/>
              </w:rPr>
              <w:fldChar w:fldCharType="separate"/>
            </w:r>
            <w:r>
              <w:rPr>
                <w:rStyle w:val="IndexLink"/>
                <w:vanish w:val="false"/>
              </w:rPr>
              <w:tab/>
              <w:t>2</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203">
            <w:r>
              <w:rPr>
                <w:webHidden/>
                <w:rStyle w:val="IndexLink"/>
              </w:rPr>
              <w:t>CAPÍTULO II. OBJETIVOS</w:t>
            </w:r>
            <w:r>
              <w:rPr>
                <w:webHidden/>
              </w:rPr>
              <w:fldChar w:fldCharType="begin"/>
            </w:r>
            <w:r>
              <w:rPr>
                <w:webHidden/>
              </w:rPr>
              <w:instrText xml:space="preserve">PAGEREF _Toc200580203 \h</w:instrText>
            </w:r>
            <w:r>
              <w:rPr>
                <w:webHidden/>
              </w:rPr>
              <w:fldChar w:fldCharType="separate"/>
            </w:r>
            <w:r>
              <w:rPr>
                <w:rStyle w:val="IndexLink"/>
                <w:vanish w:val="false"/>
              </w:rPr>
              <w:tab/>
              <w:t>4</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4">
            <w:r>
              <w:rPr>
                <w:webHidden/>
                <w:rStyle w:val="IndexLink"/>
              </w:rPr>
              <w:t>2.1</w:t>
            </w:r>
            <w:r>
              <w:rPr>
                <w:rStyle w:val="IndexLink"/>
                <w:rFonts w:eastAsia="" w:cs="" w:ascii="Calibri" w:hAnsi="Calibri" w:asciiTheme="minorHAnsi" w:cstheme="minorBidi" w:eastAsiaTheme="minorEastAsia" w:hAnsiTheme="minorHAnsi"/>
                <w:sz w:val="22"/>
                <w:szCs w:val="22"/>
                <w:lang w:eastAsia="es-CR"/>
              </w:rPr>
              <w:tab/>
            </w:r>
            <w:r>
              <w:rPr>
                <w:rStyle w:val="IndexLink"/>
              </w:rPr>
              <w:t>Objetivo General</w:t>
            </w:r>
            <w:r>
              <w:rPr>
                <w:webHidden/>
              </w:rPr>
              <w:fldChar w:fldCharType="begin"/>
            </w:r>
            <w:r>
              <w:rPr>
                <w:webHidden/>
              </w:rPr>
              <w:instrText xml:space="preserve">PAGEREF _Toc200580204 \h</w:instrText>
            </w:r>
            <w:r>
              <w:rPr>
                <w:webHidden/>
              </w:rPr>
              <w:fldChar w:fldCharType="separate"/>
            </w:r>
            <w:r>
              <w:rPr>
                <w:rStyle w:val="IndexLink"/>
                <w:vanish w:val="false"/>
              </w:rPr>
              <w:tab/>
              <w:t>4</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5">
            <w:r>
              <w:rPr>
                <w:webHidden/>
                <w:rStyle w:val="IndexLink"/>
              </w:rPr>
              <w:t>2.2</w:t>
            </w:r>
            <w:r>
              <w:rPr>
                <w:rStyle w:val="IndexLink"/>
                <w:rFonts w:eastAsia="" w:cs="" w:ascii="Calibri" w:hAnsi="Calibri" w:asciiTheme="minorHAnsi" w:cstheme="minorBidi" w:eastAsiaTheme="minorEastAsia" w:hAnsiTheme="minorHAnsi"/>
                <w:sz w:val="22"/>
                <w:szCs w:val="22"/>
                <w:lang w:eastAsia="es-CR"/>
              </w:rPr>
              <w:tab/>
            </w:r>
            <w:r>
              <w:rPr>
                <w:rStyle w:val="IndexLink"/>
              </w:rPr>
              <w:t>Objetivos específicos</w:t>
            </w:r>
            <w:r>
              <w:rPr>
                <w:webHidden/>
              </w:rPr>
              <w:fldChar w:fldCharType="begin"/>
            </w:r>
            <w:r>
              <w:rPr>
                <w:webHidden/>
              </w:rPr>
              <w:instrText xml:space="preserve">PAGEREF _Toc200580205 \h</w:instrText>
            </w:r>
            <w:r>
              <w:rPr>
                <w:webHidden/>
              </w:rPr>
              <w:fldChar w:fldCharType="separate"/>
            </w:r>
            <w:r>
              <w:rPr>
                <w:rStyle w:val="IndexLink"/>
                <w:vanish w:val="false"/>
              </w:rPr>
              <w:tab/>
              <w:t>4</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207">
            <w:r>
              <w:rPr>
                <w:webHidden/>
                <w:rStyle w:val="IndexLink"/>
              </w:rPr>
              <w:t>CAPÍTULO III. METODOLOGÍA</w:t>
            </w:r>
            <w:r>
              <w:rPr>
                <w:webHidden/>
              </w:rPr>
              <w:fldChar w:fldCharType="begin"/>
            </w:r>
            <w:r>
              <w:rPr>
                <w:webHidden/>
              </w:rPr>
              <w:instrText xml:space="preserve">PAGEREF _Toc200580207 \h</w:instrText>
            </w:r>
            <w:r>
              <w:rPr>
                <w:webHidden/>
              </w:rPr>
              <w:fldChar w:fldCharType="separate"/>
            </w:r>
            <w:r>
              <w:rPr>
                <w:rStyle w:val="IndexLink"/>
                <w:vanish w:val="false"/>
              </w:rPr>
              <w:tab/>
              <w:t>5</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8">
            <w:r>
              <w:rPr>
                <w:webHidden/>
                <w:rStyle w:val="IndexLink"/>
              </w:rPr>
              <w:t>3.1</w:t>
            </w:r>
            <w:r>
              <w:rPr>
                <w:rStyle w:val="IndexLink"/>
                <w:rFonts w:eastAsia="" w:cs="" w:ascii="Calibri" w:hAnsi="Calibri" w:asciiTheme="minorHAnsi" w:cstheme="minorBidi" w:eastAsiaTheme="minorEastAsia" w:hAnsiTheme="minorHAnsi"/>
                <w:sz w:val="22"/>
                <w:szCs w:val="22"/>
                <w:lang w:eastAsia="es-CR"/>
              </w:rPr>
              <w:tab/>
            </w:r>
            <w:r>
              <w:rPr>
                <w:rStyle w:val="IndexLink"/>
              </w:rPr>
              <w:t>Estrategia metodológica para la revisión bibliográfica</w:t>
            </w:r>
            <w:r>
              <w:rPr>
                <w:webHidden/>
              </w:rPr>
              <w:fldChar w:fldCharType="begin"/>
            </w:r>
            <w:r>
              <w:rPr>
                <w:webHidden/>
              </w:rPr>
              <w:instrText xml:space="preserve">PAGEREF _Toc200580208 \h</w:instrText>
            </w:r>
            <w:r>
              <w:rPr>
                <w:webHidden/>
              </w:rPr>
              <w:fldChar w:fldCharType="separate"/>
            </w:r>
            <w:r>
              <w:rPr>
                <w:rStyle w:val="IndexLink"/>
                <w:vanish w:val="false"/>
              </w:rPr>
              <w:tab/>
              <w:t>5</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09">
            <w:r>
              <w:rPr>
                <w:webHidden/>
                <w:rStyle w:val="IndexLink"/>
                <w:lang w:val="es-ES" w:eastAsia="es-ES"/>
              </w:rPr>
              <w:t>3.2</w:t>
            </w:r>
            <w:r>
              <w:rPr>
                <w:rStyle w:val="IndexLink"/>
                <w:rFonts w:eastAsia="" w:cs="" w:ascii="Calibri" w:hAnsi="Calibri" w:asciiTheme="minorHAnsi" w:cstheme="minorBidi" w:eastAsiaTheme="minorEastAsia" w:hAnsiTheme="minorHAnsi"/>
                <w:sz w:val="22"/>
                <w:szCs w:val="22"/>
                <w:lang w:eastAsia="es-CR"/>
              </w:rPr>
              <w:tab/>
            </w:r>
            <w:r>
              <w:rPr>
                <w:rStyle w:val="IndexLink"/>
                <w:lang w:val="es-ES" w:eastAsia="es-ES"/>
              </w:rPr>
              <w:t>Estrategia metodológica para el análisis de datos</w:t>
            </w:r>
            <w:r>
              <w:rPr>
                <w:webHidden/>
              </w:rPr>
              <w:fldChar w:fldCharType="begin"/>
            </w:r>
            <w:r>
              <w:rPr>
                <w:webHidden/>
              </w:rPr>
              <w:instrText xml:space="preserve">PAGEREF _Toc200580209 \h</w:instrText>
            </w:r>
            <w:r>
              <w:rPr>
                <w:webHidden/>
              </w:rPr>
              <w:fldChar w:fldCharType="separate"/>
            </w:r>
            <w:r>
              <w:rPr>
                <w:rStyle w:val="IndexLink"/>
                <w:vanish w:val="false"/>
              </w:rPr>
              <w:tab/>
              <w:t>6</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0">
            <w:r>
              <w:rPr>
                <w:webHidden/>
                <w:rStyle w:val="IndexLink"/>
              </w:rPr>
              <w:t>3.3</w:t>
            </w:r>
            <w:r>
              <w:rPr>
                <w:rStyle w:val="IndexLink"/>
                <w:rFonts w:eastAsia="" w:cs="" w:ascii="Calibri" w:hAnsi="Calibri" w:asciiTheme="minorHAnsi" w:cstheme="minorBidi" w:eastAsiaTheme="minorEastAsia" w:hAnsiTheme="minorHAnsi"/>
                <w:sz w:val="22"/>
                <w:szCs w:val="22"/>
                <w:lang w:eastAsia="es-CR"/>
              </w:rPr>
              <w:tab/>
            </w:r>
            <w:r>
              <w:rPr>
                <w:rStyle w:val="IndexLink"/>
              </w:rPr>
              <w:t>Estrategia metodológica para el estudio observacional (Encuesta a especialistas)</w:t>
            </w:r>
            <w:r>
              <w:rPr>
                <w:webHidden/>
              </w:rPr>
              <w:fldChar w:fldCharType="begin"/>
            </w:r>
            <w:r>
              <w:rPr>
                <w:webHidden/>
              </w:rPr>
              <w:instrText xml:space="preserve">PAGEREF _Toc200580210 \h</w:instrText>
            </w:r>
            <w:r>
              <w:rPr>
                <w:webHidden/>
              </w:rPr>
              <w:fldChar w:fldCharType="separate"/>
            </w:r>
            <w:r>
              <w:rPr>
                <w:rStyle w:val="IndexLink"/>
                <w:vanish w:val="false"/>
              </w:rPr>
              <w:tab/>
              <w:t>7</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212">
            <w:r>
              <w:rPr>
                <w:webHidden/>
                <w:rStyle w:val="IndexLink"/>
              </w:rPr>
              <w:t>CAPÍTULO IV. MARCO TEÓRICO</w:t>
            </w:r>
            <w:r>
              <w:rPr>
                <w:webHidden/>
              </w:rPr>
              <w:fldChar w:fldCharType="begin"/>
            </w:r>
            <w:r>
              <w:rPr>
                <w:webHidden/>
              </w:rPr>
              <w:instrText xml:space="preserve">PAGEREF _Toc200580212 \h</w:instrText>
            </w:r>
            <w:r>
              <w:rPr>
                <w:webHidden/>
              </w:rPr>
              <w:fldChar w:fldCharType="separate"/>
            </w:r>
            <w:r>
              <w:rPr>
                <w:rStyle w:val="IndexLink"/>
                <w:vanish w:val="false"/>
              </w:rPr>
              <w:tab/>
              <w:t>9</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3">
            <w:r>
              <w:rPr>
                <w:webHidden/>
                <w:rStyle w:val="IndexLink"/>
              </w:rPr>
              <w:t>4.1</w:t>
            </w:r>
            <w:r>
              <w:rPr>
                <w:rStyle w:val="IndexLink"/>
                <w:rFonts w:eastAsia="" w:cs="" w:ascii="Calibri" w:hAnsi="Calibri" w:asciiTheme="minorHAnsi" w:cstheme="minorBidi" w:eastAsiaTheme="minorEastAsia" w:hAnsiTheme="minorHAnsi"/>
                <w:sz w:val="22"/>
                <w:szCs w:val="22"/>
                <w:lang w:eastAsia="es-CR"/>
              </w:rPr>
              <w:tab/>
            </w:r>
            <w:r>
              <w:rPr>
                <w:rStyle w:val="IndexLink"/>
              </w:rPr>
              <w:t>Fundamentos teóricos del cáncer apendicular</w:t>
            </w:r>
            <w:r>
              <w:rPr>
                <w:webHidden/>
              </w:rPr>
              <w:fldChar w:fldCharType="begin"/>
            </w:r>
            <w:r>
              <w:rPr>
                <w:webHidden/>
              </w:rPr>
              <w:instrText xml:space="preserve">PAGEREF _Toc200580213 \h</w:instrText>
            </w:r>
            <w:r>
              <w:rPr>
                <w:webHidden/>
              </w:rPr>
              <w:fldChar w:fldCharType="separate"/>
            </w:r>
            <w:r>
              <w:rPr>
                <w:rStyle w:val="IndexLink"/>
                <w:vanish w:val="false"/>
              </w:rPr>
              <w:tab/>
              <w:t>9</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4">
            <w:r>
              <w:rPr>
                <w:webHidden/>
                <w:rStyle w:val="IndexLink"/>
                <w14:scene3d>
                  <w14:camera w14:prst="orthographicFront"/>
                  <w14:lightRig w14:rig="threePt" w14:dir="t">
                    <w14:rot w14:lat="0" w14:lon="0" w14:rev="0"/>
                  </w14:lightRig>
                </w14:scene3d>
              </w:rPr>
              <w:t>4.1.1</w:t>
            </w:r>
            <w:r>
              <w:rPr>
                <w:rStyle w:val="IndexLink"/>
                <w:rFonts w:eastAsia="" w:cs="" w:ascii="Calibri" w:hAnsi="Calibri" w:asciiTheme="minorHAnsi" w:cstheme="minorBidi" w:eastAsiaTheme="minorEastAsia" w:hAnsiTheme="minorHAnsi"/>
                <w:sz w:val="22"/>
                <w:szCs w:val="22"/>
                <w:lang w:eastAsia="es-CR"/>
              </w:rPr>
              <w:tab/>
            </w:r>
            <w:r>
              <w:rPr>
                <w:rStyle w:val="IndexLink"/>
              </w:rPr>
              <w:t>Anatomía y fisiología del apéndice vermiforme</w:t>
            </w:r>
            <w:r>
              <w:rPr>
                <w:webHidden/>
              </w:rPr>
              <w:fldChar w:fldCharType="begin"/>
            </w:r>
            <w:r>
              <w:rPr>
                <w:webHidden/>
              </w:rPr>
              <w:instrText xml:space="preserve">PAGEREF _Toc200580214 \h</w:instrText>
            </w:r>
            <w:r>
              <w:rPr>
                <w:webHidden/>
              </w:rPr>
              <w:fldChar w:fldCharType="separate"/>
            </w:r>
            <w:r>
              <w:rPr>
                <w:rStyle w:val="IndexLink"/>
                <w:vanish w:val="false"/>
              </w:rPr>
              <w:tab/>
              <w:t>9</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6">
            <w:r>
              <w:rPr>
                <w:webHidden/>
                <w:rStyle w:val="IndexLink"/>
              </w:rPr>
              <w:t>4.2</w:t>
            </w:r>
            <w:r>
              <w:rPr>
                <w:rStyle w:val="IndexLink"/>
                <w:rFonts w:eastAsia="" w:cs="" w:ascii="Calibri" w:hAnsi="Calibri" w:asciiTheme="minorHAnsi" w:cstheme="minorBidi" w:eastAsiaTheme="minorEastAsia" w:hAnsiTheme="minorHAnsi"/>
                <w:sz w:val="22"/>
                <w:szCs w:val="22"/>
                <w:lang w:eastAsia="es-CR"/>
              </w:rPr>
              <w:tab/>
            </w:r>
            <w:r>
              <w:rPr>
                <w:rStyle w:val="IndexLink"/>
              </w:rPr>
              <w:t>Epidemiología mundial y evolución temporal de la incidencia</w:t>
            </w:r>
            <w:r>
              <w:rPr>
                <w:webHidden/>
              </w:rPr>
              <w:fldChar w:fldCharType="begin"/>
            </w:r>
            <w:r>
              <w:rPr>
                <w:webHidden/>
              </w:rPr>
              <w:instrText xml:space="preserve">PAGEREF _Toc200580216 \h</w:instrText>
            </w:r>
            <w:r>
              <w:rPr>
                <w:webHidden/>
              </w:rPr>
              <w:fldChar w:fldCharType="separate"/>
            </w:r>
            <w:r>
              <w:rPr>
                <w:rStyle w:val="IndexLink"/>
                <w:vanish w:val="false"/>
              </w:rPr>
              <w:tab/>
              <w:t>11</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7">
            <w:r>
              <w:rPr>
                <w:webHidden/>
                <w:rStyle w:val="IndexLink"/>
              </w:rPr>
              <w:t>4.3</w:t>
            </w:r>
            <w:r>
              <w:rPr>
                <w:rStyle w:val="IndexLink"/>
                <w:rFonts w:eastAsia="" w:cs="" w:ascii="Calibri" w:hAnsi="Calibri" w:asciiTheme="minorHAnsi" w:cstheme="minorBidi" w:eastAsiaTheme="minorEastAsia" w:hAnsiTheme="minorHAnsi"/>
                <w:sz w:val="22"/>
                <w:szCs w:val="22"/>
                <w:lang w:eastAsia="es-CR"/>
              </w:rPr>
              <w:tab/>
            </w:r>
            <w:r>
              <w:rPr>
                <w:rStyle w:val="IndexLink"/>
              </w:rPr>
              <w:t>Patogénesis</w:t>
            </w:r>
            <w:r>
              <w:rPr>
                <w:webHidden/>
              </w:rPr>
              <w:fldChar w:fldCharType="begin"/>
            </w:r>
            <w:r>
              <w:rPr>
                <w:webHidden/>
              </w:rPr>
              <w:instrText xml:space="preserve">PAGEREF _Toc200580217 \h</w:instrText>
            </w:r>
            <w:r>
              <w:rPr>
                <w:webHidden/>
              </w:rPr>
              <w:fldChar w:fldCharType="separate"/>
            </w:r>
            <w:r>
              <w:rPr>
                <w:rStyle w:val="IndexLink"/>
                <w:vanish w:val="false"/>
              </w:rPr>
              <w:tab/>
              <w:t>12</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8">
            <w:r>
              <w:rPr>
                <w:webHidden/>
                <w:rStyle w:val="IndexLink"/>
                <w14:scene3d>
                  <w14:camera w14:prst="orthographicFront"/>
                  <w14:lightRig w14:rig="threePt" w14:dir="t">
                    <w14:rot w14:lat="0" w14:lon="0" w14:rev="0"/>
                  </w14:lightRig>
                </w14:scene3d>
              </w:rPr>
              <w:t>4.3.1</w:t>
            </w:r>
            <w:r>
              <w:rPr>
                <w:rStyle w:val="IndexLink"/>
                <w:rFonts w:eastAsia="" w:cs="" w:ascii="Calibri" w:hAnsi="Calibri" w:asciiTheme="minorHAnsi" w:cstheme="minorBidi" w:eastAsiaTheme="minorEastAsia" w:hAnsiTheme="minorHAnsi"/>
                <w:sz w:val="22"/>
                <w:szCs w:val="22"/>
                <w:lang w:eastAsia="es-CR"/>
              </w:rPr>
              <w:tab/>
            </w:r>
            <w:r>
              <w:rPr>
                <w:rStyle w:val="IndexLink"/>
              </w:rPr>
              <w:t>Genética molecular y anormalidades del cáncer apendicular</w:t>
            </w:r>
            <w:r>
              <w:rPr>
                <w:webHidden/>
              </w:rPr>
              <w:fldChar w:fldCharType="begin"/>
            </w:r>
            <w:r>
              <w:rPr>
                <w:webHidden/>
              </w:rPr>
              <w:instrText xml:space="preserve">PAGEREF _Toc200580218 \h</w:instrText>
            </w:r>
            <w:r>
              <w:rPr>
                <w:webHidden/>
              </w:rPr>
              <w:fldChar w:fldCharType="separate"/>
            </w:r>
            <w:r>
              <w:rPr>
                <w:rStyle w:val="IndexLink"/>
                <w:vanish w:val="false"/>
              </w:rPr>
              <w:tab/>
              <w:t>12</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19">
            <w:r>
              <w:rPr>
                <w:webHidden/>
                <w:rStyle w:val="IndexLink"/>
              </w:rPr>
              <w:t>4.4</w:t>
            </w:r>
            <w:r>
              <w:rPr>
                <w:rStyle w:val="IndexLink"/>
                <w:rFonts w:eastAsia="" w:cs="" w:ascii="Calibri" w:hAnsi="Calibri" w:asciiTheme="minorHAnsi" w:cstheme="minorBidi" w:eastAsiaTheme="minorEastAsia" w:hAnsiTheme="minorHAnsi"/>
                <w:sz w:val="22"/>
                <w:szCs w:val="22"/>
                <w:lang w:eastAsia="es-CR"/>
              </w:rPr>
              <w:tab/>
            </w:r>
            <w:r>
              <w:rPr>
                <w:rStyle w:val="IndexLink"/>
              </w:rPr>
              <w:t>Tipos de neoplasias apendiculares</w:t>
            </w:r>
            <w:r>
              <w:rPr>
                <w:webHidden/>
              </w:rPr>
              <w:fldChar w:fldCharType="begin"/>
            </w:r>
            <w:r>
              <w:rPr>
                <w:webHidden/>
              </w:rPr>
              <w:instrText xml:space="preserve">PAGEREF _Toc200580219 \h</w:instrText>
            </w:r>
            <w:r>
              <w:rPr>
                <w:webHidden/>
              </w:rPr>
              <w:fldChar w:fldCharType="separate"/>
            </w:r>
            <w:r>
              <w:rPr>
                <w:rStyle w:val="IndexLink"/>
                <w:vanish w:val="false"/>
              </w:rPr>
              <w:tab/>
              <w:t>16</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0">
            <w:r>
              <w:rPr>
                <w:webHidden/>
                <w:rStyle w:val="IndexLink"/>
                <w14:scene3d>
                  <w14:camera w14:prst="orthographicFront"/>
                  <w14:lightRig w14:rig="threePt" w14:dir="t">
                    <w14:rot w14:lat="0" w14:lon="0" w14:rev="0"/>
                  </w14:lightRig>
                </w14:scene3d>
              </w:rPr>
              <w:t>4.4.1</w:t>
            </w:r>
            <w:r>
              <w:rPr>
                <w:rStyle w:val="IndexLink"/>
                <w:rFonts w:eastAsia="" w:cs="" w:ascii="Calibri" w:hAnsi="Calibri" w:asciiTheme="minorHAnsi" w:cstheme="minorBidi" w:eastAsiaTheme="minorEastAsia" w:hAnsiTheme="minorHAnsi"/>
                <w:sz w:val="22"/>
                <w:szCs w:val="22"/>
                <w:lang w:eastAsia="es-CR"/>
              </w:rPr>
              <w:tab/>
            </w:r>
            <w:r>
              <w:rPr>
                <w:rStyle w:val="IndexLink"/>
              </w:rPr>
              <w:t>Tumores neuroendocrinos apendiculares</w:t>
            </w:r>
            <w:r>
              <w:rPr>
                <w:webHidden/>
              </w:rPr>
              <w:fldChar w:fldCharType="begin"/>
            </w:r>
            <w:r>
              <w:rPr>
                <w:webHidden/>
              </w:rPr>
              <w:instrText xml:space="preserve">PAGEREF _Toc200580220 \h</w:instrText>
            </w:r>
            <w:r>
              <w:rPr>
                <w:webHidden/>
              </w:rPr>
              <w:fldChar w:fldCharType="separate"/>
            </w:r>
            <w:r>
              <w:rPr>
                <w:rStyle w:val="IndexLink"/>
                <w:vanish w:val="false"/>
              </w:rPr>
              <w:tab/>
              <w:t>16</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1">
            <w:r>
              <w:rPr>
                <w:webHidden/>
                <w:rStyle w:val="IndexLink"/>
                <w14:scene3d>
                  <w14:camera w14:prst="orthographicFront"/>
                  <w14:lightRig w14:rig="threePt" w14:dir="t">
                    <w14:rot w14:lat="0" w14:lon="0" w14:rev="0"/>
                  </w14:lightRig>
                </w14:scene3d>
              </w:rPr>
              <w:t>4.4.2</w:t>
            </w:r>
            <w:r>
              <w:rPr>
                <w:rStyle w:val="IndexLink"/>
                <w:rFonts w:eastAsia="" w:cs="" w:ascii="Calibri" w:hAnsi="Calibri" w:asciiTheme="minorHAnsi" w:cstheme="minorBidi" w:eastAsiaTheme="minorEastAsia" w:hAnsiTheme="minorHAnsi"/>
                <w:sz w:val="22"/>
                <w:szCs w:val="22"/>
                <w:lang w:eastAsia="es-CR"/>
              </w:rPr>
              <w:tab/>
            </w:r>
            <w:r>
              <w:rPr>
                <w:rStyle w:val="IndexLink"/>
              </w:rPr>
              <w:t>Tumores epiteliales apendiculares</w:t>
            </w:r>
            <w:r>
              <w:rPr>
                <w:webHidden/>
              </w:rPr>
              <w:fldChar w:fldCharType="begin"/>
            </w:r>
            <w:r>
              <w:rPr>
                <w:webHidden/>
              </w:rPr>
              <w:instrText xml:space="preserve">PAGEREF _Toc200580221 \h</w:instrText>
            </w:r>
            <w:r>
              <w:rPr>
                <w:webHidden/>
              </w:rPr>
              <w:fldChar w:fldCharType="separate"/>
            </w:r>
            <w:r>
              <w:rPr>
                <w:rStyle w:val="IndexLink"/>
                <w:vanish w:val="false"/>
              </w:rPr>
              <w:tab/>
              <w:t>17</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2">
            <w:r>
              <w:rPr>
                <w:webHidden/>
                <w:rStyle w:val="IndexLink"/>
              </w:rPr>
              <w:t>4.5</w:t>
            </w:r>
            <w:r>
              <w:rPr>
                <w:rStyle w:val="IndexLink"/>
                <w:rFonts w:eastAsia="" w:cs="" w:ascii="Calibri" w:hAnsi="Calibri" w:asciiTheme="minorHAnsi" w:cstheme="minorBidi" w:eastAsiaTheme="minorEastAsia" w:hAnsiTheme="minorHAnsi"/>
                <w:sz w:val="22"/>
                <w:szCs w:val="22"/>
                <w:lang w:eastAsia="es-CR"/>
              </w:rPr>
              <w:tab/>
            </w:r>
            <w:r>
              <w:rPr>
                <w:rStyle w:val="IndexLink"/>
              </w:rPr>
              <w:t>Factores de riesgo para el cáncer apendicular</w:t>
            </w:r>
            <w:r>
              <w:rPr>
                <w:webHidden/>
              </w:rPr>
              <w:fldChar w:fldCharType="begin"/>
            </w:r>
            <w:r>
              <w:rPr>
                <w:webHidden/>
              </w:rPr>
              <w:instrText xml:space="preserve">PAGEREF _Toc200580222 \h</w:instrText>
            </w:r>
            <w:r>
              <w:rPr>
                <w:webHidden/>
              </w:rPr>
              <w:fldChar w:fldCharType="separate"/>
            </w:r>
            <w:r>
              <w:rPr>
                <w:rStyle w:val="IndexLink"/>
                <w:vanish w:val="false"/>
              </w:rPr>
              <w:tab/>
              <w:t>24</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3">
            <w:r>
              <w:rPr>
                <w:webHidden/>
                <w:rStyle w:val="IndexLink"/>
              </w:rPr>
              <w:t>4.6</w:t>
            </w:r>
            <w:r>
              <w:rPr>
                <w:rStyle w:val="IndexLink"/>
                <w:rFonts w:eastAsia="" w:cs="" w:ascii="Calibri" w:hAnsi="Calibri" w:asciiTheme="minorHAnsi" w:cstheme="minorBidi" w:eastAsiaTheme="minorEastAsia" w:hAnsiTheme="minorHAnsi"/>
                <w:sz w:val="22"/>
                <w:szCs w:val="22"/>
                <w:lang w:eastAsia="es-CR"/>
              </w:rPr>
              <w:tab/>
            </w:r>
            <w:r>
              <w:rPr>
                <w:rStyle w:val="IndexLink"/>
              </w:rPr>
              <w:t>Factores protectores para el cáncer apendicular</w:t>
            </w:r>
            <w:r>
              <w:rPr>
                <w:webHidden/>
              </w:rPr>
              <w:fldChar w:fldCharType="begin"/>
            </w:r>
            <w:r>
              <w:rPr>
                <w:webHidden/>
              </w:rPr>
              <w:instrText xml:space="preserve">PAGEREF _Toc200580223 \h</w:instrText>
            </w:r>
            <w:r>
              <w:rPr>
                <w:webHidden/>
              </w:rPr>
              <w:fldChar w:fldCharType="separate"/>
            </w:r>
            <w:r>
              <w:rPr>
                <w:rStyle w:val="IndexLink"/>
                <w:vanish w:val="false"/>
              </w:rPr>
              <w:tab/>
              <w:t>26</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4">
            <w:r>
              <w:rPr>
                <w:webHidden/>
                <w:rStyle w:val="IndexLink"/>
              </w:rPr>
              <w:t>4.7</w:t>
            </w:r>
            <w:r>
              <w:rPr>
                <w:rStyle w:val="IndexLink"/>
                <w:rFonts w:eastAsia="" w:cs="" w:ascii="Calibri" w:hAnsi="Calibri" w:asciiTheme="minorHAnsi" w:cstheme="minorBidi" w:eastAsiaTheme="minorEastAsia" w:hAnsiTheme="minorHAnsi"/>
                <w:sz w:val="22"/>
                <w:szCs w:val="22"/>
                <w:lang w:eastAsia="es-CR"/>
              </w:rPr>
              <w:tab/>
            </w:r>
            <w:r>
              <w:rPr>
                <w:rStyle w:val="IndexLink"/>
              </w:rPr>
              <w:t>Presentación clínica del cáncer apendicular</w:t>
            </w:r>
            <w:r>
              <w:rPr>
                <w:webHidden/>
              </w:rPr>
              <w:fldChar w:fldCharType="begin"/>
            </w:r>
            <w:r>
              <w:rPr>
                <w:webHidden/>
              </w:rPr>
              <w:instrText xml:space="preserve">PAGEREF _Toc200580224 \h</w:instrText>
            </w:r>
            <w:r>
              <w:rPr>
                <w:webHidden/>
              </w:rPr>
              <w:fldChar w:fldCharType="separate"/>
            </w:r>
            <w:r>
              <w:rPr>
                <w:rStyle w:val="IndexLink"/>
                <w:vanish w:val="false"/>
              </w:rPr>
              <w:tab/>
              <w:t>27</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5">
            <w:r>
              <w:rPr>
                <w:webHidden/>
                <w:rStyle w:val="IndexLink"/>
              </w:rPr>
              <w:t>4.8</w:t>
            </w:r>
            <w:r>
              <w:rPr>
                <w:rStyle w:val="IndexLink"/>
                <w:rFonts w:eastAsia="" w:cs="" w:ascii="Calibri" w:hAnsi="Calibri" w:asciiTheme="minorHAnsi" w:cstheme="minorBidi" w:eastAsiaTheme="minorEastAsia" w:hAnsiTheme="minorHAnsi"/>
                <w:sz w:val="22"/>
                <w:szCs w:val="22"/>
                <w:lang w:eastAsia="es-CR"/>
              </w:rPr>
              <w:tab/>
            </w:r>
            <w:r>
              <w:rPr>
                <w:rStyle w:val="IndexLink"/>
              </w:rPr>
              <w:t>Modalidades diagnósticas</w:t>
            </w:r>
            <w:r>
              <w:rPr>
                <w:webHidden/>
              </w:rPr>
              <w:fldChar w:fldCharType="begin"/>
            </w:r>
            <w:r>
              <w:rPr>
                <w:webHidden/>
              </w:rPr>
              <w:instrText xml:space="preserve">PAGEREF _Toc200580225 \h</w:instrText>
            </w:r>
            <w:r>
              <w:rPr>
                <w:webHidden/>
              </w:rPr>
              <w:fldChar w:fldCharType="separate"/>
            </w:r>
            <w:r>
              <w:rPr>
                <w:rStyle w:val="IndexLink"/>
                <w:vanish w:val="false"/>
              </w:rPr>
              <w:tab/>
              <w:t>28</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6">
            <w:r>
              <w:rPr>
                <w:webHidden/>
                <w:rStyle w:val="IndexLink"/>
                <w14:scene3d>
                  <w14:camera w14:prst="orthographicFront"/>
                  <w14:lightRig w14:rig="threePt" w14:dir="t">
                    <w14:rot w14:lat="0" w14:lon="0" w14:rev="0"/>
                  </w14:lightRig>
                </w14:scene3d>
              </w:rPr>
              <w:t>4.8.1</w:t>
            </w:r>
            <w:r>
              <w:rPr>
                <w:rStyle w:val="IndexLink"/>
                <w:rFonts w:eastAsia="" w:cs="" w:ascii="Calibri" w:hAnsi="Calibri" w:asciiTheme="minorHAnsi" w:cstheme="minorBidi" w:eastAsiaTheme="minorEastAsia" w:hAnsiTheme="minorHAnsi"/>
                <w:sz w:val="22"/>
                <w:szCs w:val="22"/>
                <w:lang w:eastAsia="es-CR"/>
              </w:rPr>
              <w:tab/>
            </w:r>
            <w:r>
              <w:rPr>
                <w:rStyle w:val="IndexLink"/>
              </w:rPr>
              <w:t>Diagnóstico imagenológico</w:t>
            </w:r>
            <w:r>
              <w:rPr>
                <w:webHidden/>
              </w:rPr>
              <w:fldChar w:fldCharType="begin"/>
            </w:r>
            <w:r>
              <w:rPr>
                <w:webHidden/>
              </w:rPr>
              <w:instrText xml:space="preserve">PAGEREF _Toc200580226 \h</w:instrText>
            </w:r>
            <w:r>
              <w:rPr>
                <w:webHidden/>
              </w:rPr>
              <w:fldChar w:fldCharType="separate"/>
            </w:r>
            <w:r>
              <w:rPr>
                <w:rStyle w:val="IndexLink"/>
                <w:vanish w:val="false"/>
              </w:rPr>
              <w:tab/>
              <w:t>28</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7">
            <w:r>
              <w:rPr>
                <w:webHidden/>
                <w:rStyle w:val="IndexLink"/>
                <w14:scene3d>
                  <w14:camera w14:prst="orthographicFront"/>
                  <w14:lightRig w14:rig="threePt" w14:dir="t">
                    <w14:rot w14:lat="0" w14:lon="0" w14:rev="0"/>
                  </w14:lightRig>
                </w14:scene3d>
              </w:rPr>
              <w:t>4.8.2</w:t>
            </w:r>
            <w:r>
              <w:rPr>
                <w:rStyle w:val="IndexLink"/>
                <w:rFonts w:eastAsia="" w:cs="" w:ascii="Calibri" w:hAnsi="Calibri" w:asciiTheme="minorHAnsi" w:cstheme="minorBidi" w:eastAsiaTheme="minorEastAsia" w:hAnsiTheme="minorHAnsi"/>
                <w:sz w:val="22"/>
                <w:szCs w:val="22"/>
                <w:lang w:eastAsia="es-CR"/>
              </w:rPr>
              <w:tab/>
            </w:r>
            <w:r>
              <w:rPr>
                <w:rStyle w:val="IndexLink"/>
              </w:rPr>
              <w:t>Diagnóstico histopatológico e inmunohistomquímico</w:t>
            </w:r>
            <w:r>
              <w:rPr>
                <w:webHidden/>
              </w:rPr>
              <w:fldChar w:fldCharType="begin"/>
            </w:r>
            <w:r>
              <w:rPr>
                <w:webHidden/>
              </w:rPr>
              <w:instrText xml:space="preserve">PAGEREF _Toc200580227 \h</w:instrText>
            </w:r>
            <w:r>
              <w:rPr>
                <w:webHidden/>
              </w:rPr>
              <w:fldChar w:fldCharType="separate"/>
            </w:r>
            <w:r>
              <w:rPr>
                <w:rStyle w:val="IndexLink"/>
                <w:vanish w:val="false"/>
              </w:rPr>
              <w:tab/>
              <w:t>29</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8">
            <w:r>
              <w:rPr>
                <w:webHidden/>
                <w:rStyle w:val="IndexLink"/>
                <w14:scene3d>
                  <w14:camera w14:prst="orthographicFront"/>
                  <w14:lightRig w14:rig="threePt" w14:dir="t">
                    <w14:rot w14:lat="0" w14:lon="0" w14:rev="0"/>
                  </w14:lightRig>
                </w14:scene3d>
              </w:rPr>
              <w:t>4.8.3</w:t>
            </w:r>
            <w:r>
              <w:rPr>
                <w:rStyle w:val="IndexLink"/>
                <w:rFonts w:eastAsia="" w:cs="" w:ascii="Calibri" w:hAnsi="Calibri" w:asciiTheme="minorHAnsi" w:cstheme="minorBidi" w:eastAsiaTheme="minorEastAsia" w:hAnsiTheme="minorHAnsi"/>
                <w:sz w:val="22"/>
                <w:szCs w:val="22"/>
                <w:lang w:eastAsia="es-CR"/>
              </w:rPr>
              <w:tab/>
            </w:r>
            <w:r>
              <w:rPr>
                <w:rStyle w:val="IndexLink"/>
              </w:rPr>
              <w:t>Estadiaje del paciente con cáncer apendicular</w:t>
            </w:r>
            <w:r>
              <w:rPr>
                <w:webHidden/>
              </w:rPr>
              <w:fldChar w:fldCharType="begin"/>
            </w:r>
            <w:r>
              <w:rPr>
                <w:webHidden/>
              </w:rPr>
              <w:instrText xml:space="preserve">PAGEREF _Toc200580228 \h</w:instrText>
            </w:r>
            <w:r>
              <w:rPr>
                <w:webHidden/>
              </w:rPr>
              <w:fldChar w:fldCharType="separate"/>
            </w:r>
            <w:r>
              <w:rPr>
                <w:rStyle w:val="IndexLink"/>
                <w:vanish w:val="false"/>
              </w:rPr>
              <w:tab/>
              <w:t>30</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29">
            <w:r>
              <w:rPr>
                <w:webHidden/>
                <w:rStyle w:val="IndexLink"/>
                <w14:scene3d>
                  <w14:camera w14:prst="orthographicFront"/>
                  <w14:lightRig w14:rig="threePt" w14:dir="t">
                    <w14:rot w14:lat="0" w14:lon="0" w14:rev="0"/>
                  </w14:lightRig>
                </w14:scene3d>
              </w:rPr>
              <w:t>4.8.4</w:t>
            </w:r>
            <w:r>
              <w:rPr>
                <w:rStyle w:val="IndexLink"/>
                <w:rFonts w:eastAsia="" w:cs="" w:ascii="Calibri" w:hAnsi="Calibri" w:asciiTheme="minorHAnsi" w:cstheme="minorBidi" w:eastAsiaTheme="minorEastAsia" w:hAnsiTheme="minorHAnsi"/>
                <w:sz w:val="22"/>
                <w:szCs w:val="22"/>
                <w:lang w:eastAsia="es-CR"/>
              </w:rPr>
              <w:tab/>
            </w:r>
            <w:r>
              <w:rPr>
                <w:rStyle w:val="IndexLink"/>
              </w:rPr>
              <w:t>Patrón de diseminación del cáncer apendicular</w:t>
            </w:r>
            <w:r>
              <w:rPr>
                <w:webHidden/>
              </w:rPr>
              <w:fldChar w:fldCharType="begin"/>
            </w:r>
            <w:r>
              <w:rPr>
                <w:webHidden/>
              </w:rPr>
              <w:instrText xml:space="preserve">PAGEREF _Toc200580229 \h</w:instrText>
            </w:r>
            <w:r>
              <w:rPr>
                <w:webHidden/>
              </w:rPr>
              <w:fldChar w:fldCharType="separate"/>
            </w:r>
            <w:r>
              <w:rPr>
                <w:rStyle w:val="IndexLink"/>
                <w:vanish w:val="false"/>
              </w:rPr>
              <w:tab/>
              <w:t>36</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30">
            <w:r>
              <w:rPr>
                <w:webHidden/>
                <w:rStyle w:val="IndexLink"/>
                <w14:scene3d>
                  <w14:camera w14:prst="orthographicFront"/>
                  <w14:lightRig w14:rig="threePt" w14:dir="t">
                    <w14:rot w14:lat="0" w14:lon="0" w14:rev="0"/>
                  </w14:lightRig>
                </w14:scene3d>
              </w:rPr>
              <w:t>4.8.5</w:t>
            </w:r>
            <w:r>
              <w:rPr>
                <w:rStyle w:val="IndexLink"/>
                <w:rFonts w:eastAsia="" w:cs="" w:ascii="Calibri" w:hAnsi="Calibri" w:asciiTheme="minorHAnsi" w:cstheme="minorBidi" w:eastAsiaTheme="minorEastAsia" w:hAnsiTheme="minorHAnsi"/>
                <w:sz w:val="22"/>
                <w:szCs w:val="22"/>
                <w:lang w:eastAsia="es-CR"/>
              </w:rPr>
              <w:tab/>
            </w:r>
            <w:r>
              <w:rPr>
                <w:rStyle w:val="IndexLink"/>
              </w:rPr>
              <w:t>Determinantes pronóstico del cáncer apendicular</w:t>
            </w:r>
            <w:r>
              <w:rPr>
                <w:webHidden/>
              </w:rPr>
              <w:fldChar w:fldCharType="begin"/>
            </w:r>
            <w:r>
              <w:rPr>
                <w:webHidden/>
              </w:rPr>
              <w:instrText xml:space="preserve">PAGEREF _Toc200580230 \h</w:instrText>
            </w:r>
            <w:r>
              <w:rPr>
                <w:webHidden/>
              </w:rPr>
              <w:fldChar w:fldCharType="separate"/>
            </w:r>
            <w:r>
              <w:rPr>
                <w:rStyle w:val="IndexLink"/>
                <w:vanish w:val="false"/>
              </w:rPr>
              <w:tab/>
              <w:t>37</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32">
            <w:r>
              <w:rPr>
                <w:webHidden/>
                <w:rStyle w:val="IndexLink"/>
                <w14:scene3d>
                  <w14:camera w14:prst="orthographicFront"/>
                  <w14:lightRig w14:rig="threePt" w14:dir="t">
                    <w14:rot w14:lat="0" w14:lon="0" w14:rev="0"/>
                  </w14:lightRig>
                </w14:scene3d>
              </w:rPr>
              <w:t>4.8.6</w:t>
            </w:r>
            <w:r>
              <w:rPr>
                <w:rStyle w:val="IndexLink"/>
                <w:rFonts w:eastAsia="" w:cs="" w:ascii="Calibri" w:hAnsi="Calibri" w:asciiTheme="minorHAnsi" w:cstheme="minorBidi" w:eastAsiaTheme="minorEastAsia" w:hAnsiTheme="minorHAnsi"/>
                <w:sz w:val="22"/>
                <w:szCs w:val="22"/>
                <w:lang w:eastAsia="es-CR"/>
              </w:rPr>
              <w:tab/>
            </w:r>
            <w:r>
              <w:rPr>
                <w:rStyle w:val="IndexLink"/>
              </w:rPr>
              <w:t>Tamizaje de cáncer apendicular</w:t>
            </w:r>
            <w:r>
              <w:rPr>
                <w:webHidden/>
              </w:rPr>
              <w:fldChar w:fldCharType="begin"/>
            </w:r>
            <w:r>
              <w:rPr>
                <w:webHidden/>
              </w:rPr>
              <w:instrText xml:space="preserve">PAGEREF _Toc200580232 \h</w:instrText>
            </w:r>
            <w:r>
              <w:rPr>
                <w:webHidden/>
              </w:rPr>
              <w:fldChar w:fldCharType="separate"/>
            </w:r>
            <w:r>
              <w:rPr>
                <w:rStyle w:val="IndexLink"/>
                <w:vanish w:val="false"/>
              </w:rPr>
              <w:tab/>
              <w:t>38</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33">
            <w:r>
              <w:rPr>
                <w:webHidden/>
                <w:rStyle w:val="IndexLink"/>
              </w:rPr>
              <w:t>4.9</w:t>
            </w:r>
            <w:r>
              <w:rPr>
                <w:rStyle w:val="IndexLink"/>
                <w:rFonts w:eastAsia="" w:cs="" w:ascii="Calibri" w:hAnsi="Calibri" w:asciiTheme="minorHAnsi" w:cstheme="minorBidi" w:eastAsiaTheme="minorEastAsia" w:hAnsiTheme="minorHAnsi"/>
                <w:sz w:val="22"/>
                <w:szCs w:val="22"/>
                <w:lang w:eastAsia="es-CR"/>
              </w:rPr>
              <w:tab/>
            </w:r>
            <w:r>
              <w:rPr>
                <w:rStyle w:val="IndexLink"/>
              </w:rPr>
              <w:t>Rol de la endoscopía en el cáncer apendicular</w:t>
            </w:r>
            <w:r>
              <w:rPr>
                <w:webHidden/>
              </w:rPr>
              <w:fldChar w:fldCharType="begin"/>
            </w:r>
            <w:r>
              <w:rPr>
                <w:webHidden/>
              </w:rPr>
              <w:instrText xml:space="preserve">PAGEREF _Toc200580233 \h</w:instrText>
            </w:r>
            <w:r>
              <w:rPr>
                <w:webHidden/>
              </w:rPr>
              <w:fldChar w:fldCharType="separate"/>
            </w:r>
            <w:r>
              <w:rPr>
                <w:rStyle w:val="IndexLink"/>
                <w:vanish w:val="false"/>
              </w:rPr>
              <w:tab/>
              <w:t>39</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239">
            <w:r>
              <w:rPr>
                <w:webHidden/>
                <w:rStyle w:val="IndexLink"/>
              </w:rPr>
              <w:t>CAPÍTULO V. Manejo del cáncer apendicular</w:t>
            </w:r>
            <w:r>
              <w:rPr>
                <w:webHidden/>
              </w:rPr>
              <w:fldChar w:fldCharType="begin"/>
            </w:r>
            <w:r>
              <w:rPr>
                <w:webHidden/>
              </w:rPr>
              <w:instrText xml:space="preserve">PAGEREF _Toc200580239 \h</w:instrText>
            </w:r>
            <w:r>
              <w:rPr>
                <w:webHidden/>
              </w:rPr>
              <w:fldChar w:fldCharType="separate"/>
            </w:r>
            <w:r>
              <w:rPr>
                <w:rStyle w:val="IndexLink"/>
                <w:vanish w:val="false"/>
              </w:rPr>
              <w:tab/>
              <w:t>40</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0">
            <w:r>
              <w:rPr>
                <w:webHidden/>
                <w:rStyle w:val="IndexLink"/>
              </w:rPr>
              <w:t>5.1</w:t>
            </w:r>
            <w:r>
              <w:rPr>
                <w:rStyle w:val="IndexLink"/>
                <w:rFonts w:eastAsia="" w:cs="" w:ascii="Calibri" w:hAnsi="Calibri" w:asciiTheme="minorHAnsi" w:cstheme="minorBidi" w:eastAsiaTheme="minorEastAsia" w:hAnsiTheme="minorHAnsi"/>
                <w:sz w:val="22"/>
                <w:szCs w:val="22"/>
                <w:lang w:eastAsia="es-CR"/>
              </w:rPr>
              <w:tab/>
            </w:r>
            <w:r>
              <w:rPr>
                <w:rStyle w:val="IndexLink"/>
              </w:rPr>
              <w:t>Principios generales de manejo médico y quirúrgico</w:t>
            </w:r>
            <w:r>
              <w:rPr>
                <w:webHidden/>
              </w:rPr>
              <w:fldChar w:fldCharType="begin"/>
            </w:r>
            <w:r>
              <w:rPr>
                <w:webHidden/>
              </w:rPr>
              <w:instrText xml:space="preserve">PAGEREF _Toc200580240 \h</w:instrText>
            </w:r>
            <w:r>
              <w:rPr>
                <w:webHidden/>
              </w:rPr>
              <w:fldChar w:fldCharType="separate"/>
            </w:r>
            <w:r>
              <w:rPr>
                <w:rStyle w:val="IndexLink"/>
                <w:vanish w:val="false"/>
              </w:rPr>
              <w:tab/>
              <w:t>40</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1">
            <w:r>
              <w:rPr>
                <w:webHidden/>
                <w:rStyle w:val="IndexLink"/>
                <w14:scene3d>
                  <w14:camera w14:prst="orthographicFront"/>
                  <w14:lightRig w14:rig="threePt" w14:dir="t">
                    <w14:rot w14:lat="0" w14:lon="0" w14:rev="0"/>
                  </w14:lightRig>
                </w14:scene3d>
              </w:rPr>
              <w:t>5.1.1</w:t>
            </w:r>
            <w:r>
              <w:rPr>
                <w:rStyle w:val="IndexLink"/>
                <w:rFonts w:eastAsia="" w:cs="" w:ascii="Calibri" w:hAnsi="Calibri" w:asciiTheme="minorHAnsi" w:cstheme="minorBidi" w:eastAsiaTheme="minorEastAsia" w:hAnsiTheme="minorHAnsi"/>
                <w:sz w:val="22"/>
                <w:szCs w:val="22"/>
                <w:lang w:eastAsia="es-CR"/>
              </w:rPr>
              <w:tab/>
            </w:r>
            <w:r>
              <w:rPr>
                <w:rStyle w:val="IndexLink"/>
              </w:rPr>
              <w:t>Manejo médico: Quimioterapia neoadyuvante y adyuvante</w:t>
            </w:r>
            <w:r>
              <w:rPr>
                <w:webHidden/>
              </w:rPr>
              <w:fldChar w:fldCharType="begin"/>
            </w:r>
            <w:r>
              <w:rPr>
                <w:webHidden/>
              </w:rPr>
              <w:instrText xml:space="preserve">PAGEREF _Toc200580241 \h</w:instrText>
            </w:r>
            <w:r>
              <w:rPr>
                <w:webHidden/>
              </w:rPr>
              <w:fldChar w:fldCharType="separate"/>
            </w:r>
            <w:r>
              <w:rPr>
                <w:rStyle w:val="IndexLink"/>
                <w:vanish w:val="false"/>
              </w:rPr>
              <w:tab/>
              <w:t>40</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2">
            <w:r>
              <w:rPr>
                <w:webHidden/>
                <w:rStyle w:val="IndexLink"/>
                <w14:scene3d>
                  <w14:camera w14:prst="orthographicFront"/>
                  <w14:lightRig w14:rig="threePt" w14:dir="t">
                    <w14:rot w14:lat="0" w14:lon="0" w14:rev="0"/>
                  </w14:lightRig>
                </w14:scene3d>
              </w:rPr>
              <w:t>5.1.2</w:t>
            </w:r>
            <w:r>
              <w:rPr>
                <w:rStyle w:val="IndexLink"/>
                <w:rFonts w:eastAsia="" w:cs="" w:ascii="Calibri" w:hAnsi="Calibri" w:asciiTheme="minorHAnsi" w:cstheme="minorBidi" w:eastAsiaTheme="minorEastAsia" w:hAnsiTheme="minorHAnsi"/>
                <w:sz w:val="22"/>
                <w:szCs w:val="22"/>
                <w:lang w:eastAsia="es-CR"/>
              </w:rPr>
              <w:tab/>
            </w:r>
            <w:r>
              <w:rPr>
                <w:rStyle w:val="IndexLink"/>
              </w:rPr>
              <w:t>Quimioterapia neoadyuvante</w:t>
            </w:r>
            <w:r>
              <w:rPr>
                <w:webHidden/>
              </w:rPr>
              <w:fldChar w:fldCharType="begin"/>
            </w:r>
            <w:r>
              <w:rPr>
                <w:webHidden/>
              </w:rPr>
              <w:instrText xml:space="preserve">PAGEREF _Toc200580242 \h</w:instrText>
            </w:r>
            <w:r>
              <w:rPr>
                <w:webHidden/>
              </w:rPr>
              <w:fldChar w:fldCharType="separate"/>
            </w:r>
            <w:r>
              <w:rPr>
                <w:rStyle w:val="IndexLink"/>
                <w:vanish w:val="false"/>
              </w:rPr>
              <w:tab/>
              <w:t>40</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3">
            <w:r>
              <w:rPr>
                <w:webHidden/>
                <w:rStyle w:val="IndexLink"/>
                <w14:scene3d>
                  <w14:camera w14:prst="orthographicFront"/>
                  <w14:lightRig w14:rig="threePt" w14:dir="t">
                    <w14:rot w14:lat="0" w14:lon="0" w14:rev="0"/>
                  </w14:lightRig>
                </w14:scene3d>
              </w:rPr>
              <w:t>5.1.3</w:t>
            </w:r>
            <w:r>
              <w:rPr>
                <w:rStyle w:val="IndexLink"/>
                <w:rFonts w:eastAsia="" w:cs="" w:ascii="Calibri" w:hAnsi="Calibri" w:asciiTheme="minorHAnsi" w:cstheme="minorBidi" w:eastAsiaTheme="minorEastAsia" w:hAnsiTheme="minorHAnsi"/>
                <w:sz w:val="22"/>
                <w:szCs w:val="22"/>
                <w:lang w:eastAsia="es-CR"/>
              </w:rPr>
              <w:tab/>
            </w:r>
            <w:r>
              <w:rPr>
                <w:rStyle w:val="IndexLink"/>
              </w:rPr>
              <w:t>Quimioterapia adyuvante</w:t>
            </w:r>
            <w:r>
              <w:rPr>
                <w:webHidden/>
              </w:rPr>
              <w:fldChar w:fldCharType="begin"/>
            </w:r>
            <w:r>
              <w:rPr>
                <w:webHidden/>
              </w:rPr>
              <w:instrText xml:space="preserve">PAGEREF _Toc200580243 \h</w:instrText>
            </w:r>
            <w:r>
              <w:rPr>
                <w:webHidden/>
              </w:rPr>
              <w:fldChar w:fldCharType="separate"/>
            </w:r>
            <w:r>
              <w:rPr>
                <w:rStyle w:val="IndexLink"/>
                <w:vanish w:val="false"/>
              </w:rPr>
              <w:tab/>
              <w:t>41</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4">
            <w:r>
              <w:rPr>
                <w:webHidden/>
                <w:rStyle w:val="IndexLink"/>
                <w14:scene3d>
                  <w14:camera w14:prst="orthographicFront"/>
                  <w14:lightRig w14:rig="threePt" w14:dir="t">
                    <w14:rot w14:lat="0" w14:lon="0" w14:rev="0"/>
                  </w14:lightRig>
                </w14:scene3d>
              </w:rPr>
              <w:t>5.1.4</w:t>
            </w:r>
            <w:r>
              <w:rPr>
                <w:rStyle w:val="IndexLink"/>
                <w:rFonts w:eastAsia="" w:cs="" w:ascii="Calibri" w:hAnsi="Calibri" w:asciiTheme="minorHAnsi" w:cstheme="minorBidi" w:eastAsiaTheme="minorEastAsia" w:hAnsiTheme="minorHAnsi"/>
                <w:sz w:val="22"/>
                <w:szCs w:val="22"/>
                <w:lang w:eastAsia="es-CR"/>
              </w:rPr>
              <w:tab/>
            </w:r>
            <w:r>
              <w:rPr>
                <w:rStyle w:val="IndexLink"/>
              </w:rPr>
              <w:t>Manejo quirúrgico</w:t>
            </w:r>
            <w:r>
              <w:rPr>
                <w:webHidden/>
              </w:rPr>
              <w:fldChar w:fldCharType="begin"/>
            </w:r>
            <w:r>
              <w:rPr>
                <w:webHidden/>
              </w:rPr>
              <w:instrText xml:space="preserve">PAGEREF _Toc200580244 \h</w:instrText>
            </w:r>
            <w:r>
              <w:rPr>
                <w:webHidden/>
              </w:rPr>
              <w:fldChar w:fldCharType="separate"/>
            </w:r>
            <w:r>
              <w:rPr>
                <w:rStyle w:val="IndexLink"/>
                <w:vanish w:val="false"/>
              </w:rPr>
              <w:tab/>
              <w:t>42</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5">
            <w:r>
              <w:rPr>
                <w:webHidden/>
                <w:rStyle w:val="IndexLink"/>
              </w:rPr>
              <w:t>5.2</w:t>
            </w:r>
            <w:r>
              <w:rPr>
                <w:rStyle w:val="IndexLink"/>
                <w:rFonts w:eastAsia="" w:cs="" w:ascii="Calibri" w:hAnsi="Calibri" w:asciiTheme="minorHAnsi" w:cstheme="minorBidi" w:eastAsiaTheme="minorEastAsia" w:hAnsiTheme="minorHAnsi"/>
                <w:sz w:val="22"/>
                <w:szCs w:val="22"/>
                <w:lang w:eastAsia="es-CR"/>
              </w:rPr>
              <w:tab/>
            </w:r>
            <w:r>
              <w:rPr>
                <w:rStyle w:val="IndexLink"/>
              </w:rPr>
              <w:t>Seguimiento del cáncer apendicular</w:t>
            </w:r>
            <w:r>
              <w:rPr>
                <w:webHidden/>
              </w:rPr>
              <w:fldChar w:fldCharType="begin"/>
            </w:r>
            <w:r>
              <w:rPr>
                <w:webHidden/>
              </w:rPr>
              <w:instrText xml:space="preserve">PAGEREF _Toc200580245 \h</w:instrText>
            </w:r>
            <w:r>
              <w:rPr>
                <w:webHidden/>
              </w:rPr>
              <w:fldChar w:fldCharType="separate"/>
            </w:r>
            <w:r>
              <w:rPr>
                <w:rStyle w:val="IndexLink"/>
                <w:vanish w:val="false"/>
              </w:rPr>
              <w:tab/>
              <w:t>56</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6">
            <w:r>
              <w:rPr>
                <w:webHidden/>
                <w:rStyle w:val="IndexLink"/>
                <w14:scene3d>
                  <w14:camera w14:prst="orthographicFront"/>
                  <w14:lightRig w14:rig="threePt" w14:dir="t">
                    <w14:rot w14:lat="0" w14:lon="0" w14:rev="0"/>
                  </w14:lightRig>
                </w14:scene3d>
              </w:rPr>
              <w:t>5.2.1</w:t>
            </w:r>
            <w:r>
              <w:rPr>
                <w:rStyle w:val="IndexLink"/>
                <w:rFonts w:eastAsia="" w:cs="" w:ascii="Calibri" w:hAnsi="Calibri" w:asciiTheme="minorHAnsi" w:cstheme="minorBidi" w:eastAsiaTheme="minorEastAsia" w:hAnsiTheme="minorHAnsi"/>
                <w:sz w:val="22"/>
                <w:szCs w:val="22"/>
                <w:lang w:eastAsia="es-CR"/>
              </w:rPr>
              <w:tab/>
            </w:r>
            <w:r>
              <w:rPr>
                <w:rStyle w:val="IndexLink"/>
              </w:rPr>
              <w:t>Frecuencia y duración del seguimiento</w:t>
            </w:r>
            <w:r>
              <w:rPr>
                <w:webHidden/>
              </w:rPr>
              <w:fldChar w:fldCharType="begin"/>
            </w:r>
            <w:r>
              <w:rPr>
                <w:webHidden/>
              </w:rPr>
              <w:instrText xml:space="preserve">PAGEREF _Toc200580246 \h</w:instrText>
            </w:r>
            <w:r>
              <w:rPr>
                <w:webHidden/>
              </w:rPr>
              <w:fldChar w:fldCharType="separate"/>
            </w:r>
            <w:r>
              <w:rPr>
                <w:rStyle w:val="IndexLink"/>
                <w:vanish w:val="false"/>
              </w:rPr>
              <w:tab/>
              <w:t>56</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47">
            <w:r>
              <w:rPr>
                <w:webHidden/>
                <w:rStyle w:val="IndexLink"/>
                <w:lang w:val="es-ES" w:eastAsia="es-ES"/>
              </w:rPr>
              <w:t>5.3</w:t>
            </w:r>
            <w:r>
              <w:rPr>
                <w:rStyle w:val="IndexLink"/>
                <w:rFonts w:eastAsia="" w:cs="" w:ascii="Calibri" w:hAnsi="Calibri" w:asciiTheme="minorHAnsi" w:cstheme="minorBidi" w:eastAsiaTheme="minorEastAsia" w:hAnsiTheme="minorHAnsi"/>
                <w:sz w:val="22"/>
                <w:szCs w:val="22"/>
                <w:lang w:eastAsia="es-CR"/>
              </w:rPr>
              <w:tab/>
            </w:r>
            <w:r>
              <w:rPr>
                <w:rStyle w:val="IndexLink"/>
                <w:lang w:val="es-ES" w:eastAsia="es-ES"/>
              </w:rPr>
              <w:t>Manejo Paliativo</w:t>
            </w:r>
            <w:r>
              <w:rPr>
                <w:webHidden/>
              </w:rPr>
              <w:fldChar w:fldCharType="begin"/>
            </w:r>
            <w:r>
              <w:rPr>
                <w:webHidden/>
              </w:rPr>
              <w:instrText xml:space="preserve">PAGEREF _Toc200580247 \h</w:instrText>
            </w:r>
            <w:r>
              <w:rPr>
                <w:webHidden/>
              </w:rPr>
              <w:fldChar w:fldCharType="separate"/>
            </w:r>
            <w:r>
              <w:rPr>
                <w:rStyle w:val="IndexLink"/>
                <w:vanish w:val="false"/>
              </w:rPr>
              <w:tab/>
              <w:t>58</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272">
            <w:r>
              <w:rPr>
                <w:webHidden/>
                <w:rStyle w:val="IndexLink"/>
              </w:rPr>
              <w:t>CAPÍTULO VI. Epidemiología del cáncer apendicular en Costa Rica</w:t>
            </w:r>
            <w:r>
              <w:rPr>
                <w:webHidden/>
              </w:rPr>
              <w:fldChar w:fldCharType="begin"/>
            </w:r>
            <w:r>
              <w:rPr>
                <w:webHidden/>
              </w:rPr>
              <w:instrText xml:space="preserve">PAGEREF _Toc200580272 \h</w:instrText>
            </w:r>
            <w:r>
              <w:rPr>
                <w:webHidden/>
              </w:rPr>
              <w:fldChar w:fldCharType="separate"/>
            </w:r>
            <w:r>
              <w:rPr>
                <w:rStyle w:val="IndexLink"/>
                <w:vanish w:val="false"/>
              </w:rPr>
              <w:tab/>
              <w:t>59</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73">
            <w:r>
              <w:rPr>
                <w:webHidden/>
                <w:rStyle w:val="IndexLink"/>
              </w:rPr>
              <w:t>6.1</w:t>
            </w:r>
            <w:r>
              <w:rPr>
                <w:rStyle w:val="IndexLink"/>
                <w:rFonts w:eastAsia="" w:cs="" w:ascii="Calibri" w:hAnsi="Calibri" w:asciiTheme="minorHAnsi" w:cstheme="minorBidi" w:eastAsiaTheme="minorEastAsia" w:hAnsiTheme="minorHAnsi"/>
                <w:sz w:val="22"/>
                <w:szCs w:val="22"/>
                <w:lang w:eastAsia="es-CR"/>
              </w:rPr>
              <w:tab/>
            </w:r>
            <w:r>
              <w:rPr>
                <w:rStyle w:val="IndexLink"/>
              </w:rPr>
              <w:t>Incidencia y tendencias del cáncer apendicular en Costa Rica (2000–2022)</w:t>
            </w:r>
            <w:r>
              <w:rPr>
                <w:webHidden/>
              </w:rPr>
              <w:fldChar w:fldCharType="begin"/>
            </w:r>
            <w:r>
              <w:rPr>
                <w:webHidden/>
              </w:rPr>
              <w:instrText xml:space="preserve">PAGEREF _Toc200580273 \h</w:instrText>
            </w:r>
            <w:r>
              <w:rPr>
                <w:webHidden/>
              </w:rPr>
              <w:fldChar w:fldCharType="separate"/>
            </w:r>
            <w:r>
              <w:rPr>
                <w:rStyle w:val="IndexLink"/>
                <w:vanish w:val="false"/>
              </w:rPr>
              <w:tab/>
              <w:t>59</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74">
            <w:r>
              <w:rPr>
                <w:webHidden/>
                <w:rStyle w:val="IndexLink"/>
                <w14:scene3d>
                  <w14:camera w14:prst="orthographicFront"/>
                  <w14:lightRig w14:rig="threePt" w14:dir="t">
                    <w14:rot w14:lat="0" w14:lon="0" w14:rev="0"/>
                  </w14:lightRig>
                </w14:scene3d>
              </w:rPr>
              <w:t>6.1.1</w:t>
            </w:r>
            <w:r>
              <w:rPr>
                <w:rStyle w:val="IndexLink"/>
                <w:rFonts w:eastAsia="" w:cs="" w:ascii="Calibri" w:hAnsi="Calibri" w:asciiTheme="minorHAnsi" w:cstheme="minorBidi" w:eastAsiaTheme="minorEastAsia" w:hAnsiTheme="minorHAnsi"/>
                <w:sz w:val="22"/>
                <w:szCs w:val="22"/>
                <w:lang w:eastAsia="es-CR"/>
              </w:rPr>
              <w:tab/>
            </w:r>
            <w:r>
              <w:rPr>
                <w:rStyle w:val="IndexLink"/>
              </w:rPr>
              <w:t>Tendencias temporales generales</w:t>
            </w:r>
            <w:r>
              <w:rPr>
                <w:webHidden/>
              </w:rPr>
              <w:fldChar w:fldCharType="begin"/>
            </w:r>
            <w:r>
              <w:rPr>
                <w:webHidden/>
              </w:rPr>
              <w:instrText xml:space="preserve">PAGEREF _Toc200580274 \h</w:instrText>
            </w:r>
            <w:r>
              <w:rPr>
                <w:webHidden/>
              </w:rPr>
              <w:fldChar w:fldCharType="separate"/>
            </w:r>
            <w:r>
              <w:rPr>
                <w:rStyle w:val="IndexLink"/>
                <w:vanish w:val="false"/>
              </w:rPr>
              <w:tab/>
              <w:t>59</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75">
            <w:r>
              <w:rPr>
                <w:webHidden/>
                <w:rStyle w:val="IndexLink"/>
                <w14:scene3d>
                  <w14:camera w14:prst="orthographicFront"/>
                  <w14:lightRig w14:rig="threePt" w14:dir="t">
                    <w14:rot w14:lat="0" w14:lon="0" w14:rev="0"/>
                  </w14:lightRig>
                </w14:scene3d>
              </w:rPr>
              <w:t>6.1.2</w:t>
            </w:r>
            <w:r>
              <w:rPr>
                <w:rStyle w:val="IndexLink"/>
                <w:rFonts w:eastAsia="" w:cs="" w:ascii="Calibri" w:hAnsi="Calibri" w:asciiTheme="minorHAnsi" w:cstheme="minorBidi" w:eastAsiaTheme="minorEastAsia" w:hAnsiTheme="minorHAnsi"/>
                <w:sz w:val="22"/>
                <w:szCs w:val="22"/>
                <w:lang w:eastAsia="es-CR"/>
              </w:rPr>
              <w:tab/>
            </w:r>
            <w:r>
              <w:rPr>
                <w:rStyle w:val="IndexLink"/>
              </w:rPr>
              <w:t>Comparación por sexo</w:t>
            </w:r>
            <w:r>
              <w:rPr>
                <w:webHidden/>
              </w:rPr>
              <w:fldChar w:fldCharType="begin"/>
            </w:r>
            <w:r>
              <w:rPr>
                <w:webHidden/>
              </w:rPr>
              <w:instrText xml:space="preserve">PAGEREF _Toc200580275 \h</w:instrText>
            </w:r>
            <w:r>
              <w:rPr>
                <w:webHidden/>
              </w:rPr>
              <w:fldChar w:fldCharType="separate"/>
            </w:r>
            <w:r>
              <w:rPr>
                <w:rStyle w:val="IndexLink"/>
                <w:vanish w:val="false"/>
              </w:rPr>
              <w:tab/>
              <w:t>63</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76">
            <w:r>
              <w:rPr>
                <w:webHidden/>
                <w:rStyle w:val="IndexLink"/>
                <w14:scene3d>
                  <w14:camera w14:prst="orthographicFront"/>
                  <w14:lightRig w14:rig="threePt" w14:dir="t">
                    <w14:rot w14:lat="0" w14:lon="0" w14:rev="0"/>
                  </w14:lightRig>
                </w14:scene3d>
              </w:rPr>
              <w:t>6.1.3</w:t>
            </w:r>
            <w:r>
              <w:rPr>
                <w:rStyle w:val="IndexLink"/>
                <w:rFonts w:eastAsia="" w:cs="" w:ascii="Calibri" w:hAnsi="Calibri" w:asciiTheme="minorHAnsi" w:cstheme="minorBidi" w:eastAsiaTheme="minorEastAsia" w:hAnsiTheme="minorHAnsi"/>
                <w:sz w:val="22"/>
                <w:szCs w:val="22"/>
                <w:lang w:eastAsia="es-CR"/>
              </w:rPr>
              <w:tab/>
            </w:r>
            <w:r>
              <w:rPr>
                <w:rStyle w:val="IndexLink"/>
              </w:rPr>
              <w:t>Distribución por subtipo histológico</w:t>
            </w:r>
            <w:r>
              <w:rPr>
                <w:webHidden/>
              </w:rPr>
              <w:fldChar w:fldCharType="begin"/>
            </w:r>
            <w:r>
              <w:rPr>
                <w:webHidden/>
              </w:rPr>
              <w:instrText xml:space="preserve">PAGEREF _Toc200580276 \h</w:instrText>
            </w:r>
            <w:r>
              <w:rPr>
                <w:webHidden/>
              </w:rPr>
              <w:fldChar w:fldCharType="separate"/>
            </w:r>
            <w:r>
              <w:rPr>
                <w:rStyle w:val="IndexLink"/>
                <w:vanish w:val="false"/>
              </w:rPr>
              <w:tab/>
              <w:t>64</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78">
            <w:r>
              <w:rPr>
                <w:webHidden/>
                <w:rStyle w:val="IndexLink"/>
              </w:rPr>
              <w:t>6.2</w:t>
            </w:r>
            <w:r>
              <w:rPr>
                <w:rStyle w:val="IndexLink"/>
                <w:rFonts w:eastAsia="" w:cs="" w:ascii="Calibri" w:hAnsi="Calibri" w:asciiTheme="minorHAnsi" w:cstheme="minorBidi" w:eastAsiaTheme="minorEastAsia" w:hAnsiTheme="minorHAnsi"/>
                <w:sz w:val="22"/>
                <w:szCs w:val="22"/>
                <w:lang w:eastAsia="es-CR"/>
              </w:rPr>
              <w:tab/>
            </w:r>
            <w:r>
              <w:rPr>
                <w:rStyle w:val="IndexLink"/>
              </w:rPr>
              <w:t>Análisis crítico de los hallazgos epidemiológicos nacionales</w:t>
            </w:r>
            <w:r>
              <w:rPr>
                <w:webHidden/>
              </w:rPr>
              <w:fldChar w:fldCharType="begin"/>
            </w:r>
            <w:r>
              <w:rPr>
                <w:webHidden/>
              </w:rPr>
              <w:instrText xml:space="preserve">PAGEREF _Toc200580278 \h</w:instrText>
            </w:r>
            <w:r>
              <w:rPr>
                <w:webHidden/>
              </w:rPr>
              <w:fldChar w:fldCharType="separate"/>
            </w:r>
            <w:r>
              <w:rPr>
                <w:rStyle w:val="IndexLink"/>
                <w:vanish w:val="false"/>
              </w:rPr>
              <w:tab/>
              <w:t>67</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82">
            <w:r>
              <w:rPr>
                <w:webHidden/>
                <w:rStyle w:val="IndexLink"/>
                <w14:scene3d>
                  <w14:camera w14:prst="orthographicFront"/>
                  <w14:lightRig w14:rig="threePt" w14:dir="t">
                    <w14:rot w14:lat="0" w14:lon="0" w14:rev="0"/>
                  </w14:lightRig>
                </w14:scene3d>
              </w:rPr>
              <w:t>6.2.1</w:t>
            </w:r>
            <w:r>
              <w:rPr>
                <w:rStyle w:val="IndexLink"/>
                <w:rFonts w:eastAsia="" w:cs="" w:ascii="Calibri" w:hAnsi="Calibri" w:asciiTheme="minorHAnsi" w:cstheme="minorBidi" w:eastAsiaTheme="minorEastAsia" w:hAnsiTheme="minorHAnsi"/>
                <w:sz w:val="22"/>
                <w:szCs w:val="22"/>
                <w:lang w:eastAsia="es-CR"/>
              </w:rPr>
              <w:tab/>
            </w:r>
            <w:r>
              <w:rPr>
                <w:rStyle w:val="IndexLink"/>
              </w:rPr>
              <w:t>Tendencia creciente y mejora diagnóstica</w:t>
            </w:r>
            <w:r>
              <w:rPr>
                <w:webHidden/>
              </w:rPr>
              <w:fldChar w:fldCharType="begin"/>
            </w:r>
            <w:r>
              <w:rPr>
                <w:webHidden/>
              </w:rPr>
              <w:instrText xml:space="preserve">PAGEREF _Toc200580282 \h</w:instrText>
            </w:r>
            <w:r>
              <w:rPr>
                <w:webHidden/>
              </w:rPr>
              <w:fldChar w:fldCharType="separate"/>
            </w:r>
            <w:r>
              <w:rPr>
                <w:rStyle w:val="IndexLink"/>
                <w:vanish w:val="false"/>
              </w:rPr>
              <w:tab/>
              <w:t>68</w:t>
            </w:r>
            <w:r>
              <w:rPr>
                <w:webHidden/>
              </w:rPr>
              <w:fldChar w:fldCharType="end"/>
            </w:r>
          </w:hyperlink>
        </w:p>
        <w:p>
          <w:pPr>
            <w:pStyle w:val="TOC3"/>
            <w:tabs>
              <w:tab w:val="clear" w:pos="708"/>
              <w:tab w:val="left" w:pos="120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283">
            <w:r>
              <w:rPr>
                <w:webHidden/>
                <w:rStyle w:val="IndexLink"/>
                <w14:scene3d>
                  <w14:camera w14:prst="orthographicFront"/>
                  <w14:lightRig w14:rig="threePt" w14:dir="t">
                    <w14:rot w14:lat="0" w14:lon="0" w14:rev="0"/>
                  </w14:lightRig>
                </w14:scene3d>
              </w:rPr>
              <w:t>6.2.2</w:t>
            </w:r>
            <w:r>
              <w:rPr>
                <w:rStyle w:val="IndexLink"/>
                <w:rFonts w:eastAsia="" w:cs="" w:ascii="Calibri" w:hAnsi="Calibri" w:asciiTheme="minorHAnsi" w:cstheme="minorBidi" w:eastAsiaTheme="minorEastAsia" w:hAnsiTheme="minorHAnsi"/>
                <w:sz w:val="22"/>
                <w:szCs w:val="22"/>
                <w:lang w:eastAsia="es-CR"/>
              </w:rPr>
              <w:tab/>
            </w:r>
            <w:r>
              <w:rPr>
                <w:rStyle w:val="IndexLink"/>
              </w:rPr>
              <w:t>Necesidad de fortalecimiento del RNT</w:t>
            </w:r>
            <w:r>
              <w:rPr>
                <w:webHidden/>
              </w:rPr>
              <w:fldChar w:fldCharType="begin"/>
            </w:r>
            <w:r>
              <w:rPr>
                <w:webHidden/>
              </w:rPr>
              <w:instrText xml:space="preserve">PAGEREF _Toc200580283 \h</w:instrText>
            </w:r>
            <w:r>
              <w:rPr>
                <w:webHidden/>
              </w:rPr>
              <w:fldChar w:fldCharType="separate"/>
            </w:r>
            <w:r>
              <w:rPr>
                <w:rStyle w:val="IndexLink"/>
                <w:vanish w:val="false"/>
              </w:rPr>
              <w:tab/>
              <w:t>69</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321">
            <w:r>
              <w:rPr>
                <w:webHidden/>
                <w:rStyle w:val="IndexLink"/>
              </w:rPr>
              <w:t>CAPÍTULO VII. Evaluación del abordaje diagnóstico y terapéutico en la CCSS</w:t>
            </w:r>
            <w:r>
              <w:rPr>
                <w:webHidden/>
              </w:rPr>
              <w:fldChar w:fldCharType="begin"/>
            </w:r>
            <w:r>
              <w:rPr>
                <w:webHidden/>
              </w:rPr>
              <w:instrText xml:space="preserve">PAGEREF _Toc200580321 \h</w:instrText>
            </w:r>
            <w:r>
              <w:rPr>
                <w:webHidden/>
              </w:rPr>
              <w:fldChar w:fldCharType="separate"/>
            </w:r>
            <w:r>
              <w:rPr>
                <w:rStyle w:val="IndexLink"/>
                <w:vanish w:val="false"/>
              </w:rPr>
              <w:tab/>
              <w:t>70</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322">
            <w:r>
              <w:rPr>
                <w:webHidden/>
                <w:rStyle w:val="IndexLink"/>
              </w:rPr>
              <w:t>7.1</w:t>
            </w:r>
            <w:r>
              <w:rPr>
                <w:rStyle w:val="IndexLink"/>
                <w:rFonts w:eastAsia="" w:cs="" w:ascii="Calibri" w:hAnsi="Calibri" w:asciiTheme="minorHAnsi" w:cstheme="minorBidi" w:eastAsiaTheme="minorEastAsia" w:hAnsiTheme="minorHAnsi"/>
                <w:sz w:val="22"/>
                <w:szCs w:val="22"/>
                <w:lang w:eastAsia="es-CR"/>
              </w:rPr>
              <w:tab/>
            </w:r>
            <w:r>
              <w:rPr>
                <w:rStyle w:val="IndexLink"/>
              </w:rPr>
              <w:t>Evaluación inicial</w:t>
            </w:r>
            <w:r>
              <w:rPr>
                <w:webHidden/>
              </w:rPr>
              <w:fldChar w:fldCharType="begin"/>
            </w:r>
            <w:r>
              <w:rPr>
                <w:webHidden/>
              </w:rPr>
              <w:instrText xml:space="preserve">PAGEREF _Toc200580322 \h</w:instrText>
            </w:r>
            <w:r>
              <w:rPr>
                <w:webHidden/>
              </w:rPr>
              <w:fldChar w:fldCharType="separate"/>
            </w:r>
            <w:r>
              <w:rPr>
                <w:rStyle w:val="IndexLink"/>
                <w:vanish w:val="false"/>
              </w:rPr>
              <w:tab/>
              <w:t>70</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323">
            <w:r>
              <w:rPr>
                <w:webHidden/>
                <w:rStyle w:val="IndexLink"/>
              </w:rPr>
              <w:t>7.2</w:t>
            </w:r>
            <w:r>
              <w:rPr>
                <w:rStyle w:val="IndexLink"/>
                <w:rFonts w:eastAsia="" w:cs="" w:ascii="Calibri" w:hAnsi="Calibri" w:asciiTheme="minorHAnsi" w:cstheme="minorBidi" w:eastAsiaTheme="minorEastAsia" w:hAnsiTheme="minorHAnsi"/>
                <w:sz w:val="22"/>
                <w:szCs w:val="22"/>
                <w:lang w:eastAsia="es-CR"/>
              </w:rPr>
              <w:tab/>
            </w:r>
            <w:r>
              <w:rPr>
                <w:rStyle w:val="IndexLink"/>
              </w:rPr>
              <w:t>Resultados</w:t>
            </w:r>
            <w:r>
              <w:rPr>
                <w:webHidden/>
              </w:rPr>
              <w:fldChar w:fldCharType="begin"/>
            </w:r>
            <w:r>
              <w:rPr>
                <w:webHidden/>
              </w:rPr>
              <w:instrText xml:space="preserve">PAGEREF _Toc200580323 \h</w:instrText>
            </w:r>
            <w:r>
              <w:rPr>
                <w:webHidden/>
              </w:rPr>
              <w:fldChar w:fldCharType="separate"/>
            </w:r>
            <w:r>
              <w:rPr>
                <w:rStyle w:val="IndexLink"/>
                <w:vanish w:val="false"/>
              </w:rPr>
              <w:tab/>
              <w:t>78</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325">
            <w:r>
              <w:rPr>
                <w:webHidden/>
                <w:rStyle w:val="IndexLink"/>
              </w:rPr>
              <w:t>7.3</w:t>
            </w:r>
            <w:r>
              <w:rPr>
                <w:rStyle w:val="IndexLink"/>
                <w:rFonts w:eastAsia="" w:cs="" w:ascii="Calibri" w:hAnsi="Calibri" w:asciiTheme="minorHAnsi" w:cstheme="minorBidi" w:eastAsiaTheme="minorEastAsia" w:hAnsiTheme="minorHAnsi"/>
                <w:sz w:val="22"/>
                <w:szCs w:val="22"/>
                <w:lang w:eastAsia="es-CR"/>
              </w:rPr>
              <w:tab/>
            </w:r>
            <w:r>
              <w:rPr>
                <w:rStyle w:val="IndexLink"/>
              </w:rPr>
              <w:t>Análisis de la encuesta realizada</w:t>
            </w:r>
            <w:r>
              <w:rPr>
                <w:webHidden/>
              </w:rPr>
              <w:fldChar w:fldCharType="begin"/>
            </w:r>
            <w:r>
              <w:rPr>
                <w:webHidden/>
              </w:rPr>
              <w:instrText xml:space="preserve">PAGEREF _Toc200580325 \h</w:instrText>
            </w:r>
            <w:r>
              <w:rPr>
                <w:webHidden/>
              </w:rPr>
              <w:fldChar w:fldCharType="separate"/>
            </w:r>
            <w:r>
              <w:rPr>
                <w:rStyle w:val="IndexLink"/>
                <w:vanish w:val="false"/>
              </w:rPr>
              <w:tab/>
              <w:t>79</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326">
            <w:r>
              <w:rPr>
                <w:webHidden/>
                <w:rStyle w:val="IndexLink"/>
              </w:rPr>
              <w:t>CAPÍTULO VIII. Conclusiones</w:t>
            </w:r>
            <w:r>
              <w:rPr>
                <w:webHidden/>
              </w:rPr>
              <w:fldChar w:fldCharType="begin"/>
            </w:r>
            <w:r>
              <w:rPr>
                <w:webHidden/>
              </w:rPr>
              <w:instrText xml:space="preserve">PAGEREF _Toc200580326 \h</w:instrText>
            </w:r>
            <w:r>
              <w:rPr>
                <w:webHidden/>
              </w:rPr>
              <w:fldChar w:fldCharType="separate"/>
            </w:r>
            <w:r>
              <w:rPr>
                <w:rStyle w:val="IndexLink"/>
                <w:vanish w:val="false"/>
              </w:rPr>
              <w:tab/>
              <w:t>82</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327">
            <w:r>
              <w:rPr>
                <w:webHidden/>
                <w:rStyle w:val="IndexLink"/>
              </w:rPr>
              <w:t>8.1</w:t>
            </w:r>
            <w:r>
              <w:rPr>
                <w:rStyle w:val="IndexLink"/>
                <w:rFonts w:eastAsia="" w:cs="" w:ascii="Calibri" w:hAnsi="Calibri" w:asciiTheme="minorHAnsi" w:cstheme="minorBidi" w:eastAsiaTheme="minorEastAsia" w:hAnsiTheme="minorHAnsi"/>
                <w:sz w:val="22"/>
                <w:szCs w:val="22"/>
                <w:lang w:eastAsia="es-CR"/>
              </w:rPr>
              <w:tab/>
            </w:r>
            <w:r>
              <w:rPr>
                <w:rStyle w:val="IndexLink"/>
              </w:rPr>
              <w:t>Conclusión general</w:t>
            </w:r>
            <w:r>
              <w:rPr>
                <w:webHidden/>
              </w:rPr>
              <w:fldChar w:fldCharType="begin"/>
            </w:r>
            <w:r>
              <w:rPr>
                <w:webHidden/>
              </w:rPr>
              <w:instrText xml:space="preserve">PAGEREF _Toc200580327 \h</w:instrText>
            </w:r>
            <w:r>
              <w:rPr>
                <w:webHidden/>
              </w:rPr>
              <w:fldChar w:fldCharType="separate"/>
            </w:r>
            <w:r>
              <w:rPr>
                <w:rStyle w:val="IndexLink"/>
                <w:vanish w:val="false"/>
              </w:rPr>
              <w:tab/>
              <w:t>82</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330">
            <w:r>
              <w:rPr>
                <w:webHidden/>
                <w:rStyle w:val="IndexLink"/>
              </w:rPr>
              <w:t>8.2</w:t>
            </w:r>
            <w:r>
              <w:rPr>
                <w:rStyle w:val="IndexLink"/>
                <w:rFonts w:eastAsia="" w:cs="" w:ascii="Calibri" w:hAnsi="Calibri" w:asciiTheme="minorHAnsi" w:cstheme="minorBidi" w:eastAsiaTheme="minorEastAsia" w:hAnsiTheme="minorHAnsi"/>
                <w:sz w:val="22"/>
                <w:szCs w:val="22"/>
                <w:lang w:eastAsia="es-CR"/>
              </w:rPr>
              <w:tab/>
            </w:r>
            <w:r>
              <w:rPr>
                <w:rStyle w:val="IndexLink"/>
              </w:rPr>
              <w:t>Conclusiones específicas</w:t>
            </w:r>
            <w:r>
              <w:rPr>
                <w:webHidden/>
              </w:rPr>
              <w:fldChar w:fldCharType="begin"/>
            </w:r>
            <w:r>
              <w:rPr>
                <w:webHidden/>
              </w:rPr>
              <w:instrText xml:space="preserve">PAGEREF _Toc200580330 \h</w:instrText>
            </w:r>
            <w:r>
              <w:rPr>
                <w:webHidden/>
              </w:rPr>
              <w:fldChar w:fldCharType="separate"/>
            </w:r>
            <w:r>
              <w:rPr>
                <w:rStyle w:val="IndexLink"/>
                <w:vanish w:val="false"/>
              </w:rPr>
              <w:tab/>
              <w:t>82</w:t>
            </w:r>
            <w:r>
              <w:rPr>
                <w:webHidden/>
              </w:rPr>
              <w:fldChar w:fldCharType="end"/>
            </w:r>
          </w:hyperlink>
        </w:p>
        <w:p>
          <w:pPr>
            <w:pStyle w:val="TOC2"/>
            <w:tabs>
              <w:tab w:val="clear" w:pos="708"/>
              <w:tab w:val="left" w:pos="960" w:leader="none"/>
              <w:tab w:val="right" w:pos="8827" w:leader="dot"/>
            </w:tabs>
            <w:rPr>
              <w:rFonts w:ascii="Calibri" w:hAnsi="Calibri" w:eastAsia="" w:cs="" w:asciiTheme="minorHAnsi" w:cstheme="minorBidi" w:eastAsiaTheme="minorEastAsia" w:hAnsiTheme="minorHAnsi"/>
              <w:sz w:val="22"/>
              <w:szCs w:val="22"/>
              <w:lang w:eastAsia="es-CR"/>
            </w:rPr>
          </w:pPr>
          <w:hyperlink w:anchor="_Toc200580336">
            <w:r>
              <w:rPr>
                <w:webHidden/>
                <w:rStyle w:val="IndexLink"/>
              </w:rPr>
              <w:t>8.3</w:t>
            </w:r>
            <w:r>
              <w:rPr>
                <w:rStyle w:val="IndexLink"/>
                <w:rFonts w:eastAsia="" w:cs="" w:ascii="Calibri" w:hAnsi="Calibri" w:asciiTheme="minorHAnsi" w:cstheme="minorBidi" w:eastAsiaTheme="minorEastAsia" w:hAnsiTheme="minorHAnsi"/>
                <w:sz w:val="22"/>
                <w:szCs w:val="22"/>
                <w:lang w:eastAsia="es-CR"/>
              </w:rPr>
              <w:tab/>
            </w:r>
            <w:r>
              <w:rPr>
                <w:rStyle w:val="IndexLink"/>
              </w:rPr>
              <w:t>Recomendaciones finales</w:t>
            </w:r>
            <w:r>
              <w:rPr>
                <w:webHidden/>
              </w:rPr>
              <w:fldChar w:fldCharType="begin"/>
            </w:r>
            <w:r>
              <w:rPr>
                <w:webHidden/>
              </w:rPr>
              <w:instrText xml:space="preserve">PAGEREF _Toc200580336 \h</w:instrText>
            </w:r>
            <w:r>
              <w:rPr>
                <w:webHidden/>
              </w:rPr>
              <w:fldChar w:fldCharType="separate"/>
            </w:r>
            <w:r>
              <w:rPr>
                <w:rStyle w:val="IndexLink"/>
                <w:vanish w:val="false"/>
              </w:rPr>
              <w:tab/>
              <w:t>83</w:t>
            </w:r>
            <w:r>
              <w:rPr>
                <w:webHidden/>
              </w:rPr>
              <w:fldChar w:fldCharType="end"/>
            </w:r>
          </w:hyperlink>
        </w:p>
        <w:p>
          <w:pPr>
            <w:pStyle w:val="TOC1"/>
            <w:tabs>
              <w:tab w:val="clear" w:pos="708"/>
              <w:tab w:val="right" w:pos="8827" w:leader="dot"/>
            </w:tabs>
            <w:rPr>
              <w:rFonts w:ascii="Calibri" w:hAnsi="Calibri" w:eastAsia="" w:cs="" w:asciiTheme="minorHAnsi" w:cstheme="minorBidi" w:eastAsiaTheme="minorEastAsia" w:hAnsiTheme="minorHAnsi"/>
              <w:sz w:val="22"/>
              <w:szCs w:val="22"/>
              <w:lang w:eastAsia="es-CR"/>
            </w:rPr>
          </w:pPr>
          <w:hyperlink w:anchor="_Toc200580363">
            <w:r>
              <w:rPr>
                <w:webHidden/>
                <w:rStyle w:val="IndexLink"/>
              </w:rPr>
              <w:t>CAPÍTULO IX. Bibliografía</w:t>
            </w:r>
            <w:r>
              <w:rPr>
                <w:webHidden/>
              </w:rPr>
              <w:fldChar w:fldCharType="begin"/>
            </w:r>
            <w:r>
              <w:rPr>
                <w:webHidden/>
              </w:rPr>
              <w:instrText xml:space="preserve">PAGEREF _Toc200580363 \h</w:instrText>
            </w:r>
            <w:r>
              <w:rPr>
                <w:webHidden/>
              </w:rPr>
              <w:fldChar w:fldCharType="separate"/>
            </w:r>
            <w:r>
              <w:rPr>
                <w:rStyle w:val="IndexLink"/>
                <w:vanish w:val="false"/>
              </w:rPr>
              <w:tab/>
              <w:t>85</w:t>
            </w:r>
            <w:r>
              <w:rPr>
                <w:webHidden/>
              </w:rPr>
              <w:fldChar w:fldCharType="end"/>
            </w:r>
          </w:hyperlink>
          <w:r>
            <w:rPr>
              <w:rStyle w:val="IndexLink"/>
              <w:vanish w:val="false"/>
            </w:rPr>
            <w:fldChar w:fldCharType="end"/>
          </w:r>
        </w:p>
      </w:sdtContent>
    </w:sdt>
    <w:p>
      <w:pPr>
        <w:pStyle w:val="Normal"/>
        <w:widowControl/>
        <w:bidi w:val="0"/>
        <w:spacing w:lineRule="auto" w:line="240" w:before="0" w:after="0"/>
        <w:jc w:val="left"/>
        <w:rPr>
          <w:rFonts w:ascii="Times New Roman" w:hAnsi="Times New Roman" w:eastAsia="Times New Roman" w:cs="Times New Roman"/>
          <w:sz w:val="24"/>
          <w:szCs w:val="24"/>
          <w:lang w:eastAsia="es-ES_tradnl"/>
        </w:rPr>
      </w:pPr>
      <w:r>
        <w:rPr>
          <w:rFonts w:eastAsia="Times New Roman" w:cs="Times New Roman"/>
          <w:sz w:val="24"/>
          <w:szCs w:val="24"/>
          <w:lang w:eastAsia="es-ES_tradnl"/>
        </w:rPr>
      </w:r>
    </w:p>
    <w:p>
      <w:pPr>
        <w:pStyle w:val="Heading1"/>
        <w:numPr>
          <w:ilvl w:val="0"/>
          <w:numId w:val="0"/>
        </w:numPr>
        <w:ind w:hanging="0" w:left="0"/>
        <w:rPr/>
      </w:pPr>
      <w:bookmarkStart w:id="7" w:name="_Toc200580194"/>
      <w:r>
        <w:rPr/>
        <w:t>RESUMEN EJECUTIVO</w:t>
      </w:r>
      <w:bookmarkEnd w:id="7"/>
    </w:p>
    <w:p>
      <w:pPr>
        <w:pStyle w:val="p3"/>
        <w:spacing w:lineRule="auto" w:line="360" w:before="280" w:after="280"/>
        <w:jc w:val="both"/>
        <w:rPr/>
      </w:pPr>
      <w:bookmarkStart w:id="8" w:name="OLE_LINK2"/>
      <w:r>
        <w:rPr>
          <w:b/>
          <w:bCs/>
        </w:rPr>
        <w:t xml:space="preserve">Introducción: </w:t>
      </w:r>
      <w:r>
        <w:rPr/>
        <w:t>El cáncer apendicular es una neoplasia poco frecuente del tracto gastrointestinal, cuya incidencia ha ido en aumento en las últimas décadas, atribuible a mejoras en las técnicas diagnósticas y a un mayor escrutinio histopatológico. A pesar de su rareza, presenta una notable heterogeneidad histológica y clínica que exige un abordaje diagnóstico y terapéutico especializado. En Costa Rica, la información disponible sobre esta entidad es limitada y existe incertidumbre respecto a la adecuación del manejo institucional frente a los estándares internacionales.</w:t>
      </w:r>
    </w:p>
    <w:p>
      <w:pPr>
        <w:pStyle w:val="p3"/>
        <w:spacing w:lineRule="auto" w:line="360" w:before="280" w:after="280"/>
        <w:jc w:val="both"/>
        <w:rPr/>
      </w:pPr>
      <w:r>
        <w:rPr>
          <w:b/>
          <w:bCs/>
        </w:rPr>
        <w:t xml:space="preserve">Métodos: </w:t>
      </w:r>
      <w:r>
        <w:rPr/>
        <w:t>Se realizó una investigación con tres ejes metodológicos: (1) una revisión bibliográfica estructurada de literatura científica internacional en PubMed (2020–2024), centrada en el abordaje diagnóstico y terapéutico del cáncer apendicular; (2) un análisis epidemiológico nacional basado en datos oficiales del Registro Nacional de Tumores (RNT) del Ministerio de Salud para el periodo 2000–2022; y (3) un estudio observacional descriptivo transversal mediante una encuesta estructurada aplicada a 165 cirujanos generales y oncólogos quirúrgicos afiliados a la Asociación Costarricense de Cirugía.</w:t>
      </w:r>
    </w:p>
    <w:p>
      <w:pPr>
        <w:pStyle w:val="p3"/>
        <w:spacing w:lineRule="auto" w:line="360" w:before="280" w:after="280"/>
        <w:jc w:val="both"/>
        <w:rPr/>
      </w:pPr>
      <w:r>
        <w:rPr>
          <w:b/>
          <w:bCs/>
        </w:rPr>
        <w:t xml:space="preserve">Resultados: </w:t>
      </w:r>
      <w:r>
        <w:rPr/>
        <w:t>La revisión bibliográfica evidenció avances significativos en la clasificación, estadiaje y tratamiento del cáncer apendicular, destacando especialmente el uso de cirugía citorreductora e HIPEC en estadios avanzados. El análisis epidemiológico en Costa Rica mostró una incidencia de 3.61 casos por cada 100.000 habitantes, con una alta proporción de casos mal clasificados bajo la categoría “neoplasia maligna sin especificar”. La encuesta reveló una importante variabilidad en la conducta diagnóstica y terapéutica institucional, con limitada disponibilidad y experiencia en técnicas como HIPEC, y ausencia de protocolos formalizados en la mayoría de los centros.</w:t>
      </w:r>
    </w:p>
    <w:p>
      <w:pPr>
        <w:pStyle w:val="p3"/>
        <w:spacing w:lineRule="auto" w:line="360" w:before="280" w:after="280"/>
        <w:jc w:val="both"/>
        <w:rPr/>
      </w:pPr>
      <w:r>
        <w:rPr>
          <w:b/>
          <w:bCs/>
        </w:rPr>
        <w:t xml:space="preserve">Conclusiones: </w:t>
      </w:r>
      <w:r>
        <w:rPr/>
        <w:t>El abordaje del cáncer apendicular en Costa Rica enfrenta múltiples retos relacionados con el subregistro, la heterogeneidad en la atención y la ausencia de lineamientos específicos. Se evidencia la necesidad urgente de establecer protocolos nacionales estandarizados, fortalecer la capacitación del personal médico y promover una mejor codificación y vigilancia epidemiológica. Este estudio sienta las bases para futuras estrategias orientadas a mejorar la atención de esta neoplasia poco frecuente pero clínicamente relevante.</w:t>
      </w:r>
    </w:p>
    <w:p>
      <w:pPr>
        <w:pStyle w:val="p4"/>
        <w:spacing w:lineRule="auto" w:line="360" w:before="280" w:after="280"/>
        <w:jc w:val="both"/>
        <w:rPr/>
      </w:pPr>
      <w:r>
        <w:rPr>
          <w:rStyle w:val="s2"/>
          <w:b/>
          <w:bCs/>
        </w:rPr>
        <w:t>Palabras clave:</w:t>
      </w:r>
      <w:r>
        <w:rPr/>
        <w:t xml:space="preserve"> cáncer apendicular, neoplasias mucinosas, epidemiología, Costa Rica, cirugía citorreductora, HIPEC, CCSS, Registro Nacional de Tumores.</w:t>
      </w:r>
      <w:bookmarkEnd w:id="8"/>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rPr/>
      </w:pPr>
      <w:r>
        <w:rPr/>
      </w:r>
    </w:p>
    <w:p>
      <w:pPr>
        <w:pStyle w:val="Heading1"/>
        <w:numPr>
          <w:ilvl w:val="0"/>
          <w:numId w:val="0"/>
        </w:numPr>
        <w:ind w:hanging="0" w:left="0"/>
        <w:rPr>
          <w:lang w:val="en-US"/>
        </w:rPr>
      </w:pPr>
      <w:bookmarkStart w:id="9" w:name="_Toc199584552"/>
      <w:bookmarkStart w:id="10" w:name="_Toc200580195"/>
      <w:r>
        <w:rPr>
          <w:lang w:val="en-US"/>
        </w:rPr>
        <w:t>ABSTRACT</w:t>
      </w:r>
      <w:bookmarkEnd w:id="9"/>
      <w:bookmarkEnd w:id="10"/>
      <w:r>
        <w:rPr>
          <w:lang w:val="en-US"/>
        </w:rPr>
        <w:t xml:space="preserve"> </w:t>
      </w:r>
    </w:p>
    <w:p>
      <w:pPr>
        <w:pStyle w:val="p1"/>
        <w:spacing w:lineRule="auto" w:line="360" w:before="280" w:after="280"/>
        <w:jc w:val="both"/>
        <w:rPr>
          <w:lang w:val="en-US"/>
        </w:rPr>
      </w:pPr>
      <w:r>
        <w:rPr>
          <w:b/>
          <w:bCs/>
          <w:lang w:val="en-US"/>
        </w:rPr>
        <w:t xml:space="preserve">Introduction: </w:t>
      </w:r>
      <w:r>
        <w:rPr>
          <w:lang w:val="en-US"/>
        </w:rPr>
        <w:t>Appendiceal cancer is a rare neoplasm of the gastrointestinal tract, with an increasing reported incidence in recent decades, largely due to improved diagnostic imaging and more rigorous histopathological examination. Despite its low frequency, it exhibits considerable histological and clinical heterogeneity, demanding a specialized diagnostic and therapeutic approach. In Costa Rica, data on this disease are limited, and the adequacy of current institutional management relative to international standards remains uncertain.</w:t>
      </w:r>
    </w:p>
    <w:p>
      <w:pPr>
        <w:pStyle w:val="p1"/>
        <w:spacing w:lineRule="auto" w:line="360" w:before="280" w:after="280"/>
        <w:jc w:val="both"/>
        <w:rPr>
          <w:lang w:val="en-US"/>
        </w:rPr>
      </w:pPr>
      <w:r>
        <w:rPr>
          <w:b/>
          <w:bCs/>
          <w:lang w:val="en-US"/>
        </w:rPr>
        <w:t xml:space="preserve">Methods: </w:t>
      </w:r>
      <w:r>
        <w:rPr>
          <w:lang w:val="en-US"/>
        </w:rPr>
        <w:t>This study was structured around three main methodological components: (1) a structured literature review using PubMed (2020–2024), focused on diagnostic and therapeutic strategies for appendiceal cancer; (2) an epidemiological analysis of national data from the Costa Rican National Tumor Registry (2000–2022); and (3) a descriptive cross-sectional observational study based on a structured survey administered to 165 general and surgical oncologists affiliated with the Costa Rican Association of Surgery.</w:t>
      </w:r>
    </w:p>
    <w:p>
      <w:pPr>
        <w:pStyle w:val="p1"/>
        <w:spacing w:lineRule="auto" w:line="360" w:before="280" w:after="280"/>
        <w:jc w:val="both"/>
        <w:rPr>
          <w:lang w:val="en-US"/>
        </w:rPr>
      </w:pPr>
      <w:r>
        <w:rPr>
          <w:b/>
          <w:bCs/>
          <w:lang w:val="en-US"/>
        </w:rPr>
        <w:t xml:space="preserve">Results: </w:t>
      </w:r>
      <w:r>
        <w:rPr>
          <w:lang w:val="en-US"/>
        </w:rPr>
        <w:t>The literature review revealed significant advances in the classification, staging, and treatment of appendiceal cancer, particularly regarding cytoreductive surgery combined with hyperthermic intraperitoneal chemotherapy (HIPEC) for advanced disease. National epidemiological data demonstrated a high incidence (3.16 per 100,000 inhabitants), with a high proportion of poorly classified cases under “malignant neoplasm, not otherwise specified.” The survey highlighted substantial variability in diagnostic and therapeutic practices across institutions, limited availability and experience with HIPEC, and a widespread lack of formal clinical protocols.</w:t>
      </w:r>
    </w:p>
    <w:p>
      <w:pPr>
        <w:pStyle w:val="p1"/>
        <w:spacing w:lineRule="auto" w:line="360" w:before="280" w:after="280"/>
        <w:jc w:val="both"/>
        <w:rPr>
          <w:lang w:val="en-US"/>
        </w:rPr>
      </w:pPr>
      <w:r>
        <w:rPr>
          <w:b/>
          <w:bCs/>
          <w:lang w:val="en-US"/>
        </w:rPr>
        <w:t xml:space="preserve">Conclusions: </w:t>
      </w:r>
      <w:r>
        <w:rPr>
          <w:lang w:val="en-US"/>
        </w:rPr>
        <w:t>The management of appendiceal cancer in Costa Rica faces multiple challenges, including underreporting, inconsistency in clinical approaches, and absence of national guidelines. There is a clear need to develop standardized institutional protocols, improve medical training, and enhance tumor classification and surveillance systems. This study provides a foundational framework for future strategies aimed at improving care for this rare but clinically significant malignancy.</w:t>
      </w:r>
    </w:p>
    <w:p>
      <w:pPr>
        <w:pStyle w:val="p2"/>
        <w:spacing w:lineRule="auto" w:line="360" w:before="280" w:after="280"/>
        <w:jc w:val="both"/>
        <w:rPr>
          <w:lang w:val="en-US"/>
        </w:rPr>
      </w:pPr>
      <w:r>
        <w:rPr>
          <w:rStyle w:val="s1"/>
          <w:b/>
          <w:bCs/>
          <w:lang w:val="en-US"/>
        </w:rPr>
        <w:t>Keywords:</w:t>
      </w:r>
      <w:r>
        <w:rPr>
          <w:lang w:val="en-US"/>
        </w:rPr>
        <w:t xml:space="preserve"> appendiceal cancer, mucinous neoplasms, epidemiology, Costa Rica, cytoreductive surgery, HIPEC, CCSS, National Tumor Registry.</w:t>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jc w:val="center"/>
        <w:rPr>
          <w:b/>
          <w:lang w:val="en-US"/>
        </w:rPr>
      </w:pPr>
      <w:r>
        <w:rPr>
          <w:b/>
          <w:lang w:val="en-US"/>
        </w:rPr>
      </w:r>
    </w:p>
    <w:p>
      <w:pPr>
        <w:pStyle w:val="Normal"/>
        <w:rPr>
          <w:b/>
          <w:lang w:val="en-US"/>
        </w:rPr>
      </w:pPr>
      <w:r>
        <w:rPr>
          <w:b/>
          <w:lang w:val="en-US"/>
        </w:rPr>
      </w:r>
    </w:p>
    <w:p>
      <w:pPr>
        <w:pStyle w:val="NoSpacing"/>
        <w:rPr>
          <w:lang w:val="en-US"/>
        </w:rPr>
      </w:pPr>
      <w:r>
        <w:rPr>
          <w:lang w:val="en-US"/>
        </w:rPr>
      </w:r>
    </w:p>
    <w:p>
      <w:pPr>
        <w:pStyle w:val="Normal"/>
        <w:jc w:val="center"/>
        <w:rPr>
          <w:lang w:val="en-US"/>
        </w:rPr>
      </w:pPr>
      <w:r>
        <w:rPr>
          <w:lang w:val="en-US"/>
        </w:rPr>
      </w:r>
    </w:p>
    <w:p>
      <w:pPr>
        <w:pStyle w:val="Normal"/>
        <w:rPr>
          <w:lang w:val="en-US"/>
        </w:rPr>
      </w:pPr>
      <w:r>
        <w:rPr>
          <w:lang w:val="en-US"/>
        </w:rPr>
      </w:r>
    </w:p>
    <w:p>
      <w:pPr>
        <w:pStyle w:val="Normal"/>
        <w:spacing w:lineRule="auto" w:line="276" w:before="0" w:after="200"/>
        <w:rPr>
          <w:rFonts w:eastAsia="" w:cs="" w:cstheme="majorBidi" w:eastAsiaTheme="majorEastAsia"/>
          <w:b/>
          <w:bCs/>
          <w:szCs w:val="28"/>
          <w:lang w:val="en-US"/>
        </w:rPr>
      </w:pPr>
      <w:r>
        <w:rPr>
          <w:rFonts w:eastAsia="" w:cs="" w:cstheme="majorBidi" w:eastAsiaTheme="majorEastAsia"/>
          <w:b/>
          <w:bCs/>
          <w:szCs w:val="28"/>
          <w:lang w:val="en-US"/>
        </w:rPr>
      </w:r>
      <w:r>
        <w:br w:type="page"/>
      </w:r>
    </w:p>
    <w:p>
      <w:pPr>
        <w:pStyle w:val="Heading1"/>
        <w:numPr>
          <w:ilvl w:val="0"/>
          <w:numId w:val="0"/>
        </w:numPr>
        <w:spacing w:before="0" w:after="0"/>
        <w:ind w:hanging="0" w:left="0"/>
        <w:rPr/>
      </w:pPr>
      <w:bookmarkStart w:id="11" w:name="_Toc199584554"/>
      <w:bookmarkStart w:id="12" w:name="_Toc200580196"/>
      <w:r>
        <w:rPr/>
        <w:t>LISTA DE TABLAS</w:t>
      </w:r>
      <w:bookmarkEnd w:id="11"/>
      <w:bookmarkEnd w:id="12"/>
    </w:p>
    <w:p>
      <w:pPr>
        <w:pStyle w:val="Normal"/>
        <w:rPr>
          <w:b/>
        </w:rPr>
      </w:pPr>
      <w:r>
        <w:rPr>
          <w:b/>
        </w:rPr>
      </w:r>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r>
        <w:fldChar w:fldCharType="begin"/>
      </w:r>
      <w:r>
        <w:rPr>
          <w:rStyle w:val="IndexLink"/>
          <w:b/>
          <w:bCs/>
        </w:rPr>
        <w:instrText xml:space="preserve"> TOC \c "Tabla" \h </w:instrText>
      </w:r>
      <w:r>
        <w:rPr>
          <w:rStyle w:val="IndexLink"/>
          <w:b/>
          <w:bCs/>
        </w:rPr>
        <w:fldChar w:fldCharType="separate"/>
      </w:r>
      <w:hyperlink w:anchor="_Toc199964147">
        <w:r>
          <w:rPr>
            <w:rStyle w:val="IndexLink"/>
            <w:b/>
            <w:bCs/>
          </w:rPr>
          <w:t>Tabla 1.</w:t>
        </w:r>
        <w:r>
          <w:rPr>
            <w:rStyle w:val="IndexLink"/>
          </w:rPr>
          <w:t xml:space="preserve"> Las principales características histológicas del LAMN</w:t>
        </w:r>
        <w:r>
          <w:rPr>
            <w:webHidden/>
          </w:rPr>
          <w:fldChar w:fldCharType="begin"/>
        </w:r>
        <w:r>
          <w:rPr>
            <w:webHidden/>
          </w:rPr>
          <w:instrText xml:space="preserve">PAGEREF _Toc199964147 \h</w:instrText>
        </w:r>
        <w:r>
          <w:rPr>
            <w:webHidden/>
          </w:rPr>
          <w:fldChar w:fldCharType="separate"/>
        </w:r>
        <w:r>
          <w:rPr>
            <w:rStyle w:val="IndexLink"/>
            <w:vanish w:val="false"/>
          </w:rPr>
          <w:tab/>
          <w:t>20</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48">
        <w:r>
          <w:rPr>
            <w:rStyle w:val="IndexLink"/>
            <w:b/>
            <w:bCs/>
          </w:rPr>
          <w:t>Tabla 2.</w:t>
        </w:r>
        <w:r>
          <w:rPr>
            <w:rStyle w:val="IndexLink"/>
          </w:rPr>
          <w:t xml:space="preserve"> Características citológicas de alto grado del HAMN</w:t>
        </w:r>
        <w:r>
          <w:rPr>
            <w:webHidden/>
          </w:rPr>
          <w:fldChar w:fldCharType="begin"/>
        </w:r>
        <w:r>
          <w:rPr>
            <w:webHidden/>
          </w:rPr>
          <w:instrText xml:space="preserve">PAGEREF _Toc199964148 \h</w:instrText>
        </w:r>
        <w:r>
          <w:rPr>
            <w:webHidden/>
          </w:rPr>
          <w:fldChar w:fldCharType="separate"/>
        </w:r>
        <w:r>
          <w:rPr>
            <w:rStyle w:val="IndexLink"/>
            <w:vanish w:val="false"/>
          </w:rPr>
          <w:tab/>
          <w:t>21</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49">
        <w:r>
          <w:rPr>
            <w:rStyle w:val="IndexLink"/>
            <w:b/>
            <w:bCs/>
          </w:rPr>
          <w:t xml:space="preserve">Tabla 3. </w:t>
        </w:r>
        <w:r>
          <w:rPr>
            <w:rStyle w:val="IndexLink"/>
          </w:rPr>
          <w:t>Características histológicas del PMP</w:t>
        </w:r>
        <w:r>
          <w:rPr>
            <w:webHidden/>
          </w:rPr>
          <w:fldChar w:fldCharType="begin"/>
        </w:r>
        <w:r>
          <w:rPr>
            <w:webHidden/>
          </w:rPr>
          <w:instrText xml:space="preserve">PAGEREF _Toc199964149 \h</w:instrText>
        </w:r>
        <w:r>
          <w:rPr>
            <w:webHidden/>
          </w:rPr>
          <w:fldChar w:fldCharType="separate"/>
        </w:r>
        <w:r>
          <w:rPr>
            <w:rStyle w:val="IndexLink"/>
            <w:vanish w:val="false"/>
          </w:rPr>
          <w:tab/>
          <w:t>22</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0">
        <w:r>
          <w:rPr>
            <w:rStyle w:val="IndexLink"/>
            <w:b/>
            <w:bCs/>
          </w:rPr>
          <w:t xml:space="preserve">Tabla 4. </w:t>
        </w:r>
        <w:r>
          <w:rPr>
            <w:rStyle w:val="IndexLink"/>
          </w:rPr>
          <w:t>Factores pronóstico relevantes en el PMP</w:t>
        </w:r>
        <w:r>
          <w:rPr>
            <w:webHidden/>
          </w:rPr>
          <w:fldChar w:fldCharType="begin"/>
        </w:r>
        <w:r>
          <w:rPr>
            <w:webHidden/>
          </w:rPr>
          <w:instrText xml:space="preserve">PAGEREF _Toc199964150 \h</w:instrText>
        </w:r>
        <w:r>
          <w:rPr>
            <w:webHidden/>
          </w:rPr>
          <w:fldChar w:fldCharType="separate"/>
        </w:r>
        <w:r>
          <w:rPr>
            <w:rStyle w:val="IndexLink"/>
            <w:vanish w:val="false"/>
          </w:rPr>
          <w:tab/>
          <w:t>22</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1">
        <w:r>
          <w:rPr>
            <w:rStyle w:val="IndexLink"/>
            <w:b/>
            <w:bCs/>
          </w:rPr>
          <w:t xml:space="preserve">Tabla 5. </w:t>
        </w:r>
        <w:r>
          <w:rPr>
            <w:rStyle w:val="IndexLink"/>
          </w:rPr>
          <w:t>Características histológicas del cáncer de células caliciformes</w:t>
        </w:r>
        <w:r>
          <w:rPr>
            <w:webHidden/>
          </w:rPr>
          <w:fldChar w:fldCharType="begin"/>
        </w:r>
        <w:r>
          <w:rPr>
            <w:webHidden/>
          </w:rPr>
          <w:instrText xml:space="preserve">PAGEREF _Toc199964151 \h</w:instrText>
        </w:r>
        <w:r>
          <w:rPr>
            <w:webHidden/>
          </w:rPr>
          <w:fldChar w:fldCharType="separate"/>
        </w:r>
        <w:r>
          <w:rPr>
            <w:rStyle w:val="IndexLink"/>
            <w:vanish w:val="false"/>
          </w:rPr>
          <w:tab/>
          <w:t>23</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2">
        <w:r>
          <w:rPr>
            <w:rStyle w:val="IndexLink"/>
            <w:b/>
            <w:bCs/>
          </w:rPr>
          <w:t xml:space="preserve">Tabla 6. </w:t>
        </w:r>
        <w:r>
          <w:rPr>
            <w:rStyle w:val="IndexLink"/>
          </w:rPr>
          <w:t>Hallazgos radiológicos sugestivos de malignidad apendicular</w:t>
        </w:r>
        <w:r>
          <w:rPr>
            <w:webHidden/>
          </w:rPr>
          <w:fldChar w:fldCharType="begin"/>
        </w:r>
        <w:r>
          <w:rPr>
            <w:webHidden/>
          </w:rPr>
          <w:instrText xml:space="preserve">PAGEREF _Toc199964152 \h</w:instrText>
        </w:r>
        <w:r>
          <w:rPr>
            <w:webHidden/>
          </w:rPr>
          <w:fldChar w:fldCharType="separate"/>
        </w:r>
        <w:r>
          <w:rPr>
            <w:rStyle w:val="IndexLink"/>
            <w:vanish w:val="false"/>
          </w:rPr>
          <w:tab/>
          <w:t>29</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3">
        <w:r>
          <w:rPr>
            <w:rStyle w:val="IndexLink"/>
            <w:b/>
            <w:bCs/>
          </w:rPr>
          <w:t xml:space="preserve">Tabla 7. </w:t>
        </w:r>
        <w:r>
          <w:rPr>
            <w:rStyle w:val="IndexLink"/>
          </w:rPr>
          <w:t>Criterios TNM para neoplasias epiteliales apendiculares</w:t>
        </w:r>
        <w:r>
          <w:rPr>
            <w:webHidden/>
          </w:rPr>
          <w:fldChar w:fldCharType="begin"/>
        </w:r>
        <w:r>
          <w:rPr>
            <w:webHidden/>
          </w:rPr>
          <w:instrText xml:space="preserve">PAGEREF _Toc199964153 \h</w:instrText>
        </w:r>
        <w:r>
          <w:rPr>
            <w:webHidden/>
          </w:rPr>
          <w:fldChar w:fldCharType="separate"/>
        </w:r>
        <w:r>
          <w:rPr>
            <w:rStyle w:val="IndexLink"/>
            <w:vanish w:val="false"/>
          </w:rPr>
          <w:tab/>
          <w:t>31</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4">
        <w:r>
          <w:rPr>
            <w:rStyle w:val="IndexLink"/>
          </w:rPr>
          <w:t>Tabla 8. Criterios TNM para neoplasias epiteliales apendiculares</w:t>
        </w:r>
        <w:r>
          <w:rPr>
            <w:webHidden/>
          </w:rPr>
          <w:fldChar w:fldCharType="begin"/>
        </w:r>
        <w:r>
          <w:rPr>
            <w:webHidden/>
          </w:rPr>
          <w:instrText xml:space="preserve">PAGEREF _Toc199964154 \h</w:instrText>
        </w:r>
        <w:r>
          <w:rPr>
            <w:webHidden/>
          </w:rPr>
          <w:fldChar w:fldCharType="separate"/>
        </w:r>
        <w:r>
          <w:rPr>
            <w:rStyle w:val="IndexLink"/>
            <w:vanish w:val="false"/>
          </w:rPr>
          <w:tab/>
          <w:t>36</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5">
        <w:r>
          <w:rPr>
            <w:rStyle w:val="IndexLink"/>
            <w:b/>
            <w:bCs/>
          </w:rPr>
          <w:t xml:space="preserve">Tabla 9. </w:t>
        </w:r>
        <w:r>
          <w:rPr>
            <w:rStyle w:val="IndexLink"/>
          </w:rPr>
          <w:t>Clasificación del tipo de citorreducción</w:t>
        </w:r>
        <w:r>
          <w:rPr>
            <w:webHidden/>
          </w:rPr>
          <w:fldChar w:fldCharType="begin"/>
        </w:r>
        <w:r>
          <w:rPr>
            <w:webHidden/>
          </w:rPr>
          <w:instrText xml:space="preserve">PAGEREF _Toc199964155 \h</w:instrText>
        </w:r>
        <w:r>
          <w:rPr>
            <w:webHidden/>
          </w:rPr>
          <w:fldChar w:fldCharType="separate"/>
        </w:r>
        <w:r>
          <w:rPr>
            <w:rStyle w:val="IndexLink"/>
            <w:vanish w:val="false"/>
          </w:rPr>
          <w:tab/>
          <w:t>50</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6">
        <w:r>
          <w:rPr>
            <w:rStyle w:val="IndexLink"/>
            <w:b/>
            <w:bCs/>
          </w:rPr>
          <w:t xml:space="preserve">Tabla 10. </w:t>
        </w:r>
        <w:r>
          <w:rPr>
            <w:rStyle w:val="IndexLink"/>
          </w:rPr>
          <w:t>Tipo de diagnóstico PreQuirúrgico</w:t>
        </w:r>
        <w:r>
          <w:rPr>
            <w:webHidden/>
          </w:rPr>
          <w:fldChar w:fldCharType="begin"/>
        </w:r>
        <w:r>
          <w:rPr>
            <w:webHidden/>
          </w:rPr>
          <w:instrText xml:space="preserve">PAGEREF _Toc199964156 \h</w:instrText>
        </w:r>
        <w:r>
          <w:rPr>
            <w:webHidden/>
          </w:rPr>
          <w:fldChar w:fldCharType="separate"/>
        </w:r>
        <w:r>
          <w:rPr>
            <w:rStyle w:val="IndexLink"/>
            <w:vanish w:val="false"/>
          </w:rPr>
          <w:tab/>
          <w:t>73</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7">
        <w:r>
          <w:rPr>
            <w:rStyle w:val="IndexLink"/>
            <w:b/>
            <w:bCs/>
          </w:rPr>
          <w:t xml:space="preserve">Tabla 11. </w:t>
        </w:r>
        <w:r>
          <w:rPr>
            <w:rStyle w:val="IndexLink"/>
          </w:rPr>
          <w:t>Estrategia quirúrgica empleada</w:t>
        </w:r>
        <w:r>
          <w:rPr>
            <w:webHidden/>
          </w:rPr>
          <w:fldChar w:fldCharType="begin"/>
        </w:r>
        <w:r>
          <w:rPr>
            <w:webHidden/>
          </w:rPr>
          <w:instrText xml:space="preserve">PAGEREF _Toc199964157 \h</w:instrText>
        </w:r>
        <w:r>
          <w:rPr>
            <w:webHidden/>
          </w:rPr>
          <w:fldChar w:fldCharType="separate"/>
        </w:r>
        <w:r>
          <w:rPr>
            <w:rStyle w:val="IndexLink"/>
            <w:vanish w:val="false"/>
          </w:rPr>
          <w:tab/>
          <w:t>74</w:t>
        </w:r>
        <w:r>
          <w:rPr>
            <w:webHidden/>
          </w:rPr>
          <w:fldChar w:fldCharType="end"/>
        </w:r>
      </w:hyperlink>
    </w:p>
    <w:p>
      <w:pPr>
        <w:pStyle w:val="TableofFigures"/>
        <w:tabs>
          <w:tab w:val="clear" w:pos="708"/>
          <w:tab w:val="right" w:pos="8827" w:leader="dot"/>
        </w:tabs>
        <w:rPr>
          <w:rFonts w:ascii="Calibri" w:hAnsi="Calibri" w:eastAsia="" w:cs="" w:asciiTheme="minorHAnsi" w:cstheme="minorBidi" w:eastAsiaTheme="minorEastAsia" w:hAnsiTheme="minorHAnsi"/>
          <w:kern w:val="2"/>
          <w14:ligatures w14:val="standardContextual"/>
        </w:rPr>
      </w:pPr>
      <w:hyperlink w:anchor="_Toc199964158">
        <w:r>
          <w:rPr>
            <w:rStyle w:val="IndexLink"/>
            <w:b/>
            <w:bCs/>
          </w:rPr>
          <w:t xml:space="preserve">Tabla 12. </w:t>
        </w:r>
        <w:r>
          <w:rPr>
            <w:rStyle w:val="IndexLink"/>
          </w:rPr>
          <w:t>Conocimiento de la Técnica HIPEC</w:t>
        </w:r>
        <w:r>
          <w:rPr>
            <w:webHidden/>
          </w:rPr>
          <w:fldChar w:fldCharType="begin"/>
        </w:r>
        <w:r>
          <w:rPr>
            <w:webHidden/>
          </w:rPr>
          <w:instrText xml:space="preserve">PAGEREF _Toc199964158 \h</w:instrText>
        </w:r>
        <w:r>
          <w:rPr>
            <w:webHidden/>
          </w:rPr>
          <w:fldChar w:fldCharType="separate"/>
        </w:r>
        <w:r>
          <w:rPr>
            <w:rStyle w:val="IndexLink"/>
            <w:vanish w:val="false"/>
          </w:rPr>
          <w:tab/>
          <w:t>74</w:t>
        </w:r>
        <w:r>
          <w:rPr>
            <w:webHidden/>
          </w:rPr>
          <w:fldChar w:fldCharType="end"/>
        </w:r>
      </w:hyperlink>
      <w:r>
        <w:rPr>
          <w:rStyle w:val="IndexLink"/>
          <w:vanish w:val="false"/>
        </w:rPr>
        <w:fldChar w:fldCharType="end"/>
      </w:r>
    </w:p>
    <w:p>
      <w:pPr>
        <w:pStyle w:val="Normal"/>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rPr>
          <w:b/>
        </w:rPr>
      </w:pPr>
      <w:r>
        <w:rPr>
          <w:b/>
        </w:rPr>
      </w:r>
    </w:p>
    <w:p>
      <w:pPr>
        <w:pStyle w:val="Heading1"/>
        <w:numPr>
          <w:ilvl w:val="0"/>
          <w:numId w:val="0"/>
        </w:numPr>
        <w:ind w:hanging="0" w:left="0"/>
        <w:rPr/>
      </w:pPr>
      <w:bookmarkStart w:id="13" w:name="_Toc199584555"/>
      <w:bookmarkStart w:id="14" w:name="_Toc200580197"/>
      <w:r>
        <w:rPr/>
        <w:t>LISTA DE FIGURAS</w:t>
      </w:r>
      <w:bookmarkEnd w:id="13"/>
      <w:bookmarkEnd w:id="14"/>
    </w:p>
    <w:p>
      <w:pPr>
        <w:pStyle w:val="Normal"/>
        <w:jc w:val="center"/>
        <w:rPr>
          <w:b/>
        </w:rPr>
      </w:pPr>
      <w:r>
        <w:rPr>
          <w:b/>
        </w:rPr>
      </w:r>
    </w:p>
    <w:p>
      <w:pPr>
        <w:pStyle w:val="Normal"/>
        <w:jc w:val="center"/>
        <w:rPr>
          <w:b/>
        </w:rPr>
      </w:pPr>
      <w:r>
        <w:rPr>
          <w:b/>
        </w:rPr>
      </w:r>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r>
        <w:fldChar w:fldCharType="begin"/>
      </w:r>
      <w:r>
        <w:rPr>
          <w:rStyle w:val="IndexLink"/>
          <w:b/>
          <w:bCs/>
        </w:rPr>
        <w:instrText xml:space="preserve"> TOC \c "Figura" \h </w:instrText>
      </w:r>
      <w:r>
        <w:rPr>
          <w:rStyle w:val="IndexLink"/>
          <w:b/>
          <w:bCs/>
        </w:rPr>
        <w:fldChar w:fldCharType="separate"/>
      </w:r>
      <w:hyperlink w:anchor="_Toc200580364">
        <w:r>
          <w:rPr>
            <w:rStyle w:val="IndexLink"/>
            <w:b/>
            <w:bCs/>
          </w:rPr>
          <w:t>Figura 1.</w:t>
        </w:r>
        <w:r>
          <w:rPr>
            <w:rStyle w:val="IndexLink"/>
          </w:rPr>
          <w:t xml:space="preserve"> Principales ubicaciones anatómicas posibles del apéndice.</w:t>
        </w:r>
        <w:r>
          <w:rPr>
            <w:webHidden/>
          </w:rPr>
          <w:fldChar w:fldCharType="begin"/>
        </w:r>
        <w:r>
          <w:rPr>
            <w:webHidden/>
          </w:rPr>
          <w:instrText xml:space="preserve">PAGEREF _Toc200580364 \h</w:instrText>
        </w:r>
        <w:r>
          <w:rPr>
            <w:webHidden/>
          </w:rPr>
          <w:fldChar w:fldCharType="separate"/>
        </w:r>
        <w:r>
          <w:rPr>
            <w:rStyle w:val="IndexLink"/>
            <w:vanish w:val="false"/>
          </w:rPr>
          <w:tab/>
          <w:t>10</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65">
        <w:r>
          <w:rPr>
            <w:rStyle w:val="IndexLink"/>
            <w:b/>
            <w:bCs/>
          </w:rPr>
          <w:t xml:space="preserve">Figura 2. </w:t>
        </w:r>
        <w:r>
          <w:rPr>
            <w:rStyle w:val="IndexLink"/>
          </w:rPr>
          <w:t>Incidencia total anual (ambos sexos combinados). Fuente: Elaboración propia con datos del Registro Nacional de Tumores (RNT) 2025.</w:t>
        </w:r>
        <w:r>
          <w:rPr>
            <w:webHidden/>
          </w:rPr>
          <w:fldChar w:fldCharType="begin"/>
        </w:r>
        <w:r>
          <w:rPr>
            <w:webHidden/>
          </w:rPr>
          <w:instrText xml:space="preserve">PAGEREF _Toc200580365 \h</w:instrText>
        </w:r>
        <w:r>
          <w:rPr>
            <w:webHidden/>
          </w:rPr>
          <w:fldChar w:fldCharType="separate"/>
        </w:r>
        <w:r>
          <w:rPr>
            <w:rStyle w:val="IndexLink"/>
            <w:vanish w:val="false"/>
          </w:rPr>
          <w:tab/>
          <w:t>60</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66">
        <w:r>
          <w:rPr>
            <w:rStyle w:val="IndexLink"/>
            <w:b/>
            <w:bCs/>
          </w:rPr>
          <w:t xml:space="preserve">Figura 3. </w:t>
        </w:r>
        <w:r>
          <w:rPr>
            <w:rStyle w:val="IndexLink"/>
          </w:rPr>
          <w:t>Incidencia total en sexo masculino. Fuente: Elaboración propia con datos del Registro Nacional de Tumores (RNT) 2025.</w:t>
        </w:r>
        <w:r>
          <w:rPr>
            <w:webHidden/>
          </w:rPr>
          <w:fldChar w:fldCharType="begin"/>
        </w:r>
        <w:r>
          <w:rPr>
            <w:webHidden/>
          </w:rPr>
          <w:instrText xml:space="preserve">PAGEREF _Toc200580366 \h</w:instrText>
        </w:r>
        <w:r>
          <w:rPr>
            <w:webHidden/>
          </w:rPr>
          <w:fldChar w:fldCharType="separate"/>
        </w:r>
        <w:r>
          <w:rPr>
            <w:rStyle w:val="IndexLink"/>
            <w:vanish w:val="false"/>
          </w:rPr>
          <w:tab/>
          <w:t>60</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67">
        <w:r>
          <w:rPr>
            <w:rStyle w:val="IndexLink"/>
            <w:b/>
            <w:bCs/>
          </w:rPr>
          <w:t xml:space="preserve">Figura 4. </w:t>
        </w:r>
        <w:r>
          <w:rPr>
            <w:rStyle w:val="IndexLink"/>
          </w:rPr>
          <w:t>Incidencia total en el género femenino. Fuente: Elaboración propia con datos del Registro Nacional de Tumores (RNT) 2025.</w:t>
        </w:r>
        <w:r>
          <w:rPr>
            <w:webHidden/>
          </w:rPr>
          <w:fldChar w:fldCharType="begin"/>
        </w:r>
        <w:r>
          <w:rPr>
            <w:webHidden/>
          </w:rPr>
          <w:instrText xml:space="preserve">PAGEREF _Toc200580367 \h</w:instrText>
        </w:r>
        <w:r>
          <w:rPr>
            <w:webHidden/>
          </w:rPr>
          <w:fldChar w:fldCharType="separate"/>
        </w:r>
        <w:r>
          <w:rPr>
            <w:rStyle w:val="IndexLink"/>
            <w:vanish w:val="false"/>
          </w:rPr>
          <w:tab/>
          <w:t>61</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68">
        <w:r>
          <w:rPr>
            <w:rStyle w:val="IndexLink"/>
            <w:b/>
            <w:bCs/>
          </w:rPr>
          <w:t>Figura 5</w:t>
        </w:r>
        <w:r>
          <w:rPr>
            <w:rStyle w:val="IndexLink"/>
            <w:lang w:val="es-MX"/>
          </w:rPr>
          <w:t xml:space="preserve"> Comparación de números de Cáncer Apendicular por género durante el período 2000-2022</w:t>
        </w:r>
        <w:r>
          <w:rPr>
            <w:rStyle w:val="IndexLink"/>
          </w:rPr>
          <w:t>. Fuente: Elaboración propia con datos del Registro Nacional de Tumores (RNT) 2025.</w:t>
        </w:r>
        <w:r>
          <w:rPr>
            <w:webHidden/>
          </w:rPr>
          <w:fldChar w:fldCharType="begin"/>
        </w:r>
        <w:r>
          <w:rPr>
            <w:webHidden/>
          </w:rPr>
          <w:instrText xml:space="preserve">PAGEREF _Toc200580368 \h</w:instrText>
        </w:r>
        <w:r>
          <w:rPr>
            <w:webHidden/>
          </w:rPr>
          <w:fldChar w:fldCharType="separate"/>
        </w:r>
        <w:r>
          <w:rPr>
            <w:rStyle w:val="IndexLink"/>
            <w:vanish w:val="false"/>
          </w:rPr>
          <w:tab/>
          <w:t>63</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69">
        <w:r>
          <w:rPr>
            <w:rStyle w:val="IndexLink"/>
            <w:b/>
            <w:bCs/>
          </w:rPr>
          <w:t xml:space="preserve">Figura 6. </w:t>
        </w:r>
        <w:r>
          <w:rPr>
            <w:rStyle w:val="IndexLink"/>
          </w:rPr>
          <w:t>Gráfico comparativo de Subtipos histológicos en el cáncer apendicular en CR en hombres durante el período 2000-2022. Elaboración propia con datos del Registro Nacional de Tumores (RNT) 2025.</w:t>
        </w:r>
        <w:r>
          <w:rPr>
            <w:webHidden/>
          </w:rPr>
          <w:fldChar w:fldCharType="begin"/>
        </w:r>
        <w:r>
          <w:rPr>
            <w:webHidden/>
          </w:rPr>
          <w:instrText xml:space="preserve">PAGEREF _Toc200580369 \h</w:instrText>
        </w:r>
        <w:r>
          <w:rPr>
            <w:webHidden/>
          </w:rPr>
          <w:fldChar w:fldCharType="separate"/>
        </w:r>
        <w:r>
          <w:rPr>
            <w:rStyle w:val="IndexLink"/>
            <w:vanish w:val="false"/>
          </w:rPr>
          <w:tab/>
          <w:t>64</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0">
        <w:r>
          <w:rPr>
            <w:rStyle w:val="IndexLink"/>
            <w:b/>
            <w:bCs/>
          </w:rPr>
          <w:t xml:space="preserve">Figura 7. </w:t>
        </w:r>
        <w:r>
          <w:rPr>
            <w:rStyle w:val="IndexLink"/>
          </w:rPr>
          <w:t>Gráfico comparativo de Subtipos histológicos en el cáncer apendicular en CR en mujeres durante el período 2000-2022. Elaboración propia con datos del Registro Nacional de Tumores (RNT) 2025.</w:t>
        </w:r>
        <w:r>
          <w:rPr>
            <w:webHidden/>
          </w:rPr>
          <w:fldChar w:fldCharType="begin"/>
        </w:r>
        <w:r>
          <w:rPr>
            <w:webHidden/>
          </w:rPr>
          <w:instrText xml:space="preserve">PAGEREF _Toc200580370 \h</w:instrText>
        </w:r>
        <w:r>
          <w:rPr>
            <w:webHidden/>
          </w:rPr>
          <w:fldChar w:fldCharType="separate"/>
        </w:r>
        <w:r>
          <w:rPr>
            <w:rStyle w:val="IndexLink"/>
            <w:vanish w:val="false"/>
          </w:rPr>
          <w:tab/>
          <w:t>65</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1">
        <w:r>
          <w:rPr>
            <w:rStyle w:val="IndexLink"/>
            <w:b/>
            <w:bCs/>
          </w:rPr>
          <w:t xml:space="preserve">Figura 8. </w:t>
        </w:r>
        <w:r>
          <w:rPr>
            <w:rStyle w:val="IndexLink"/>
          </w:rPr>
          <w:t>Gráfico comparativo de Incidencia de los 3 subtipos histológicos predominantes en el cáncer apendicular en CR en hombres durante el período 2000-2022. Elaboración propia con datos del Registro Nacional de Tumores (RNT) 2025</w:t>
        </w:r>
        <w:r>
          <w:rPr>
            <w:webHidden/>
          </w:rPr>
          <w:fldChar w:fldCharType="begin"/>
        </w:r>
        <w:r>
          <w:rPr>
            <w:webHidden/>
          </w:rPr>
          <w:instrText xml:space="preserve">PAGEREF _Toc200580371 \h</w:instrText>
        </w:r>
        <w:r>
          <w:rPr>
            <w:webHidden/>
          </w:rPr>
          <w:fldChar w:fldCharType="separate"/>
        </w:r>
        <w:r>
          <w:rPr>
            <w:rStyle w:val="IndexLink"/>
            <w:vanish w:val="false"/>
          </w:rPr>
          <w:tab/>
          <w:t>66</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2">
        <w:r>
          <w:rPr>
            <w:rStyle w:val="IndexLink"/>
            <w:b/>
            <w:bCs/>
          </w:rPr>
          <w:t xml:space="preserve">Figura 9. </w:t>
        </w:r>
        <w:r>
          <w:rPr>
            <w:rStyle w:val="IndexLink"/>
          </w:rPr>
          <w:t>Gráfico comparativo de Incidencia de los 3 subtipos histológicos predominantes en el cáncer apendicular en CR en mujeres durante el período 2000-2022. Elaboración propia con datos del Registro Nacional de Tumores (RNT) 2025</w:t>
        </w:r>
        <w:r>
          <w:rPr>
            <w:webHidden/>
          </w:rPr>
          <w:fldChar w:fldCharType="begin"/>
        </w:r>
        <w:r>
          <w:rPr>
            <w:webHidden/>
          </w:rPr>
          <w:instrText xml:space="preserve">PAGEREF _Toc200580372 \h</w:instrText>
        </w:r>
        <w:r>
          <w:rPr>
            <w:webHidden/>
          </w:rPr>
          <w:fldChar w:fldCharType="separate"/>
        </w:r>
        <w:r>
          <w:rPr>
            <w:rStyle w:val="IndexLink"/>
            <w:vanish w:val="false"/>
          </w:rPr>
          <w:tab/>
          <w:t>66</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3">
        <w:r>
          <w:rPr>
            <w:rStyle w:val="IndexLink"/>
            <w:b/>
            <w:bCs/>
          </w:rPr>
          <w:t xml:space="preserve">Figura 10. </w:t>
        </w:r>
        <w:r>
          <w:rPr>
            <w:rStyle w:val="IndexLink"/>
          </w:rPr>
          <w:t>Distribución de respuestas por especialidad</w:t>
        </w:r>
        <w:r>
          <w:rPr>
            <w:webHidden/>
          </w:rPr>
          <w:fldChar w:fldCharType="begin"/>
        </w:r>
        <w:r>
          <w:rPr>
            <w:webHidden/>
          </w:rPr>
          <w:instrText xml:space="preserve">PAGEREF _Toc200580373 \h</w:instrText>
        </w:r>
        <w:r>
          <w:rPr>
            <w:webHidden/>
          </w:rPr>
          <w:fldChar w:fldCharType="separate"/>
        </w:r>
        <w:r>
          <w:rPr>
            <w:rStyle w:val="IndexLink"/>
            <w:vanish w:val="false"/>
          </w:rPr>
          <w:tab/>
          <w:t>70</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4">
        <w:r>
          <w:rPr>
            <w:rStyle w:val="IndexLink"/>
            <w:b/>
            <w:bCs/>
          </w:rPr>
          <w:t xml:space="preserve">Figura 11. </w:t>
        </w:r>
        <w:r>
          <w:rPr>
            <w:rStyle w:val="IndexLink"/>
          </w:rPr>
          <w:t>Respuestas por Categoría de Hospital</w:t>
        </w:r>
        <w:r>
          <w:rPr>
            <w:webHidden/>
          </w:rPr>
          <w:fldChar w:fldCharType="begin"/>
        </w:r>
        <w:r>
          <w:rPr>
            <w:webHidden/>
          </w:rPr>
          <w:instrText xml:space="preserve">PAGEREF _Toc200580374 \h</w:instrText>
        </w:r>
        <w:r>
          <w:rPr>
            <w:webHidden/>
          </w:rPr>
          <w:fldChar w:fldCharType="separate"/>
        </w:r>
        <w:r>
          <w:rPr>
            <w:rStyle w:val="IndexLink"/>
            <w:vanish w:val="false"/>
          </w:rPr>
          <w:tab/>
          <w:t>71</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5">
        <w:r>
          <w:rPr>
            <w:rStyle w:val="IndexLink"/>
            <w:b/>
            <w:bCs/>
          </w:rPr>
          <w:t xml:space="preserve">Figura 12. </w:t>
        </w:r>
        <w:r>
          <w:rPr>
            <w:rStyle w:val="IndexLink"/>
          </w:rPr>
          <w:t>Existencia de protocolos sobre neoplasia apendicular en los Hospitales de trabajo de los profesionales consultados</w:t>
        </w:r>
        <w:r>
          <w:rPr>
            <w:webHidden/>
          </w:rPr>
          <w:fldChar w:fldCharType="begin"/>
        </w:r>
        <w:r>
          <w:rPr>
            <w:webHidden/>
          </w:rPr>
          <w:instrText xml:space="preserve">PAGEREF _Toc200580375 \h</w:instrText>
        </w:r>
        <w:r>
          <w:rPr>
            <w:webHidden/>
          </w:rPr>
          <w:fldChar w:fldCharType="separate"/>
        </w:r>
        <w:r>
          <w:rPr>
            <w:rStyle w:val="IndexLink"/>
            <w:vanish w:val="false"/>
          </w:rPr>
          <w:tab/>
          <w:t>72</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6">
        <w:r>
          <w:rPr>
            <w:rStyle w:val="IndexLink"/>
            <w:b/>
            <w:bCs/>
          </w:rPr>
          <w:t xml:space="preserve">Figura 13. </w:t>
        </w:r>
        <w:r>
          <w:rPr>
            <w:rStyle w:val="IndexLink"/>
          </w:rPr>
          <w:t>Casos de neoplasia apendicular atendidos por los profesionales consultados</w:t>
        </w:r>
        <w:r>
          <w:rPr>
            <w:webHidden/>
          </w:rPr>
          <w:fldChar w:fldCharType="begin"/>
        </w:r>
        <w:r>
          <w:rPr>
            <w:webHidden/>
          </w:rPr>
          <w:instrText xml:space="preserve">PAGEREF _Toc200580376 \h</w:instrText>
        </w:r>
        <w:r>
          <w:rPr>
            <w:webHidden/>
          </w:rPr>
          <w:fldChar w:fldCharType="separate"/>
        </w:r>
        <w:r>
          <w:rPr>
            <w:rStyle w:val="IndexLink"/>
            <w:vanish w:val="false"/>
          </w:rPr>
          <w:tab/>
          <w:t>72</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7">
        <w:r>
          <w:rPr>
            <w:rStyle w:val="IndexLink"/>
            <w:b/>
            <w:bCs/>
          </w:rPr>
          <w:t xml:space="preserve">Figura 14. </w:t>
        </w:r>
        <w:r>
          <w:rPr>
            <w:rStyle w:val="IndexLink"/>
          </w:rPr>
          <w:t>Distribución del momento de diagnóstico</w:t>
        </w:r>
        <w:r>
          <w:rPr>
            <w:webHidden/>
          </w:rPr>
          <w:fldChar w:fldCharType="begin"/>
        </w:r>
        <w:r>
          <w:rPr>
            <w:webHidden/>
          </w:rPr>
          <w:instrText xml:space="preserve">PAGEREF _Toc200580377 \h</w:instrText>
        </w:r>
        <w:r>
          <w:rPr>
            <w:webHidden/>
          </w:rPr>
          <w:fldChar w:fldCharType="separate"/>
        </w:r>
        <w:r>
          <w:rPr>
            <w:rStyle w:val="IndexLink"/>
            <w:vanish w:val="false"/>
          </w:rPr>
          <w:tab/>
          <w:t>73</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8">
        <w:r>
          <w:rPr>
            <w:rStyle w:val="IndexLink"/>
            <w:b/>
            <w:bCs/>
          </w:rPr>
          <w:t>Figura 15</w:t>
        </w:r>
        <w:r>
          <w:rPr>
            <w:rStyle w:val="IndexLink"/>
          </w:rPr>
          <w:t xml:space="preserve"> Estadio de la enfermedad apendicular maligna</w:t>
        </w:r>
        <w:r>
          <w:rPr>
            <w:webHidden/>
          </w:rPr>
          <w:fldChar w:fldCharType="begin"/>
        </w:r>
        <w:r>
          <w:rPr>
            <w:webHidden/>
          </w:rPr>
          <w:instrText xml:space="preserve">PAGEREF _Toc200580378 \h</w:instrText>
        </w:r>
        <w:r>
          <w:rPr>
            <w:webHidden/>
          </w:rPr>
          <w:fldChar w:fldCharType="separate"/>
        </w:r>
        <w:r>
          <w:rPr>
            <w:rStyle w:val="IndexLink"/>
            <w:vanish w:val="false"/>
          </w:rPr>
          <w:tab/>
          <w:t>74</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79">
        <w:r>
          <w:rPr>
            <w:rStyle w:val="IndexLink"/>
            <w:b/>
            <w:bCs/>
          </w:rPr>
          <w:t xml:space="preserve">Figura 16. </w:t>
        </w:r>
        <w:r>
          <w:rPr>
            <w:rStyle w:val="IndexLink"/>
          </w:rPr>
          <w:t>Conocimiento de técnica HIPEC implementada en la CCSS entre los profesionales consultados</w:t>
        </w:r>
        <w:r>
          <w:rPr>
            <w:webHidden/>
          </w:rPr>
          <w:fldChar w:fldCharType="begin"/>
        </w:r>
        <w:r>
          <w:rPr>
            <w:webHidden/>
          </w:rPr>
          <w:instrText xml:space="preserve">PAGEREF _Toc200580379 \h</w:instrText>
        </w:r>
        <w:r>
          <w:rPr>
            <w:webHidden/>
          </w:rPr>
          <w:fldChar w:fldCharType="separate"/>
        </w:r>
        <w:r>
          <w:rPr>
            <w:rStyle w:val="IndexLink"/>
            <w:vanish w:val="false"/>
          </w:rPr>
          <w:tab/>
          <w:t>75</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80">
        <w:r>
          <w:rPr>
            <w:rStyle w:val="IndexLink"/>
            <w:b/>
            <w:bCs/>
          </w:rPr>
          <w:t xml:space="preserve">Figura 17. </w:t>
        </w:r>
        <w:r>
          <w:rPr>
            <w:rStyle w:val="IndexLink"/>
          </w:rPr>
          <w:t>Consideración de los profesionales encuestados sobre la viabilidad de implementar HIPEC en su hospital de trabajo</w:t>
        </w:r>
        <w:r>
          <w:rPr>
            <w:webHidden/>
          </w:rPr>
          <w:fldChar w:fldCharType="begin"/>
        </w:r>
        <w:r>
          <w:rPr>
            <w:webHidden/>
          </w:rPr>
          <w:instrText xml:space="preserve">PAGEREF _Toc200580380 \h</w:instrText>
        </w:r>
        <w:r>
          <w:rPr>
            <w:webHidden/>
          </w:rPr>
          <w:fldChar w:fldCharType="separate"/>
        </w:r>
        <w:r>
          <w:rPr>
            <w:rStyle w:val="IndexLink"/>
            <w:vanish w:val="false"/>
          </w:rPr>
          <w:tab/>
          <w:t>76</w:t>
        </w:r>
        <w:r>
          <w:rPr>
            <w:webHidden/>
          </w:rPr>
          <w:fldChar w:fldCharType="end"/>
        </w:r>
      </w:hyperlink>
    </w:p>
    <w:p>
      <w:pPr>
        <w:pStyle w:val="TableofFigures"/>
        <w:tabs>
          <w:tab w:val="clear" w:pos="708"/>
          <w:tab w:val="right" w:pos="8827" w:leader="dot"/>
        </w:tabs>
        <w:jc w:val="both"/>
        <w:rPr>
          <w:rFonts w:ascii="Calibri" w:hAnsi="Calibri" w:eastAsia="" w:cs="" w:asciiTheme="minorHAnsi" w:cstheme="minorBidi" w:eastAsiaTheme="minorEastAsia" w:hAnsiTheme="minorHAnsi"/>
          <w:sz w:val="22"/>
          <w:szCs w:val="22"/>
          <w:lang w:eastAsia="es-CR"/>
        </w:rPr>
      </w:pPr>
      <w:hyperlink w:anchor="_Toc200580381">
        <w:r>
          <w:rPr>
            <w:rStyle w:val="IndexLink"/>
            <w:b/>
            <w:bCs/>
          </w:rPr>
          <w:t xml:space="preserve">Figura 18. </w:t>
        </w:r>
        <w:r>
          <w:rPr>
            <w:rStyle w:val="IndexLink"/>
          </w:rPr>
          <w:t>Principal obstáculo para realizar HIPEC en su centro de trabajo</w:t>
        </w:r>
        <w:r>
          <w:rPr>
            <w:webHidden/>
          </w:rPr>
          <w:fldChar w:fldCharType="begin"/>
        </w:r>
        <w:r>
          <w:rPr>
            <w:webHidden/>
          </w:rPr>
          <w:instrText xml:space="preserve">PAGEREF _Toc200580381 \h</w:instrText>
        </w:r>
        <w:r>
          <w:rPr>
            <w:webHidden/>
          </w:rPr>
          <w:fldChar w:fldCharType="separate"/>
        </w:r>
        <w:r>
          <w:rPr>
            <w:rStyle w:val="IndexLink"/>
            <w:vanish w:val="false"/>
          </w:rPr>
          <w:tab/>
          <w:t>76</w:t>
        </w:r>
        <w:r>
          <w:rPr>
            <w:webHidden/>
          </w:rPr>
          <w:fldChar w:fldCharType="end"/>
        </w:r>
      </w:hyperlink>
      <w:r>
        <w:rPr>
          <w:rStyle w:val="IndexLink"/>
          <w:vanish w:val="false"/>
        </w:rPr>
        <w:fldChar w:fldCharType="end"/>
      </w:r>
    </w:p>
    <w:p>
      <w:pPr>
        <w:pStyle w:val="Normal"/>
        <w:jc w:val="both"/>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Heading1"/>
        <w:numPr>
          <w:ilvl w:val="0"/>
          <w:numId w:val="0"/>
        </w:numPr>
        <w:ind w:hanging="0" w:left="0"/>
        <w:rPr/>
      </w:pPr>
      <w:bookmarkStart w:id="15" w:name="_Toc200580198"/>
      <w:bookmarkStart w:id="16" w:name="_Toc199584557"/>
      <w:r>
        <w:rPr/>
        <w:t>LISTA DE ABREVIATURAS</w:t>
      </w:r>
      <w:bookmarkEnd w:id="15"/>
      <w:bookmarkEnd w:id="16"/>
    </w:p>
    <w:p>
      <w:pPr>
        <w:pStyle w:val="Normal"/>
        <w:jc w:val="center"/>
        <w:rPr>
          <w:b/>
        </w:rPr>
      </w:pPr>
      <w:r>
        <w:rPr>
          <w:b/>
        </w:rPr>
      </w:r>
    </w:p>
    <w:p>
      <w:pPr>
        <w:pStyle w:val="Normal"/>
        <w:jc w:val="center"/>
        <w:rPr>
          <w:b/>
        </w:rPr>
      </w:pPr>
      <w:r>
        <w:rPr>
          <w:b/>
        </w:rPr>
      </w:r>
    </w:p>
    <w:tbl>
      <w:tblPr>
        <w:tblW w:w="8837" w:type="dxa"/>
        <w:jc w:val="left"/>
        <w:tblInd w:w="0" w:type="dxa"/>
        <w:tblLayout w:type="fixed"/>
        <w:tblCellMar>
          <w:top w:w="15" w:type="dxa"/>
          <w:left w:w="15" w:type="dxa"/>
          <w:bottom w:w="15" w:type="dxa"/>
          <w:right w:w="15" w:type="dxa"/>
        </w:tblCellMar>
        <w:tblLook w:val="04a0" w:noHBand="0" w:noVBand="1" w:firstColumn="1" w:lastRow="0" w:lastColumn="0" w:firstRow="1"/>
      </w:tblPr>
      <w:tblGrid>
        <w:gridCol w:w="1422"/>
        <w:gridCol w:w="7414"/>
      </w:tblGrid>
      <w:tr>
        <w:trPr>
          <w:tblHeader w:val="true"/>
        </w:trPr>
        <w:tc>
          <w:tcPr>
            <w:tcW w:w="1422" w:type="dxa"/>
            <w:tcBorders/>
            <w:vAlign w:val="center"/>
          </w:tcPr>
          <w:p>
            <w:pPr>
              <w:pStyle w:val="p1"/>
              <w:spacing w:before="0" w:after="0"/>
              <w:jc w:val="both"/>
              <w:rPr>
                <w:b/>
                <w:bCs/>
              </w:rPr>
            </w:pPr>
            <w:r>
              <w:rPr>
                <w:b/>
                <w:bCs/>
              </w:rPr>
              <w:t>Sigla</w:t>
            </w:r>
          </w:p>
        </w:tc>
        <w:tc>
          <w:tcPr>
            <w:tcW w:w="7414" w:type="dxa"/>
            <w:tcBorders/>
            <w:vAlign w:val="center"/>
          </w:tcPr>
          <w:p>
            <w:pPr>
              <w:pStyle w:val="p1"/>
              <w:spacing w:before="0" w:after="0"/>
              <w:jc w:val="both"/>
              <w:rPr>
                <w:b/>
                <w:bCs/>
              </w:rPr>
            </w:pPr>
            <w:r>
              <w:rPr>
                <w:b/>
                <w:bCs/>
              </w:rPr>
              <w:t>Significado</w:t>
            </w:r>
          </w:p>
        </w:tc>
      </w:tr>
      <w:tr>
        <w:trPr/>
        <w:tc>
          <w:tcPr>
            <w:tcW w:w="1422" w:type="dxa"/>
            <w:tcBorders/>
            <w:vAlign w:val="center"/>
          </w:tcPr>
          <w:p>
            <w:pPr>
              <w:pStyle w:val="p1"/>
              <w:spacing w:before="0" w:after="0"/>
              <w:jc w:val="both"/>
              <w:rPr/>
            </w:pPr>
            <w:r>
              <w:rPr/>
              <w:t>AJCC</w:t>
            </w:r>
          </w:p>
        </w:tc>
        <w:tc>
          <w:tcPr>
            <w:tcW w:w="7414" w:type="dxa"/>
            <w:tcBorders/>
            <w:vAlign w:val="center"/>
          </w:tcPr>
          <w:p>
            <w:pPr>
              <w:pStyle w:val="p1"/>
              <w:spacing w:before="0" w:after="0"/>
              <w:jc w:val="both"/>
              <w:rPr>
                <w:lang w:val="en-US"/>
              </w:rPr>
            </w:pPr>
            <w:r>
              <w:rPr>
                <w:lang w:val="en-US"/>
              </w:rPr>
              <w:t>American Joint Committee on Cancer</w:t>
            </w:r>
          </w:p>
        </w:tc>
      </w:tr>
      <w:tr>
        <w:trPr/>
        <w:tc>
          <w:tcPr>
            <w:tcW w:w="1422" w:type="dxa"/>
            <w:tcBorders/>
            <w:vAlign w:val="center"/>
          </w:tcPr>
          <w:p>
            <w:pPr>
              <w:pStyle w:val="p1"/>
              <w:spacing w:before="0" w:after="0"/>
              <w:jc w:val="both"/>
              <w:rPr/>
            </w:pPr>
            <w:r>
              <w:rPr/>
              <w:t>APC</w:t>
            </w:r>
          </w:p>
        </w:tc>
        <w:tc>
          <w:tcPr>
            <w:tcW w:w="7414" w:type="dxa"/>
            <w:tcBorders/>
            <w:vAlign w:val="center"/>
          </w:tcPr>
          <w:p>
            <w:pPr>
              <w:pStyle w:val="p1"/>
              <w:spacing w:before="0" w:after="0"/>
              <w:jc w:val="both"/>
              <w:rPr/>
            </w:pPr>
            <w:r>
              <w:rPr/>
              <w:t>Antígeno polipósico asociado al colon</w:t>
            </w:r>
          </w:p>
        </w:tc>
      </w:tr>
      <w:tr>
        <w:trPr/>
        <w:tc>
          <w:tcPr>
            <w:tcW w:w="1422" w:type="dxa"/>
            <w:tcBorders/>
            <w:vAlign w:val="center"/>
          </w:tcPr>
          <w:p>
            <w:pPr>
              <w:pStyle w:val="p1"/>
              <w:spacing w:before="0" w:after="0"/>
              <w:jc w:val="both"/>
              <w:rPr/>
            </w:pPr>
            <w:r>
              <w:rPr/>
              <w:t>CAPOX</w:t>
            </w:r>
          </w:p>
        </w:tc>
        <w:tc>
          <w:tcPr>
            <w:tcW w:w="7414" w:type="dxa"/>
            <w:tcBorders/>
            <w:vAlign w:val="center"/>
          </w:tcPr>
          <w:p>
            <w:pPr>
              <w:pStyle w:val="p1"/>
              <w:spacing w:before="0" w:after="0"/>
              <w:jc w:val="both"/>
              <w:rPr/>
            </w:pPr>
            <w:r>
              <w:rPr/>
              <w:t>Capecitabina + Oxaliplatino (quimioterapia)</w:t>
            </w:r>
          </w:p>
        </w:tc>
      </w:tr>
      <w:tr>
        <w:trPr/>
        <w:tc>
          <w:tcPr>
            <w:tcW w:w="1422" w:type="dxa"/>
            <w:tcBorders/>
            <w:vAlign w:val="center"/>
          </w:tcPr>
          <w:p>
            <w:pPr>
              <w:pStyle w:val="p1"/>
              <w:spacing w:before="0" w:after="0"/>
              <w:jc w:val="both"/>
              <w:rPr/>
            </w:pPr>
            <w:r>
              <w:rPr/>
              <w:t>CA</w:t>
            </w:r>
          </w:p>
        </w:tc>
        <w:tc>
          <w:tcPr>
            <w:tcW w:w="7414" w:type="dxa"/>
            <w:tcBorders/>
            <w:vAlign w:val="center"/>
          </w:tcPr>
          <w:p>
            <w:pPr>
              <w:pStyle w:val="p1"/>
              <w:spacing w:before="0" w:after="0"/>
              <w:jc w:val="both"/>
              <w:rPr/>
            </w:pPr>
            <w:r>
              <w:rPr/>
              <w:t>Cáncer</w:t>
            </w:r>
          </w:p>
        </w:tc>
      </w:tr>
      <w:tr>
        <w:trPr/>
        <w:tc>
          <w:tcPr>
            <w:tcW w:w="1422" w:type="dxa"/>
            <w:tcBorders/>
            <w:vAlign w:val="center"/>
          </w:tcPr>
          <w:p>
            <w:pPr>
              <w:pStyle w:val="p1"/>
              <w:spacing w:before="0" w:after="0"/>
              <w:jc w:val="both"/>
              <w:rPr/>
            </w:pPr>
            <w:r>
              <w:rPr/>
              <w:t>CCR</w:t>
            </w:r>
          </w:p>
        </w:tc>
        <w:tc>
          <w:tcPr>
            <w:tcW w:w="7414" w:type="dxa"/>
            <w:tcBorders/>
            <w:vAlign w:val="center"/>
          </w:tcPr>
          <w:p>
            <w:pPr>
              <w:pStyle w:val="p1"/>
              <w:spacing w:before="0" w:after="0"/>
              <w:jc w:val="both"/>
              <w:rPr/>
            </w:pPr>
            <w:r>
              <w:rPr/>
              <w:t>Cáncer colorrectal</w:t>
            </w:r>
          </w:p>
        </w:tc>
      </w:tr>
      <w:tr>
        <w:trPr/>
        <w:tc>
          <w:tcPr>
            <w:tcW w:w="1422" w:type="dxa"/>
            <w:tcBorders/>
            <w:vAlign w:val="center"/>
          </w:tcPr>
          <w:p>
            <w:pPr>
              <w:pStyle w:val="p1"/>
              <w:spacing w:before="0" w:after="0"/>
              <w:jc w:val="both"/>
              <w:rPr/>
            </w:pPr>
            <w:r>
              <w:rPr/>
              <w:t>CEA</w:t>
            </w:r>
          </w:p>
        </w:tc>
        <w:tc>
          <w:tcPr>
            <w:tcW w:w="7414" w:type="dxa"/>
            <w:tcBorders/>
            <w:vAlign w:val="center"/>
          </w:tcPr>
          <w:p>
            <w:pPr>
              <w:pStyle w:val="p1"/>
              <w:spacing w:before="0" w:after="0"/>
              <w:jc w:val="both"/>
              <w:rPr/>
            </w:pPr>
            <w:r>
              <w:rPr/>
              <w:t>Antígeno carcinoembrionario</w:t>
            </w:r>
          </w:p>
        </w:tc>
      </w:tr>
      <w:tr>
        <w:trPr/>
        <w:tc>
          <w:tcPr>
            <w:tcW w:w="1422" w:type="dxa"/>
            <w:tcBorders/>
            <w:vAlign w:val="center"/>
          </w:tcPr>
          <w:p>
            <w:pPr>
              <w:pStyle w:val="p1"/>
              <w:spacing w:before="0" w:after="0"/>
              <w:jc w:val="both"/>
              <w:rPr/>
            </w:pPr>
            <w:r>
              <w:rPr/>
              <w:t>CCSS</w:t>
            </w:r>
          </w:p>
        </w:tc>
        <w:tc>
          <w:tcPr>
            <w:tcW w:w="7414" w:type="dxa"/>
            <w:tcBorders/>
            <w:vAlign w:val="center"/>
          </w:tcPr>
          <w:p>
            <w:pPr>
              <w:pStyle w:val="p1"/>
              <w:spacing w:before="0" w:after="0"/>
              <w:jc w:val="both"/>
              <w:rPr/>
            </w:pPr>
            <w:r>
              <w:rPr/>
              <w:t>Caja Costarricense de Seguro Social</w:t>
            </w:r>
          </w:p>
        </w:tc>
      </w:tr>
      <w:tr>
        <w:trPr/>
        <w:tc>
          <w:tcPr>
            <w:tcW w:w="1422" w:type="dxa"/>
            <w:tcBorders/>
            <w:vAlign w:val="center"/>
          </w:tcPr>
          <w:p>
            <w:pPr>
              <w:pStyle w:val="p1"/>
              <w:spacing w:before="0" w:after="0"/>
              <w:jc w:val="both"/>
              <w:rPr/>
            </w:pPr>
            <w:r>
              <w:rPr/>
              <w:t>CMS</w:t>
            </w:r>
          </w:p>
        </w:tc>
        <w:tc>
          <w:tcPr>
            <w:tcW w:w="7414" w:type="dxa"/>
            <w:tcBorders/>
            <w:vAlign w:val="center"/>
          </w:tcPr>
          <w:p>
            <w:pPr>
              <w:pStyle w:val="p1"/>
              <w:spacing w:before="0" w:after="0"/>
              <w:jc w:val="both"/>
              <w:rPr/>
            </w:pPr>
            <w:r>
              <w:rPr/>
              <w:t>Subtipos moleculares consensuados del CCR (</w:t>
            </w:r>
            <w:r>
              <w:rPr>
                <w:i/>
                <w:iCs/>
              </w:rPr>
              <w:t>Consensus Molecular Subtypes</w:t>
            </w:r>
            <w:r>
              <w:rPr/>
              <w:t>)</w:t>
            </w:r>
          </w:p>
        </w:tc>
      </w:tr>
      <w:tr>
        <w:trPr/>
        <w:tc>
          <w:tcPr>
            <w:tcW w:w="1422" w:type="dxa"/>
            <w:tcBorders/>
            <w:vAlign w:val="center"/>
          </w:tcPr>
          <w:p>
            <w:pPr>
              <w:pStyle w:val="p1"/>
              <w:spacing w:before="0" w:after="0"/>
              <w:jc w:val="both"/>
              <w:rPr/>
            </w:pPr>
            <w:r>
              <w:rPr/>
              <w:t>CRS</w:t>
            </w:r>
          </w:p>
        </w:tc>
        <w:tc>
          <w:tcPr>
            <w:tcW w:w="7414" w:type="dxa"/>
            <w:tcBorders/>
            <w:vAlign w:val="center"/>
          </w:tcPr>
          <w:p>
            <w:pPr>
              <w:pStyle w:val="p1"/>
              <w:spacing w:before="0" w:after="0"/>
              <w:jc w:val="both"/>
              <w:rPr/>
            </w:pPr>
            <w:r>
              <w:rPr/>
              <w:t>Cirugía citorreductora (</w:t>
            </w:r>
            <w:r>
              <w:rPr>
                <w:i/>
                <w:iCs/>
              </w:rPr>
              <w:t>Cytoreductive Surgery</w:t>
            </w:r>
            <w:r>
              <w:rPr/>
              <w:t>)</w:t>
            </w:r>
          </w:p>
        </w:tc>
      </w:tr>
      <w:tr>
        <w:trPr/>
        <w:tc>
          <w:tcPr>
            <w:tcW w:w="1422" w:type="dxa"/>
            <w:tcBorders/>
            <w:vAlign w:val="center"/>
          </w:tcPr>
          <w:p>
            <w:pPr>
              <w:pStyle w:val="p1"/>
              <w:spacing w:before="0" w:after="0"/>
              <w:jc w:val="both"/>
              <w:rPr/>
            </w:pPr>
            <w:r>
              <w:rPr/>
              <w:t>DNA</w:t>
            </w:r>
          </w:p>
        </w:tc>
        <w:tc>
          <w:tcPr>
            <w:tcW w:w="7414" w:type="dxa"/>
            <w:tcBorders/>
            <w:vAlign w:val="center"/>
          </w:tcPr>
          <w:p>
            <w:pPr>
              <w:pStyle w:val="p1"/>
              <w:spacing w:before="0" w:after="0"/>
              <w:jc w:val="both"/>
              <w:rPr/>
            </w:pPr>
            <w:r>
              <w:rPr/>
              <w:t>Ácido desoxirribonucleico</w:t>
            </w:r>
          </w:p>
        </w:tc>
      </w:tr>
      <w:tr>
        <w:trPr/>
        <w:tc>
          <w:tcPr>
            <w:tcW w:w="1422" w:type="dxa"/>
            <w:tcBorders/>
            <w:vAlign w:val="center"/>
          </w:tcPr>
          <w:p>
            <w:pPr>
              <w:pStyle w:val="p1"/>
              <w:spacing w:before="0" w:after="0"/>
              <w:jc w:val="both"/>
              <w:rPr/>
            </w:pPr>
            <w:r>
              <w:rPr/>
              <w:t>FOLFOX</w:t>
            </w:r>
          </w:p>
        </w:tc>
        <w:tc>
          <w:tcPr>
            <w:tcW w:w="7414" w:type="dxa"/>
            <w:tcBorders/>
            <w:vAlign w:val="center"/>
          </w:tcPr>
          <w:p>
            <w:pPr>
              <w:pStyle w:val="p1"/>
              <w:spacing w:before="0" w:after="0"/>
              <w:jc w:val="both"/>
              <w:rPr/>
            </w:pPr>
            <w:r>
              <w:rPr/>
              <w:t>Esquema de quimioterapia: ácido folínico + 5-fluorouracilo + oxaliplatino</w:t>
            </w:r>
          </w:p>
        </w:tc>
      </w:tr>
      <w:tr>
        <w:trPr/>
        <w:tc>
          <w:tcPr>
            <w:tcW w:w="1422" w:type="dxa"/>
            <w:tcBorders/>
            <w:vAlign w:val="center"/>
          </w:tcPr>
          <w:p>
            <w:pPr>
              <w:pStyle w:val="p1"/>
              <w:spacing w:before="0" w:after="0"/>
              <w:jc w:val="both"/>
              <w:rPr/>
            </w:pPr>
            <w:r>
              <w:rPr/>
              <w:t>FOLFIRI</w:t>
            </w:r>
          </w:p>
        </w:tc>
        <w:tc>
          <w:tcPr>
            <w:tcW w:w="7414" w:type="dxa"/>
            <w:tcBorders/>
            <w:vAlign w:val="center"/>
          </w:tcPr>
          <w:p>
            <w:pPr>
              <w:pStyle w:val="p1"/>
              <w:spacing w:before="0" w:after="0"/>
              <w:jc w:val="both"/>
              <w:rPr/>
            </w:pPr>
            <w:r>
              <w:rPr/>
              <w:t>Esquema de quimioterapia: ácido folínico + 5-fluorouracilo + irinotecán</w:t>
            </w:r>
          </w:p>
        </w:tc>
      </w:tr>
      <w:tr>
        <w:trPr/>
        <w:tc>
          <w:tcPr>
            <w:tcW w:w="1422" w:type="dxa"/>
            <w:tcBorders/>
            <w:vAlign w:val="center"/>
          </w:tcPr>
          <w:p>
            <w:pPr>
              <w:pStyle w:val="p1"/>
              <w:spacing w:before="0" w:after="0"/>
              <w:jc w:val="both"/>
              <w:rPr/>
            </w:pPr>
            <w:r>
              <w:rPr/>
              <w:t>GNAS</w:t>
            </w:r>
          </w:p>
        </w:tc>
        <w:tc>
          <w:tcPr>
            <w:tcW w:w="7414" w:type="dxa"/>
            <w:tcBorders/>
            <w:vAlign w:val="center"/>
          </w:tcPr>
          <w:p>
            <w:pPr>
              <w:pStyle w:val="p1"/>
              <w:spacing w:before="0" w:after="0"/>
              <w:jc w:val="both"/>
              <w:rPr/>
            </w:pPr>
            <w:r>
              <w:rPr/>
              <w:t>Gen GNAS, codifica proteína Gs alfa</w:t>
            </w:r>
          </w:p>
        </w:tc>
      </w:tr>
      <w:tr>
        <w:trPr/>
        <w:tc>
          <w:tcPr>
            <w:tcW w:w="1422" w:type="dxa"/>
            <w:tcBorders/>
            <w:vAlign w:val="center"/>
          </w:tcPr>
          <w:p>
            <w:pPr>
              <w:pStyle w:val="p1"/>
              <w:spacing w:before="0" w:after="0"/>
              <w:jc w:val="both"/>
              <w:rPr/>
            </w:pPr>
            <w:r>
              <w:rPr/>
              <w:t>HAMN</w:t>
            </w:r>
          </w:p>
        </w:tc>
        <w:tc>
          <w:tcPr>
            <w:tcW w:w="7414" w:type="dxa"/>
            <w:tcBorders/>
            <w:vAlign w:val="center"/>
          </w:tcPr>
          <w:p>
            <w:pPr>
              <w:pStyle w:val="p1"/>
              <w:spacing w:before="0" w:after="0"/>
              <w:jc w:val="both"/>
              <w:rPr/>
            </w:pPr>
            <w:r>
              <w:rPr/>
              <w:t>Neoplasia mucinosa apendicular de alto grado (</w:t>
            </w:r>
            <w:r>
              <w:rPr>
                <w:i/>
                <w:iCs/>
              </w:rPr>
              <w:t>High-grade Appendiceal Mucinous Neoplasm</w:t>
            </w:r>
            <w:r>
              <w:rPr/>
              <w:t>)</w:t>
            </w:r>
          </w:p>
        </w:tc>
      </w:tr>
      <w:tr>
        <w:trPr/>
        <w:tc>
          <w:tcPr>
            <w:tcW w:w="1422" w:type="dxa"/>
            <w:tcBorders/>
            <w:vAlign w:val="center"/>
          </w:tcPr>
          <w:p>
            <w:pPr>
              <w:pStyle w:val="p1"/>
              <w:spacing w:before="0" w:after="0"/>
              <w:jc w:val="both"/>
              <w:rPr/>
            </w:pPr>
            <w:r>
              <w:rPr/>
              <w:t>HIPEC</w:t>
            </w:r>
          </w:p>
        </w:tc>
        <w:tc>
          <w:tcPr>
            <w:tcW w:w="7414" w:type="dxa"/>
            <w:tcBorders/>
            <w:vAlign w:val="center"/>
          </w:tcPr>
          <w:p>
            <w:pPr>
              <w:pStyle w:val="p1"/>
              <w:spacing w:before="0" w:after="0"/>
              <w:jc w:val="both"/>
              <w:rPr/>
            </w:pPr>
            <w:r>
              <w:rPr/>
              <w:t>Quimioterapia intraperitoneal hipertérmica (</w:t>
            </w:r>
            <w:r>
              <w:rPr>
                <w:i/>
                <w:iCs/>
              </w:rPr>
              <w:t>Hyperthermic Intraperitoneal Chemotherapy</w:t>
            </w:r>
            <w:r>
              <w:rPr/>
              <w:t>)</w:t>
            </w:r>
          </w:p>
        </w:tc>
      </w:tr>
      <w:tr>
        <w:trPr/>
        <w:tc>
          <w:tcPr>
            <w:tcW w:w="1422" w:type="dxa"/>
            <w:tcBorders/>
            <w:vAlign w:val="center"/>
          </w:tcPr>
          <w:p>
            <w:pPr>
              <w:pStyle w:val="p1"/>
              <w:spacing w:before="0" w:after="0"/>
              <w:jc w:val="both"/>
              <w:rPr/>
            </w:pPr>
            <w:r>
              <w:rPr/>
              <w:t>ICD-O</w:t>
            </w:r>
          </w:p>
        </w:tc>
        <w:tc>
          <w:tcPr>
            <w:tcW w:w="7414" w:type="dxa"/>
            <w:tcBorders/>
            <w:vAlign w:val="center"/>
          </w:tcPr>
          <w:p>
            <w:pPr>
              <w:pStyle w:val="p1"/>
              <w:spacing w:before="0" w:after="0"/>
              <w:jc w:val="both"/>
              <w:rPr/>
            </w:pPr>
            <w:r>
              <w:rPr/>
              <w:t>Clasificación Internacional de Enfermedades para Oncología (</w:t>
            </w:r>
            <w:r>
              <w:rPr>
                <w:i/>
                <w:iCs/>
              </w:rPr>
              <w:t>International Classification of Diseases for Oncology</w:t>
            </w:r>
            <w:r>
              <w:rPr/>
              <w:t>)</w:t>
            </w:r>
          </w:p>
        </w:tc>
      </w:tr>
      <w:tr>
        <w:trPr/>
        <w:tc>
          <w:tcPr>
            <w:tcW w:w="1422" w:type="dxa"/>
            <w:tcBorders/>
            <w:vAlign w:val="center"/>
          </w:tcPr>
          <w:p>
            <w:pPr>
              <w:pStyle w:val="p1"/>
              <w:spacing w:before="0" w:after="0"/>
              <w:jc w:val="both"/>
              <w:rPr/>
            </w:pPr>
            <w:r>
              <w:rPr/>
              <w:t>INCIENSA</w:t>
            </w:r>
          </w:p>
        </w:tc>
        <w:tc>
          <w:tcPr>
            <w:tcW w:w="7414" w:type="dxa"/>
            <w:tcBorders/>
            <w:vAlign w:val="center"/>
          </w:tcPr>
          <w:p>
            <w:pPr>
              <w:pStyle w:val="p1"/>
              <w:spacing w:before="0" w:after="0"/>
              <w:jc w:val="both"/>
              <w:rPr/>
            </w:pPr>
            <w:r>
              <w:rPr/>
              <w:t>Instituto Costarricense de Investigación y Enseñanza en Nutrición y Salud</w:t>
            </w:r>
          </w:p>
        </w:tc>
      </w:tr>
      <w:tr>
        <w:trPr/>
        <w:tc>
          <w:tcPr>
            <w:tcW w:w="1422" w:type="dxa"/>
            <w:tcBorders/>
            <w:vAlign w:val="center"/>
          </w:tcPr>
          <w:p>
            <w:pPr>
              <w:pStyle w:val="p1"/>
              <w:spacing w:before="0" w:after="0"/>
              <w:jc w:val="both"/>
              <w:rPr/>
            </w:pPr>
            <w:r>
              <w:rPr/>
              <w:t>KRAS/NRAS</w:t>
            </w:r>
          </w:p>
        </w:tc>
        <w:tc>
          <w:tcPr>
            <w:tcW w:w="7414" w:type="dxa"/>
            <w:tcBorders/>
            <w:vAlign w:val="center"/>
          </w:tcPr>
          <w:p>
            <w:pPr>
              <w:pStyle w:val="p1"/>
              <w:spacing w:before="0" w:after="0"/>
              <w:jc w:val="both"/>
              <w:rPr/>
            </w:pPr>
            <w:r>
              <w:rPr/>
              <w:t>Genes codificantes de proteínas RAS implicadas en señalización celular oncogénica</w:t>
            </w:r>
          </w:p>
        </w:tc>
      </w:tr>
      <w:tr>
        <w:trPr/>
        <w:tc>
          <w:tcPr>
            <w:tcW w:w="1422" w:type="dxa"/>
            <w:tcBorders/>
            <w:vAlign w:val="center"/>
          </w:tcPr>
          <w:p>
            <w:pPr>
              <w:pStyle w:val="p1"/>
              <w:spacing w:before="0" w:after="0"/>
              <w:jc w:val="both"/>
              <w:rPr/>
            </w:pPr>
            <w:r>
              <w:rPr/>
              <w:t>LAMN</w:t>
            </w:r>
          </w:p>
        </w:tc>
        <w:tc>
          <w:tcPr>
            <w:tcW w:w="7414" w:type="dxa"/>
            <w:tcBorders/>
            <w:vAlign w:val="center"/>
          </w:tcPr>
          <w:p>
            <w:pPr>
              <w:pStyle w:val="p1"/>
              <w:spacing w:before="0" w:after="0"/>
              <w:jc w:val="both"/>
              <w:rPr/>
            </w:pPr>
            <w:r>
              <w:rPr/>
              <w:t>Neoplasia mucinosa apendicular de bajo grado (</w:t>
            </w:r>
            <w:r>
              <w:rPr>
                <w:i/>
                <w:iCs/>
              </w:rPr>
              <w:t>Low-grade Appendiceal Mucinous Neoplasm</w:t>
            </w:r>
            <w:r>
              <w:rPr/>
              <w:t>)</w:t>
            </w:r>
          </w:p>
        </w:tc>
      </w:tr>
      <w:tr>
        <w:trPr/>
        <w:tc>
          <w:tcPr>
            <w:tcW w:w="1422" w:type="dxa"/>
            <w:tcBorders/>
            <w:vAlign w:val="center"/>
          </w:tcPr>
          <w:p>
            <w:pPr>
              <w:pStyle w:val="p1"/>
              <w:spacing w:before="0" w:after="0"/>
              <w:jc w:val="both"/>
              <w:rPr/>
            </w:pPr>
            <w:r>
              <w:rPr/>
              <w:t>mTOR</w:t>
            </w:r>
          </w:p>
        </w:tc>
        <w:tc>
          <w:tcPr>
            <w:tcW w:w="7414" w:type="dxa"/>
            <w:tcBorders/>
            <w:vAlign w:val="center"/>
          </w:tcPr>
          <w:p>
            <w:pPr>
              <w:pStyle w:val="p1"/>
              <w:spacing w:before="0" w:after="0"/>
              <w:jc w:val="both"/>
              <w:rPr/>
            </w:pPr>
            <w:r>
              <w:rPr/>
              <w:t>Proteína blanco de la rapamicina en mamíferos (</w:t>
            </w:r>
            <w:r>
              <w:rPr>
                <w:i/>
                <w:iCs/>
              </w:rPr>
              <w:t>mammalian Target Of Rapamycin</w:t>
            </w:r>
            <w:r>
              <w:rPr/>
              <w:t>)</w:t>
            </w:r>
          </w:p>
        </w:tc>
      </w:tr>
      <w:tr>
        <w:trPr/>
        <w:tc>
          <w:tcPr>
            <w:tcW w:w="1422" w:type="dxa"/>
            <w:tcBorders/>
            <w:vAlign w:val="center"/>
          </w:tcPr>
          <w:p>
            <w:pPr>
              <w:pStyle w:val="p1"/>
              <w:spacing w:before="0" w:after="0"/>
              <w:jc w:val="both"/>
              <w:rPr/>
            </w:pPr>
            <w:r>
              <w:rPr/>
              <w:t>NCCN</w:t>
            </w:r>
          </w:p>
        </w:tc>
        <w:tc>
          <w:tcPr>
            <w:tcW w:w="7414" w:type="dxa"/>
            <w:tcBorders/>
            <w:vAlign w:val="center"/>
          </w:tcPr>
          <w:p>
            <w:pPr>
              <w:pStyle w:val="p1"/>
              <w:spacing w:before="0" w:after="0"/>
              <w:jc w:val="both"/>
              <w:rPr/>
            </w:pPr>
            <w:r>
              <w:rPr/>
              <w:t>National Comprehensive Cancer Network</w:t>
            </w:r>
          </w:p>
        </w:tc>
      </w:tr>
      <w:tr>
        <w:trPr/>
        <w:tc>
          <w:tcPr>
            <w:tcW w:w="1422" w:type="dxa"/>
            <w:tcBorders/>
            <w:vAlign w:val="center"/>
          </w:tcPr>
          <w:p>
            <w:pPr>
              <w:pStyle w:val="p1"/>
              <w:spacing w:before="0" w:after="0"/>
              <w:jc w:val="both"/>
              <w:rPr/>
            </w:pPr>
            <w:r>
              <w:rPr/>
              <w:t>NGS</w:t>
            </w:r>
          </w:p>
        </w:tc>
        <w:tc>
          <w:tcPr>
            <w:tcW w:w="7414" w:type="dxa"/>
            <w:tcBorders/>
            <w:vAlign w:val="center"/>
          </w:tcPr>
          <w:p>
            <w:pPr>
              <w:pStyle w:val="p1"/>
              <w:spacing w:before="0" w:after="0"/>
              <w:jc w:val="both"/>
              <w:rPr/>
            </w:pPr>
            <w:r>
              <w:rPr/>
              <w:t>Secuenciación de nueva generación (</w:t>
            </w:r>
            <w:r>
              <w:rPr>
                <w:i/>
                <w:iCs/>
              </w:rPr>
              <w:t>Next Generation Sequencing</w:t>
            </w:r>
            <w:r>
              <w:rPr/>
              <w:t>)</w:t>
            </w:r>
          </w:p>
        </w:tc>
      </w:tr>
      <w:tr>
        <w:trPr/>
        <w:tc>
          <w:tcPr>
            <w:tcW w:w="1422" w:type="dxa"/>
            <w:tcBorders/>
            <w:vAlign w:val="center"/>
          </w:tcPr>
          <w:p>
            <w:pPr>
              <w:pStyle w:val="p1"/>
              <w:spacing w:before="0" w:after="0"/>
              <w:jc w:val="both"/>
              <w:rPr/>
            </w:pPr>
            <w:r>
              <w:rPr/>
              <w:t>NRT / RNT</w:t>
            </w:r>
          </w:p>
        </w:tc>
        <w:tc>
          <w:tcPr>
            <w:tcW w:w="7414" w:type="dxa"/>
            <w:tcBorders/>
            <w:vAlign w:val="center"/>
          </w:tcPr>
          <w:p>
            <w:pPr>
              <w:pStyle w:val="p1"/>
              <w:spacing w:before="0" w:after="0"/>
              <w:jc w:val="both"/>
              <w:rPr/>
            </w:pPr>
            <w:r>
              <w:rPr/>
              <w:t>Registro Nacional de Tumores</w:t>
            </w:r>
          </w:p>
        </w:tc>
      </w:tr>
      <w:tr>
        <w:trPr/>
        <w:tc>
          <w:tcPr>
            <w:tcW w:w="1422" w:type="dxa"/>
            <w:tcBorders/>
            <w:vAlign w:val="center"/>
          </w:tcPr>
          <w:p>
            <w:pPr>
              <w:pStyle w:val="p1"/>
              <w:spacing w:before="0" w:after="0"/>
              <w:jc w:val="both"/>
              <w:rPr/>
            </w:pPr>
            <w:r>
              <w:rPr/>
              <w:t>OS</w:t>
            </w:r>
          </w:p>
        </w:tc>
        <w:tc>
          <w:tcPr>
            <w:tcW w:w="7414" w:type="dxa"/>
            <w:tcBorders/>
            <w:vAlign w:val="center"/>
          </w:tcPr>
          <w:p>
            <w:pPr>
              <w:pStyle w:val="p1"/>
              <w:spacing w:before="0" w:after="0"/>
              <w:jc w:val="both"/>
              <w:rPr/>
            </w:pPr>
            <w:r>
              <w:rPr/>
              <w:t>Supervivencia global (</w:t>
            </w:r>
            <w:r>
              <w:rPr>
                <w:i/>
                <w:iCs/>
              </w:rPr>
              <w:t>Overall Survival</w:t>
            </w:r>
            <w:r>
              <w:rPr/>
              <w:t>)</w:t>
            </w:r>
          </w:p>
        </w:tc>
      </w:tr>
      <w:tr>
        <w:trPr/>
        <w:tc>
          <w:tcPr>
            <w:tcW w:w="1422" w:type="dxa"/>
            <w:tcBorders/>
            <w:vAlign w:val="center"/>
          </w:tcPr>
          <w:p>
            <w:pPr>
              <w:pStyle w:val="p1"/>
              <w:spacing w:before="0" w:after="0"/>
              <w:jc w:val="both"/>
              <w:rPr/>
            </w:pPr>
            <w:r>
              <w:rPr/>
              <w:t>PCI</w:t>
            </w:r>
          </w:p>
        </w:tc>
        <w:tc>
          <w:tcPr>
            <w:tcW w:w="7414" w:type="dxa"/>
            <w:tcBorders/>
            <w:vAlign w:val="center"/>
          </w:tcPr>
          <w:p>
            <w:pPr>
              <w:pStyle w:val="p1"/>
              <w:spacing w:before="0" w:after="0"/>
              <w:jc w:val="both"/>
              <w:rPr/>
            </w:pPr>
            <w:r>
              <w:rPr/>
              <w:t>Índice de carcinomatosis peritoneal (</w:t>
            </w:r>
            <w:r>
              <w:rPr>
                <w:i/>
                <w:iCs/>
              </w:rPr>
              <w:t>Peritoneal Cancer Index</w:t>
            </w:r>
            <w:r>
              <w:rPr/>
              <w:t>)</w:t>
            </w:r>
          </w:p>
        </w:tc>
      </w:tr>
      <w:tr>
        <w:trPr/>
        <w:tc>
          <w:tcPr>
            <w:tcW w:w="1422" w:type="dxa"/>
            <w:tcBorders/>
            <w:vAlign w:val="center"/>
          </w:tcPr>
          <w:p>
            <w:pPr>
              <w:pStyle w:val="p1"/>
              <w:spacing w:before="0" w:after="0"/>
              <w:jc w:val="both"/>
              <w:rPr/>
            </w:pPr>
            <w:r>
              <w:rPr/>
              <w:t>PMCA</w:t>
            </w:r>
          </w:p>
        </w:tc>
        <w:tc>
          <w:tcPr>
            <w:tcW w:w="7414" w:type="dxa"/>
            <w:tcBorders/>
            <w:vAlign w:val="center"/>
          </w:tcPr>
          <w:p>
            <w:pPr>
              <w:pStyle w:val="p1"/>
              <w:spacing w:before="0" w:after="0"/>
              <w:jc w:val="both"/>
              <w:rPr/>
            </w:pPr>
            <w:r>
              <w:rPr/>
              <w:t>Adenocarcinoma mucinoso peritoneal con características carcinomatosas (</w:t>
            </w:r>
            <w:r>
              <w:rPr>
                <w:i/>
                <w:iCs/>
              </w:rPr>
              <w:t>Peritoneal Mucinous Carcinomatosis</w:t>
            </w:r>
            <w:r>
              <w:rPr/>
              <w:t>)</w:t>
            </w:r>
          </w:p>
        </w:tc>
      </w:tr>
      <w:tr>
        <w:trPr/>
        <w:tc>
          <w:tcPr>
            <w:tcW w:w="1422" w:type="dxa"/>
            <w:tcBorders/>
            <w:vAlign w:val="center"/>
          </w:tcPr>
          <w:p>
            <w:pPr>
              <w:pStyle w:val="p1"/>
              <w:spacing w:before="0" w:after="0"/>
              <w:jc w:val="both"/>
              <w:rPr/>
            </w:pPr>
            <w:r>
              <w:rPr/>
              <w:t>PRRT</w:t>
            </w:r>
          </w:p>
        </w:tc>
        <w:tc>
          <w:tcPr>
            <w:tcW w:w="7414" w:type="dxa"/>
            <w:tcBorders/>
            <w:vAlign w:val="center"/>
          </w:tcPr>
          <w:p>
            <w:pPr>
              <w:pStyle w:val="p1"/>
              <w:spacing w:before="0" w:after="0"/>
              <w:jc w:val="both"/>
              <w:rPr/>
            </w:pPr>
            <w:r>
              <w:rPr/>
              <w:t>Terapia con radionúclidos dirigida a receptores peptídicos (</w:t>
            </w:r>
            <w:r>
              <w:rPr>
                <w:i/>
                <w:iCs/>
              </w:rPr>
              <w:t>Peptide Receptor Radionuclide Therapy</w:t>
            </w:r>
            <w:r>
              <w:rPr/>
              <w:t>)</w:t>
            </w:r>
          </w:p>
        </w:tc>
      </w:tr>
      <w:tr>
        <w:trPr/>
        <w:tc>
          <w:tcPr>
            <w:tcW w:w="1422" w:type="dxa"/>
            <w:tcBorders/>
            <w:vAlign w:val="center"/>
          </w:tcPr>
          <w:p>
            <w:pPr>
              <w:pStyle w:val="p1"/>
              <w:spacing w:before="0" w:after="0"/>
              <w:jc w:val="both"/>
              <w:rPr/>
            </w:pPr>
            <w:r>
              <w:rPr/>
              <w:t>pT/pN/pM</w:t>
            </w:r>
          </w:p>
        </w:tc>
        <w:tc>
          <w:tcPr>
            <w:tcW w:w="7414" w:type="dxa"/>
            <w:tcBorders/>
            <w:vAlign w:val="center"/>
          </w:tcPr>
          <w:p>
            <w:pPr>
              <w:pStyle w:val="p1"/>
              <w:spacing w:before="0" w:after="0"/>
              <w:jc w:val="both"/>
              <w:rPr/>
            </w:pPr>
            <w:r>
              <w:rPr/>
              <w:t>Clasificación patológica TNM: tumor primario, ganglios, metástasis</w:t>
            </w:r>
          </w:p>
        </w:tc>
      </w:tr>
      <w:tr>
        <w:trPr/>
        <w:tc>
          <w:tcPr>
            <w:tcW w:w="1422" w:type="dxa"/>
            <w:tcBorders/>
            <w:vAlign w:val="center"/>
          </w:tcPr>
          <w:p>
            <w:pPr>
              <w:pStyle w:val="p1"/>
              <w:spacing w:before="0" w:after="0"/>
              <w:jc w:val="both"/>
              <w:rPr/>
            </w:pPr>
            <w:r>
              <w:rPr/>
              <w:t>RAS</w:t>
            </w:r>
          </w:p>
        </w:tc>
        <w:tc>
          <w:tcPr>
            <w:tcW w:w="7414" w:type="dxa"/>
            <w:tcBorders/>
            <w:vAlign w:val="center"/>
          </w:tcPr>
          <w:p>
            <w:pPr>
              <w:pStyle w:val="p1"/>
              <w:spacing w:before="0" w:after="0"/>
              <w:jc w:val="both"/>
              <w:rPr/>
            </w:pPr>
            <w:r>
              <w:rPr/>
              <w:t>Familia de genes oncogénicos (KRAS, NRAS, HRAS)</w:t>
            </w:r>
          </w:p>
        </w:tc>
      </w:tr>
      <w:tr>
        <w:trPr/>
        <w:tc>
          <w:tcPr>
            <w:tcW w:w="1422" w:type="dxa"/>
            <w:tcBorders/>
            <w:vAlign w:val="center"/>
          </w:tcPr>
          <w:p>
            <w:pPr>
              <w:pStyle w:val="p1"/>
              <w:spacing w:before="0" w:after="0"/>
              <w:jc w:val="both"/>
              <w:rPr/>
            </w:pPr>
            <w:r>
              <w:rPr/>
              <w:t>TME</w:t>
            </w:r>
          </w:p>
        </w:tc>
        <w:tc>
          <w:tcPr>
            <w:tcW w:w="7414" w:type="dxa"/>
            <w:tcBorders/>
            <w:vAlign w:val="center"/>
          </w:tcPr>
          <w:p>
            <w:pPr>
              <w:pStyle w:val="p1"/>
              <w:spacing w:before="0" w:after="0"/>
              <w:jc w:val="both"/>
              <w:rPr/>
            </w:pPr>
            <w:r>
              <w:rPr/>
              <w:t>Escisión total del mesorrecto (</w:t>
            </w:r>
            <w:r>
              <w:rPr>
                <w:i/>
                <w:iCs/>
              </w:rPr>
              <w:t>Total Mesorectal Excision</w:t>
            </w:r>
            <w:r>
              <w:rPr/>
              <w:t>)</w:t>
            </w:r>
          </w:p>
        </w:tc>
      </w:tr>
      <w:tr>
        <w:trPr/>
        <w:tc>
          <w:tcPr>
            <w:tcW w:w="1422" w:type="dxa"/>
            <w:tcBorders/>
            <w:vAlign w:val="center"/>
          </w:tcPr>
          <w:p>
            <w:pPr>
              <w:pStyle w:val="p1"/>
              <w:spacing w:before="0" w:after="0"/>
              <w:jc w:val="both"/>
              <w:rPr/>
            </w:pPr>
            <w:r>
              <w:rPr/>
              <w:t>TNM</w:t>
            </w:r>
          </w:p>
        </w:tc>
        <w:tc>
          <w:tcPr>
            <w:tcW w:w="7414" w:type="dxa"/>
            <w:tcBorders/>
            <w:vAlign w:val="center"/>
          </w:tcPr>
          <w:p>
            <w:pPr>
              <w:pStyle w:val="p1"/>
              <w:spacing w:before="0" w:after="0"/>
              <w:jc w:val="both"/>
              <w:rPr/>
            </w:pPr>
            <w:r>
              <w:rPr/>
              <w:t>Sistema de estadificación tumoral: Tumor, Nódulo, Metástasis</w:t>
            </w:r>
          </w:p>
        </w:tc>
      </w:tr>
      <w:tr>
        <w:trPr/>
        <w:tc>
          <w:tcPr>
            <w:tcW w:w="1422" w:type="dxa"/>
            <w:tcBorders/>
            <w:vAlign w:val="center"/>
          </w:tcPr>
          <w:p>
            <w:pPr>
              <w:pStyle w:val="p1"/>
              <w:spacing w:before="0" w:after="0"/>
              <w:jc w:val="both"/>
              <w:rPr/>
            </w:pPr>
            <w:r>
              <w:rPr/>
              <w:t>WHO / OMS</w:t>
            </w:r>
          </w:p>
        </w:tc>
        <w:tc>
          <w:tcPr>
            <w:tcW w:w="7414" w:type="dxa"/>
            <w:tcBorders/>
            <w:vAlign w:val="center"/>
          </w:tcPr>
          <w:p>
            <w:pPr>
              <w:pStyle w:val="p1"/>
              <w:spacing w:before="0" w:after="0"/>
              <w:jc w:val="both"/>
              <w:rPr/>
            </w:pPr>
            <w:r>
              <w:rPr/>
              <w:t>Organización Mundial de la Salud (</w:t>
            </w:r>
            <w:r>
              <w:rPr>
                <w:i/>
                <w:iCs/>
              </w:rPr>
              <w:t>World Health Organization</w:t>
            </w:r>
            <w:r>
              <w:rPr/>
              <w:t>)</w:t>
            </w:r>
          </w:p>
        </w:tc>
      </w:tr>
    </w:tbl>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pStyle w:val="Normal"/>
        <w:jc w:val="center"/>
        <w:rPr>
          <w:b/>
        </w:rPr>
      </w:pPr>
      <w:r>
        <w:rPr>
          <w:b/>
        </w:rPr>
      </w:r>
    </w:p>
    <w:p>
      <w:pPr>
        <w:sectPr>
          <w:footerReference w:type="even" r:id="rId3"/>
          <w:footerReference w:type="default" r:id="rId4"/>
          <w:footerReference w:type="first" r:id="rId5"/>
          <w:type w:val="nextPage"/>
          <w:pgSz w:w="12240" w:h="15840"/>
          <w:pgMar w:left="1985" w:right="1418" w:gutter="0" w:header="0" w:top="1418" w:footer="708" w:bottom="1418"/>
          <w:pgNumType w:start="1" w:fmt="lowerRoman"/>
          <w:formProt w:val="false"/>
          <w:titlePg/>
          <w:textDirection w:val="lrTb"/>
          <w:docGrid w:type="default" w:linePitch="326" w:charSpace="0"/>
        </w:sectPr>
        <w:pStyle w:val="Normal"/>
        <w:jc w:val="center"/>
        <w:rPr>
          <w:b/>
        </w:rPr>
      </w:pPr>
      <w:r>
        <w:rPr>
          <w:b/>
        </w:rPr>
      </w:r>
    </w:p>
    <w:p>
      <w:pPr>
        <w:pStyle w:val="Heading1"/>
        <w:numPr>
          <w:ilvl w:val="0"/>
          <w:numId w:val="42"/>
        </w:numPr>
        <w:rPr/>
      </w:pPr>
      <w:bookmarkStart w:id="17" w:name="_Toc199584559"/>
      <w:bookmarkStart w:id="18" w:name="_Toc200580199"/>
      <w:bookmarkStart w:id="19" w:name="_Toc80568858"/>
      <w:r>
        <w:rPr/>
        <w:t>Introducción</w:t>
      </w:r>
      <w:bookmarkEnd w:id="17"/>
      <w:bookmarkEnd w:id="18"/>
      <w:bookmarkEnd w:id="19"/>
    </w:p>
    <w:p>
      <w:pPr>
        <w:pStyle w:val="Normal"/>
        <w:rPr/>
      </w:pPr>
      <w:r>
        <w:rPr/>
      </w:r>
    </w:p>
    <w:p>
      <w:pPr>
        <w:pStyle w:val="Heading2"/>
        <w:numPr>
          <w:ilvl w:val="1"/>
          <w:numId w:val="45"/>
        </w:numPr>
        <w:rPr/>
      </w:pPr>
      <w:bookmarkStart w:id="20" w:name="_Toc200580200"/>
      <w:r>
        <w:rPr/>
        <w:t>Introducción</w:t>
      </w:r>
      <w:bookmarkEnd w:id="20"/>
    </w:p>
    <w:p>
      <w:pPr>
        <w:pStyle w:val="p3"/>
        <w:spacing w:lineRule="auto" w:line="360" w:before="280" w:after="280"/>
        <w:jc w:val="both"/>
        <w:rPr/>
      </w:pPr>
      <w:r>
        <w:rPr/>
        <w:t>El cáncer apendicular constituye una entidad oncológica poco frecuente, con una incidencia estimada entre 0,12 y 0,15 casos por 100.000 habitantes, según reportes recientes</w:t>
      </w:r>
      <w:sdt>
        <w:sdtPr>
          <w:placeholder>
            <w:docPart w:val="DefaultPlaceholder_-1854013440"/>
          </w:placeholder>
          <w:tag w:val="MENDELEY_CITATION_v3_eyJjaXRhdGlvbklEIjoiTUVOREVMRVlfQ0lUQVRJT05fNjM0NDk4MWQtYTAxMC00N2Q3LWFlODEtOGY2ZDM4NTUyYzgxIiwicHJvcGVydGllcyI6eyJub3RlSW5kZXgiOjB9LCJpc0VkaXRlZCI6ZmFsc2UsIm1hbnVhbE92ZXJyaWRlIjp7ImlzTWFudWFsbHlPdmVycmlkZGVuIjpmYWxzZSwiY2l0ZXByb2NUZXh0IjoiKDEpIiwibWFudWFsT3ZlcnJpZGVUZXh0IjoiIn0sImNpdGF0aW9uSXRlbXMiOlt7ImlkIjoiYjNjOWIwN2QtMDU4NC0zZDQ5LTg1NWEtZmE1OGRiMGM1OWM3IiwiaXRlbURhdGEiOnsidHlwZSI6IndlYnBhZ2UiLCJpZCI6ImIzYzliMDdkLTA1ODQtM2Q0OS04NTVhLWZhNThkYjBjNTljNyIsInRpdGxlIjoiU0VFUipFeHBsb3JlciBBcHBsaWNhdGlvbiIsImF1dGhvciI6W3siZmFtaWx5IjoiTmF0aW9uYWwgQ2FuY2VyIEluc3RpdHV0ZSIsImdpdmVuIjoiIiwicGFyc2UtbmFtZXMiOmZhbHNlLCJkcm9wcGluZy1wYXJ0aWNsZSI6IiIsIm5vbi1kcm9wcGluZy1wYXJ0aWNsZSI6IiJ9XSwiY29udGFpbmVyLXRpdGxlIjoiQmV0aGVzZGEgKE1EKSIsIlVSTCI6Imh0dHBzOi8vc2Vlci5jYW5jZXIuZ292L3JlZ2lzdHJpZXMvdGVybXMuaHRtbCIsImlzc3VlZCI6eyJkYXRlLXBhcnRzIjpbWzIwMjUsNSwzMF1dfSwibGFuZ3VhZ2UiOiJJbmdsw6lzIiwiY29udGFpbmVyLXRpdGxlLXNob3J0IjoiIn0sImlzVGVtcG9yYXJ5IjpmYWxzZX1dfQ=="/>
          <w:id w:val="-836681121"/>
        </w:sdtPr>
        <w:sdtContent>
          <w:r>
            <w:rPr/>
          </w:r>
          <w:r>
            <w:rPr>
              <w:color w:val="000000"/>
            </w:rPr>
            <w:t>(1)</w:t>
          </w:r>
        </w:sdtContent>
      </w:sdt>
      <w:r>
        <w:rPr/>
        <w:t xml:space="preserve">. Tradicionalmente, </w:t>
      </w:r>
      <w:r>
        <w:rPr/>
        <w:t>su diagnóstico ha sido incidental, principalmente en especímenes de apendicectomía realizados por sospecha de apendicitis aguda</w:t>
      </w:r>
      <w:sdt>
        <w:sdtPr>
          <w:placeholder>
            <w:docPart w:val="DefaultPlaceholder_-1854013440"/>
          </w:placeholder>
          <w:tag w:val="MENDELEY_CITATION_v3_eyJjaXRhdGlvbklEIjoiTUVOREVMRVlfQ0lUQVRJT05fMTU3YjJiOTctZmEwYS00NWIxLTk3YjUtMDE0ZTgzZDUyMzk5IiwicHJvcGVydGllcyI6eyJub3RlSW5kZXgiOjB9LCJpc0VkaXRlZCI6ZmFsc2UsIm1hbnVhbE92ZXJyaWRlIjp7ImlzTWFudWFsbHlPdmVycmlkZGVuIjpmYWxzZSwiY2l0ZXByb2NUZXh0IjoiKDIpIiwibWFudWFsT3ZlcnJpZGVUZXh0IjoiIn0sImNpdGF0aW9uSXRlbXMiOlt7ImlkIjoiYTkwOWI3YjgtMzAxNi0zZjAzLTgyZTYtZjdhN2RlMTI2NzM1IiwiaXRlbURhdGEiOnsidHlwZSI6ImFydGljbGUtam91cm5hbCIsImlkIjoiYTkwOWI3YjgtMzAxNi0zZjAzLTgyZTYtZjdhN2RlMTI2NzM1IiwidGl0bGUiOiJFdmFsdWF0aW5nIHRoZSBTdXJnaWNhbCBNYW5hZ2VtZW50IG9mIEFwcGVuZGljZWFsIE5lb3BsYXNtcyBEaWFnbm9zZWQgZm9sbG93aW5nIEFwcGVuZGljZWN0b215IiwiYXV0aG9yIjpbeyJmYW1pbHkiOiJBbWlyIiwiZ2l2ZW4iOiJBIEgiLCJwYXJzZS1uYW1lcyI6ZmFsc2UsImRyb3BwaW5nLXBhcnRpY2xlIjoiIiwibm9uLWRyb3BwaW5nLXBhcnRpY2xlIjoiIn0seyJmYW1pbHkiOiJEYXZleSIsImdpdmVuIjoiTSBHIiwicGFyc2UtbmFtZXMiOmZhbHNlLCJkcm9wcGluZy1wYXJ0aWNsZSI6IiIsIm5vbi1kcm9wcGluZy1wYXJ0aWNsZSI6IiJ9LHsiZmFtaWx5IjoiQ2hpYSIsImdpdmVuIjoiVCBNIiwicGFyc2UtbmFtZXMiOmZhbHNlLCJkcm9wcGluZy1wYXJ0aWNsZSI6IiIsIm5vbi1kcm9wcGluZy1wYXJ0aWNsZSI6IiJ9LHsiZmFtaWx5IjoiTydjb25uZWxsIiwiZ2l2ZW4iOiJMIiwicGFyc2UtbmFtZXMiOmZhbHNlLCJkcm9wcGluZy1wYXJ0aWNsZSI6IlYiLCJub24tZHJvcHBpbmctcGFydGljbGUiOiIifSx7ImZhbWlseSI6IkNob3kiLCJnaXZlbiI6Ik0iLCJwYXJzZS1uYW1lcyI6ZmFsc2UsImRyb3BwaW5nLXBhcnRpY2xlIjoiIiwibm9uLWRyb3BwaW5nLXBhcnRpY2xlIjoiIn0seyJmYW1pbHkiOiJNZXNoa2F0IiwiZ2l2ZW4iOiJCIiwicGFyc2UtbmFtZXMiOmZhbHNlLCJkcm9wcGluZy1wYXJ0aWNsZSI6IiIsIm5vbi1kcm9wcGluZy1wYXJ0aWNsZSI6IiJ9LHsiZmFtaWx5IjoiTnVnZW50IiwiZ2l2ZW4iOiJFIiwicGFyc2UtbmFtZXMiOmZhbHNlLCJkcm9wcGluZy1wYXJ0aWNsZSI6IiIsIm5vbi1kcm9wcGluZy1wYXJ0aWNsZSI6IiJ9LHsiZmFtaWx5IjoiSm95Y2UiLCJnaXZlbiI6Ik0gUiIsInBhcnNlLW5hbWVzIjpmYWxzZSwiZHJvcHBpbmctcGFydGljbGUiOiIiLCJub24tZHJvcHBpbmctcGFydGljbGUiOiIifSx7ImZhbWlseSI6IlJlZ2FuIiwiZ2l2ZW4iOiJNIiwicGFyc2UtbmFtZXMiOmZhbHNlLCJkcm9wcGluZy1wYXJ0aWNsZSI6IiIsIm5vbi1kcm9wcGluZy1wYXJ0aWNsZSI6IiJ9LHsiZmFtaWx5IjoiSG9nYW4iLCJnaXZlbiI6IkEgTSIsInBhcnNlLW5hbWVzIjpmYWxzZSwiZHJvcHBpbmctcGFydGljbGUiOiIiLCJub24tZHJvcHBpbmctcGFydGljbGUiOiIifV0sImNvbnRhaW5lci10aXRsZSI6IklyIE1lZCBKIiwiYWNjZXNzZWQiOnsiZGF0ZS1wYXJ0cyI6W1syMDI1LDQsMThdXX0sImlzc3VlZCI6eyJkYXRlLXBhcnRzIjpbWzIwMjNdXX0sImFic3RyYWN0IjoiQXBwZW5kaXggbmVvcGxhc21zIGFyZSByYXJlIHR1bW91cnMgYW5kIGFyZSBvZnRlbiBpbmNpZGVudGFsbHkgZGlhZ25vc2VkLiBNYW5hZ2VtZW50IG9mIHR1bW91cnMgcG9zdCBvcGVyYXRpdmVseSBhcmUgZGVwZW5kZW50IG9uIHR1bW91ciB0eXBlLCBzaXplIGFuZCBoaXN0b2xvZ2ljYWwgZmVhdHVyZXMuIEFpbXMgVG8gZXZhbHVhdGUgdGhlIGluY2lkZW5jZSBvZiBhcHBlbmRpeCBuZW9wbGFzbXMgbWFuYWdlZCBpbiBhIGxhcmdlIElyaXNoIGhvc3BpdGFsIGFuZCB0byBkZXRlcm1pbmUgY29tcGxpYW5jZSB3aXRoIGludGVybmF0aW9uYWwgZ3VpZGVsaW5lcyBzdWNoIGFzIEV1cm9wZWFuIE5ldXJvZW5kb2NyaW5lIFR1bW91ciBTb2NpZXR5IChFTkVUUykgYW5kIEFtZXJpY2FuIFNvY2lldHkgb2YgQ29sb24gYW5kIFJlY3RhbCBTdXJnZW9ucyAoQVNDUlMpIGZvciBhcHBlbmRpY2VhbCBuZXVyb2VuZG9jcmluZSB0dW1vdXJzIChORVQpIGFuZCBsb3cgZ3JhZGUgYXBwZW5kaWNlYWwgbXVjaW5vdXMgbmVvcGxhc21zIChMQU1OKSByZXNwZWN0aXZlbHkuIE1ldGhvZHMgQSBwcm9zcGVjdGl2ZWx5IG1haW50YWluZWQgZ2FzdHJvaW50ZXN0aW5hbCBvbmNvbG9neSBkYXRhYmFzZSB3YXMgc3R1ZGllZCBvdmVyIGEgc2l4IHllYXIgcGVyaW9kIChKdWx5IDIwMTYtSnVseSAyMDIyKS4gRGF0YSBnYXRoZXJlZCBpbmNsdWRlIHBhdGllbnQgZGVtb2dyYXBoaWNzLCBjbGluaWNhbCBwcmVzZW50YXRpb24sIG1hbmFnZW1lbnQgYW5kIGZvbGxvdyB1cC4gSGlzdG9wYXRob2xvZ2ljYWwgc3RhZ2luZyB3YXMgYWNjb3JkaW5nIHRvIHRoZSBBbWVyaWNhbiBKb2ludCBDb21taXR0ZWUgb24gQ2FuY2VyIChBSkNDKSA4IHRoIGVkaXRpb24uIFJlc3VsdHMgVGhlIGluY2lkZW5jZSBvZiBhcHBlbmRpeCBuZW9wbGFzbSBhbW9uZ3N0IHBhdGllbnRzIHdobyB1bmRlcndlbnQgYXBwZW5kaWNlY3RvbXkgb3ZlciB0aGUgc3R1ZHkgcGVyaW9kIHdhcyAxLjMlICgxNi8xLDI1OSkuIFRoZXNlIGNvbXByaXNlZCBvZiA4IE5FVCwgNSBMQU1OLCAyIGludmFzaXZlIGFkZW5vY2FyY2lub21hIGFuZCAxIGFkZW5vY2FyY2lub2lkLiBUaGUgbWFqb3JpdHkgd2VyZSBtYW5hZ2VkIHdpdGggYXBwZW5kaWNlY3RvbXkgKDE0LzE2LCA4Ny41JSkuIEZvbGxvd2luZyBkaXNjdXNzaW9uIGF0IHR1bW91ciBib2FyZCBtZWV0aW5nLCBvbmUgcGF0aWVudCB1bmRlcndlbnQgcmlnaHQgaGVtaWNvbGVjdG9teS4gRm91ciBwYXRpZW50cyB3ZXJlIGVucm9sbGVkIG9uIGEgc3VydmVpbGxhbmNlIHByb2dyYW1tZS4gQSBmdXJ0aGVyIGZvdXIgd2l0aCBMQU1OIHVuZGVyd2VudCBvbmx5IGFwcGVuZGljZWN0b215IGFuZCBvbmUgaGFkIGFwcGVuZGljZWN0b215IGFuZCBwYXJ0aWFsIGNhZWNlY3RvbXkuIFN1cnZlaWxsYW5jZSB3YXMgbm90IGRlZW1lZCBuZWNlc3NhcnkgaW4gYW55IG9mIHRoZSBMQU1OIGNhc2VzLiBDb25jbHVzaW9uIEZpbmRpbmdzIG9uIGluY2lkZW5jZSBvZiBhcHBlbmRpeCBuZW9wbGFzbSBpbiBvdXIgY2VudHJlIGlzIGNvbXBhcmFibGUgdG8gdGhhdCByZXBvcnRlZCBpbiBsYXJnZXIgc2VyaWVzICgyLjAlKS4gQ2xpbmljaWFuIGFkaGVyZW5jZSB0byB0aGUgcmVjb21tZW5kZWQgY29uc2Vuc3VzIGd1aWRlbGluZXMgYW5kIGxpdGVyYXR1cmUgZm9yIGFwcGVuZGljZWFsIE5FVCBhbmQgTEFNTiBjYXNlcyB3ZSBoYWQgb3ZlciB0aGUgc3R1ZHkgcGVyaW9kIHdlcmUgc2F0aXNmYWN0b3J5LiIsImlzc3VlIjoiNiIsInZvbHVtZSI6IjExNiIsImNvbnRhaW5lci10aXRsZS1zaG9ydCI6IiJ9LCJpc1RlbXBvcmFyeSI6ZmFsc2V9XX0="/>
          <w:id w:val="-364291003"/>
        </w:sdtPr>
        <w:sdtContent>
          <w:r>
            <w:rPr/>
          </w:r>
          <w:r>
            <w:rPr>
              <w:color w:val="000000"/>
            </w:rPr>
            <w:t>(2)</w:t>
          </w:r>
        </w:sdtContent>
      </w:sdt>
      <w:r>
        <w:rPr>
          <w:color w:val="000000"/>
        </w:rPr>
        <w:t xml:space="preserve">. </w:t>
      </w:r>
      <w:r>
        <w:rPr/>
        <w:t>No obstante, estudios epidemiológicos internacionales recientes demuestran un aumento en la incidencia de tumores apendiculares, especialmente de tumores neuroendocrinos y adenocarcinomas mucinosos</w:t>
      </w:r>
      <w:sdt>
        <w:sdtPr>
          <w:placeholder>
            <w:docPart w:val="DefaultPlaceholder_-1854013440"/>
          </w:placeholder>
          <w:tag w:val="MENDELEY_CITATION_v3_eyJjaXRhdGlvbklEIjoiTUVOREVMRVlfQ0lUQVRJT05fY2EwZTkwMTUtM2EwYi00Mjk5LWFjZGUtYTczZWExYWFjNjU5IiwicHJvcGVydGllcyI6eyJub3RlSW5kZXgiOjB9LCJpc0VkaXRlZCI6ZmFsc2UsIm1hbnVhbE92ZXJyaWRlIjp7ImlzTWFudWFsbHlPdmVycmlkZGVuIjpmYWxzZSwiY2l0ZXByb2NUZXh0IjoiKDMpIiwibWFudWFsT3ZlcnJpZGVUZXh0IjoiIn0sImNpdGF0aW9uSXRlbXMiOlt7ImlkIjoiMTY3NzkzYzgtNjAwYy0zOGMzLWFlMzgtNWNlNTQ3MGIxYjY0IiwiaXRlbURhdGEiOnsidHlwZSI6ImFydGljbGUtam91cm5hbCIsImlkIjoiMTY3NzkzYzgtNjAwYy0zOGMzLWFlMzgtNWNlNTQ3MGIxYjY0IiwidGl0bGUiOiJDb250aW51ZWQgaW5jcmVhc2luZyBpbmNpZGVuY2Ugb2YgbWFsaWduYW50IGFwcGVuZGljZWFsIHR1bW9ycyBpbiBDYW5hZGEgYW5kIHRoZSBVbml0ZWQgU3RhdGVzOiBBIHBvcHVsYXRpb24tYmFzZWQgc3R1ZHkiLCJhdXRob3IiOlt7ImZhbWlseSI6IlNpbmdoIiwiZ2l2ZW4iOiJIYXJtaW5kZXIiLCJwYXJzZS1uYW1lcyI6ZmFsc2UsImRyb3BwaW5nLXBhcnRpY2xlIjoiIiwibm9uLWRyb3BwaW5nLXBhcnRpY2xlIjoiIn0seyJmYW1pbHkiOiJLb29tc29uIiwiZ2l2ZW4iOiJBbmFuZGEgUy4iLCJwYXJzZS1uYW1lcyI6ZmFsc2UsImRyb3BwaW5nLXBhcnRpY2xlIjoiIiwibm9uLWRyb3BwaW5nLXBhcnRpY2xlIjoiIn0seyJmYW1pbHkiOiJEZWNrZXIiLCJnaXZlbiI6IkthdGhsZWVuIE0uIiwicGFyc2UtbmFtZXMiOmZhbHNlLCJkcm9wcGluZy1wYXJ0aWNsZSI6IiIsIm5vbi1kcm9wcGluZy1wYXJ0aWNsZSI6IiJ9LHsiZmFtaWx5IjoiUGFyayIsImdpdmVuIjoiSmFzb24iLCJwYXJzZS1uYW1lcyI6ZmFsc2UsImRyb3BwaW5nLXBhcnRpY2xlIjoiIiwibm9uLWRyb3BwaW5nLXBhcnRpY2xlIjoiIn0seyJmYW1pbHkiOiJEZW1lcnMiLCJnaXZlbiI6IkFsYWluIEEuIiwicGFyc2UtbmFtZXMiOmZhbHNlLCJkcm9wcGluZy1wYXJ0aWNsZSI6IiIsIm5vbi1kcm9wcGluZy1wYXJ0aWNsZSI6IiJ9XSwiY29udGFpbmVyLXRpdGxlIjoiQ2FuY2VyIiwiY29udGFpbmVyLXRpdGxlLXNob3J0IjoiQ2FuY2VyIiwiRE9JIjoiMTAuMTAwMi9DTkNSLjMyNzkzIiwiSVNTTiI6IjEwOTctMDE0MiIsIlBNSUQiOiIzMjEwMTY0MyIsImlzc3VlZCI6eyJkYXRlLXBhcnRzIjpbWzIwMjBdXX0sInBhZ2UiOiIyMjA2LTIyMTYiLCJhYnN0cmFjdCI6IkJhY2tncm91bmQ6IFRvIHRoZSBhdXRob3JzJyBrbm93bGVkZ2UsIHRoZXJlIGFyZSBsaW1pdGVkIGRhdGEgcmVnYXJkaW5nIHRoZSBlcGlkZW1pb2xvZ3kgb2YgbWFsaWduYW50IGFwcGVuZGljZWFsIHR1bW9ycy4gSXQgcmVtYWlucyB1bmtub3duIHdoZXRoZXIgdGhlIHByZXZpb3VzbHkgcmVwb3J0ZWQgdHJlbmRzIGFyZSBvY2N1cnJpbmcgaW4gZGlmZmVyZW50IGNvdW50cmllcyBhbmQvb3IgY29udGludWluZyBpbiByZWNlbnQgeWVhcnMgYW5kL29yIHdoZXRoZXIgdGhleSBhcmUgcG9zc2libHkgZHVlIHRvIGluY3JlYXNpbmcgcmF0ZXMgb2YgYXBwZW5kZWN0b21pZXMuIEluIHRoZSBjdXJyZW50IHN0dWR5LCB0aGUgYXV0aG9ycyBpbnZlc3RpZ2F0ZWQgdGhlIHBhdHRlcm5zIGFuZCB0aW1lIHRyZW5kcyBvZiBtYWxpZ25hbnQgYXBwZW5kaWNlYWwgdHVtb3IgZGlhZ25vc2lzIGJ5IGFnZSBncm91cCwgc2V4LCBzdGFnZSBvZiBkaXNlYXNlLCBhbmQgaGlzdG9sb2d5IGluIENhbmFkYSBhbmQgdGhlIFVuaXRlZCBTdGF0ZXMgYW5kIGNvbmNvbWl0YW50IHJhdGVzIG9mIGFwcGVuZGVjdG9taWVzIGluIENhbmFkYS4gTWV0aG9kczogVGhlIENhbmFkaWFuIENhbmNlciBSZWdpc3RyeSBhbmQgdGhlIFVTIFN1cnZlaWxsYW5jZSwgRXBpZGVtaW9sb2d5LCBhbmQgRW5kIFJlc3VsdHMgaW5jaWRlbmNlIGRhdGFiYXNlcyB3ZXJlIHVzZWQgdG8gaWRlbnRpZnkgaW5jaWRlbnQgcGF0aWVudHMgb2YgbWFsaWduYW50IGFwcGVuZGljZWFsIHR1bW9ycyBpbiB0aGUgMiBjb3VudHJpZXMgYmV0d2VlbiAxOTkyIGFuZCAyMDE2LiBUaGUgQ2FuYWRpYW4gbmF0aW9uYWwgaG9zcGl0YWxzIERpc2NoYXJnZSBBYnN0cmFjdCBEYXRhYmFzZSB3YXMgdXNlZCB0byBpZGVudGlmeSBhcHBlbmRlY3RvbWllcyBwZXJmb3JtZWQgYmV0d2VlbiAyMDA0IGFuZCAyMDE1LiBKb2lucG9pbnQgcmVncmVzc2lvbiBhbmFseXNlcyB3ZXJlIHBlcmZvcm1lZCB0byBkZXRlcm1pbmUgdGltZSB0cmVuZHMuIFJlc3VsdHM6IFRoZXJlIHdhcyBhbiBvdmVyYWxsIGluY3JlYXNlIGluIHRoZSBpbmNpZGVuY2Ugb2YgbWFsaWduYW50IGFwcGVuZGljZWFsIHR1bW9ycyBvZiAyMzIlIGluIHRoZSBVbml0ZWQgU3RhdGVzIGFuZCAyOTIlIGluIENhbmFkYSBiZXR3ZWVuIDIwMDAgYW5kIDIwMTYuIFRoZSBpbmNyZWFzZSB3YXMgbm90ZWQgZm9yIG1hbGlnbmFudCBhZGVub2NhcmNpbm9tYXMgYW5kIG5ldXJvZW5kb2NyaW5lIGFwcGVuZGljZWFsIHR1bW9ycyBpbiBib3RoIGNvdW50cmllcy4gVGhlIGluY3JlYXNlIG9jY3VycmVkIGFjcm9zcyBhbGwgYWdlIGdyb3Vwcywgc2V4ZXMsIGFuZCBzdGFnZXMgb2YgZGlzZWFzZS4gVGhlIGhpZ2hlc3QgcmF0ZSBvZiBpbmNyZWFzZSB3YXMgbm90ZWQgZm9yIGFwcGVuZGljZWFsIG5ldXJvZW5kb2NyaW5lIG1hbGlnbmFudCB0dW1vcnMgZGlhZ25vc2VkIGFtb25nIHRoZSB5b3VuZ2VzdCBhZ2UgZ3JvdXBzLiBUaGUgcmF0ZSBvZiBhcHBlbmRlY3RvbWllcyB3YXMgc3RhYmxlIGluIHRoZSByZWNlbnQgdGltZSBwZXJpb2RzLCByZXN1bHRpbmcgaW4gYSBkZWNyZWFzaW5nIHJhdGUgb2YgYXBwZW5kZWN0b21pZXMgcGVyIG1hbGlnbmFudCBhcHBlbmRpY2VhbCB0dW1vciBkaWFnbm9zaXMuIENvbmNsdXNpb25zOiBUaGUgaW5jaWRlbmNlIG9mIG1hbGlnbmFudCBhcHBlbmRpY2VhbCB0dW1vciBpcyBjb250aW51aW5nIHRvIGluY3JlYXNlLCB3aGljaCBpcyBub3QgbGlrZWx5IGR1ZSB0byB0aGUgaW5jcmVhc2luZyBkaWFnbm9zaXMgb2YgYXN5bXB0b21hdGljIHR1bW9ycyBhdCB0aGUgdGltZSBvZiBhcHBlbmRlY3RvbWllcy4iLCJwdWJsaXNoZXIiOiJDYW5jZXIiLCJpc3N1ZSI6IjEwIiwidm9sdW1lIjoiMTI2In0sImlzVGVtcG9yYXJ5IjpmYWxzZX1dfQ=="/>
          <w:id w:val="-1262762669"/>
        </w:sdtPr>
        <w:sdtContent>
          <w:r>
            <w:rPr/>
          </w:r>
          <w:r>
            <w:rPr>
              <w:color w:val="000000"/>
            </w:rPr>
            <w:t>(3)</w:t>
          </w:r>
        </w:sdtContent>
      </w:sdt>
      <w:sdt>
        <w:sdtPr>
          <w:placeholder>
            <w:docPart w:val="DefaultPlaceholder_-1854013440"/>
          </w:placeholder>
          <w:tag w:val="MENDELEY_CITATION_v3_eyJjaXRhdGlvbklEIjoiTUVOREVMRVlfQ0lUQVRJT05fZWI3OGZiMGUtMDA4YS00ZjM4LWI0MTEtMzRjOTEwOTI1YmVj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1361425936"/>
        </w:sdtPr>
        <w:sdtContent>
          <w:r>
            <w:rPr>
              <w:color w:val="000000"/>
            </w:rPr>
          </w:r>
          <w:r>
            <w:rPr>
              <w:rFonts w:eastAsia="MS Mincho"/>
              <w:color w:val="000000"/>
            </w:rPr>
            <w:t>(4)</w:t>
          </w:r>
        </w:sdtContent>
      </w:sdt>
      <w:r>
        <w:rPr/>
        <w:t>.</w:t>
      </w:r>
    </w:p>
    <w:p>
      <w:pPr>
        <w:pStyle w:val="p3"/>
        <w:spacing w:lineRule="auto" w:line="360" w:before="280" w:after="280"/>
        <w:jc w:val="both"/>
        <w:rPr/>
      </w:pPr>
      <w:r>
        <w:rPr/>
        <w:t>Esta neoplasia abarca un espectro histológico amplio que incluye tumores neuroendocrinos bien diferenciados, adenocarcinomas convencionales, adenocarcinomas mucinosos de bajo y alto grado (LAMN y HAMN), y carcinomas de células caliciformes</w:t>
      </w:r>
      <w:sdt>
        <w:sdtPr>
          <w:placeholder>
            <w:docPart w:val="DefaultPlaceholder_-1854013440"/>
          </w:placeholder>
          <w:tag w:val="MENDELEY_CITATION_v3_eyJjaXRhdGlvbklEIjoiTUVOREVMRVlfQ0lUQVRJT05fMzM2ODY1OWEtNDkwOC00ODkzLTgwMDEtOGJlYjA1OWY0ODBkIiwicHJvcGVydGllcyI6eyJub3RlSW5kZXgiOjB9LCJpc0VkaXRlZCI6ZmFsc2UsIm1hbnVhbE92ZXJyaWRlIjp7ImlzTWFudWFsbHlPdmVycmlkZGVuIjpmYWxzZSwiY2l0ZXByb2NUZXh0IjoiKDUpIiwibWFudWFsT3ZlcnJpZGVUZXh0IjoiIn0sImNpdGF0aW9uSXRlbXMiOlt7ImlkIjoiNWQ0ZTZkMGQtOTE3Zi0zZThiLTk2OTQtMGY0YzYyMDY2ZDA3IiwiaXRlbURhdGEiOnsidHlwZSI6ImFydGljbGUtam91cm5hbCIsImlkIjoiNWQ0ZTZkMGQtOTE3Zi0zZThiLTk2OTQtMGY0YzYyMDY2ZDA3IiwidGl0bGUiOiJDdXJyZW50IE1hbmFnZW1lbnQgb2YgQXBwZW5kaWNlYWwgTmVvcGxhc21zIiwiYXV0aG9yIjpbeyJmYW1pbHkiOiJIb2VobiIsImdpdmVuIjoiUmljaGFyZCBTIiwicGFyc2UtbmFtZXMiOmZhbHNlLCJkcm9wcGluZy1wYXJ0aWNsZSI6IiIsIm5vbi1kcm9wcGluZy1wYXJ0aWNsZSI6IiJ9LHsiZmFtaWx5IjoiUmllc2VyIiwiZ2l2ZW4iOiJDYXJvbGluZSBKIiwicGFyc2UtbmFtZXMiOmZhbHNlLCJkcm9wcGluZy1wYXJ0aWNsZSI6IiIsIm5vbi1kcm9wcGluZy1wYXJ0aWNsZSI6IiJ9LHsiZmFtaWx5IjoiSGFyb29uIENob3VkcnkiLCJnaXZlbiI6IjsgTSIsInBhcnNlLW5hbWVzIjpmYWxzZSwiZHJvcHBpbmctcGFydGljbGUiOiIiLCJub24tZHJvcHBpbmctcGFydGljbGUiOiIifSx7ImZhbWlseSI6Ik1lbG5pdGNob3VrIiwiZ2l2ZW4iOiJOZWx5YSIsInBhcnNlLW5hbWVzIjpmYWxzZSwiZHJvcHBpbmctcGFydGljbGUiOiIiLCJub24tZHJvcHBpbmctcGFydGljbGUiOiIifSx7ImZhbWlseSI6IkhlY2h0bWFuIiwiZ2l2ZW4iOiJKYWNseW4iLCJwYXJzZS1uYW1lcyI6ZmFsc2UsImRyb3BwaW5nLXBhcnRpY2xlIjoiIiwibm9uLWRyb3BwaW5nLXBhcnRpY2xlIjoiIn0seyJmYW1pbHkiOiJCYWhhcnkiLCJnaXZlbiI6Ik5hdGhhbiIsInBhcnNlLW5hbWVzIjpmYWxzZSwiZHJvcHBpbmctcGFydGljbGUiOiIiLCJub24tZHJvcHBpbmctcGFydGljbGUiOiIifV0sImNvbnRhaW5lci10aXRsZSI6Ikdhc3Ryb2ludGVzdGluYWwgQ2FuY2VyLUNvbG9yZWN0YWwgYW5kIGFuYWwiLCJhY2Nlc3NlZCI6eyJkYXRlLXBhcnRzIjpbWzIwMjUsNSwzMF1dfSwiRE9JIjoiMTAuMTIwMC9FREJLXyIsImlzc3VlZCI6eyJkYXRlLXBhcnRzIjpbWzIwMjFdXX0sInBhZ2UiOiIxMTgtMTQyIiwiaXNzdWUiOiI0MSIsInZvbHVtZSI6IjQxIiwiY29udGFpbmVyLXRpdGxlLXNob3J0IjoiIn0sImlzVGVtcG9yYXJ5IjpmYWxzZX1dfQ=="/>
          <w:id w:val="973327036"/>
        </w:sdtPr>
        <w:sdtContent>
          <w:r>
            <w:rPr/>
          </w:r>
          <w:r>
            <w:rPr>
              <w:color w:val="000000"/>
            </w:rPr>
            <w:t>(5)</w:t>
          </w:r>
        </w:sdtContent>
      </w:sdt>
      <w:r>
        <w:rPr/>
        <w:t xml:space="preserve">. </w:t>
      </w:r>
      <w:r>
        <w:rPr/>
        <w:t>La heterogeneidad histológica condiciona diferentes comportamientos biológicos y, en consecuencia, diversas estrategias diagnósticas y terapéuticas</w:t>
      </w:r>
      <w:sdt>
        <w:sdtPr>
          <w:placeholder>
            <w:docPart w:val="DefaultPlaceholder_-1854013440"/>
          </w:placeholder>
          <w:tag w:val="MENDELEY_CITATION_v3_eyJjaXRhdGlvbklEIjoiTUVOREVMRVlfQ0lUQVRJT05fMGQ3ZDZkYmYtNDY3Yy00YjFjLWE1ZDQtMmFkM2Y1Y2QzNTQyIiwicHJvcGVydGllcyI6eyJub3RlSW5kZXgiOjB9LCJpc0VkaXRlZCI6ZmFsc2UsIm1hbnVhbE92ZXJyaWRlIjp7ImlzTWFudWFsbHlPdmVycmlkZGVuIjpmYWxzZSwiY2l0ZXByb2NUZXh0IjoiKDYpIiwibWFudWFsT3ZlcnJpZGVUZXh0IjoiIn0sImNpdGF0aW9uSXRlbXMiOlt7ImlkIjoiYmZmZWMwZDYtMWE5ZS0zMjI1LWFlOWYtMTFlZjdjMmJlYzFhIiwiaXRlbURhdGEiOnsidHlwZSI6ImFydGljbGUtam91cm5hbCIsImlkIjoiYmZmZWMwZDYtMWE5ZS0zMjI1LWFlOWYtMTFlZjdjMmJlYzFhIiwidGl0bGUiOiJBcHBlbmRpY2VhbCBuZW9wbGFzbXMt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zdXJnaWNhbCBvbmNvbG9neSIsImNvbnRhaW5lci10aXRsZS1zaG9ydCI6IkogU3VyZyBPbmNvbCIsImFjY2Vzc2VkIjp7ImRhdGUtcGFydHMiOltbMjAyNSwzLDI5XV19LCJET0kiOiIxMC4xMDAyL0pTTy4yNzMwNCIsIklTU04iOiIxMDk2LTkwOTgiLCJQTUlEIjoiMzcyMjI2OTIiLCJVUkwiOiJodHRwczovL3B1Ym1lZC5uY2JpLm5sbS5uaWguZ292LzM3MjIyNjkyLyIsImlzc3VlZCI6eyJkYXRlLXBhcnRzIjpbWzIwMjMsNiwxNV1dfSwicGFnZSI6IjEzMDAtMTMwNSIsImFic3RyYWN0IjoiQXBwZW5kaWNlYWwgbmVvcGxhc21zIChBTnMpIGFyZSBhIGRpdmVyc2UgZ3JvdXAgb2YgcGF0aG9sb2dpZXMgdGhhdCByYW5nZSBmcm9tIGJlbmlnbiB0byBtYWxpZ25hbnQgd2l0aCB3aWRlbHkgdmFyeWluZyBwcm9nbm9zZXMuIFRoaXMgYXJ0aWNsZSBzZXJ2ZXMgYXMgYW4gb3ZlcnZpZXcgb2YgdGhlIHByYWN0aWNhbCBhcHByb2FjaCB0byBldmFsdWF0aW5nIGFuZCBtYW5hZ2luZyBhIHBhdGllbnQgd2l0aCBBTiBieSByZXZpZXdpbmcgdGhlIGN1cnJlbnQgbGl0ZXJhdHVyZSBhbmQgZ3VpZGVsaW5lcyB0byBwcm92aWRlIGEgZnJhbWV3b3JrIGZvciB0aGUgbWFuYWdlbWVudCBvZiB0aGVzZSBudWFuY2VkIHBhdGhvbG9naWVzLiIsInB1Ymxpc2hlciI6IkogU3VyZyBPbmNvbCIsImlzc3VlIjoiOCIsInZvbHVtZSI6IjEyNyJ9LCJpc1RlbXBvcmFyeSI6ZmFsc2V9XX0="/>
          <w:id w:val="356159377"/>
        </w:sdtPr>
        <w:sdtContent>
          <w:r>
            <w:rPr/>
          </w:r>
          <w:r>
            <w:rPr>
              <w:color w:val="000000"/>
            </w:rPr>
            <w:t>(6)</w:t>
          </w:r>
        </w:sdtContent>
      </w:sdt>
      <w:r>
        <w:rPr/>
        <w:t>.</w:t>
      </w:r>
    </w:p>
    <w:p>
      <w:pPr>
        <w:pStyle w:val="p3"/>
        <w:spacing w:lineRule="auto" w:line="360" w:before="280" w:after="280"/>
        <w:jc w:val="both"/>
        <w:rPr/>
      </w:pPr>
      <w:r>
        <w:rPr/>
        <w:t>A pesar de los avances en técnicas de imagenología y patología, la identificación preoperatoria sigue siendo un desafío, dada la inespecificidad clínica de la mayoría de los casos</w:t>
      </w:r>
      <w:sdt>
        <w:sdtPr>
          <w:placeholder>
            <w:docPart w:val="DefaultPlaceholder_-1854013440"/>
          </w:placeholder>
          <w:tag w:val="MENDELEY_CITATION_v3_eyJjaXRhdGlvbklEIjoiTUVOREVMRVlfQ0lUQVRJT05fNjVjMjQwYzYtNmY5OC00NTA2LWEyZjItYjQxNzI3YTY0MmU0IiwicHJvcGVydGllcyI6eyJub3RlSW5kZXgiOjB9LCJpc0VkaXRlZCI6ZmFsc2UsIm1hbnVhbE92ZXJyaWRlIjp7ImlzTWFudWFsbHlPdmVycmlkZGVuIjpmYWxzZSwiY2l0ZXByb2NUZXh0IjoiKDcpIiwibWFudWFsT3ZlcnJpZGVUZXh0IjoiIn0sImNpdGF0aW9uSXRlbXMiOlt7ImlkIjoiOGY5NWQzNmEtMmJmYy0zNjRlLTgwMGYtYjVkM2I4NTgxMjA2IiwiaXRlbURhdGEiOnsidHlwZSI6ImFydGljbGUtam91cm5hbCIsImlkIjoiOGY5NWQzNmEtMmJmYy0zNjRlLTgwMGYtYjVkM2I4NTgxMjA2IiwidGl0bGUiOiJBcHBlbmRpY2VhbCB0dW1vdXJzIC0gQSBjb3JyZWxhdGlvbiBvZiBDVCBmZWF0dXJlcyBhbmQgaGlzdG9wYXRob2xvZ2ljYWwgZGlhZ25vc2lzIiwiYXV0aG9yIjpbeyJmYW1pbHkiOiJCcmFzc2lsIiwiZ2l2ZW4iOiJNaWNoYWVsIiwicGFyc2UtbmFtZXMiOmZhbHNlLCJkcm9wcGluZy1wYXJ0aWNsZSI6IiIsIm5vbi1kcm9wcGluZy1wYXJ0aWNsZSI6IiJ9LHsiZmFtaWx5IjoiTGVlIiwiZ2l2ZW4iOiJSb25hbiIsInBhcnNlLW5hbWVzIjpmYWxzZSwiZHJvcHBpbmctcGFydGljbGUiOiIiLCJub24tZHJvcHBpbmctcGFydGljbGUiOiIifSx7ImZhbWlseSI6Ik/igJlOZWlsbCIsImdpdmVuIjoiRGFtaWVuIiwicGFyc2UtbmFtZXMiOmZhbHNlLCJkcm9wcGluZy1wYXJ0aWNsZSI6IiIsIm5vbi1kcm9wcGluZy1wYXJ0aWNsZSI6IiJ9LHsiZmFtaWx5IjoiV29vZHMiLCJnaXZlbiI6IkdyYWhhbSIsInBhcnNlLW5hbWVzIjpmYWxzZSwiZHJvcHBpbmctcGFydGljbGUiOiIiLCJub24tZHJvcHBpbmctcGFydGljbGUiOiIifSx7ImZhbWlseSI6Ik1vbG9uZXkiLCJnaXZlbiI6IkJyaWFuIE0uIiwicGFyc2UtbmFtZXMiOmZhbHNlLCJkcm9wcGluZy1wYXJ0aWNsZSI6IiIsIm5vbi1kcm9wcGluZy1wYXJ0aWNsZSI6IiJ9LHsiZmFtaWx5IjoiRHVubmUiLCJnaXZlbiI6IlJ1dGgiLCJwYXJzZS1uYW1lcyI6ZmFsc2UsImRyb3BwaW5nLXBhcnRpY2xlIjoiIiwibm9uLWRyb3BwaW5nLXBhcnRpY2xlIjoiIn0seyJmYW1pbHkiOiJNb3JyaW4iLCJnaXZlbiI6Ik1hcnRpbmEiLCJwYXJzZS1uYW1lcyI6ZmFsc2UsImRyb3BwaW5nLXBhcnRpY2xlIjoiIiwibm9uLWRyb3BwaW5nLXBhcnRpY2xlIjoiIn0seyJmYW1pbHkiOiJMZWUiLCJnaXZlbiI6Ik1pY2hhZWwgSi4iLCJwYXJzZS1uYW1lcyI6ZmFsc2UsImRyb3BwaW5nLXBhcnRpY2xlIjoiIiwibm9uLWRyb3BwaW5nLXBhcnRpY2xlIjoiIn1dLCJjb250YWluZXItdGl0bGUiOiJKb3VybmFsIG9mIG1lZGljYWwgaW1hZ2luZyBhbmQgcmFkaWF0aW9uIG9uY29sb2d5IiwiY29udGFpbmVyLXRpdGxlLXNob3J0IjoiSiBNZWQgSW1hZ2luZyBSYWRpYXQgT25jb2wiLCJET0kiOiIxMC4xMTExLzE3NTQtOTQ4NS4xMzMyOSIsIklTU04iOiIxNzU0LTk0ODUiLCJQTUlEIjoiMzQ1MzU5ODAiLCJpc3N1ZWQiOnsiZGF0ZS1wYXJ0cyI6W1syMDIyXV19LCJwYWdlIjoiOTItMTAxIiwiYWJzdHJhY3QiOiJBcHBlbmRpY2VhbCB0dW1vdXJzIGFyZSB1bmNvbW1vbiBuZW9wbGFzbXMgb2YgdGhlIGdhc3Ryb2ludGVzdGluYWwgdHJhY3QuIEFuIHVuZGVyc3RhbmRpbmcgb2YgdGhlIGltYWdpbmcgYXBwZWFyYW5jZXMgZmFjaWxpdGF0ZXMgYW4gYWNjdXJhdGUgcmFkaW9sb2dpY2FsIGRlc2NyaXB0aW9uLCB3aGljaCBndWlkZXMgc3VyZ2ljYWwgYW5kIG9uY29sb2dpY2FsIG1hbmFnZW1lbnQuIEluIHRoaXMgc3R1ZHksIGEgcmV0cm9zcGVjdGl2ZSByZXZpZXcgb2YgdGhlIENUIGltYWdpbmcgYW5kIGhpc3RvcGF0aG9sb2d5IG9mIGFsbCBjYXNlcyBvZiBhcHBlbmRpY2VhbCB0dW1vdXJzIGRpc2N1c3NlZCBhdCB0aGUgb25jb2xvZ3kgbXVsdGlkaXNjaXBsaW5hcnkgbWVldGluZ3MgaW4gYSBzaW5nbGUgY2VudHJlLCBvdmVyIGFuIDgteWVhciBwZXJpb2QgKDIwMTLigJMyMDE5KSBpcyBwZXJmb3JtZWQuIFRoZSBhcnJheSBhbmQgaW5jaWRlbmNlIG9mIGJvdGggY29tbW9uIGFuZCByYXJlIHBhdGhvbG9naWVzIGFyZSBpbnZlc3RpZ2F0ZWQsIGFuZCBpbXBvcnRhbnQgY2hhcmFjdGVyaXN0aWMgaW1hZ2luZyBmaW5kaW5ncyBmb3IgcmFkaW9sb2dpc3RzIHRvIHJlY29nbml6ZSBhcmUgaGlnaGxpZ2h0ZWQuIiwicHVibGlzaGVyIjoiSiBNZWQgSW1hZ2luZyBSYWRpYXQgT25jb2wiLCJpc3N1ZSI6IjEiLCJ2b2x1bWUiOiI2NiJ9LCJpc1RlbXBvcmFyeSI6ZmFsc2V9XX0="/>
          <w:id w:val="1006183036"/>
        </w:sdtPr>
        <w:sdtContent>
          <w:r>
            <w:rPr/>
          </w:r>
          <w:r>
            <w:rPr>
              <w:color w:val="000000"/>
            </w:rPr>
            <w:t>(7)</w:t>
          </w:r>
        </w:sdtContent>
      </w:sdt>
      <w:r>
        <w:rPr/>
        <w:t xml:space="preserve">. </w:t>
      </w:r>
      <w:r>
        <w:rPr/>
        <w:t xml:space="preserve">La correcta estadificación, basada en sistemas como el de la </w:t>
      </w:r>
      <w:r>
        <w:rPr>
          <w:rStyle w:val="Emphasis"/>
          <w:i w:val="false"/>
        </w:rPr>
        <w:t>American Joint Committee on Cancer</w:t>
      </w:r>
      <w:r>
        <w:rPr>
          <w:i/>
        </w:rPr>
        <w:t xml:space="preserve"> </w:t>
      </w:r>
      <w:r>
        <w:rPr/>
        <w:t>(AJCC), es fundamental para definir el plan terapéutico</w:t>
      </w:r>
      <w:r>
        <w:rPr>
          <w:color w:val="000000"/>
        </w:rPr>
        <w:t xml:space="preserve"> (8)</w:t>
      </w:r>
    </w:p>
    <w:p>
      <w:pPr>
        <w:pStyle w:val="p3"/>
        <w:spacing w:lineRule="auto" w:line="360" w:before="280" w:after="280"/>
        <w:jc w:val="both"/>
        <w:rPr/>
      </w:pPr>
      <w:r>
        <w:rPr/>
        <w:t>La mejoría en el entendimiento biológico del cáncer apendicular ha modificado profundamente su abordaje en las últimas décadas. Procedimientos como la cirugía citorreductora completa combinada con quimioterapia intraperitoneal hipertérmica (</w:t>
      </w:r>
      <w:r>
        <w:rPr>
          <w:rStyle w:val="Emphasis"/>
        </w:rPr>
        <w:t>Hyperthermic Intraperitoneal Chemotherapy</w:t>
      </w:r>
      <w:r>
        <w:rPr/>
        <w:t xml:space="preserve">, HIPEC) han demostrado mejorar la sobrevida en pacientes con pseudomixoma peritonei y diseminaciones peritoneales de origen apendicular </w:t>
      </w:r>
      <w:sdt>
        <w:sdtPr>
          <w:placeholder>
            <w:docPart w:val="DefaultPlaceholder_-1854013440"/>
          </w:placeholder>
          <w:tag w:val="MENDELEY_CITATION_v3_eyJjaXRhdGlvbklEIjoiTUVOREVMRVlfQ0lUQVRJT05fMmE1NTAyZWItODYwYS00YzA4LTkxMGYtZjYxMWNjZjk4ZTUyIiwicHJvcGVydGllcyI6eyJub3RlSW5kZXgiOjB9LCJpc0VkaXRlZCI6ZmFsc2UsIm1hbnVhbE92ZXJyaWRlIjp7ImlzTWFudWFsbHlPdmVycmlkZGVuIjpmYWxzZSwiY2l0ZXByb2NUZXh0IjoiKDgpIiwibWFudWFsT3ZlcnJpZGVUZXh0IjoiIn0sImNpdGF0aW9uSXRlbXMiOlt7ImlkIjoiMDNhOGU4MGUtODU2YS0zNGM1LTk1MzQtYjU1MzljMGQxNzBiIiwiaXRlbURhdGEiOnsidHlwZSI6ImFydGljbGUtam91cm5hbCIsImlkIjoiMDNhOGU4MGUtODU2YS0zNGM1LTk1MzQtYjU1MzljMGQxNzBiIiwidGl0bGUiOiJUaGUgQ2hpY2FnbyBDb25zZW5zdXMgb24gUGVyaXRvbmVhbCBTdXJmYWNlIE1hbGlnbmFuY2llczogTWFuYWdlbWVudCBvZiBBcHBlbmRpY2VhbCBOZW9wbGFzbXMiLCJhdXRob3IiOlt7ImZhbWlseSI6IlNjaHVpdGV2b2VyZGVyIiwiZ2l2ZW4iOiJEYXJyeWwiLCJwYXJzZS1uYW1lcyI6ZmFsc2UsImRyb3BwaW5nLXBhcnRpY2xlIjoiIiwibm9uLWRyb3BwaW5nLXBhcnRpY2xlIjoiIn0seyJmYW1pbHkiOiJQbGFuYSIsImdpdmVuIjoiQWxlamFuZHJvIiwicGFyc2UtbmFtZXMiOmZhbHNlLCJkcm9wcGluZy1wYXJ0aWNsZSI6IiIsIm5vbi1kcm9wcGluZy1wYXJ0aWNsZSI6IiJ9LHsiZmFtaWx5IjoiSXpxdWllcmRvIiwiZ2l2ZW4iOiJGcmFuY2lzY28gSi4iLCJwYXJzZS1uYW1lcyI6ZmFsc2UsImRyb3BwaW5nLXBhcnRpY2xlIjoiIiwibm9uLWRyb3BwaW5nLXBhcnRpY2xlIjoiIn0seyJmYW1pbHkiOiJWb3Rhbm9wb3Vsb3MiLCJnaXZlbiI6IktvbnN0YW50aW5vcyBJLiIsInBhcnNlLW5hbWVzIjpmYWxzZSwiZHJvcHBpbmctcGFydGljbGUiOiIiLCJub24tZHJvcHBpbmctcGFydGljbGUiOiIifSx7ImZhbWlseSI6IkN1c2FjayIsImdpdmVuIjoiSmFtZXMgQy4iLCJwYXJzZS1uYW1lcyI6ZmFsc2UsImRyb3BwaW5nLXBhcnRpY2xlIjoiIiwibm9uLWRyb3BwaW5nLXBhcnRpY2xlIjoiIn0seyJmYW1pbHkiOiJCaWplbGljIiwiZ2l2ZW4iOiJMYW5hIiwicGFyc2UtbmFtZXMiOmZhbHNlLCJkcm9wcGluZy1wYXJ0aWNsZSI6IiIsIm5vbi1kcm9wcGluZy1wYXJ0aWNsZSI6IiJ9LHsiZmFtaWx5IjoiQ2hvIiwiZ2l2ZW4iOiJDbGlmZm9yZCBTLiIsInBhcnNlLW5hbWVzIjpmYWxzZSwiZHJvcHBpbmctcGFydGljbGUiOiIiLCJub24tZHJvcHBpbmctcGFydGljbGUiOiIifSx7ImZhbWlseSI6IkdhbmdpIiwiZ2l2ZW4iOiJBbGV4YW5kcmEiLCJwYXJzZS1uYW1lcyI6ZmFsc2UsImRyb3BwaW5nLXBhcnRpY2xlIjoiIiwibm9uLWRyb3BwaW5nLXBhcnRpY2xlIjoiIn0seyJmYW1pbHkiOiJHaWxiZXJ0IiwiZ2l2ZW4iOiJFcmluIFcuIiwicGFyc2UtbmFtZXMiOmZhbHNlLCJkcm9wcGluZy1wYXJ0aWNsZSI6IiIsIm5vbi1kcm9wcGluZy1wYXJ0aWNsZSI6IiJ9LHsiZmFtaWx5IjoiR29vZG1hbiIsImdpdmVuIjoiTWFydGluIEQuIiwicGFyc2UtbmFtZXMiOmZhbHNlLCJkcm9wcGluZy1wYXJ0aWNsZSI6IiIsIm5vbi1kcm9wcGluZy1wYXJ0aWNsZSI6IiJ9LHsiZmFtaWx5IjoiR292aW5kYXJhamFuIiwiZ2l2ZW4iOiJBbmFuZCIsInBhcnNlLW5hbWVzIjpmYWxzZSwiZHJvcHBpbmctcGFydGljbGUiOiIiLCJub24tZHJvcHBpbmctcGFydGljbGUiOiIifSx7ImZhbWlseSI6Ikd1c2hjaGluIiwiZ2l2ZW4iOiJWYWRpbSIsInBhcnNlLW5hbWVzIjpmYWxzZSwiZHJvcHBpbmctcGFydGljbGUiOiIiLCJub24tZHJvcHBpbmctcGFydGljbGUiOiIifSx7ImZhbWlseSI6IkloZW1lbGFuZHUiLCJnaXZlbiI6IkNodWt3dWVtZWthIiwicGFyc2UtbmFtZXMiOmZhbHNlLCJkcm9wcGluZy1wYXJ0aWNsZSI6IiIsIm5vbi1kcm9wcGluZy1wYXJ0aWNsZSI6IiJ9LHsiZmFtaWx5IjoiS2VsbHkiLCJnaXZlbiI6IkthaXRseW4gSi4iLCJwYXJzZS1uYW1lcyI6ZmFsc2UsImRyb3BwaW5nLXBhcnRpY2xlIjoiIiwibm9uLWRyb3BwaW5nLXBhcnRpY2xlIjoiIn0seyJmYW1pbHkiOiJNZXJrb3ciLCJnaXZlbiI6IlJ5YW4gUC4iLCJwYXJzZS1uYW1lcyI6ZmFsc2UsImRyb3BwaW5nLXBhcnRpY2xlIjoiIiwibm9uLWRyb3BwaW5nLXBhcnRpY2xlIjoiIn0seyJmYW1pbHkiOiJQYXBwYXMiLCJnaXZlbiI6IlNhbSBHLiIsInBhcnNlLW5hbWVzIjpmYWxzZSwiZHJvcHBpbmctcGFydGljbGUiOiIiLCJub24tZHJvcHBpbmctcGFydGljbGUiOiIifSx7ImZhbWlseSI6IkFiYm90dCIsImdpdmVuIjoiRGFuaWVsIEUuIiwicGFyc2UtbmFtZXMiOmZhbHNlLCJkcm9wcGluZy1wYXJ0aWNsZSI6IiIsIm5vbi1kcm9wcGluZy1wYXJ0aWNsZSI6IiJ9LHsiZmFtaWx5IjoiQWhyZW5kdCIsImdpdmVuIjoiU3RldmVuIEEuIiwicGFyc2UtbmFtZXMiOmZhbHNlLCJkcm9wcGluZy1wYXJ0aWNsZSI6IiIsIm5vbi1kcm9wcGluZy1wYXJ0aWNsZSI6IiJ9LHsiZmFtaWx5IjoiQWwta2Fzc3Bvb2xlcyIsImdpdmVuIjoiTWF6aW4iLCJwYXJzZS1uYW1lcyI6ZmFsc2UsImRyb3BwaW5nLXBhcnRpY2xlIjoiIiwibm9uLWRyb3BwaW5nLXBhcnRpY2xlIjoiIn0seyJmYW1pbHkiOiJBbHBlcnQiLCJnaXZlbiI6IkxpbmRzYXkiLCJwYXJzZS1uYW1lcyI6ZmFsc2UsImRyb3BwaW5nLXBhcnRpY2xlIjoiIiwibm9uLWRyb3BwaW5nLXBhcnRpY2xlIjoiIn0seyJmYW1pbHkiOiJBbWVyc2kiLCJnaXZlbiI6IkZhcmluIiwicGFyc2UtbmFtZXMiOmZhbHNlLCJkcm9wcGluZy1wYXJ0aWNsZSI6IiIsIm5vbi1kcm9wcGluZy1wYXJ0aWNsZSI6IiJ9LHsiZmFtaWx5IjoiQXJyaW5ndG9uIiwiZ2l2ZW4iOiJBbWFuZGEgSy4iLCJwYXJzZS1uYW1lcyI6ZmFsc2UsImRyb3BwaW5nLXBhcnRpY2xlIjoiIiwibm9uLWRyb3BwaW5nLXBhcnRpY2xlIjoiIn0seyJmYW1pbHkiOiJCYWRnd2VsbCIsImdpdmVuIjoiQnJpYW4iLCJwYXJzZS1uYW1lcyI6ZmFsc2UsImRyb3BwaW5nLXBhcnRpY2xlIjoiIiwibm9uLWRyb3BwaW5nLXBhcnRpY2xlIjoiIn0seyJmYW1pbHkiOiJCYXJvbmUiLCJnaXZlbiI6IlJvYmVydCBNLiIsInBhcnNlLW5hbWVzIjpmYWxzZSwiZHJvcHBpbmctcGFydGljbGUiOiIiLCJub24tZHJvcHBpbmctcGFydGljbGUiOiIifSx7ImZhbWlseSI6IkJhdW1nYXJ0bmVyIiwiZ2l2ZW4iOiJKb2VsIE0uIiwicGFyc2UtbmFtZXMiOmZhbHNlLCJkcm9wcGluZy1wYXJ0aWNsZSI6IiIsIm5vbi1kcm9wcGluZy1wYXJ0aWNsZSI6IiJ9LHsiZmFtaWx5IjoiQmxhemVyIiwiZ2l2ZW4iOiJEYW4gRy4iLCJwYXJzZS1uYW1lcyI6ZmFsc2UsImRyb3BwaW5nLXBhcnRpY2xlIjoiIiwibm9uLWRyb3BwaW5nLXBhcnRpY2xlIjoiIn0seyJmYW1pbHkiOiJCZXJyaSIsImdpdmVuIjoiUmljaGFyZCBOLiIsInBhcnNlLW5hbWVzIjpmYWxzZSwiZHJvcHBpbmctcGFydGljbGUiOiIiLCJub24tZHJvcHBpbmctcGFydGljbGUiOiIifSx7ImZhbWlseSI6IkJyb3duIiwiZ2l2ZW4iOiJDaGFybGVzIEtvbWVuIiwicGFyc2UtbmFtZXMiOmZhbHNlLCJkcm9wcGluZy1wYXJ0aWNsZSI6IiIsIm5vbi1kcm9wcGluZy1wYXJ0aWNsZSI6IiJ9LHsiZmFtaWx5IjoiQ2F0ZW5hY2NpIiwiZ2l2ZW4iOiJEYW5pZWwiLCJwYXJzZS1uYW1lcyI6ZmFsc2UsImRyb3BwaW5nLXBhcnRpY2xlIjoiVi4iLCJub24tZHJvcHBpbmctcGFydGljbGUiOiIifSx7ImZhbWlseSI6IkNoYW4iLCJnaXZlbiI6IkNhcmxvcyBILkYuIiwicGFyc2UtbmFtZXMiOmZhbHNlLCJkcm9wcGluZy1wYXJ0aWNsZSI6IiIsIm5vbi1kcm9wcGluZy1wYXJ0aWNsZSI6IiJ9LHsiZmFtaWx5IjoiQ2hvdWRyeSIsImdpdmVuIjoiTS4gSGFyb29uIEEuIiwicGFyc2UtbmFtZXMiOmZhbHNlLCJkcm9wcGluZy1wYXJ0aWNsZSI6IiIsIm5vbi1kcm9wcGluZy1wYXJ0aWNsZSI6IiJ9LHsiZmFtaWx5IjoiQ2xhcmtlIiwiZ2l2ZW4iOiJDYWxsaXNpYSBOLiIsInBhcnNlLW5hbWVzIjpmYWxzZSwiZHJvcHBpbmctcGFydGljbGUiOiIiLCJub24tZHJvcHBpbmctcGFydGljbGUiOiIifSx7ImZhbWlseSI6IkNsb3lkIiwiZ2l2ZW4iOiJKb3JkYW4gTS4iLCJwYXJzZS1uYW1lcyI6ZmFsc2UsImRyb3BwaW5nLXBhcnRpY2xlIjoiIiwibm9uLWRyb3BwaW5nLXBhcnRpY2xlIjoiIn0seyJmYW1pbHkiOiJEYWNobWFuIiwiZ2l2ZW4iOiJBYnJhaGFtIEguIiwicGFyc2UtbmFtZXMiOmZhbHNlLCJkcm9wcGluZy1wYXJ0aWNsZSI6IiIsIm5vbi1kcm9wcGluZy1wYXJ0aWNsZSI6IiJ9LHsiZmFtaWx5IjoiRGVuZXZlIiwiZ2l2ZW4iOiJKZXJlbWlhaCBMLiIsInBhcnNlLW5hbWVzIjpmYWxzZSwiZHJvcHBpbmctcGFydGljbGUiOiIiLCJub24tZHJvcHBpbmctcGFydGljbGUiOiIifSx7ImZhbWlseSI6IkRpbmVlbiIsImdpdmVuIjoiU2VhbiBQLiIsInBhcnNlLW5hbWVzIjpmYWxzZSwiZHJvcHBpbmctcGFydGljbGUiOiIiLCJub24tZHJvcHBpbmctcGFydGljbGUiOiIifSx7ImZhbWlseSI6IkZlcm5hbmRleiIsImdpdmVuIjoiTGVvcG9sZG8gSi4iLCJwYXJzZS1uYW1lcyI6ZmFsc2UsImRyb3BwaW5nLXBhcnRpY2xlIjoiIiwibm9uLWRyb3BwaW5nLXBhcnRpY2xlIjoiIn0seyJmYW1pbHkiOiJFbmciLCJnaXZlbiI6Ik9saXZlciBTLiIsInBhcnNlLW5hbWVzIjpmYWxzZSwiZHJvcHBpbmctcGFydGljbGUiOiIiLCJub24tZHJvcHBpbmctcGFydGljbGUiOiIifSx7ImZhbWlseSI6IkZsZXNobWFuIiwiZ2l2ZW4iOiJKYW1lcyBXLiIsInBhcnNlLW5hbWVzIjpmYWxzZSwiZHJvcHBpbmctcGFydGljbGUiOiIiLCJub24tZHJvcHBpbmctcGFydGljbGUiOiIifSx7ImZhbWlseSI6IkNsYXJrIEdhbWJsaW4iLCJnaXZlbiI6IlQuIiwicGFyc2UtbmFtZXMiOmZhbHNlLCJkcm9wcGluZy1wYXJ0aWNsZSI6IiIsIm5vbi1kcm9wcGluZy1wYXJ0aWNsZSI6IiJ9LHsiZmFtaWx5IjoiR2Vvcmdha2lzIiwiZ2l2ZW4iOiJHZW9yZ2lvcyIsInBhcnNlLW5hbWVzIjpmYWxzZSwiZHJvcHBpbmctcGFydGljbGUiOiJWLiIsIm5vbi1kcm9wcGluZy1wYXJ0aWNsZSI6IiJ9LHsiZmFtaWx5IjoiR3JvdHoiLCJnaXZlbiI6IlRyYXZpcyBFLiIsInBhcnNlLW5hbWVzIjpmYWxzZSwiZHJvcHBpbmctcGFydGljbGUiOiIiLCJub24tZHJvcHBpbmctcGFydGljbGUiOiIifSx7ImZhbWlseSI6Ikhhbm5hIiwiZ2l2ZW4iOiJOYWRlciIsInBhcnNlLW5hbWVzIjpmYWxzZSwiZHJvcHBpbmctcGFydGljbGUiOiIiLCJub24tZHJvcHBpbmctcGFydGljbGUiOiIifSx7ImZhbWlseSI6Ikhhcm1hdGgiLCJnaXZlbiI6IkNhcmxhIiwicGFyc2UtbmFtZXMiOmZhbHNlLCJkcm9wcGluZy1wYXJ0aWNsZSI6IiIsIm5vbi1kcm9wcGluZy1wYXJ0aWNsZSI6IiJ9LHsiZmFtaWx5IjoiSGFydCIsImdpdmVuIjoiSm9obiIsInBhcnNlLW5hbWVzIjpmYWxzZSwiZHJvcHBpbmctcGFydGljbGUiOiIiLCJub24tZHJvcHBpbmctcGFydGljbGUiOiIifSx7ImZhbWlseSI6IkhheWVzLUpvcmRhbiIsImdpdmVuIjoiQW5kcmVhIiwicGFyc2UtbmFtZXMiOmZhbHNlLCJkcm9wcGluZy1wYXJ0aWNsZSI6IiIsIm5vbi1kcm9wcGluZy1wYXJ0aWNsZSI6IiJ9LHsiZmFtaWx5IjoiSHVzYWluIiwiZ2l2ZW4iOiJBbGl5YSBOLiIsInBhcnNlLW5hbWVzIjpmYWxzZSwiZHJvcHBpbmctcGFydGljbGUiOiIiLCJub24tZHJvcHBpbmctcGFydGljbGUiOiIifSx7ImZhbWlseSI6IklkcmVlcyIsImdpdmVuIjoiS2FtcmFuIiwicGFyc2UtbmFtZXMiOmZhbHNlLCJkcm9wcGluZy1wYXJ0aWNsZSI6IiIsIm5vbi1kcm9wcGluZy1wYXJ0aWNsZSI6IiJ9LHsiZmFtaWx5IjoiSW4iLCJnaXZlbiI6IkhhZWppbiIsInBhcnNlLW5hbWVzIjpmYWxzZSwiZHJvcHBpbmctcGFydGljbGUiOiIiLCJub24tZHJvcHBpbmctcGFydGljbGUiOiIifSx7ImZhbWlseSI6IkppYW5nIiwiZ2l2ZW4iOiJEYXZpZCIsInBhcnNlLW5hbWVzIjpmYWxzZSwiZHJvcHBpbmctcGFydGljbGUiOiIiLCJub24tZHJvcHBpbmctcGFydGljbGUiOiIifSx7ImZhbWlseSI6IkthbmUiLCJnaXZlbiI6IkpvaG4gTS4iLCJwYXJzZS1uYW1lcyI6ZmFsc2UsImRyb3BwaW5nLXBhcnRpY2xlIjoiIiwibm9uLWRyb3BwaW5nLXBhcnRpY2xlIjoiIn0seyJmYW1pbHkiOiJLZW5uZWR5IiwiZ2l2ZW4iOiJUaW1vdGh5IEouIiwicGFyc2UtbmFtZXMiOmZhbHNlLCJkcm9wcGluZy1wYXJ0aWNsZSI6IiIsIm5vbi1kcm9wcGluZy1wYXJ0aWNsZSI6IiJ9LHsiZmFtaWx5IjoiS2V1dGdlbiIsImdpdmVuIjoiWGF2aWVyIE0uIiwicGFyc2UtbmFtZXMiOmZhbHNlLCJkcm9wcGluZy1wYXJ0aWNsZSI6IiIsIm5vbi1kcm9wcGluZy1wYXJ0aWNsZSI6IiJ9LHsiZmFtaWx5IjoiS2luZGxlciIsImdpdmVuIjoiSGVkeSBMZWUiLCJwYXJzZS1uYW1lcyI6ZmFsc2UsImRyb3BwaW5nLXBhcnRpY2xlIjoiIiwibm9uLWRyb3BwaW5nLXBhcnRpY2xlIjoiIn0seyJmYW1pbHkiOiJMZWUiLCJnaXZlbiI6IkJ5cm5lIiwicGFyc2UtbmFtZXMiOmZhbHNlLCJkcm9wcGluZy1wYXJ0aWNsZSI6IiIsIm5vbi1kcm9wcGluZy1wYXJ0aWNsZSI6IiJ9LHsiZmFtaWx5IjoiTGlhbyIsImdpdmVuIjoiQ2hpaCBZaSIsInBhcnNlLW5hbWVzIjpmYWxzZSwiZHJvcHBpbmctcGFydGljbGUiOiIiLCJub24tZHJvcHBpbmctcGFydGljbGUiOiIifSx7ImZhbWlseSI6Ik1hZHVla3dlIiwiZ2l2ZW4iOiJVZ3d1amkgTi4iLCJwYXJzZS1uYW1lcyI6ZmFsc2UsImRyb3BwaW5nLXBhcnRpY2xlIjoiIiwibm9uLWRyb3BwaW5nLXBhcnRpY2xlIjoiIn0seyJmYW1pbHkiOiJNYWsiLCJnaXZlbiI6IkdyYWNlIFouIiwicGFyc2UtbmFtZXMiOmZhbHNlLCJkcm9wcGluZy1wYXJ0aWNsZSI6IiIsIm5vbi1kcm9wcGluZy1wYXJ0aWNsZSI6IiJ9LHsiZmFtaWx5IjoiTWFjayIsImdpdmVuIjoiTGxveWQgQS4iLCJwYXJzZS1uYW1lcyI6ZmFsc2UsImRyb3BwaW5nLXBhcnRpY2xlIjoiIiwibm9uLWRyb3BwaW5nLXBhcnRpY2xlIjoiIn0seyJmYW1pbHkiOiJNYXRoZXciLCJnaXZlbiI6Ik1lbHZ5IFNhcmFoIiwicGFyc2UtbmFtZXMiOmZhbHNlLCJkcm9wcGluZy1wYXJ0aWNsZSI6IiIsIm5vbi1kcm9wcGluZy1wYXJ0aWNsZSI6IiJ9LHsiZmFtaWx5IjoiTWVsaXMiLCJnaXZlbiI6Ik1hcmNvdmFsZXJpbyIsInBhcnNlLW5hbWVzIjpmYWxzZSwiZHJvcHBpbmctcGFydGljbGUiOiIiLCJub24tZHJvcHBpbmctcGFydGljbGUiOiIifSx7ImZhbWlseSI6Ik1lbG5pdGNob3VrIiwiZ2l2ZW4iOiJOZWx5YSIsInBhcnNlLW5hbWVzIjpmYWxzZSwiZHJvcHBpbmctcGFydGljbGUiOiIiLCJub24tZHJvcHBpbmctcGFydGljbGUiOiIifSx7ImZhbWlseSI6Ik1pc2RyYWppIiwiZ2l2ZW4iOiJKb3NlcGgiLCJwYXJzZS1uYW1lcyI6ZmFsc2UsImRyb3BwaW5nLXBhcnRpY2xlIjoiIiwibm9uLWRyb3BwaW5nLXBhcnRpY2xlIjoiIn0seyJmYW1pbHkiOiJNb2dhbCIsImdpdmVuIjoiSGFydmVzaHAiLCJwYXJzZS1uYW1lcyI6ZmFsc2UsImRyb3BwaW5nLXBhcnRpY2xlIjoiIiwibm9uLWRyb3BwaW5nLXBhcnRpY2xlIjoiIn0seyJmYW1pbHkiOiJNw7ZsbGVyIiwiZ2l2ZW4iOiJNZWNrZXIgRy4iLCJwYXJzZS1uYW1lcyI6ZmFsc2UsImRyb3BwaW5nLXBhcnRpY2xlIjoiIiwibm9uLWRyb3BwaW5nLXBhcnRpY2xlIjoiIn0seyJmYW1pbHkiOiJOYXNoIiwiZ2l2ZW4iOiJHYXJyZXR0IE0uIiwicGFyc2UtbmFtZXMiOmZhbHNlLCJkcm9wcGluZy1wYXJ0aWNsZSI6IiIsIm5vbi1kcm9wcGluZy1wYXJ0aWNsZSI6IiJ9LHsiZmFtaWx5IjoiT3RvIiwiZ2l2ZW4iOiJBeXRla2luIiwicGFyc2UtbmFtZXMiOmZhbHNlLCJkcm9wcGluZy1wYXJ0aWNsZSI6IiIsIm5vbi1kcm9wcGluZy1wYXJ0aWNsZSI6IiJ9LHsiZmFtaWx5IjoiUGFpIiwiZ2l2ZW4iOiJSZWV0ZXNoIEsuIiwicGFyc2UtbmFtZXMiOmZhbHNlLCJkcm9wcGluZy1wYXJ0aWNsZSI6IiIsIm5vbi1kcm9wcGluZy1wYXJ0aWNsZSI6IiJ9LHsiZmFtaWx5IjoiUGFtZWlqZXIiLCJnaXZlbiI6IkNvbGV0dGUgUi4iLCJwYXJzZS1uYW1lcyI6ZmFsc2UsImRyb3BwaW5nLXBhcnRpY2xlIjoiIiwibm9uLWRyb3BwaW5nLXBhcnRpY2xlIjoiIn0seyJmYW1pbHkiOiJQb2xhbmNvIiwiZ2l2ZW4iOiJQYXRyaWNpbyBNLiIsInBhcnNlLW5hbWVzIjpmYWxzZSwiZHJvcHBpbmctcGFydGljbGUiOiIiLCJub24tZHJvcHBpbmctcGFydGljbGUiOiIifSx7ImZhbWlseSI6IlBvbGl0ZSIsImdpdmVuIjoiQmxhc2UgTi4iLCJwYXJzZS1uYW1lcyI6ZmFsc2UsImRyb3BwaW5nLXBhcnRpY2xlIjoiIiwibm9uLWRyb3BwaW5nLXBhcnRpY2xlIjoiIn0seyJmYW1pbHkiOiJSZWRkeSIsImdpdmVuIjoiU2FuamF5IFMuIiwicGFyc2UtbmFtZXMiOmZhbHNlLCJkcm9wcGluZy1wYXJ0aWNsZSI6IiIsIm5vbi1kcm9wcGluZy1wYXJ0aWNsZSI6IiJ9LHsiZmFtaWx5IjoiUm95YWwiLCJnaXZlbiI6IlJpY2hhcmQiLCJwYXJzZS1uYW1lcyI6ZmFsc2UsImRyb3BwaW5nLXBhcnRpY2xlIjoiIiwibm9uLWRyb3BwaW5nLXBhcnRpY2xlIjoiIn0seyJmYW1pbHkiOiJSeWFuIiwiZ2l2ZW4iOiJEYXZpZCBQLiIsInBhcnNlLW5hbWVzIjpmYWxzZSwiZHJvcHBpbmctcGFydGljbGUiOiIiLCJub24tZHJvcHBpbmctcGFydGljbGUiOiIifSx7ImZhbWlseSI6IlNhbHRpIiwiZ2l2ZW4iOiJHZW9yZ2UiLCJwYXJzZS1uYW1lcyI6ZmFsc2UsImRyb3BwaW5nLXBhcnRpY2xlIjoiIiwibm9uLWRyb3BwaW5nLXBhcnRpY2xlIjoiIn0seyJmYW1pbHkiOiJTYXJkaSIsImdpdmVuIjoiQXJtYW5kbyIsInBhcnNlLW5hbWVzIjpmYWxzZSwiZHJvcHBpbmctcGFydGljbGUiOiIiLCJub24tZHJvcHBpbmctcGFydGljbGUiOiIifSx7ImZhbWlseSI6IlNlbnRoaWwiLCJnaXZlbiI6Ik1haGVzd2FyaSIsInBhcnNlLW5hbWVzIjpmYWxzZSwiZHJvcHBpbmctcGFydGljbGUiOiIiLCJub24tZHJvcHBpbmctcGFydGljbGUiOiIifSx7ImZhbWlseSI6IlNldGlhIiwiZ2l2ZW4iOiJOYW1yYXRhIiwicGFyc2UtbmFtZXMiOmZhbHNlLCJkcm9wcGluZy1wYXJ0aWNsZSI6IiIsIm5vbi1kcm9wcGluZy1wYXJ0aWNsZSI6IiJ9LHsiZmFtaWx5IjoiU2hlcm1hbiIsImdpdmVuIjoiU2NvdHQgSy4iLCJwYXJzZS1uYW1lcyI6ZmFsc2UsImRyb3BwaW5nLXBhcnRpY2xlIjoiIiwibm9uLWRyb3BwaW5nLXBhcnRpY2xlIjoiIn0seyJmYW1pbHkiOiJTaWRlcmlzIiwiZ2l2ZW4iOiJMdWNhcyIsInBhcnNlLW5hbWVzIjpmYWxzZSwiZHJvcHBpbmctcGFydGljbGUiOiIiLCJub24tZHJvcHBpbmctcGFydGljbGUiOiIifSx7ImZhbWlseSI6IlNraXR6a2kiLCJnaXZlbiI6Ikpvc2VwaCIsInBhcnNlLW5hbWVzIjpmYWxzZSwiZHJvcHBpbmctcGFydGljbGUiOiIiLCJub24tZHJvcHBpbmctcGFydGljbGUiOiIifSx7ImZhbWlseSI6IlZlZXJhcG9uZyIsImdpdmVuIjoiSnVsYSIsInBhcnNlLW5hbWVzIjpmYWxzZSwiZHJvcHBpbmctcGFydGljbGUiOiIiLCJub24tZHJvcHBpbmctcGFydGljbGUiOiIifSx7ImZhbWlseSI6IldoaXRlIiwiZ2l2ZW4iOiJNaWNoYWVsIEcuIiwicGFyc2UtbmFtZXMiOmZhbHNlLCJkcm9wcGluZy1wYXJ0aWNsZSI6IiIsIm5vbi1kcm9wcGluZy1wYXJ0aWNsZSI6IiJ9LHsiZmFtaWx5IjoiV2luZXIiLCJnaXZlbiI6Ikpvc2h1YSBILiIsInBhcnNlLW5hbWVzIjpmYWxzZSwiZHJvcHBpbmctcGFydGljbGUiOiIiLCJub24tZHJvcHBpbmctcGFydGljbGUiOiIifSx7ImZhbWlseSI6IlhpYW8iLCJnaXZlbiI6IlNodSBZdWFuIiwicGFyc2UtbmFtZXMiOmZhbHNlLCJkcm9wcGluZy1wYXJ0aWNsZSI6IiIsIm5vbi1kcm9wcGluZy1wYXJ0aWNsZSI6IiJ9LHsiZmFtaWx5IjoiWWFudGlzcyIsImdpdmVuIjoiUmhvbmRhIEsuIiwicGFyc2UtbmFtZXMiOmZhbHNlLCJkcm9wcGluZy1wYXJ0aWNsZSI6IiIsIm5vbi1kcm9wcGluZy1wYXJ0aWNsZSI6IiJ9LHsiZmFtaWx5IjoiQWh1amEiLCJnaXZlbiI6Ik5pdGEiLCJwYXJzZS1uYW1lcyI6ZmFsc2UsImRyb3BwaW5nLXBhcnRpY2xlIjoiIiwibm9uLWRyb3BwaW5nLXBhcnRpY2xlIjoiIn0seyJmYW1pbHkiOiJCb3duZSIsImdpdmVuIjoiV2lsYnVyIiwicGFyc2UtbmFtZXMiOmZhbHNlLCJkcm9wcGluZy1wYXJ0aWNsZSI6IiIsIm5vbi1kcm9wcGluZy1wYXJ0aWNsZSI6IiJ9LHsiZmFtaWx5IjoiTG93eSIsImdpdmVuIjoiQW5kcmV3IE0uIiwicGFyc2UtbmFtZXMiOmZhbHNlLCJkcm9wcGluZy1wYXJ0aWNsZSI6IiIsIm5vbi1kcm9wcGluZy1wYXJ0aWNsZSI6IiJ9LHsiZmFtaWx5IjoiUmljaGFyZCBBbGV4YW5kZXIiLCJnaXZlbiI6IkguIiwicGFyc2UtbmFtZXMiOmZhbHNlLCJkcm9wcGluZy1wYXJ0aWNsZSI6IiIsIm5vbi1kcm9wcGluZy1wYXJ0aWNsZSI6IiJ9LHsiZmFtaWx5IjoiRXNxdWl2ZWwiLCJnaXZlbiI6Ikplc3VzIiwicGFyc2UtbmFtZXMiOmZhbHNlLCJkcm9wcGluZy1wYXJ0aWNsZSI6IiIsIm5vbi1kcm9wcGluZy1wYXJ0aWNsZSI6IiJ9LHsiZmFtaWx5IjoiRm9zdGVyIiwiZ2l2ZW4iOiJKYXNvbiBNLiIsInBhcnNlLW5hbWVzIjpmYWxzZSwiZHJvcHBpbmctcGFydGljbGUiOiIiLCJub24tZHJvcHBpbmctcGFydGljbGUiOiIifSx7ImZhbWlseSI6IkxhYm93IiwiZ2l2ZW4iOiJEYW5pZWwgTS4iLCJwYXJzZS1uYW1lcyI6ZmFsc2UsImRyb3BwaW5nLXBhcnRpY2xlIjoiIiwibm9uLWRyb3BwaW5nLXBhcnRpY2xlIjoiIn0seyJmYW1pbHkiOiJMYW1iZXJ0IiwiZ2l2ZW4iOiJMYXVyYSBBLiIsInBhcnNlLW5hbWVzIjpmYWxzZSwiZHJvcHBpbmctcGFydGljbGUiOiIiLCJub24tZHJvcHBpbmctcGFydGljbGUiOiIifSx7ImZhbWlseSI6IkxldmluZSIsImdpdmVuIjoiRWR3YXJkIEEuIiwicGFyc2UtbmFtZXMiOmZhbHNlLCJkcm9wcGluZy1wYXJ0aWNsZSI6IiIsIm5vbi1kcm9wcGluZy1wYXJ0aWNsZSI6IiJ9LHsiZmFtaWx5IjoiU3RhbGV5IiwiZ2l2ZW4iOiJDaGFybGVzIiwicGFyc2UtbmFtZXMiOmZhbHNlLCJkcm9wcGluZy1wYXJ0aWNsZSI6IiIsIm5vbi1kcm9wcGluZy1wYXJ0aWNsZSI6IiJ9LHsiZmFtaWx5IjoiU3VnYXJiYWtlciIsImdpdmVuIjoiUGF1bCBILiIsInBhcnNlLW5hbWVzIjpmYWxzZSwiZHJvcHBpbmctcGFydGljbGUiOiIiLCJub24tZHJvcHBpbmctcGFydGljbGUiOiIifSx7ImZhbWlseSI6IkJhcnRsZXR0IiwiZ2l2ZW4iOiJEYXZpZCBMLiIsInBhcnNlLW5hbWVzIjpmYWxzZSwiZHJvcHBpbmctcGFydGljbGUiOiIiLCJub24tZHJvcHBpbmctcGFydGljbGUiOiIifSx7ImZhbWlseSI6IlR1cmFnYSIsImdpdmVuIjoiS2lyYW4iLCJwYXJzZS1uYW1lcyI6ZmFsc2UsImRyb3BwaW5nLXBhcnRpY2xlIjoiIiwibm9uLWRyb3BwaW5nLXBhcnRpY2xlIjoiIn1dLCJjb250YWluZXItdGl0bGUiOiJBbm5hbHMgb2Ygc3VyZ2ljYWwgb25jb2xvZ3kiLCJjb250YWluZXItdGl0bGUtc2hvcnQiOiJBbm4gU3VyZyBPbmNvbCIsIkRPSSI6IjEwLjEyNDUvUzEwNDM0LTAyMC0wODMxNi1XIiwiSVNTTiI6IjE1MzQtNDY4MSIsIlBNSUQiOiIzMjI4NTI3NSIsImlzc3VlZCI6eyJkYXRlLXBhcnRzIjpbWzIwMjBdXX0sInBhZ2UiOiIxNzUzLTE3NjAiLCJhYnN0cmFjdCI6IlRoZSBDaGljYWdvIENvbnNlbnN1cyBXb3JraW5nIEdyb3VwIHByb3ZpZGVzIG11bHRpZGlzY2lwbGluYXJ5IHJlY29tbWVuZGF0aW9ucyBmb3IgdGhlIG1hbmFnZW1lbnQgb2YgYXBwZW5kaWNlYWwgbmVvcGxhc21zIHNwZWNpZmljYWxseSByZWxhdGVkIHRvIHRoZSBtYW5hZ2VtZW50IG9mIHBlcml0b25lYWwgc3VyZmFjZSBtYWxpZ25hbmNpZXMuIFRoZXNlIGd1aWRlbGluZXMgYXJlIGRldmVsb3BlZCB3aXRoIGlucHV0IGZyb20gbGVhZGluZyBleHBlcnRzIGluY2x1ZGluZyBzdXJnaWNhbCBvbmNvbG9naXN0cywgbWVkaWNhbCBvbmNvbG9naXN0cywgcGF0aG9sb2dpc3RzLCByYWRpb2xvZ2lzdHMsIHBhbGxpYXRpdmUgY2FyZSBwaHlzaWNpYW5zLCBhbmQgcGhhcm1hY2lzdHMuIFRoZXNlIGd1aWRlbGluZXMgcmVjb2duaXplIGFuZCBhZGRyZXNzIHRoZSBlbWVyZ2luZyBuZWVkIGZvciBpbmNyZWFzZWQgYXdhcmVuZXNzIGluIHRoZSBhcHByb3ByaWF0ZSBtYW5hZ2VtZW50IG9mIHBlcml0b25lYWwgc3VyZmFjZSBkaXNlYXNlLiBUaGV5IGFyZSBub3QgaW50ZW5kZWQgdG8gcmVwbGFjZSB0aGUgcXVlc3QgZm9yIGhpZ2hlciBsZXZlbHMgb2YgZXZpZGVuY2UuIiwicHVibGlzaGVyIjoiQW5uIFN1cmcgT25jb2wiLCJpc3N1ZSI6IjYiLCJ2b2x1bWUiOiIyNyJ9LCJpc1RlbXBvcmFyeSI6ZmFsc2V9XX0="/>
          <w:id w:val="964006263"/>
        </w:sdtPr>
        <w:sdtContent>
          <w:r>
            <w:rPr/>
          </w:r>
          <w:r>
            <w:rPr>
              <w:rFonts w:eastAsia="MS Mincho"/>
              <w:color w:val="000000"/>
            </w:rPr>
            <w:t>(8)</w:t>
          </w:r>
        </w:sdtContent>
      </w:sdt>
      <w:sdt>
        <w:sdtPr>
          <w:placeholder>
            <w:docPart w:val="DefaultPlaceholder_-1854013440"/>
          </w:placeholder>
          <w:tag w:val="MENDELEY_CITATION_v3_eyJjaXRhdGlvbklEIjoiTUVOREVMRVlfQ0lUQVRJT05fYzJiMTk4NmQtOTIzZC00N2M4LWFhNWMtOTAzZDgyNTI0N2ZjIiwicHJvcGVydGllcyI6eyJub3RlSW5kZXgiOjB9LCJpc0VkaXRlZCI6ZmFsc2UsIm1hbnVhbE92ZXJyaWRlIjp7ImlzTWFudWFsbHlPdmVycmlkZGVuIjpmYWxzZSwiY2l0ZXByb2NUZXh0IjoiKDkpIiwibWFudWFsT3ZlcnJpZGVUZXh0IjoiIn0sImNpdGF0aW9uSXRlbXMiOlt7ImlkIjoiMzA5YjExYzYtMDA4Yi0zZTNiLWE2OGMtYjQ0ODE0ZmE3OWQ0IiwiaXRlbURhdGEiOnsidHlwZSI6ImFydGljbGUtam91cm5hbCIsImlkIjoiMzA5YjExYzYtMDA4Yi0zZTNiLWE2OGMtYjQ0ODE0ZmE3OWQ0IiwidGl0bGUiOiJUd2VudHkteWVhcnMnIGV4cGVyaWVuY2Ugd2l0aCBjeXRvcmVkdWN0aXZlIHN1cmdlcnkgKENSUykgYW5kIGh5cGVydGhlcm1pYyBpbnRyYXBlcml0b25lYWwgY2hlbW90aGVyYXB5IChISVBFQykgZm9yIHBzZXVkb215eG9tYSBwZXJpdG9uZWkgKFBNUCkiLCJhdXRob3IiOlt7ImZhbWlseSI6IlBhcGFudG9uaSIsImdpdmVuIjoiRXZhbmdlbGlhIiwicGFyc2UtbmFtZXMiOmZhbHNlLCJkcm9wcGluZy1wYXJ0aWNsZSI6IiIsIm5vbi1kcm9wcGluZy1wYXJ0aWNsZSI6IiJ9LHsiZmFtaWx5IjoiTnRhdHNpcyIsImdpdmVuIjoiS29uc3RhbnRpbm9zIiwicGFyc2UtbmFtZXMiOmZhbHNlLCJkcm9wcGluZy1wYXJ0aWNsZSI6IiIsIm5vbi1kcm9wcGluZy1wYXJ0aWNsZSI6IiJ9LHsiZmFtaWx5IjoiS3l6aXJpZGlzIiwiZ2l2ZW4iOiJEaW1pdHJpb3MiLCJwYXJzZS1uYW1lcyI6ZmFsc2UsImRyb3BwaW5nLXBhcnRpY2xlIjoiIiwibm9uLWRyb3BwaW5nLXBhcnRpY2xlIjoiIn0seyJmYW1pbHkiOiJLYWxha29uYXMiLCJnaXZlbiI6IkFwb3N0b2xvcyIsInBhcnNlLW5hbWVzIjpmYWxzZSwiZHJvcHBpbmctcGFydGljbGUiOiIiLCJub24tZHJvcHBpbmctcGFydGljbGUiOiIifSx7ImZhbWlseSI6IkhyaXN0YWtpcyIsImdpdmVuIjoiQ2hyaXN0b3MiLCJwYXJzZS1uYW1lcyI6ZmFsc2UsImRyb3BwaW5nLXBhcnRpY2xlIjoiIiwibm9uLWRyb3BwaW5nLXBhcnRpY2xlIjoiIn0seyJmYW1pbHkiOiJUZW50ZXMiLCJnaXZlbiI6IkFudG9uaW9zLUFwb3N0b2xvcyIsInBhcnNlLW5hbWVzIjpmYWxzZSwiZHJvcHBpbmctcGFydGljbGUiOiIiLCJub24tZHJvcHBpbmctcGFydGljbGUiOiIifV0sImNvbnRhaW5lci10aXRsZSI6IkpCVU9OIiwiYWNjZXNzZWQiOnsiZGF0ZS1wYXJ0cyI6W1syMDI1LDQsMThdXX0sIklTU04iOiIyMjQxLTYyOTMiLCJpc3N1ZWQiOnsiZGF0ZS1wYXJ0cyI6W1syMDIxXV19LCJwYWdlIjoiMTY0Ny0xNjUyIiwiYWJzdHJhY3QiOiJQdXJwb3NlOiB1ZG9teXhvbWEgcGVyaXRvbmVpIGlzIHRyZWF0ZWQgd2l0aCBjeXRvcmVkdWN0aXZlIHN1cmdlcnkgKENSUykgY29tYmluZWQgYW5kIGh5cGVydGhlcm1pYyBpbnRyYW9wZXJhdGl2ZSBpbnRyYXBlcml0b25lYWwgY2hlbW90aGVyYXB5IChISVBFQykuIFRoZSBwdXJwb3NlIG9mIHRoaXMgc3R1ZHkgd2FzIHRvIHJlcG9ydCB0aGUyMC15ZWFyIGV4cGVyaWVuY2Ugb2Ygb25lIHN1cmdpY2FsIHRlYW0gaW5DUlMgYW5kIEhJUEVDIGZvciBQTVAgb2YgYXBwZW5kaWNlYWwgb3JpZ2luLiBNZXRob2RzOiBSZXRyb3NwZWN0aXZlIHN0dWR5IG9mIHRoZSBmaWxlcyBvZiBwYXRpZW50cyB3aXRoIFBNUCBvZiBhcHBlbmRpY2VhbCBvcmlnaW4gdGhhdCB1bmRlcndlbnQgQ1JTK0hJUEVDLiBNb3JiaWRpdHkgYW5kIGhvc3BpdGFsIG1vcnRhbGl0eSB3ZXJlIHJlY29yZGVkLiBDbGluaWNhbCBhbmQgaGlzdG9wYXRob2xvZ2ljIHZhcmlhYmxlcyB3ZXJlIGNvcnJlbGF0ZWQgdG8gc3Vydml2YWwgYW5kIHJlY3VycmVuY2UuIFJlc3VsdHM6IFRoZSBmaWxlcyBvZiA0MSBwYXRpZW50cyB3aXRoIFBNUCBvZiBhcHBlbmRpY2VhbCBvcmlnaW4gdGhhdCB1bmRlcndlbnQgQ1JTK0hJUEVDIGZyb20gMTk5OS0yMDE4IHdlcmUgcmV0cmlldmVkLiBUaGUgbW9ydGFsaXR5IGFuZCB0aGUgbW9yYmlkaXR5IHJhdGVzIHdlcmUgMi40JSBhbmQgMjkuMyUsIHJlc3BlY3RpdmVseS4gVGhlIDUtYW5kIDgteWVhciBzdXJ2aXZhbCByYXRlIHdhcyA2OC4zJS4gVGhlIGNvbXBsZXRlbmVzcyBvZiBjeXRvcmVkdWN0aW9uLCBhbmQgdGhlIGV4dGVudCBvZiBwcmV2aW91cyBzdXJnZXJ5IHdlcmUgaWRlbnRpZmllZCBhcyB0aGUgcHJvZ25vc3RpYyBpbmRpY2F0b3JzIG9mIHN1cnZpdmFsLiBUaGUgcmVjdXJyZW5jZSByYXRlIHdhcyAzMi41JSB3aXRoIHRoZSBjb21wbGV0ZW5lc3Mgb2YgY3l0b3JlZHVjdGlvbiwgdGhlIGhpc3RvbG9naWMgdHlwZSBvZiB0aGUgdHVtb3IgYmVpbmcgdGhlIHByb2dub3N0aWMgaW5kaWNhdG9yLiBDb25jbHVzaW9uczogQ1JTIGluIGNvbWJpbmF0aW9uIHdpdGggcGVyaW9wZXJhdGl2ZSBpbnRyYS1wZXJpdG9uZWFsIGNoZW1vdGhlcmFweSBpcyBhIHNhZmUgYW5kIGVmZmVjdGl2ZSB0cmVhdG1lbnQgaW4gdGhlIG1hbmFnZW1lbnQgb2YgUE1QIG9mIGFwcGVuZGljZWFsIG9yaWdpbi4iLCJpc3N1ZSI6IjQiLCJ2b2x1bWUiOiIyNiIsImNvbnRhaW5lci10aXRsZS1zaG9ydCI6IiJ9LCJpc1RlbXBvcmFyeSI6ZmFsc2V9XX0="/>
          <w:id w:val="1123813017"/>
        </w:sdtPr>
        <w:sdtContent>
          <w:r>
            <w:rPr>
              <w:rFonts w:eastAsia="MS Mincho"/>
              <w:color w:val="000000"/>
            </w:rPr>
          </w:r>
          <w:r>
            <w:rPr>
              <w:rFonts w:eastAsia="MS Mincho"/>
              <w:color w:val="000000"/>
            </w:rPr>
            <w:t>(9)</w:t>
          </w:r>
        </w:sdtContent>
      </w:sdt>
    </w:p>
    <w:p>
      <w:pPr>
        <w:pStyle w:val="p3"/>
        <w:spacing w:lineRule="auto" w:line="360" w:before="280" w:after="280"/>
        <w:jc w:val="both"/>
        <w:rPr/>
      </w:pPr>
      <w:r>
        <w:rPr/>
        <w:t xml:space="preserve">De igual manera, el tratamiento de tumores neuroendocrinos apendiculares pequeños difiere sustancialmente del manejo de adenocarcinomas invasivos o de neoplasias mucinosas perforadas </w:t>
      </w:r>
      <w:sdt>
        <w:sdtPr>
          <w:placeholder>
            <w:docPart w:val="DefaultPlaceholder_-1854013440"/>
          </w:placeholder>
          <w:tag w:val="MENDELEY_CITATION_v3_eyJjaXRhdGlvbklEIjoiTUVOREVMRVlfQ0lUQVRJT05fZjNkODU1ZWUtYmQwZi00MTEyLWI1YjItMzk0ZGVlOWY0Mjc5IiwicHJvcGVydGllcyI6eyJub3RlSW5kZXgiOjB9LCJpc0VkaXRlZCI6ZmFsc2UsIm1hbnVhbE92ZXJyaWRlIjp7ImlzTWFudWFsbHlPdmVycmlkZGVuIjpmYWxzZSwiY2l0ZXByb2NUZXh0IjoiKDUpIiwibWFudWFsT3ZlcnJpZGVUZXh0IjoiIn0sImNpdGF0aW9uSXRlbXMiOlt7ImlkIjoiNWQ0ZTZkMGQtOTE3Zi0zZThiLTk2OTQtMGY0YzYyMDY2ZDA3IiwiaXRlbURhdGEiOnsidHlwZSI6ImFydGljbGUtam91cm5hbCIsImlkIjoiNWQ0ZTZkMGQtOTE3Zi0zZThiLTk2OTQtMGY0YzYyMDY2ZDA3IiwidGl0bGUiOiJDdXJyZW50IE1hbmFnZW1lbnQgb2YgQXBwZW5kaWNlYWwgTmVvcGxhc21zIiwiYXV0aG9yIjpbeyJmYW1pbHkiOiJIb2VobiIsImdpdmVuIjoiUmljaGFyZCBTIiwicGFyc2UtbmFtZXMiOmZhbHNlLCJkcm9wcGluZy1wYXJ0aWNsZSI6IiIsIm5vbi1kcm9wcGluZy1wYXJ0aWNsZSI6IiJ9LHsiZmFtaWx5IjoiUmllc2VyIiwiZ2l2ZW4iOiJDYXJvbGluZSBKIiwicGFyc2UtbmFtZXMiOmZhbHNlLCJkcm9wcGluZy1wYXJ0aWNsZSI6IiIsIm5vbi1kcm9wcGluZy1wYXJ0aWNsZSI6IiJ9LHsiZmFtaWx5IjoiSGFyb29uIENob3VkcnkiLCJnaXZlbiI6IjsgTSIsInBhcnNlLW5hbWVzIjpmYWxzZSwiZHJvcHBpbmctcGFydGljbGUiOiIiLCJub24tZHJvcHBpbmctcGFydGljbGUiOiIifSx7ImZhbWlseSI6Ik1lbG5pdGNob3VrIiwiZ2l2ZW4iOiJOZWx5YSIsInBhcnNlLW5hbWVzIjpmYWxzZSwiZHJvcHBpbmctcGFydGljbGUiOiIiLCJub24tZHJvcHBpbmctcGFydGljbGUiOiIifSx7ImZhbWlseSI6IkhlY2h0bWFuIiwiZ2l2ZW4iOiJKYWNseW4iLCJwYXJzZS1uYW1lcyI6ZmFsc2UsImRyb3BwaW5nLXBhcnRpY2xlIjoiIiwibm9uLWRyb3BwaW5nLXBhcnRpY2xlIjoiIn0seyJmYW1pbHkiOiJCYWhhcnkiLCJnaXZlbiI6Ik5hdGhhbiIsInBhcnNlLW5hbWVzIjpmYWxzZSwiZHJvcHBpbmctcGFydGljbGUiOiIiLCJub24tZHJvcHBpbmctcGFydGljbGUiOiIifV0sImNvbnRhaW5lci10aXRsZSI6Ikdhc3Ryb2ludGVzdGluYWwgQ2FuY2VyLUNvbG9yZWN0YWwgYW5kIGFuYWwiLCJhY2Nlc3NlZCI6eyJkYXRlLXBhcnRzIjpbWzIwMjUsNSwzMF1dfSwiRE9JIjoiMTAuMTIwMC9FREJLXyIsImlzc3VlZCI6eyJkYXRlLXBhcnRzIjpbWzIwMjFdXX0sInBhZ2UiOiIxMTgtMTQyIiwiaXNzdWUiOiI0MSIsInZvbHVtZSI6IjQxIiwiY29udGFpbmVyLXRpdGxlLXNob3J0IjoiIn0sImlzVGVtcG9yYXJ5IjpmYWxzZX1dfQ=="/>
          <w:id w:val="-976686919"/>
        </w:sdtPr>
        <w:sdtContent>
          <w:r>
            <w:rPr/>
          </w:r>
          <w:r>
            <w:rPr>
              <w:rFonts w:eastAsia="MS Mincho"/>
              <w:color w:val="000000"/>
            </w:rPr>
            <w:t>(5)</w:t>
          </w:r>
        </w:sdtContent>
      </w:sdt>
      <w:r>
        <w:rPr/>
        <w:t xml:space="preserve">. Esto </w:t>
      </w:r>
      <w:r>
        <w:rPr/>
        <w:t xml:space="preserve">hace indispensable que los cirujanos generales y oncólogos quirúrgicos estén familiarizados con los principios actualizados de estadificación, resecabilidad y manejo multimodal </w:t>
      </w:r>
      <w:sdt>
        <w:sdtPr>
          <w:placeholder>
            <w:docPart w:val="DefaultPlaceholder_-1854013440"/>
          </w:placeholder>
          <w:tag w:val="MENDELEY_CITATION_v3_eyJjaXRhdGlvbklEIjoiTUVOREVMRVlfQ0lUQVRJT05fODRjZjNkN2MtYzljNi00NTllLWI2MDQtMGEwN2IwYjkyOTA2IiwicHJvcGVydGllcyI6eyJub3RlSW5kZXgiOjB9LCJpc0VkaXRlZCI6ZmFsc2UsIm1hbnVhbE92ZXJyaWRlIjp7ImlzTWFudWFsbHlPdmVycmlkZGVuIjpmYWxzZSwiY2l0ZXByb2NUZXh0IjoiKDEwKSIsIm1hbnVhbE92ZXJyaWRlVGV4dCI6IiJ9LCJjaXRhdGlvbkl0ZW1zIjpbeyJpZCI6ImY2ZDdhNzJhLTkyMTMtM2JkZC1iMjBmLWFkMDI2MDU2MTMzMCIsIml0ZW1EYXRhIjp7InR5cGUiOiJhcnRpY2xlLWpvdXJuYWwiLCJpZCI6ImY2ZDdhNzJhLTkyMTMtM2JkZC1iMjBmLWFkMDI2MDU2MTMzMCIsInRpdGxlIjoiTWFuYWdlbWVudCBvZiBhcHBlbmRpY2VhbCBuZXVyb2VuZG9jcmluZSB0dW1vcnMgaW4gdGhlIGxpZ2h0IG9mIG5ldyBndWlkZWxpbmVzIiwiYXV0aG9yIjpbeyJmYW1pbHkiOiJHdW11xZ9vZ2x1IiwiZ2l2ZW4iOiJBbHBlbiBZYWh5YSIsInBhcnNlLW5hbWVzIjpmYWxzZSwiZHJvcHBpbmctcGFydGljbGUiOiIiLCJub24tZHJvcHBpbmctcGFydGljbGUiOiIifSx7ImZhbWlseSI6IkRvbm1leiIsImdpdmVuIjoiVHVyZ3V0IiwicGFyc2UtbmFtZXMiOmZhbHNlLCJkcm9wcGluZy1wYXJ0aWNsZSI6IiIsIm5vbi1kcm9wcGluZy1wYXJ0aWNsZSI6IiJ9LHsiZmFtaWx5IjoiS2FidWxpIiwiZ2l2ZW4iOiJIYW1pdCBBaG1ldCIsInBhcnNlLW5hbWVzIjpmYWxzZSwiZHJvcHBpbmctcGFydGljbGUiOiIiLCJub24tZHJvcHBpbmctcGFydGljbGUiOiIifSx7ImZhbWlseSI6Ik9udXIiLCJnaXZlbiI6Ik5pbHN1IERhbWxhIiwicGFyc2UtbmFtZXMiOmZhbHNlLCJkcm9wcGluZy1wYXJ0aWNsZSI6IiIsIm5vbi1kcm9wcGluZy1wYXJ0aWNsZSI6IiJ9LHsiZmFtaWx5IjoiRmVyYWhtYW4iLCJnaXZlbiI6IlNpbmEiLCJwYXJzZS1uYW1lcyI6ZmFsc2UsImRyb3BwaW5nLXBhcnRpY2xlIjoiIiwibm9uLWRyb3BwaW5nLXBhcnRpY2xlIjoiIn0seyJmYW1pbHkiOiJTYWtpeiIsImdpdmVuIjoiRGFtbGFudXIiLCJwYXJzZS1uYW1lcyI6ZmFsc2UsImRyb3BwaW5nLXBhcnRpY2xlIjoiIiwibm9uLWRyb3BwaW5nLXBhcnRpY2xlIjoiIn0seyJmYW1pbHkiOiJLYXJhYnVsdXQiLCJnaXZlbiI6Ik1laG1ldCIsInBhcnNlLW5hbWVzIjpmYWxzZSwiZHJvcHBpbmctcGFydGljbGUiOiIiLCJub24tZHJvcHBpbmctcGFydGljbGUiOiIifV0sImNvbnRhaW5lci10aXRsZSI6IklyaXNoIGpvdXJuYWwgb2YgbWVkaWNhbCBzY2llbmNlIiwiY29udGFpbmVyLXRpdGxlLXNob3J0IjoiSXIgSiBNZWQgU2NpIiwiRE9JIjoiMTAuMTAwNy9TMTE4NDUtMDIxLTAyNzA3LVkiLCJJU1NOIjoiMTg2My00MzYyIiwiUE1JRCI6IjM0MjE4NDEwIiwiaXNzdWVkIjp7ImRhdGUtcGFydHMiOltbMjAyMl1dfSwicGFnZSI6IjExMzMtMTEzNyIsImFic3RyYWN0IjoiUHVycG9zZTogQXBwZW5kaWNlYWwgbmV1cm9lbmRvY3JpbmUgdHVtb3JzIChBTkVUcykgYXJlIHRoZSBtb3N0IGNvbW1vbiBpbiB0aGUgYXBwZW5kaXgsIGRldGVjdGVkIGluIGhpc3RvcGF0aG9sb2dpY2FsIGFwcGVuZGVjdG9teSBzcGVjaW1lbnMsIHdoaWNoIGFyZSByZXNlY3RlZCBmb3IgYWN1dGUgYXBwZW5kaWNpdGlzLiBJZiB0dW1vciBkZXRlY3Rpb24gZG9lcyBub3Qgc2hvdyBzaWducyBvZiBtZXRhc3RhdGljIGRpc2Vhc2Ugb3Igb2J2aW91cyBmZWF0dXJlcyBvZiBjYXJjaW5vaWQgc3luZHJvbWUsIHByZW9wZXJhdGl2ZSBkaWFnbm9zaXMgcmVtYWlucyBhIGNoYWxsZW5nZS4gSG93ZXZlciwgdGhlIHRyZWF0bWVudCBhbmQgZm9sbG93LXVwIGFsZ29yaXRobSBjaGFuZ2Ugb3ZlciB0aW1lLiBJbiBvdXIgc3R1ZHksIHdlIGFpbWVkIHRvIHByZXNlbnQgMTDCoHllYXJzIG9mIGRpYWdub3N0aWMgYW5kIG1hbmFnZW1lbnQgZXhwZXJpZW5jZS4gTWF0ZXJpYWwgYW5kIG1ldGhvZHM6IEEgcmV0cm9zcGVjdGl2ZSBzdHVkeSBvZiBhbGwgcGF0aWVudHMgd2hvIHVuZGVyd2VudCBlbWVyZ2VuY3kgYXBwZW5kZWN0b215LCB3aXRoIHRoZSBpbnRlbnRpb24gdG8gdHJlYXQgY2xpbmljYWxseSBhY3V0ZSBhcHBlbmRpY2l0aXMgYXQgQmFraXJrb3kgRHIuIFNhZGkgS29udWsgSG9zcGl0YWwgKElzdGFuYnVsLCBUdXJrZXkpLCB3YXMgdW5kZXJ0YWtlbi4gUGF0aWVudHMgd2l0aCBkaWFnbm9zZXMgb3RoZXIgdGhhbiBBTkVUcyB3ZXJlIGV4Y2x1ZGVkLiBBZ2UsIGdlbmRlciwgcHJlb3BlcmF0aXZlIGNsaW5pY2FsIGZpbmRpbmdzLCBvcGVyYXRpdmUgcHJvY2VkdXJlLCBhbmQgaGlzdG9wYXRob2xvZ2ljYWwgcmVzdWx0cyBpZGVudGlmaWVkIGFzIEFORVRzIHdlcmUgZXZhbHVhdGVkLiBSZXN1bHRzOiBBTkVUcyB3ZXJlIGRldGVjdGVkIGluIDI0IHBhdGllbnRzICgwLjQyJSkgaW4gdGhlIGhpc3RvcGF0aG9sb2dpY2FsIGV4YW1pbmF0aW9uIG9mIDU3MjAgYXBwZW5kZWN0b215IHNwZWNpbWVucyBiZXR3ZWVuIERlY2VtYmVyIDIwMTEgYW5kIE9jdG9iZXIgMjAyMC4gTWVhbiBhZ2Ugb2YgcGF0aWVudHMgd2FzIDMwwqB5ZWFycywgd2l0aCA1OC4zJSBmZW1hbGUuIFRoZSBtYWpvcml0eSB3ZXJlIGxvY2F0ZWQgYXQgdGhlIHRpcCBvZiBhcHBlbmRpeCAoNjIuNSUpLiBFbGV2ZW4gcGF0aWVudHMgKDQ1LjgzJSkgd2VyZSBncmFkZWQgYXMgVDEsIG9uZSBwYXRpZW50ICg0LjE2JSkgYXMgVDIsIDExICg0MS44MyUpIGFzIFQzLCBhbmQgb25lIHBhdGllbnQgKDQuMTYlKSBhcyBUNC4gU2Vjb25kYXJ5IGhlbWljb2xlY3RvbXkgd2FzIHBlcmZvcm1lZCBpbiBmb3VyIHBhdGllbnRzLiBNZWRpYW4gcG9zdG9wZXJhdGl2ZSBmb2xsb3ctdXAgd2FzIDQzICgxN+KAkzEwOCkgbW9udGhzLiBDb25jbHVzaW9uOiBJbiBhZGRpdGlvbiwgQU5FVHMgYXJlIHJhcmUgYW5kIGxhcmdlbHkgZGV0ZWN0ZWQgYnkgY2hhbmNlOyB0aGVyZWZvcmUsIHByZWNpc2UgZXhhbWluYXRpb24gb2Ygcm91dGluZSBhcHBlbmRlY3RvbXkgc3BlY2ltZW5zIGlzIGVzc2VudGlhbCBmb3IgZGlhZ25vc2lzLiBBY2N1cmF0ZSB0dW1vciBzdGFnaW5nLCBpbiBsaWdodCBvZiBuZXcgYWxnb3JpdGhtcywgaGFzIGFuIGltcG9ydGFudCBwbGFjZSBpbiBmb2xsb3ctdXAgYW5kIHRyZWF0bWVudCBtYW5hZ2VtZW50LiIsInB1Ymxpc2hlciI6IklyIEogTWVkIFNjaSIsImlzc3VlIjoiMyIsInZvbHVtZSI6IjE5MSJ9LCJpc1RlbXBvcmFyeSI6ZmFsc2V9XX0="/>
          <w:id w:val="2123569159"/>
        </w:sdtPr>
        <w:sdtContent>
          <w:r>
            <w:rPr/>
          </w:r>
          <w:r>
            <w:rPr>
              <w:rFonts w:eastAsia="MS Mincho"/>
              <w:color w:val="000000"/>
            </w:rPr>
            <w:t>(10)</w:t>
          </w:r>
        </w:sdtContent>
      </w:sdt>
      <w:r>
        <w:rPr/>
        <w:t>.</w:t>
      </w:r>
    </w:p>
    <w:p>
      <w:pPr>
        <w:pStyle w:val="p3"/>
        <w:spacing w:lineRule="auto" w:line="360" w:before="280" w:after="280"/>
        <w:jc w:val="both"/>
        <w:rPr/>
      </w:pPr>
      <w:r>
        <w:rPr/>
        <w:t>En Costa Rica, el cáncer apendicular presenta particularidades adicionales. El análisis preliminar de datos del Registro Nacional de Tumores (RNT) evidencia una baja incidencia anual, sin una tendencia de crecimiento sostenido como la observada en otros países. Además, se documenta una alta proporción de casos clasificados como “neoplasia maligna sin otra especificación (SAI)”, lo cual sugiere limitaciones en la caracterización histopatológica precisa.</w:t>
      </w:r>
    </w:p>
    <w:p>
      <w:pPr>
        <w:pStyle w:val="p3"/>
        <w:spacing w:lineRule="auto" w:line="360" w:before="280" w:after="280"/>
        <w:jc w:val="both"/>
        <w:rPr/>
      </w:pPr>
      <w:r>
        <w:rPr/>
        <w:t>La ausencia de protocolos institucionales específicos para el diagnóstico y tratamiento de tumores apendiculares dentro del sistema de salud pública, sumada a la escasa experiencia acumulada en muchos centros hospitalarios, genera variabilidad en la conducta quirúrgica y terapéutica, con potencial impacto en la supervivencia de los pacientes.</w:t>
      </w:r>
    </w:p>
    <w:p>
      <w:pPr>
        <w:pStyle w:val="p3"/>
        <w:spacing w:lineRule="auto" w:line="360" w:before="280" w:after="280"/>
        <w:jc w:val="both"/>
        <w:rPr/>
      </w:pPr>
      <w:r>
        <w:rPr/>
      </w:r>
    </w:p>
    <w:p>
      <w:pPr>
        <w:pStyle w:val="Heading2"/>
        <w:numPr>
          <w:ilvl w:val="1"/>
          <w:numId w:val="46"/>
        </w:numPr>
        <w:rPr/>
      </w:pPr>
      <w:bookmarkStart w:id="21" w:name="_Toc199584560"/>
      <w:bookmarkStart w:id="22" w:name="_Toc200580201"/>
      <w:r>
        <w:rPr/>
        <w:t>Pregunta de investigación</w:t>
      </w:r>
      <w:bookmarkEnd w:id="21"/>
      <w:bookmarkEnd w:id="22"/>
    </w:p>
    <w:p>
      <w:pPr>
        <w:pStyle w:val="p1"/>
        <w:spacing w:lineRule="auto" w:line="360" w:before="280" w:after="280"/>
        <w:jc w:val="both"/>
        <w:rPr/>
      </w:pPr>
      <w:r>
        <w:rPr>
          <w:color w:themeColor="text1" w:val="000000"/>
          <w:lang w:val="es-419"/>
        </w:rPr>
        <w:t>¿Cuáles son las principales características del abordaje del cáncer apendicular definido en la literatura mundial y es comparable con el manejo realizado en la CCSS?</w:t>
      </w:r>
    </w:p>
    <w:p>
      <w:pPr>
        <w:pStyle w:val="NoSpacing"/>
        <w:rPr/>
      </w:pPr>
      <w:r>
        <w:rPr/>
      </w:r>
    </w:p>
    <w:p>
      <w:pPr>
        <w:pStyle w:val="Heading2"/>
        <w:numPr>
          <w:ilvl w:val="1"/>
          <w:numId w:val="47"/>
        </w:numPr>
        <w:rPr/>
      </w:pPr>
      <w:bookmarkStart w:id="23" w:name="_Toc200580202"/>
      <w:bookmarkStart w:id="24" w:name="_Toc199584561"/>
      <w:r>
        <w:rPr/>
        <w:t>Justificación</w:t>
      </w:r>
      <w:bookmarkEnd w:id="23"/>
      <w:bookmarkEnd w:id="24"/>
    </w:p>
    <w:p>
      <w:pPr>
        <w:pStyle w:val="p3"/>
        <w:spacing w:lineRule="auto" w:line="360" w:before="280" w:after="280"/>
        <w:jc w:val="both"/>
        <w:rPr/>
      </w:pPr>
      <w:r>
        <w:rPr/>
        <w:t>Esta investigación surge de la necesidad de:</w:t>
      </w:r>
    </w:p>
    <w:p>
      <w:pPr>
        <w:pStyle w:val="p1"/>
        <w:numPr>
          <w:ilvl w:val="0"/>
          <w:numId w:val="35"/>
        </w:numPr>
        <w:spacing w:lineRule="auto" w:line="360" w:before="280" w:after="0"/>
        <w:jc w:val="both"/>
        <w:rPr/>
      </w:pPr>
      <w:r>
        <w:rPr/>
        <w:t>Describir y analizar la epidemiología real del cáncer apendicular en Costa Rica utilizando fuentes oficiales nacionales.</w:t>
      </w:r>
    </w:p>
    <w:p>
      <w:pPr>
        <w:pStyle w:val="p1"/>
        <w:numPr>
          <w:ilvl w:val="0"/>
          <w:numId w:val="35"/>
        </w:numPr>
        <w:spacing w:lineRule="auto" w:line="360" w:before="0" w:after="0"/>
        <w:jc w:val="both"/>
        <w:rPr/>
      </w:pPr>
      <w:r>
        <w:rPr/>
        <w:t>Evaluar las estrategias diagnósticas y terapéuticas utilizadas por los especialistas quirúrgicos de la Caja Costarricense de Seguro Social (CCSS) mediante una encuesta dirigida.</w:t>
      </w:r>
    </w:p>
    <w:p>
      <w:pPr>
        <w:pStyle w:val="p1"/>
        <w:numPr>
          <w:ilvl w:val="0"/>
          <w:numId w:val="35"/>
        </w:numPr>
        <w:spacing w:lineRule="auto" w:line="360" w:before="0" w:after="280"/>
        <w:jc w:val="both"/>
        <w:rPr/>
      </w:pPr>
      <w:r>
        <w:rPr/>
        <w:t>Identificar brechas entre el manejo ideal reportado en la literatura mundial y el abordaje real en el contexto costarricense.</w:t>
      </w:r>
    </w:p>
    <w:p>
      <w:pPr>
        <w:pStyle w:val="p3"/>
        <w:spacing w:lineRule="auto" w:line="360" w:before="280" w:after="280"/>
        <w:jc w:val="both"/>
        <w:rPr/>
      </w:pPr>
      <w:r>
        <w:rPr/>
        <w:t>De esta manera, el presente trabajo busca sentar las bases para el desarrollo de futuros lineamientos nacionales que mejoren la atención oncológica de esta enfermedad poco frecuente.</w:t>
      </w:r>
    </w:p>
    <w:p>
      <w:pPr>
        <w:pStyle w:val="p3"/>
        <w:spacing w:before="280" w:after="280"/>
        <w:rPr/>
      </w:pPr>
      <w:r>
        <w:rPr/>
      </w:r>
    </w:p>
    <w:p>
      <w:pPr>
        <w:pStyle w:val="Normal"/>
        <w:spacing w:lineRule="auto" w:line="276" w:before="0" w:after="200"/>
        <w:rPr>
          <w:rFonts w:eastAsia="" w:cs="" w:cstheme="majorBidi" w:eastAsiaTheme="majorEastAsia"/>
          <w:b/>
          <w:bCs/>
          <w:szCs w:val="28"/>
        </w:rPr>
      </w:pPr>
      <w:r>
        <w:rPr>
          <w:rFonts w:eastAsia="" w:cs="" w:cstheme="majorBidi" w:eastAsiaTheme="majorEastAsia"/>
          <w:b/>
          <w:bCs/>
          <w:szCs w:val="28"/>
        </w:rPr>
      </w:r>
      <w:r>
        <w:br w:type="page"/>
      </w:r>
    </w:p>
    <w:p>
      <w:pPr>
        <w:pStyle w:val="Heading1"/>
        <w:numPr>
          <w:ilvl w:val="0"/>
          <w:numId w:val="42"/>
        </w:numPr>
        <w:spacing w:before="0" w:after="0"/>
        <w:rPr/>
      </w:pPr>
      <w:bookmarkStart w:id="25" w:name="_Toc200580203"/>
      <w:r>
        <w:rPr/>
        <w:t>Objetivos</w:t>
      </w:r>
      <w:bookmarkEnd w:id="25"/>
    </w:p>
    <w:p>
      <w:pPr>
        <w:pStyle w:val="p3"/>
        <w:spacing w:before="280" w:after="280"/>
        <w:jc w:val="both"/>
        <w:rPr/>
      </w:pPr>
      <w:r>
        <w:rPr/>
      </w:r>
    </w:p>
    <w:p>
      <w:pPr>
        <w:pStyle w:val="Heading2"/>
        <w:numPr>
          <w:ilvl w:val="1"/>
          <w:numId w:val="48"/>
        </w:numPr>
        <w:rPr/>
      </w:pPr>
      <w:bookmarkStart w:id="26" w:name="_Toc200580204"/>
      <w:r>
        <w:rPr/>
        <w:t>Objetivo General</w:t>
      </w:r>
      <w:bookmarkEnd w:id="26"/>
    </w:p>
    <w:p>
      <w:pPr>
        <w:pStyle w:val="p1"/>
        <w:spacing w:lineRule="auto" w:line="360" w:before="280" w:after="280"/>
        <w:jc w:val="both"/>
        <w:rPr>
          <w:color w:themeColor="text1" w:val="000000"/>
          <w:lang w:val="es-419"/>
        </w:rPr>
      </w:pPr>
      <w:r>
        <w:rPr>
          <w:color w:themeColor="text1" w:val="000000"/>
          <w:lang w:val="es-419"/>
        </w:rPr>
        <w:t xml:space="preserve">Analizar de forma integral el abordaje del cáncer apendicular mediante una revisión bibliográfica de la literatura internacional y el estudio epidemiológico de su comportamiento en Costa Rica </w:t>
      </w:r>
    </w:p>
    <w:p>
      <w:pPr>
        <w:pStyle w:val="p1"/>
        <w:spacing w:lineRule="auto" w:line="360" w:before="280" w:after="280"/>
        <w:jc w:val="both"/>
        <w:rPr>
          <w:color w:themeColor="text1" w:val="000000"/>
          <w:lang w:val="es-419"/>
        </w:rPr>
      </w:pPr>
      <w:r>
        <w:rPr>
          <w:color w:themeColor="text1" w:val="000000"/>
          <w:lang w:val="es-419"/>
        </w:rPr>
      </w:r>
    </w:p>
    <w:p>
      <w:pPr>
        <w:pStyle w:val="Heading2"/>
        <w:numPr>
          <w:ilvl w:val="1"/>
          <w:numId w:val="49"/>
        </w:numPr>
        <w:rPr/>
      </w:pPr>
      <w:bookmarkStart w:id="27" w:name="_Toc200580205"/>
      <w:r>
        <w:rPr/>
        <w:t>Objetivos específicos</w:t>
      </w:r>
      <w:bookmarkEnd w:id="27"/>
    </w:p>
    <w:p>
      <w:pPr>
        <w:pStyle w:val="p1"/>
        <w:numPr>
          <w:ilvl w:val="0"/>
          <w:numId w:val="34"/>
        </w:numPr>
        <w:spacing w:lineRule="auto" w:line="360" w:before="280" w:after="0"/>
        <w:jc w:val="both"/>
        <w:rPr>
          <w:color w:themeColor="text1" w:val="000000"/>
          <w:lang w:val="es-419"/>
        </w:rPr>
      </w:pPr>
      <w:r>
        <w:rPr>
          <w:color w:themeColor="text1" w:val="000000"/>
          <w:lang w:val="es-419"/>
        </w:rPr>
        <w:t>Describir las principales características del cáncer apendicular, incluyendo su definición, epidemiología, métodos diagnósticos, estadiaje y estrategias terapéuticas</w:t>
      </w:r>
    </w:p>
    <w:p>
      <w:pPr>
        <w:pStyle w:val="p1"/>
        <w:numPr>
          <w:ilvl w:val="0"/>
          <w:numId w:val="34"/>
        </w:numPr>
        <w:spacing w:lineRule="auto" w:line="360" w:before="0" w:after="0"/>
        <w:jc w:val="both"/>
        <w:rPr>
          <w:color w:themeColor="text1" w:val="000000"/>
          <w:lang w:val="es-419"/>
        </w:rPr>
      </w:pPr>
      <w:r>
        <w:rPr>
          <w:color w:themeColor="text1" w:val="000000"/>
          <w:lang w:val="es-419"/>
        </w:rPr>
        <w:t xml:space="preserve">Definir la incidencia del cáncer apendicular en Costa Rica según datos del Registro Nacional de Tumores entre los años 2000 – 2022 y su clasificación según género y tipo histológico. </w:t>
      </w:r>
    </w:p>
    <w:p>
      <w:pPr>
        <w:pStyle w:val="ListParagraph"/>
        <w:numPr>
          <w:ilvl w:val="0"/>
          <w:numId w:val="34"/>
        </w:numPr>
        <w:spacing w:lineRule="auto" w:line="360"/>
        <w:jc w:val="both"/>
        <w:rPr>
          <w:color w:themeColor="text1" w:val="000000"/>
          <w:lang w:val="es-419"/>
        </w:rPr>
      </w:pPr>
      <w:r>
        <w:rPr>
          <w:color w:themeColor="text1" w:val="000000"/>
          <w:lang w:val="es-419"/>
        </w:rPr>
        <w:t>Analizar las prácticas diagnósticas y terapéuticas actuales del cáncer apendicular entre los especialistas quirúrgicos nacionales, mediante la aplicación de una encuesta estructurada.</w:t>
      </w:r>
    </w:p>
    <w:p>
      <w:pPr>
        <w:pStyle w:val="Normal"/>
        <w:jc w:val="both"/>
        <w:rPr>
          <w:lang w:val="es-419"/>
        </w:rPr>
      </w:pPr>
      <w:r>
        <w:rPr>
          <w:lang w:val="es-419"/>
        </w:rPr>
      </w:r>
    </w:p>
    <w:p>
      <w:pPr>
        <w:pStyle w:val="Normal"/>
        <w:rPr/>
      </w:pPr>
      <w:r>
        <w:rPr/>
      </w:r>
    </w:p>
    <w:p>
      <w:pPr>
        <w:pStyle w:val="Normal"/>
        <w:spacing w:lineRule="auto" w:line="276" w:before="0" w:after="200"/>
        <w:rPr/>
      </w:pPr>
      <w:r>
        <w:rPr/>
      </w:r>
      <w:bookmarkStart w:id="28" w:name="_Toc199584563"/>
      <w:bookmarkStart w:id="29" w:name="_Toc199584563"/>
      <w:r>
        <w:br w:type="page"/>
      </w:r>
    </w:p>
    <w:p>
      <w:pPr>
        <w:pStyle w:val="Heading1"/>
        <w:numPr>
          <w:ilvl w:val="0"/>
          <w:numId w:val="42"/>
        </w:numPr>
        <w:spacing w:before="0" w:after="0"/>
        <w:rPr/>
      </w:pPr>
      <w:bookmarkStart w:id="30" w:name="_Toc199584563"/>
      <w:bookmarkStart w:id="31" w:name="_Toc200580207"/>
      <w:bookmarkStart w:id="32" w:name="_Toc200580206"/>
      <w:bookmarkEnd w:id="32"/>
      <w:r>
        <w:rPr/>
        <w:t>Metodología</w:t>
      </w:r>
      <w:bookmarkEnd w:id="30"/>
      <w:bookmarkEnd w:id="31"/>
      <w:r>
        <w:rPr/>
        <w:t xml:space="preserve"> </w:t>
      </w:r>
    </w:p>
    <w:p>
      <w:pPr>
        <w:pStyle w:val="Normal"/>
        <w:rPr/>
      </w:pPr>
      <w:r>
        <w:rPr/>
      </w:r>
    </w:p>
    <w:p>
      <w:pPr>
        <w:pStyle w:val="Heading2"/>
        <w:numPr>
          <w:ilvl w:val="1"/>
          <w:numId w:val="50"/>
        </w:numPr>
        <w:rPr/>
      </w:pPr>
      <w:bookmarkStart w:id="33" w:name="_Toc199584564"/>
      <w:bookmarkStart w:id="34" w:name="_Toc200580208"/>
      <w:r>
        <w:rPr/>
        <w:t>Estrategia metodológica para la revisión bibliográfica</w:t>
      </w:r>
      <w:bookmarkEnd w:id="33"/>
      <w:bookmarkEnd w:id="34"/>
    </w:p>
    <w:p>
      <w:pPr>
        <w:pStyle w:val="p3"/>
        <w:spacing w:lineRule="auto" w:line="360" w:before="280" w:after="280"/>
        <w:jc w:val="both"/>
        <w:rPr/>
      </w:pPr>
      <w:r>
        <w:rPr/>
        <w:t>Como parte fundamental del presente trabajo, se llevó a cabo una revisión bibliográfica estructurada con el objetivo de describir, sistematizar y analizar de forma crítica el abordaje diagnóstico y terapéutico del cáncer apendicular, según la literatura científica internacional. Esta revisión permitió construir los capítulos teóricos del presente documento, estableciendo las bases conceptuales y clínicas necesarias para contextualizar el estudio nacional.</w:t>
      </w:r>
    </w:p>
    <w:p>
      <w:pPr>
        <w:pStyle w:val="p3"/>
        <w:spacing w:lineRule="auto" w:line="360" w:before="280" w:after="280"/>
        <w:jc w:val="both"/>
        <w:rPr>
          <w:i/>
          <w:i/>
          <w:iCs/>
        </w:rPr>
      </w:pPr>
      <w:r>
        <w:rPr/>
        <w:t xml:space="preserve">La búsqueda de fuentes secundarias se realizó a través del motor de búsqueda biomédico PubMed, seleccionando artículos relevantes publicados en los cinco años previos al inicio de la redacción (2020–2024), con el fin de garantizar la vigencia y actualidad del material recopilado. Se emplearon los siguientes términos MeSH y palabras clave: </w:t>
      </w:r>
      <w:r>
        <w:rPr>
          <w:rStyle w:val="Emphasis"/>
        </w:rPr>
        <w:t>“appendiceal neoplasms”</w:t>
      </w:r>
      <w:r>
        <w:rPr/>
        <w:t xml:space="preserve">, </w:t>
      </w:r>
      <w:r>
        <w:rPr>
          <w:rStyle w:val="Emphasis"/>
        </w:rPr>
        <w:t>“appendiceal cancer”</w:t>
      </w:r>
      <w:r>
        <w:rPr/>
        <w:t xml:space="preserve">, </w:t>
      </w:r>
      <w:r>
        <w:rPr>
          <w:rStyle w:val="Emphasis"/>
        </w:rPr>
        <w:t>“appendiceal cancer management”</w:t>
      </w:r>
      <w:r>
        <w:rPr>
          <w:i/>
          <w:iCs/>
        </w:rPr>
        <w:t>.</w:t>
      </w:r>
    </w:p>
    <w:p>
      <w:pPr>
        <w:pStyle w:val="p1"/>
        <w:spacing w:lineRule="auto" w:line="360" w:before="280" w:after="280"/>
        <w:jc w:val="both"/>
        <w:rPr/>
      </w:pPr>
      <w:r>
        <w:rPr/>
        <w:t>Los criterios de inclusión de los artículos seleccionados fueron: publicaciones en inglés o español, con texto completo disponible; estudios realizados en seres humanos; trabajos que abordaran de forma explícita aspectos diagnósticos, terapéuticos o pronósticos del cáncer apendicular; y diseños metodológicos aceptados, tales como revisiones sistemáticas, metaanálisis, revisiones narrativas o descriptivas, estudios de cohorte retrospectivos o prospectivos, y estudios comparativos multicéntricos con alto nivel de evidencia.</w:t>
      </w:r>
    </w:p>
    <w:p>
      <w:pPr>
        <w:pStyle w:val="p1"/>
        <w:spacing w:lineRule="auto" w:line="360" w:before="280" w:after="280"/>
        <w:jc w:val="both"/>
        <w:rPr/>
      </w:pPr>
      <w:r>
        <w:rPr/>
        <w:t xml:space="preserve">Se excluyeron expresamente los reportes de caso aislados, los estudios preclínicos o </w:t>
      </w:r>
      <w:r>
        <w:rPr>
          <w:rStyle w:val="Emphasis"/>
        </w:rPr>
        <w:t>in vitro</w:t>
      </w:r>
      <w:r>
        <w:rPr/>
        <w:t>, así como las publicaciones no indexadas o con baja calidad metodológica, según criterios de revisión por pares.</w:t>
      </w:r>
    </w:p>
    <w:p>
      <w:pPr>
        <w:pStyle w:val="p1"/>
        <w:spacing w:lineRule="auto" w:line="360" w:before="280" w:after="280"/>
        <w:jc w:val="both"/>
        <w:rPr/>
      </w:pPr>
      <w:r>
        <w:rPr/>
        <w:t>Posteriormente, se revisaron manualmente las referencias bibliográficas de los artículos seleccionados para identificar trabajos adicionales relevantes que no hubieran sido recuperados en la búsqueda inicial. Se priorizó el uso de fuentes primarias con alta calidad metodológica y publicaciones indexadas en revistas con comité editorial internacional, garantizando así la solidez de los conceptos incluidos en el análisis.</w:t>
      </w:r>
    </w:p>
    <w:p>
      <w:pPr>
        <w:pStyle w:val="p1"/>
        <w:spacing w:lineRule="auto" w:line="360" w:before="280" w:after="280"/>
        <w:jc w:val="both"/>
        <w:rPr/>
      </w:pPr>
      <w:r>
        <w:rPr/>
      </w:r>
    </w:p>
    <w:p>
      <w:pPr>
        <w:pStyle w:val="Heading2"/>
        <w:numPr>
          <w:ilvl w:val="1"/>
          <w:numId w:val="51"/>
        </w:numPr>
        <w:rPr>
          <w:lang w:val="es-ES"/>
        </w:rPr>
      </w:pPr>
      <w:bookmarkStart w:id="35" w:name="_Toc200580209"/>
      <w:r>
        <w:rPr>
          <w:lang w:val="es-ES"/>
        </w:rPr>
        <w:t>Estrategia metodológica para el análisis de datos</w:t>
      </w:r>
      <w:bookmarkEnd w:id="35"/>
      <w:r>
        <w:rPr>
          <w:lang w:val="es-ES"/>
        </w:rPr>
        <w:t xml:space="preserve"> </w:t>
      </w:r>
    </w:p>
    <w:p>
      <w:pPr>
        <w:pStyle w:val="p1"/>
        <w:spacing w:lineRule="auto" w:line="360" w:before="280" w:after="280"/>
        <w:jc w:val="both"/>
        <w:rPr>
          <w:rStyle w:val="s2"/>
        </w:rPr>
      </w:pPr>
      <w:r>
        <w:rPr/>
        <w:t xml:space="preserve">Con el fin de conocer la epidemiología nacional del cáncer apendicular, se solicitó información específica al </w:t>
      </w:r>
      <w:r>
        <w:rPr>
          <w:b/>
        </w:rPr>
        <w:t>Registro Nacional de Tumores (RNT) del Ministerio de Salud de Costa Rica</w:t>
      </w:r>
      <w:r>
        <w:rPr/>
        <w:t>, el cual centraliza los casos oncológicos reportados por instituciones públicas y privadas a nivel nacional. Esta base de datos utiliza la Clasificación Internacional de Enfermedades para Oncología, tercera edición (CIE-O-3), como marco estandarizado para la codificación topográfica y morfológica de los tumores.</w:t>
      </w:r>
    </w:p>
    <w:p>
      <w:pPr>
        <w:pStyle w:val="p1"/>
        <w:spacing w:lineRule="auto" w:line="360" w:before="280" w:after="280"/>
        <w:jc w:val="both"/>
        <w:rPr/>
      </w:pPr>
      <w:r>
        <w:rPr/>
        <w:t>Todas las notificaciones de tumores malignos que recibe el RNT proceden de los servicios de Registros Médicos y Estadística (REDES) de los establecimientos de salud públicos y privados del país. El personal de REDES envía la información a través de un sistema en línea, con base en la documentación clínica disponible para cada caso. En la mayoría de los reportes se cuenta con resultados histopatológicos confirmatorios (biopsias o piezas quirúrgicas), aunque también se incluyen diagnósticos sustentados en citologías, pruebas hematológicas, imágenes médicas, investigación clínica o de laboratorio y, en una proporción menor, únicamente en criterios clínicos.</w:t>
      </w:r>
    </w:p>
    <w:p>
      <w:pPr>
        <w:pStyle w:val="p1"/>
        <w:spacing w:lineRule="auto" w:line="360" w:before="280" w:after="280"/>
        <w:jc w:val="both"/>
        <w:rPr/>
      </w:pPr>
      <w:r>
        <w:rPr/>
        <w:t>Los notificadores del sistema REDES emplean todas las fuentes de información disponibles con el objetivo de reportar el diagnóstico de la manera más detallada posible al momento de su ingreso al sistema de información del RNT. Esto garantiza una codificación lo más precisa posible de cada tumor, aunque puede generar cierta variabilidad en la calidad del dato según el centro notificador.</w:t>
      </w:r>
    </w:p>
    <w:p>
      <w:pPr>
        <w:pStyle w:val="p1"/>
        <w:spacing w:lineRule="auto" w:line="360" w:before="280" w:after="280"/>
        <w:jc w:val="both"/>
        <w:rPr/>
      </w:pPr>
      <w:r>
        <w:rPr/>
        <w:t>La información utilizada para este trabajo fue obtenida mediante solicitud directa, vía correo electrónico, a las autoridades del RNT, quienes remitieron como respuesta oficial dos archivos en formato Excel®, correspondientes a las estadísticas de incidencia de cáncer del apéndice cecal (código topográfico C18.1), desglosadas por sexo, tipo histológico y año de ocurrencia, para el período 2000–2022.</w:t>
      </w:r>
    </w:p>
    <w:p>
      <w:pPr>
        <w:pStyle w:val="p1"/>
        <w:spacing w:lineRule="auto" w:line="360" w:before="280" w:after="280"/>
        <w:jc w:val="both"/>
        <w:rPr/>
      </w:pPr>
      <w:r>
        <w:rPr/>
        <w:t>Cabe destacar que, según lo informado por el Ministerio de Salud, este conjunto de datos no se encuentra publicado en línea, ya que el apéndice vermiforme es considerado una subcategoría del código C18 (“colon”) y, por tanto, no se reporta de forma independiente en los informes públicos agregados del RNT.</w:t>
      </w:r>
    </w:p>
    <w:p>
      <w:pPr>
        <w:pStyle w:val="Heading2"/>
        <w:numPr>
          <w:ilvl w:val="1"/>
          <w:numId w:val="52"/>
        </w:numPr>
        <w:rPr/>
      </w:pPr>
      <w:bookmarkStart w:id="36" w:name="_Toc199584565"/>
      <w:bookmarkStart w:id="37" w:name="_Toc200580210"/>
      <w:r>
        <w:rPr/>
        <w:t>Estrategia metodológica para el estudio observacional (Encuesta a especialistas)</w:t>
      </w:r>
      <w:bookmarkEnd w:id="36"/>
      <w:bookmarkEnd w:id="37"/>
    </w:p>
    <w:p>
      <w:pPr>
        <w:pStyle w:val="p3"/>
        <w:spacing w:lineRule="auto" w:line="360" w:before="280" w:after="280"/>
        <w:jc w:val="both"/>
        <w:rPr/>
      </w:pPr>
      <w:r>
        <w:rPr/>
        <w:t xml:space="preserve">Dada la </w:t>
      </w:r>
      <w:r>
        <w:rPr>
          <w:rStyle w:val="s2"/>
        </w:rPr>
        <w:t>baja incidencia de cáncer apendicular</w:t>
      </w:r>
      <w:r>
        <w:rPr/>
        <w:t>, y considerando que los casos suelen concentrarse en pocos servicios hospitalarios por año, se estimó que un diseño basado en una encuesta a especialistas constituía la metodología más adecuada para:</w:t>
      </w:r>
    </w:p>
    <w:p>
      <w:pPr>
        <w:pStyle w:val="p1"/>
        <w:numPr>
          <w:ilvl w:val="0"/>
          <w:numId w:val="32"/>
        </w:numPr>
        <w:spacing w:lineRule="auto" w:line="360" w:before="280" w:after="0"/>
        <w:jc w:val="both"/>
        <w:rPr/>
      </w:pPr>
      <w:r>
        <w:rPr/>
        <w:t>Identificar patrones comunes y diferencias regionales en el manejo.</w:t>
      </w:r>
    </w:p>
    <w:p>
      <w:pPr>
        <w:pStyle w:val="p1"/>
        <w:numPr>
          <w:ilvl w:val="0"/>
          <w:numId w:val="32"/>
        </w:numPr>
        <w:spacing w:lineRule="auto" w:line="360" w:before="0" w:after="0"/>
        <w:jc w:val="both"/>
        <w:rPr/>
      </w:pPr>
      <w:r>
        <w:rPr>
          <w:rStyle w:val="s1"/>
        </w:rPr>
        <w:t xml:space="preserve">Detectar </w:t>
      </w:r>
      <w:r>
        <w:rPr/>
        <w:t>lagunas en el conocimiento clínico</w:t>
      </w:r>
      <w:r>
        <w:rPr>
          <w:rStyle w:val="s1"/>
        </w:rPr>
        <w:t xml:space="preserve"> y técnico.</w:t>
      </w:r>
    </w:p>
    <w:p>
      <w:pPr>
        <w:pStyle w:val="p1"/>
        <w:numPr>
          <w:ilvl w:val="0"/>
          <w:numId w:val="32"/>
        </w:numPr>
        <w:spacing w:lineRule="auto" w:line="360" w:before="0" w:after="280"/>
        <w:jc w:val="both"/>
        <w:rPr/>
      </w:pPr>
      <w:r>
        <w:rPr>
          <w:rStyle w:val="s1"/>
        </w:rPr>
        <w:t xml:space="preserve">Explorar la </w:t>
      </w:r>
      <w:r>
        <w:rPr/>
        <w:t>percepción sobre la viabilidad de técnicas especializadas</w:t>
      </w:r>
      <w:r>
        <w:rPr>
          <w:rStyle w:val="s1"/>
        </w:rPr>
        <w:t xml:space="preserve"> como HIPEC dentro de la red institucional.</w:t>
      </w:r>
    </w:p>
    <w:p>
      <w:pPr>
        <w:pStyle w:val="p3"/>
        <w:spacing w:lineRule="auto" w:line="360" w:before="280" w:after="280"/>
        <w:jc w:val="both"/>
        <w:rPr/>
      </w:pPr>
      <w:r>
        <w:rPr/>
        <w:t>Con el objetivo de conocer el abordaje diagnóstico y terapéutico del cáncer apendicular en los distintos niveles hospitalarios de la Caja Costarricense de Seguro Social (CCSS), se diseñó un estudio observacional de tipo descriptivo transversal, basado en la aplicación de una encuesta estructurada a especialistas quirúrgicos.</w:t>
      </w:r>
    </w:p>
    <w:p>
      <w:pPr>
        <w:pStyle w:val="p3"/>
        <w:spacing w:lineRule="auto" w:line="360" w:before="280" w:after="280"/>
        <w:jc w:val="both"/>
        <w:rPr/>
      </w:pPr>
      <w:r>
        <w:rPr/>
        <w:t>El estudio se centró en explorar las prácticas clínicas actuales, la variabilidad en la toma de decisiones quirúrgicas y terapéuticas, así como el grado de conocimiento y adopción de la técnica de quimioterapia intraperitoneal hipertérmica (HIPEC) como alternativa en el manejo de estadios avanzados de la enfermedad.</w:t>
      </w:r>
    </w:p>
    <w:p>
      <w:pPr>
        <w:pStyle w:val="p3"/>
        <w:spacing w:lineRule="auto" w:line="360" w:before="280" w:after="280"/>
        <w:jc w:val="both"/>
        <w:rPr/>
      </w:pPr>
      <w:r>
        <w:rPr/>
        <w:t>El instrumento fue dirigido a 165 cirujanos generales y oncólogos quirúrgicos afiliados a la Asociación Costarricense de Cirugía, entidad que agrupa a una parte significativa del cuerpo quirúrgico nacional. La inclusión de profesionales de distintos niveles hospitalarios —centrales, regionales y periféricos— permitió obtener una perspectiva representativa de las prácticas institucionales dentro del sistema público de salud.</w:t>
      </w:r>
    </w:p>
    <w:p>
      <w:pPr>
        <w:pStyle w:val="p3"/>
        <w:spacing w:lineRule="auto" w:line="360" w:before="280" w:after="280"/>
        <w:jc w:val="both"/>
        <w:rPr/>
      </w:pPr>
      <w:r>
        <w:rPr/>
        <w:t>La encuesta fue elaborada y validada por el autor principal del presente estudio, y distribuida de forma electrónica mediante la plataforma Google Forms® durante el mes de abril de 2025. Fue enviada directamente a través del canal oficial de la Asociación Costarricense de Cirugía. Esta metodología permitió recabar información de manera eficiente y uniforme, sin requerir recursos logísticos extensivos ni generar afectación.</w:t>
      </w:r>
    </w:p>
    <w:p>
      <w:pPr>
        <w:pStyle w:val="p1"/>
        <w:spacing w:lineRule="auto" w:line="360" w:before="280" w:after="280"/>
        <w:jc w:val="both"/>
        <w:rPr/>
      </w:pPr>
      <w:r>
        <w:rPr/>
        <w:t>El instrumento de recolección de datos consistió en una encuesta estructurada, diseñada específicamente para este estudio, compuesta por un total de 14 preguntas distribuidas en tres bloques temáticos:</w:t>
      </w:r>
    </w:p>
    <w:p>
      <w:pPr>
        <w:pStyle w:val="p1"/>
        <w:numPr>
          <w:ilvl w:val="0"/>
          <w:numId w:val="33"/>
        </w:numPr>
        <w:spacing w:lineRule="auto" w:line="360" w:before="280" w:after="0"/>
        <w:jc w:val="both"/>
        <w:rPr/>
      </w:pPr>
      <w:r>
        <w:rPr/>
        <w:t>Conducta diagnóstica ante sospecha de neoplasia apendicular.</w:t>
      </w:r>
    </w:p>
    <w:p>
      <w:pPr>
        <w:pStyle w:val="p1"/>
        <w:numPr>
          <w:ilvl w:val="0"/>
          <w:numId w:val="33"/>
        </w:numPr>
        <w:spacing w:lineRule="auto" w:line="360" w:before="0" w:after="0"/>
        <w:jc w:val="both"/>
        <w:rPr/>
      </w:pPr>
      <w:r>
        <w:rPr/>
        <w:t>Estrategias terapéuticas iniciales y definitivas.</w:t>
      </w:r>
    </w:p>
    <w:p>
      <w:pPr>
        <w:pStyle w:val="p1"/>
        <w:numPr>
          <w:ilvl w:val="0"/>
          <w:numId w:val="33"/>
        </w:numPr>
        <w:spacing w:lineRule="auto" w:line="360" w:before="0" w:after="280"/>
        <w:jc w:val="both"/>
        <w:rPr/>
      </w:pPr>
      <w:r>
        <w:rPr/>
        <w:t>Uso o no uso de HIPEC en la práctica clínica.</w:t>
      </w:r>
    </w:p>
    <w:p>
      <w:pPr>
        <w:pStyle w:val="p1"/>
        <w:spacing w:lineRule="auto" w:line="360" w:before="280" w:after="280"/>
        <w:jc w:val="both"/>
        <w:rPr/>
      </w:pPr>
      <w:r>
        <w:rPr/>
        <w:t>Las preguntas fueron de tipo cerrado, con opciones de selección única o múltiple, acompañadas en algunos casos por espacios abiertos para comentarios. Esta estructura permitió recopilar tanto datos cuantitativos comparables como observaciones cualitativas de valor contextual.</w:t>
      </w:r>
    </w:p>
    <w:p>
      <w:pPr>
        <w:pStyle w:val="p1"/>
        <w:spacing w:lineRule="auto" w:line="360" w:before="280" w:after="280"/>
        <w:jc w:val="both"/>
        <w:rPr/>
      </w:pPr>
      <w:r>
        <w:rPr/>
        <w:t>La encuesta fue aplicada de forma digital, sin recolección de datos personales identificables, y fue completada de manera voluntaria por los participantes, garantizando la confidencialidad de sus respuestas.</w:t>
      </w:r>
    </w:p>
    <w:p>
      <w:pPr>
        <w:pStyle w:val="p1"/>
        <w:spacing w:before="280" w:after="280"/>
        <w:rPr/>
      </w:pPr>
      <w:r>
        <w:rPr/>
      </w:r>
    </w:p>
    <w:p>
      <w:pPr>
        <w:pStyle w:val="p1"/>
        <w:spacing w:before="280" w:after="280"/>
        <w:rPr/>
      </w:pPr>
      <w:r>
        <w:rPr/>
      </w:r>
    </w:p>
    <w:p>
      <w:pPr>
        <w:pStyle w:val="p3"/>
        <w:spacing w:before="280" w:after="280"/>
        <w:rPr/>
      </w:pPr>
      <w:r>
        <w:rPr/>
      </w:r>
    </w:p>
    <w:p>
      <w:pPr>
        <w:pStyle w:val="p3"/>
        <w:spacing w:before="280" w:after="280"/>
        <w:rPr/>
      </w:pPr>
      <w:r>
        <w:rPr/>
      </w:r>
    </w:p>
    <w:p>
      <w:pPr>
        <w:pStyle w:val="p3"/>
        <w:spacing w:before="280" w:after="280"/>
        <w:rPr/>
      </w:pPr>
      <w:r>
        <w:rPr/>
      </w:r>
    </w:p>
    <w:p>
      <w:pPr>
        <w:pStyle w:val="p3"/>
        <w:spacing w:before="280" w:after="280"/>
        <w:rPr/>
      </w:pPr>
      <w:r>
        <w:rPr/>
      </w:r>
    </w:p>
    <w:p>
      <w:pPr>
        <w:pStyle w:val="Normal"/>
        <w:spacing w:lineRule="auto" w:line="276" w:before="0" w:after="200"/>
        <w:rPr/>
      </w:pPr>
      <w:r>
        <w:rPr/>
      </w:r>
      <w:r>
        <w:br w:type="page"/>
      </w:r>
    </w:p>
    <w:p>
      <w:pPr>
        <w:pStyle w:val="Heading1"/>
        <w:numPr>
          <w:ilvl w:val="0"/>
          <w:numId w:val="42"/>
        </w:numPr>
        <w:spacing w:before="0" w:after="240"/>
        <w:rPr/>
      </w:pPr>
      <w:bookmarkStart w:id="38" w:name="_Toc200580211"/>
      <w:bookmarkStart w:id="39" w:name="_Toc200580212"/>
      <w:bookmarkEnd w:id="38"/>
      <w:r>
        <w:rPr/>
        <w:t>Marco teórico</w:t>
      </w:r>
      <w:bookmarkEnd w:id="39"/>
    </w:p>
    <w:p>
      <w:pPr>
        <w:pStyle w:val="Heading2"/>
        <w:numPr>
          <w:ilvl w:val="1"/>
          <w:numId w:val="53"/>
        </w:numPr>
        <w:rPr/>
      </w:pPr>
      <w:bookmarkStart w:id="40" w:name="_Toc199584567"/>
      <w:bookmarkStart w:id="41" w:name="_Toc200580213"/>
      <w:r>
        <w:rPr/>
        <w:t>Fundamentos teóricos del cáncer apendicular</w:t>
      </w:r>
      <w:bookmarkEnd w:id="40"/>
      <w:bookmarkEnd w:id="41"/>
    </w:p>
    <w:p>
      <w:pPr>
        <w:pStyle w:val="Normal"/>
        <w:rPr/>
      </w:pPr>
      <w:r>
        <w:rPr/>
      </w:r>
    </w:p>
    <w:p>
      <w:pPr>
        <w:pStyle w:val="Heading3"/>
        <w:numPr>
          <w:ilvl w:val="2"/>
          <w:numId w:val="54"/>
        </w:numPr>
        <w:rPr/>
      </w:pPr>
      <w:bookmarkStart w:id="42" w:name="_Toc199584568"/>
      <w:bookmarkStart w:id="43" w:name="_Toc200580214"/>
      <w:r>
        <w:rPr/>
        <w:t>Anatomía y fisiología del apéndice vermiforme</w:t>
      </w:r>
      <w:bookmarkEnd w:id="42"/>
      <w:bookmarkEnd w:id="43"/>
      <w:r>
        <w:rPr/>
        <w:t xml:space="preserve"> </w:t>
      </w:r>
    </w:p>
    <w:p>
      <w:pPr>
        <w:pStyle w:val="p1"/>
        <w:spacing w:lineRule="auto" w:line="360" w:before="280" w:after="280"/>
        <w:jc w:val="both"/>
        <w:rPr/>
      </w:pPr>
      <w:r>
        <w:rPr/>
        <w:t xml:space="preserve">El apéndice vermiforme es un órgano tubular del tracto gastrointestinal que se origina a partir del ciego, precisamente en el punto donde confluyen las tres tenias longitudinales del colon y aproximadamente 2 cm por debajo de la unión ileocecal. Su longitud promedio en adultos es de 9 cm, aunque puede variar entre 5 y 35 cm. Se caracteriza por una notable variabilidad en su posición anatómica, atribuida a su desarrollo embrionario, ya que se forma como una evaginación del ciego entre la quinta y la octava semana de gestación, y a su alta movilidad relativa dentro de la cavidad peritoneal  </w:t>
      </w:r>
      <w:r>
        <w:rPr>
          <w:color w:val="000000"/>
        </w:rPr>
        <w:t>(12</w:t>
      </w:r>
      <w:sdt>
        <w:sdtPr>
          <w:placeholder>
            <w:docPart w:val="DefaultPlaceholder_-1854013440"/>
          </w:placeholder>
          <w:tag w:val="MENDELEY_CITATION_v3_eyJjaXRhdGlvbklEIjoiTUVOREVMRVlfQ0lUQVRJT05fMzViMTFmMTYtYzhiNS00MDljLTkwZjEtNDVlNzIxZGVkNmEyIiwicHJvcGVydGllcyI6eyJub3RlSW5kZXgiOjB9LCJpc0VkaXRlZCI6ZmFsc2UsIm1hbnVhbE92ZXJyaWRlIjp7ImlzTWFudWFsbHlPdmVycmlkZGVuIjpmYWxzZSwiY2l0ZXByb2NUZXh0IjoiKDExKSIsIm1hbnVhbE92ZXJyaWRlVGV4dCI6IiJ9LCJjaXRhdGlvbkl0ZW1zIjpbeyJpZCI6ImIwZjlkYTJkLTc4MGYtM2YzZC1hMjMzLTk2MWQzZDcyNjA3OCIsIml0ZW1EYXRhIjp7InR5cGUiOiJhcnRpY2xlLWpvdXJuYWwiLCJpZCI6ImIwZjlkYTJkLTc4MGYtM2YzZC1hMjMzLTk2MWQzZDcyNjA3OCIsInRpdGxlIjoiVGhlIFZlcm1pZm9ybSBBcHBlbmRpeCBhbmQgSXRzIFBhdGhvbG9naWVzLiIsImF1dGhvciI6W3siZmFtaWx5IjoiQ29uc3RhbnRpbiIsImdpdmVuIjoiTWFyaWFuIiwicGFyc2UtbmFtZXMiOmZhbHNlLCJkcm9wcGluZy1wYXJ0aWNsZSI6IiIsIm5vbi1kcm9wcGluZy1wYXJ0aWNsZSI6IiJ9LHsiZmFtaWx5IjoiUGV0cmVzY3UiLCJnaXZlbiI6IkxpdmlhIiwicGFyc2UtbmFtZXMiOmZhbHNlLCJkcm9wcGluZy1wYXJ0aWNsZSI6IiIsIm5vbi1kcm9wcGluZy1wYXJ0aWNsZSI6IiJ9LHsiZmFtaWx5IjoiTcSDdGFuaWUiLCJnaXZlbiI6IkNyaXN0aW5hIiwicGFyc2UtbmFtZXMiOmZhbHNlLCJkcm9wcGluZy1wYXJ0aWNsZSI6IiIsIm5vbi1kcm9wcGluZy1wYXJ0aWNsZSI6IiJ9LHsiZmFtaWx5IjoiVnJhbmNpYW51IiwiZ2l2ZW4iOiJDb3JuZWxpdSBPdmlkaXUiLCJwYXJzZS1uYW1lcyI6ZmFsc2UsImRyb3BwaW5nLXBhcnRpY2xlIjoiIiwibm9uLWRyb3BwaW5nLXBhcnRpY2xlIjoiIn0seyJmYW1pbHkiOiJOaWN1bGVzY3UiLCJnaXZlbiI6IkFkZWxpbmEgR2FicmllbGEiLCJwYXJzZS1uYW1lcyI6ZmFsc2UsImRyb3BwaW5nLXBhcnRpY2xlIjoiIiwibm9uLWRyb3BwaW5nLXBhcnRpY2xlIjoiIn0seyJmYW1pbHkiOiJBbmRyb25pYyIsImdpdmVuIjoiT2N0YXZpYW4iLCJwYXJzZS1uYW1lcyI6ZmFsc2UsImRyb3BwaW5nLXBhcnRpY2xlIjoiIiwibm9uLWRyb3BwaW5nLXBhcnRpY2xlIjoiIn0seyJmYW1pbHkiOiJCb2xvY2FuIiwiZ2l2ZW4iOiJBbGV4YW5kcmEiLCJwYXJzZS1uYW1lcyI6ZmFsc2UsImRyb3BwaW5nLXBhcnRpY2xlIjoiIiwibm9uLWRyb3BwaW5nLXBhcnRpY2xlIjoiIn1dLCJjb250YWluZXItdGl0bGUiOiJDYW5jZXJzIiwiY29udGFpbmVyLXRpdGxlLXNob3J0IjoiQ2FuY2VycyAoQmFzZWwpIiwiYWNjZXNzZWQiOnsiZGF0ZS1wYXJ0cyI6W1syMDI1LDMsMjNdXX0sIkRPSSI6IjEwLjMzOTAvQ0FOQ0VSUzE1MTUzODcyIiwiSVNTTiI6IjIwNzItNjY5NCIsIlBNSUQiOiIzNzU2ODY4OCIsIlVSTCI6Imh0dHBzOi8vb3BlbnVybC5lYnNjby5jb20vY29udGVudGl0ZW0vZG9pOjEwLjMzOTAvY2FuY2VyczE1MTUzODcyP3NpZD1lYnNjbzpwbGluazpjcmF3bGVyJmlkPWVic2NvOmRvaToxMC4zMzkwL2NhbmNlcnMxNTE1Mzg3MiZjcmw9YyIsImlzc3VlZCI6eyJkYXRlLXBhcnRzIjpbWzIwMjNdXX0sInBhZ2UiOiIzODcyIiwiYWJzdHJhY3QiOiJUaGUgdmVybWlmb3JtIGFwcGVuZGl4IGlzIGEgbXVzY3VsYXIgY3lsaW5kcmljYWwgc3RydWN0dXJlIG9yaWdpbmF0aW5nIG5lYXIgdGhlIGp1bmN0aW9uIG9mIHRoZSBjZWN1bSBhbmQgaWxldW0sIGF2ZXJhZ2luZyA5IGNtICg14oCTMzUgY20pIGluIHNpemUuIEFzIHRoZSBtb3N0IG1vYmlsZSB2aXNjZXJhLCBpdCBjYW4gYWRvcHQgc2V2ZXJhbCBwb3NpdGlvbnMsIHRoZSBtb3N0IGNvbW1vbiBiZWluZyB0aGUgcmV0cm9jZWNhbCBwb3NpdGlvbi4gUGVyY2VpdmVkIGFzIGFuIGF0YXZpc3RpYyBvcmdhbiBsYWNraW5nIHBoeXNpb2xvZ2ljYWwgcmVsZXZhbmNlLCB0aGUgdmVybWlmb3JtIGFwcGVuZGl4IGFwcGVhcnMgdG8gYmUgaW52b2x2ZWQgaW4gaW1tdW5lIGZ1bmN0aW9uLCBzZXJ2aW5nIGluIHRoZSBtYXR1cmF0aW9uIG9mIEIgbHltcGhvY3l0ZXMgYW5kIHRoZSBwcm9kdWN0aW9uIG9mIGltbXVub2dsb2J1bGluIEEsIGluIGVuZG9jcmluZSBmdW5jdGlvbiwgZXhjcmV0aW5nIGFtaW5lcyBhbmQgaG9ybW9uZXMgaW4gdGhlIDLigJMzIG1MIG9mIG11Y3VzIHNlY3JldGVkIGRhaWx5LCBhbmQgaW4gZGlnZXN0aXZlIGZ1bmN0aW9uLCBieSBzdG9yaW5nIGJlbmVmaWNpYWwgYmFjdGVyaWEgZnJvbSB3aGVyZSB0aGV5IGNhbiByZWNvbG9uaXplIHRoZSBjb2xvbi4gV2l0aCBhIGx1bWVuIG9mIGFib3V0IDYgbW0sIHRoZSB2ZXJtaWZvcm0gYXBwZW5kaXggaGFzIGEgcmVkdWNlZCBzdG9yYWdlIGNhcGFjaXR5LCBzbyBhbnkgYmxvY2thZ2Ugb2YgdGhlIGFwcGVuZGl4IHdpdGggZmVjb2xpdGhzIChmZWNhbGl0aHMpLCBzZWVkcyBkZXJhaWxlZCBmcm9tIHRoZSBjb2xvbiwgb3IgZW5sYXJnZWQgbHltcGggbm9kZXMgcHJldmVudHMgZHJhaW5hZ2UgYW5kIGludHJhbHVtaW5hbCBhY2N1bXVsYXRpb24gb2Ygc2VjcmV0ZWQgbXVjdXMuIFVuYWJsZSB0byByZWxheCwgdGhlIGFwcGVuZGl4IHdhbGwgc2V2ZXJlbHkgbGltaXRzIGl0cyBpbnRyYWx1bWluYWwgdm9sdW1lLCBzbyBtdWN1cyBhY2N1bXVsYXRpb24gbGVhZHMgdG8gaW5mbGFtbWF0aW9uIG9mIHRoZSBhcHBlbmRpeCwga25vd24gZ2VuZXJpY2FsbHkgYXMgYXBwZW5kaWNpdGlzLiBJbiBhZGRpdGlvbiwgdGhlIHZlcm1pZm9ybSBhcHBlbmRpeCBtYXkgYmUgdGhlIHNpdGUgb2YgdGhlIGRldmVsb3BtZW50IG9mIG5lb3BsYXN0aWMgcHJvY2Vzc2VzLCB3aGljaCBtYXkgb3IgbWF5IG5vdCBpbnZvbHZlIG11Y3VzIHByb2R1Y3Rpb24sIHNvbWUgb2Ygd2hpY2ggY2FuIHNpZ25pZmljYW50bHkgYWZmZWN0IHRoZSBzdGFuZGFyZCBvZiBsaXZpbmcgYW5kIHVsdGltYXRlbHkgbGVhZCB0byBkZWF0aC4gSW4gZ2VuZXJhbCwgbXVjaW5vdXMgdHVtb3JzIG1heSBoYXZlIGEgYmV0dGVyIHByb2dub3NpcyB0aGFuIG5vbi1tdWNpbm91cyB0dW1vcnMuIFRoaXMgcmV2aWV3IHRha2VzIGEgY29tcHJlaGVuc2l2ZSBwYXRoLCBzdGFydGluZyBieSBkZXNjcmliaW5nIHRoZSBhbmF0b215IGFuZCBlbWJyeW9sb2d5IG9mIHRoZSB2ZXJtaWZvcm0gYXBwZW5kaXggYW5kIGZ1cnRoZXIgZGV0YWlsaW5nIGl0cyBpbmZsYW1tYXRvcnkgcGF0aG9sb2dpZXMsIHBhdGhvbG9naWVzIHJlbGF0ZWQgdG8gY29uZ2VuaXRhbCBhbm9tYWxpZXMsIGFuZCBhcHBlbmRpeCB0dW1vcnMsIHRodXMgY3JlYXRpbmcgYW4gdXAtdG8tZGF0ZSBmcmFtZXdvcmsgZm9yIGJldHRlciB1bmRlcnN0YW5kaW5nLCBkaWFnbm9zaXMsIGFuZCB0cmVhdG1lbnQgb2YgdGhlc2UgaGVhbHRoIHByb2JsZW1zLiIsInB1Ymxpc2hlciI6Ik1EUEkiLCJpc3N1ZSI6IjE1Iiwidm9sdW1lIjoiMTUifSwiaXNUZW1wb3JhcnkiOmZhbHNlfV19"/>
          <w:id w:val="1406573427"/>
        </w:sdtPr>
        <w:sdtContent>
          <w:r>
            <w:rPr>
              <w:color w:val="000000"/>
            </w:rPr>
          </w:r>
          <w:r>
            <w:rPr>
              <w:color w:val="000000"/>
            </w:rPr>
            <w:t>(11)</w:t>
          </w:r>
        </w:sdtContent>
      </w:sdt>
      <w:r>
        <w:rPr/>
        <w:t>.</w:t>
      </w:r>
    </w:p>
    <w:p>
      <w:pPr>
        <w:pStyle w:val="p1"/>
        <w:spacing w:lineRule="auto" w:line="360" w:before="280" w:after="280"/>
        <w:jc w:val="both"/>
        <w:rPr/>
      </w:pPr>
      <w:r>
        <w:rPr/>
        <w:t xml:space="preserve">Histológicamente, el apéndice presenta las capas típicas del tracto gastrointestinal (mucosa, submucosa, muscular propia y serosa), pero se distingue notablemente por la abundante presencia de tejido linfoide organizado </w:t>
      </w:r>
      <w:sdt>
        <w:sdtPr>
          <w:placeholder>
            <w:docPart w:val="57C54CCC0E0DE449B5BA28A6FDDA9C98"/>
          </w:placeholder>
          <w:tag w:val="MENDELEY_CITATION_v3_eyJjaXRhdGlvbklEIjoiTUVOREVMRVlfQ0lUQVRJT05fOTBlNDE4OWItMTI0Mi00NjA3LTk5ZjMtNWM3NTkwY2RlZWE2IiwicHJvcGVydGllcyI6eyJub3RlSW5kZXgiOjB9LCJpc0VkaXRlZCI6ZmFsc2UsIm1hbnVhbE92ZXJyaWRlIjp7ImlzTWFudWFsbHlPdmVycmlkZGVuIjpmYWxzZSwiY2l0ZXByb2NUZXh0IjoiKDExKSIsIm1hbnVhbE92ZXJyaWRlVGV4dCI6IiJ9LCJjaXRhdGlvbkl0ZW1zIjpbeyJpZCI6ImIwZjlkYTJkLTc4MGYtM2YzZC1hMjMzLTk2MWQzZDcyNjA3OCIsIml0ZW1EYXRhIjp7InR5cGUiOiJhcnRpY2xlLWpvdXJuYWwiLCJpZCI6ImIwZjlkYTJkLTc4MGYtM2YzZC1hMjMzLTk2MWQzZDcyNjA3OCIsInRpdGxlIjoiVGhlIFZlcm1pZm9ybSBBcHBlbmRpeCBhbmQgSXRzIFBhdGhvbG9naWVzLiIsImF1dGhvciI6W3siZmFtaWx5IjoiQ29uc3RhbnRpbiIsImdpdmVuIjoiTWFyaWFuIiwicGFyc2UtbmFtZXMiOmZhbHNlLCJkcm9wcGluZy1wYXJ0aWNsZSI6IiIsIm5vbi1kcm9wcGluZy1wYXJ0aWNsZSI6IiJ9LHsiZmFtaWx5IjoiUGV0cmVzY3UiLCJnaXZlbiI6IkxpdmlhIiwicGFyc2UtbmFtZXMiOmZhbHNlLCJkcm9wcGluZy1wYXJ0aWNsZSI6IiIsIm5vbi1kcm9wcGluZy1wYXJ0aWNsZSI6IiJ9LHsiZmFtaWx5IjoiTcSDdGFuaWUiLCJnaXZlbiI6IkNyaXN0aW5hIiwicGFyc2UtbmFtZXMiOmZhbHNlLCJkcm9wcGluZy1wYXJ0aWNsZSI6IiIsIm5vbi1kcm9wcGluZy1wYXJ0aWNsZSI6IiJ9LHsiZmFtaWx5IjoiVnJhbmNpYW51IiwiZ2l2ZW4iOiJDb3JuZWxpdSBPdmlkaXUiLCJwYXJzZS1uYW1lcyI6ZmFsc2UsImRyb3BwaW5nLXBhcnRpY2xlIjoiIiwibm9uLWRyb3BwaW5nLXBhcnRpY2xlIjoiIn0seyJmYW1pbHkiOiJOaWN1bGVzY3UiLCJnaXZlbiI6IkFkZWxpbmEgR2FicmllbGEiLCJwYXJzZS1uYW1lcyI6ZmFsc2UsImRyb3BwaW5nLXBhcnRpY2xlIjoiIiwibm9uLWRyb3BwaW5nLXBhcnRpY2xlIjoiIn0seyJmYW1pbHkiOiJBbmRyb25pYyIsImdpdmVuIjoiT2N0YXZpYW4iLCJwYXJzZS1uYW1lcyI6ZmFsc2UsImRyb3BwaW5nLXBhcnRpY2xlIjoiIiwibm9uLWRyb3BwaW5nLXBhcnRpY2xlIjoiIn0seyJmYW1pbHkiOiJCb2xvY2FuIiwiZ2l2ZW4iOiJBbGV4YW5kcmEiLCJwYXJzZS1uYW1lcyI6ZmFsc2UsImRyb3BwaW5nLXBhcnRpY2xlIjoiIiwibm9uLWRyb3BwaW5nLXBhcnRpY2xlIjoiIn1dLCJjb250YWluZXItdGl0bGUiOiJDYW5jZXJzIiwiY29udGFpbmVyLXRpdGxlLXNob3J0IjoiQ2FuY2VycyAoQmFzZWwpIiwiYWNjZXNzZWQiOnsiZGF0ZS1wYXJ0cyI6W1syMDI1LDMsMjNdXX0sIkRPSSI6IjEwLjMzOTAvQ0FOQ0VSUzE1MTUzODcyIiwiSVNTTiI6IjIwNzItNjY5NCIsIlBNSUQiOiIzNzU2ODY4OCIsIlVSTCI6Imh0dHBzOi8vb3BlbnVybC5lYnNjby5jb20vY29udGVudGl0ZW0vZG9pOjEwLjMzOTAvY2FuY2VyczE1MTUzODcyP3NpZD1lYnNjbzpwbGluazpjcmF3bGVyJmlkPWVic2NvOmRvaToxMC4zMzkwL2NhbmNlcnMxNTE1Mzg3MiZjcmw9YyIsImlzc3VlZCI6eyJkYXRlLXBhcnRzIjpbWzIwMjNdXX0sInBhZ2UiOiIzODcyIiwiYWJzdHJhY3QiOiJUaGUgdmVybWlmb3JtIGFwcGVuZGl4IGlzIGEgbXVzY3VsYXIgY3lsaW5kcmljYWwgc3RydWN0dXJlIG9yaWdpbmF0aW5nIG5lYXIgdGhlIGp1bmN0aW9uIG9mIHRoZSBjZWN1bSBhbmQgaWxldW0sIGF2ZXJhZ2luZyA5IGNtICg14oCTMzUgY20pIGluIHNpemUuIEFzIHRoZSBtb3N0IG1vYmlsZSB2aXNjZXJhLCBpdCBjYW4gYWRvcHQgc2V2ZXJhbCBwb3NpdGlvbnMsIHRoZSBtb3N0IGNvbW1vbiBiZWluZyB0aGUgcmV0cm9jZWNhbCBwb3NpdGlvbi4gUGVyY2VpdmVkIGFzIGFuIGF0YXZpc3RpYyBvcmdhbiBsYWNraW5nIHBoeXNpb2xvZ2ljYWwgcmVsZXZhbmNlLCB0aGUgdmVybWlmb3JtIGFwcGVuZGl4IGFwcGVhcnMgdG8gYmUgaW52b2x2ZWQgaW4gaW1tdW5lIGZ1bmN0aW9uLCBzZXJ2aW5nIGluIHRoZSBtYXR1cmF0aW9uIG9mIEIgbHltcGhvY3l0ZXMgYW5kIHRoZSBwcm9kdWN0aW9uIG9mIGltbXVub2dsb2J1bGluIEEsIGluIGVuZG9jcmluZSBmdW5jdGlvbiwgZXhjcmV0aW5nIGFtaW5lcyBhbmQgaG9ybW9uZXMgaW4gdGhlIDLigJMzIG1MIG9mIG11Y3VzIHNlY3JldGVkIGRhaWx5LCBhbmQgaW4gZGlnZXN0aXZlIGZ1bmN0aW9uLCBieSBzdG9yaW5nIGJlbmVmaWNpYWwgYmFjdGVyaWEgZnJvbSB3aGVyZSB0aGV5IGNhbiByZWNvbG9uaXplIHRoZSBjb2xvbi4gV2l0aCBhIGx1bWVuIG9mIGFib3V0IDYgbW0sIHRoZSB2ZXJtaWZvcm0gYXBwZW5kaXggaGFzIGEgcmVkdWNlZCBzdG9yYWdlIGNhcGFjaXR5LCBzbyBhbnkgYmxvY2thZ2Ugb2YgdGhlIGFwcGVuZGl4IHdpdGggZmVjb2xpdGhzIChmZWNhbGl0aHMpLCBzZWVkcyBkZXJhaWxlZCBmcm9tIHRoZSBjb2xvbiwgb3IgZW5sYXJnZWQgbHltcGggbm9kZXMgcHJldmVudHMgZHJhaW5hZ2UgYW5kIGludHJhbHVtaW5hbCBhY2N1bXVsYXRpb24gb2Ygc2VjcmV0ZWQgbXVjdXMuIFVuYWJsZSB0byByZWxheCwgdGhlIGFwcGVuZGl4IHdhbGwgc2V2ZXJlbHkgbGltaXRzIGl0cyBpbnRyYWx1bWluYWwgdm9sdW1lLCBzbyBtdWN1cyBhY2N1bXVsYXRpb24gbGVhZHMgdG8gaW5mbGFtbWF0aW9uIG9mIHRoZSBhcHBlbmRpeCwga25vd24gZ2VuZXJpY2FsbHkgYXMgYXBwZW5kaWNpdGlzLiBJbiBhZGRpdGlvbiwgdGhlIHZlcm1pZm9ybSBhcHBlbmRpeCBtYXkgYmUgdGhlIHNpdGUgb2YgdGhlIGRldmVsb3BtZW50IG9mIG5lb3BsYXN0aWMgcHJvY2Vzc2VzLCB3aGljaCBtYXkgb3IgbWF5IG5vdCBpbnZvbHZlIG11Y3VzIHByb2R1Y3Rpb24sIHNvbWUgb2Ygd2hpY2ggY2FuIHNpZ25pZmljYW50bHkgYWZmZWN0IHRoZSBzdGFuZGFyZCBvZiBsaXZpbmcgYW5kIHVsdGltYXRlbHkgbGVhZCB0byBkZWF0aC4gSW4gZ2VuZXJhbCwgbXVjaW5vdXMgdHVtb3JzIG1heSBoYXZlIGEgYmV0dGVyIHByb2dub3NpcyB0aGFuIG5vbi1tdWNpbm91cyB0dW1vcnMuIFRoaXMgcmV2aWV3IHRha2VzIGEgY29tcHJlaGVuc2l2ZSBwYXRoLCBzdGFydGluZyBieSBkZXNjcmliaW5nIHRoZSBhbmF0b215IGFuZCBlbWJyeW9sb2d5IG9mIHRoZSB2ZXJtaWZvcm0gYXBwZW5kaXggYW5kIGZ1cnRoZXIgZGV0YWlsaW5nIGl0cyBpbmZsYW1tYXRvcnkgcGF0aG9sb2dpZXMsIHBhdGhvbG9naWVzIHJlbGF0ZWQgdG8gY29uZ2VuaXRhbCBhbm9tYWxpZXMsIGFuZCBhcHBlbmRpeCB0dW1vcnMsIHRodXMgY3JlYXRpbmcgYW4gdXAtdG8tZGF0ZSBmcmFtZXdvcmsgZm9yIGJldHRlciB1bmRlcnN0YW5kaW5nLCBkaWFnbm9zaXMsIGFuZCB0cmVhdG1lbnQgb2YgdGhlc2UgaGVhbHRoIHByb2JsZW1zLiIsInB1Ymxpc2hlciI6Ik1EUEkiLCJpc3N1ZSI6IjE1Iiwidm9sdW1lIjoiMTUifSwiaXNUZW1wb3JhcnkiOmZhbHNlfV19"/>
          <w:id w:val="1391844516"/>
        </w:sdtPr>
        <w:sdtContent>
          <w:r>
            <w:rPr/>
          </w:r>
          <w:r>
            <w:rPr>
              <w:color w:val="000000"/>
            </w:rPr>
            <w:t>(11)</w:t>
          </w:r>
        </w:sdtContent>
      </w:sdt>
      <w:sdt>
        <w:sdtPr>
          <w:placeholder>
            <w:docPart w:val="57C54CCC0E0DE449B5BA28A6FDDA9C98"/>
          </w:placeholder>
          <w:tag w:val="MENDELEY_CITATION_v3_eyJjaXRhdGlvbklEIjoiTUVOREVMRVlfQ0lUQVRJT05fMTRjYzc1ODEtZWE0YS00NjY3LTk2ODAtYzlhYjc1MGMxZjgxIiwicHJvcGVydGllcyI6eyJub3RlSW5kZXgiOjB9LCJpc0VkaXRlZCI6ZmFsc2UsIm1hbnVhbE92ZXJyaWRlIjp7ImlzTWFudWFsbHlPdmVycmlkZGVuIjpmYWxzZSwiY2l0ZXByb2NUZXh0IjoiKDEyKSIsIm1hbnVhbE92ZXJyaWRlVGV4dCI6IiJ9LCJjaXRhdGlvbkl0ZW1zIjpbeyJpZCI6IjE4YmU1MTQzLTRmMWMtM2I3OC05ZTdlLTdkOWQ4MGY4Y2JhMyIsIml0ZW1EYXRhIjp7InR5cGUiOiJhcnRpY2xlLWpvdXJuYWwiLCJpZCI6IjE4YmU1MTQzLTRmMWMtM2I3OC05ZTdlLTdkOWQ4MGY4Y2JhMyIsInRpdGxlIjoiVXBkYXRlcyBpbiBBcHBlbmRpeCBQYXRob2xvZ3k6IFRoZSBQcmVjYXJpb3VzIEN1dHRpbmcgRWRnZSIsImF1dGhvciI6W3siZmFtaWx5IjoiQ2FyciIsImdpdmVuIjoiTm9ybWFuIEouIiwicGFyc2UtbmFtZXMiOmZhbHNlLCJkcm9wcGluZy1wYXJ0aWNsZSI6IiIsIm5vbi1kcm9wcGluZy1wYXJ0aWNsZSI6IiJ9XSwiY29udGFpbmVyLXRpdGxlIjoiU3VyZ2ljYWwgcGF0aG9sb2d5IGNsaW5pY3MiLCJjb250YWluZXItdGl0bGUtc2hvcnQiOiJTdXJnIFBhdGhvbCBDbGluIiwiRE9JIjoiMTAuMTAxNi9KLlBBVEguMjAyMC4wNS4wMDYiLCJJU1NOIjoiMTg3NS05MTU3IiwiUE1JRCI6IjMyNzczMTk1IiwiaXNzdWVkIjp7ImRhdGUtcGFydHMiOltbMjAyMF1dfSwicGFnZSI6IjQ2OS00ODQiLCJhYnN0cmFjdCI6Ik11Y2lub3VzIGFwcGVuZGljZWFsIHR1bW9ycyBpbmNsdWRlIGxvdy1ncmFkZSBhcHBlbmRpY2VhbCBtdWNpbm91cyBuZW9wbGFzbSwgaGlnaC1ncmFkZSBhcHBlbmRpY2VhbCBtdWNpbm91cyBuZW9wbGFzbSwgYW5kIG11Y2lub3VzIGFkZW5vY2FyY2lub21hLiBOb25tdWNpbm91cyBhZGVub2NhcmNpbm9tYXMgYXJlIGxlc3MgZnJlcXVlbnQuIFJlY2VudCBjb25zZW5zdXMgZ3VpZGVsaW5lcyBhbmQgdGhlIGxhdGVzdCBlZGl0aW9uIG9mIHRoZSBXb3JsZCBIZWFsdGggT3JnYW5pemF0aW9uIGNsYXNzaWZpY2F0aW9uIHdpbGwgYWxsb3cgY29uc2lzdGVudCB1c2Ugb2YgYWdyZWVkIG5vbWVuY2xhdHVyZS4gQWNjdXJhdGUgZGlhZ25vc2lzIGlzIGltcG9ydGFudCBub3Qgb25seSBmb3IgcGF0aWVudCBtYW5hZ2VtZW50IGJ1dCBhbHNvIHRvIGFsbG93IGNvbXBhcmlzb24gb2YgcmVzdWx0cyBiZXR3ZWVuIGNlbnRlcnMgYW5kIHR1bW9yIHJlZ2lzdHJpZXMuIFNlcnJhdGVkIHBvbHlwcyBhcmUgdGhlIG1vc3QgY29tbW9uIGJlbmlnbiBwb2x5cCBpbiB0aGUgYXBwZW5kaXguIFRoZXkgbmVlZCB0byBiZSBkaXN0aW5ndWlzaGVkIGZyb20gbG93LWdyYWRlIGFwcGVuZGljZWFsIG11Y2lub3VzIG5lb3BsYXNtLCB3aGljaCBjYW4gYWxzbyBtaW1pYyBvdGhlciBiZW5pZ24gY29uZGl0aW9ucy4gR29ibGV0IGNlbGwgYWRlbm9jYXJjaW5vbWFzIGFyZSBhIGRpc3RpbmN0aXZlIHR5cGUgb2YgYXBwZW5kaWNlYWwgbmVvcGxhc20uIiwicHVibGlzaGVyIjoiU3VyZyBQYXRob2wgQ2xpbiIsImlzc3VlIjoiMyIsInZvbHVtZSI6IjEzIn0sImlzVGVtcG9yYXJ5IjpmYWxzZX1dfQ=="/>
          <w:id w:val="-24794768"/>
        </w:sdtPr>
        <w:sdtContent>
          <w:r>
            <w:rPr>
              <w:color w:val="000000"/>
            </w:rPr>
          </w:r>
          <w:r>
            <w:rPr>
              <w:color w:val="000000"/>
            </w:rPr>
            <w:t>(12)</w:t>
          </w:r>
        </w:sdtContent>
      </w:sdt>
      <w:r>
        <w:rPr/>
        <w:t xml:space="preserve">. </w:t>
      </w:r>
      <w:r>
        <w:rPr/>
        <w:t>Este tejido forma folículos prominentes en la submucosa, visibles especialmente durante la infancia y adolescencia, lo cual apunta a un rol inmunológico activo.</w:t>
      </w:r>
    </w:p>
    <w:p>
      <w:pPr>
        <w:pStyle w:val="p1"/>
        <w:spacing w:lineRule="auto" w:line="360" w:before="280" w:after="280"/>
        <w:jc w:val="both"/>
        <w:rPr/>
      </w:pPr>
      <w:r>
        <w:rPr/>
        <w:t xml:space="preserve">En cuanto a su irrigación, el apéndice depende de la arteria apendicular, rama de la arteria ileocólica, que transcurre dentro del mesoapéndice y, en su defecto, puede originarse directamente de la arteria mesentérica superior </w:t>
      </w:r>
      <w:r>
        <w:rPr>
          <w:color w:val="000000"/>
        </w:rPr>
        <w:t>(13</w:t>
      </w:r>
      <w:sdt>
        <w:sdtPr>
          <w:placeholder>
            <w:docPart w:val="1F5EEDD973DE2944AC4083DEE7A1E755"/>
          </w:placeholder>
          <w:tag w:val="MENDELEY_CITATION_v3_eyJjaXRhdGlvbklEIjoiTUVOREVMRVlfQ0lUQVRJT05fMGZjNmVmMWEtNzUwNy00NjNkLWJmZmMtMWExMGNjNzA5OTk0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1133475330"/>
        </w:sdtPr>
        <w:sdtContent>
          <w:r>
            <w:rPr>
              <w:color w:val="000000"/>
            </w:rPr>
          </w:r>
          <w:r>
            <w:rPr>
              <w:color w:val="000000"/>
            </w:rPr>
            <w:t>(13)</w:t>
          </w:r>
        </w:sdtContent>
      </w:sdt>
      <w:r>
        <w:rPr/>
        <w:t xml:space="preserve">. </w:t>
      </w:r>
      <w:r>
        <w:rPr/>
        <w:t>La vascularización terminal de este órgano explica la rápida progresión a isquemia y necrosis ante una obstrucción luminal, como ocurre en la apendicitis aguda</w:t>
      </w:r>
      <w:sdt>
        <w:sdtPr>
          <w:placeholder>
            <w:docPart w:val="1F5EEDD973DE2944AC4083DEE7A1E755"/>
          </w:placeholder>
          <w:tag w:val="MENDELEY_CITATION_v3_eyJjaXRhdGlvbklEIjoiTUVOREVMRVlfQ0lUQVRJT05fMDhiNWQ2NjMtM2U4Ni00ZTNlLWIxNzQtMmI3NTY0OWIyODMxIiwicHJvcGVydGllcyI6eyJub3RlSW5kZXgiOjB9LCJpc0VkaXRlZCI6ZmFsc2UsIm1hbnVhbE92ZXJyaWRlIjp7ImlzTWFudWFsbHlPdmVycmlkZGVuIjpmYWxzZSwiY2l0ZXByb2NUZXh0IjoiKDE0KSIsIm1hbnVhbE92ZXJyaWRlVGV4dCI6IiJ9LCJjaXRhdGlvbkl0ZW1zIjpbeyJpZCI6Ijg4Mzk5ZTE1LWVlZDctMzkxYS05MDExLTA5OTQzN2JjZjRlZCIsIml0ZW1EYXRhIjp7InR5cGUiOiJhcnRpY2xlLWpvdXJuYWwiLCJpZCI6Ijg4Mzk5ZTE1LWVlZDctMzkxYS05MDExLTA5OTQzN2JjZjRlZCIsInRpdGxlIjoiUmV2aWV3IG9mIGFwcGVuZGljaXRpczogcm91dGluZSwgY29tcGxpY2F0ZWQsIGFuZCBtaW1pY3MiLCJhdXRob3IiOlt7ImZhbWlseSI6Ikh1bnNha2VyIiwiZ2l2ZW4iOiJKb3NodWEgQy4iLCJwYXJzZS1uYW1lcyI6ZmFsc2UsImRyb3BwaW5nLXBhcnRpY2xlIjoiIiwibm9uLWRyb3BwaW5nLXBhcnRpY2xlIjoiIn0seyJmYW1pbHkiOiJBcXVpbm8iLCJnaXZlbiI6IlJlYmVrYWgiLCJwYXJzZS1uYW1lcyI6ZmFsc2UsImRyb3BwaW5nLXBhcnRpY2xlIjoiIiwibm9uLWRyb3BwaW5nLXBhcnRpY2xlIjoiIn0seyJmYW1pbHkiOiJXcmlnaHQiLCJnaXZlbiI6IkJyYWQiLCJwYXJzZS1uYW1lcyI6ZmFsc2UsImRyb3BwaW5nLXBhcnRpY2xlIjoiIiwibm9uLWRyb3BwaW5nLXBhcnRpY2xlIjoiIn0seyJmYW1pbHkiOiJLb2JlcyIsImdpdmVuIjoiUGF0cmljayIsInBhcnNlLW5hbWVzIjpmYWxzZSwiZHJvcHBpbmctcGFydGljbGUiOiIiLCJub24tZHJvcHBpbmctcGFydGljbGUiOiIifSx7ImZhbWlseSI6Iktlbm5lZHkiLCJnaXZlbiI6IkFubmUiLCJwYXJzZS1uYW1lcyI6ZmFsc2UsImRyb3BwaW5nLXBhcnRpY2xlIjoiIiwibm9uLWRyb3BwaW5nLXBhcnRpY2xlIjoiIn0seyJmYW1pbHkiOiJEdW5uIiwiZ2l2ZW4iOiJEZWxsIiwicGFyc2UtbmFtZXMiOmZhbHNlLCJkcm9wcGluZy1wYXJ0aWNsZSI6IiIsIm5vbi1kcm9wcGluZy1wYXJ0aWNsZSI6IiJ9XSwiY29udGFpbmVyLXRpdGxlIjoiRW1lcmdlbmN5IHJhZGlvbG9neSIsImNvbnRhaW5lci10aXRsZS1zaG9ydCI6IkVtZXJnIFJhZGlvbCIsIkRPSSI6IjEwLjEwMDcvUzEwMTQwLTAyMi0wMjA5OC0yIiwiSVNTTiI6IjE0MzgtMTQzNSIsIlBNSUQiOiIzNjM3NjY0MyIsImlzc3VlZCI6eyJkYXRlLXBhcnRzIjpbWzIwMjNdXX0sInBhZ2UiOiIxMDctMTE3IiwiYWJzdHJhY3QiOiJBcHBlbmRpY2l0aXMgaXMgb25lIG9mIHRoZSBtb3N0IGNvbW1vbiBzb3VyY2VzIG9mIGFiZG9taW5hbCBwYWluIGluIHRoZSBlbWVyZ2VuY3kgc2V0dGluZyBhbmQgaXMgZ2VuZXJhbGx5IGNvbnNpZGVyZWQgYSBzdHJhaWdodGZvcndhcmQgZGlhZ25vc2lzLiBIb3dldmVyLCBhdHlwaWNhbCBhcHBlYXJhbmNlcywgbm9uLXZpc3VhbGl6YXRpb24sIGFuZCBpbmNvbmNsdXNpdmUgZmVhdHVyZXMgY2FuIG1ha2UgdGhlc2UgY2FzZXMgbW9yZSBjb21wbGljYXRlZC4gVGhlIG9iamVjdGl2ZXMgb2YgdGhpcyBhcnRpY2xlIGFyZSB0byByZXZpZXcgdGhlIGRpZmZlcmVudGlhbCBkaWFnbm9zZXMgZm9yIHJpZ2h0IGxvd2VyIHF1YWRyYW50IHBhaW4sIGRpc2N1c3MgdGhlIGltYWdpbmcgY2hhcmFjdGVyaXN0aWNzIG9mIHNpbXBsZSBhcHBlbmRpY2l0aXMgb24gY29tcHV0ZWQgdG9tb2dyYXBoeSAoQ1QpLCBhbmQgcHJvdmlkZSBndWlkYW5jZSBmb3IgZXF1aXZvY2FsIGNhc2VzLCBjb21wbGljYXRlZCBhcHBlbmRpY2l0aXMsIGFuZCBhcHBlbmRpY2l0aXMgbWltaWNzLiBUaGlzIHJldmlldyB3aWxsIGFsc28gZGlzY3VzcyB0aGUgaWRlbnRpZmljYXRpb24gYW5kIG1hbmFnZW1lbnQgb2YgbmVvcGxhc21zIG9mIHRoZSBhcHBlbmRpeC4iLCJwdWJsaXNoZXIiOiJFbWVyZyBSYWRpb2wiLCJpc3N1ZSI6IjEiLCJ2b2x1bWUiOiIzMCJ9LCJpc1RlbXBvcmFyeSI6ZmFsc2V9XX0="/>
          <w:id w:val="-81911932"/>
        </w:sdtPr>
        <w:sdtContent>
          <w:r>
            <w:rPr/>
          </w:r>
          <w:r>
            <w:rPr>
              <w:rFonts w:eastAsia="MS Mincho" w:cs="MS Mincho" w:ascii="MS Mincho" w:hAnsi="MS Mincho"/>
              <w:color w:val="000000"/>
            </w:rPr>
            <w:t>(14)</w:t>
          </w:r>
        </w:sdtContent>
      </w:sdt>
      <w:r>
        <w:rPr/>
        <w:t xml:space="preserve"> o </w:t>
      </w:r>
      <w:r>
        <w:rPr/>
        <w:t xml:space="preserve">eventualmente en procesos neoplásicos como los que se abordarán en el desarrollo de esta tesis. </w:t>
      </w:r>
    </w:p>
    <w:p>
      <w:pPr>
        <w:pStyle w:val="p1"/>
        <w:spacing w:lineRule="auto" w:line="360" w:before="280" w:after="280"/>
        <w:jc w:val="both"/>
        <w:rPr/>
      </w:pPr>
      <w:r>
        <w:rPr/>
        <w:t xml:space="preserve">El drenaje venoso se realiza a través de las venas ileocólicas y la cólica derecha, las cuales acompañan a la vasculatura arterial. La linfa drena hacia los ganglios ileocólicos adyacentes a la arteria mesentérica superior. </w:t>
      </w:r>
    </w:p>
    <w:p>
      <w:pPr>
        <w:pStyle w:val="p1"/>
        <w:spacing w:lineRule="auto" w:line="360" w:before="280" w:after="280"/>
        <w:jc w:val="both"/>
        <w:rPr/>
      </w:pPr>
      <w:r>
        <w:rPr/>
        <w:t>Con respecto a las posiciones anatómicas del apéndice, estas presentan una distribución característica: la posición retrocecal es la más frecuente, observándose en aproximadamente el 65 % de los casos, seguida por la posición pélvica (30 %). Las posiciones subcecal, preileal, postileal y paracecal son mucho menos comunes, representando cada una cerca del 1–2 %</w:t>
      </w:r>
      <w:r>
        <w:rPr>
          <w:rFonts w:eastAsia="MS Mincho"/>
        </w:rPr>
        <w:t xml:space="preserve"> </w:t>
      </w:r>
      <w:sdt>
        <w:sdtPr>
          <w:placeholder>
            <w:docPart w:val="DefaultPlaceholder_-1854013440"/>
          </w:placeholder>
          <w:tag w:val="MENDELEY_CITATION_v3_eyJjaXRhdGlvbklEIjoiTUVOREVMRVlfQ0lUQVRJT05fZTIzMjNhNWQtNmE3My00ZmY5LTk3MmMtNjMzOWI5ZmIwM2Q2IiwicHJvcGVydGllcyI6eyJub3RlSW5kZXgiOjB9LCJpc0VkaXRlZCI6ZmFsc2UsIm1hbnVhbE92ZXJyaWRlIjp7ImlzTWFudWFsbHlPdmVycmlkZGVuIjpmYWxzZSwiY2l0ZXByb2NUZXh0IjoiKDE1KSIsIm1hbnVhbE92ZXJyaWRlVGV4dCI6IiJ9LCJjaXRhdGlvbkl0ZW1zIjpbeyJpZCI6ImZlNTZjMzk3LWJhYTItM2ZjNi1iOWE3LWVhZDRmZjJkMjM5NCIsIml0ZW1EYXRhIjp7InR5cGUiOiJhcnRpY2xlLWpvdXJuYWwiLCJpZCI6ImZlNTZjMzk3LWJhYTItM2ZjNi1iOWE3LWVhZDRmZjJkMjM5NCIsInRpdGxlIjoiVGhlIHBvc2l0aW9uIG9mIHRoZSB2ZXJtaWZvcm0gYXBwZW5kaXggYXQgbGFwYXJvc2NvcHkiLCJhdXRob3IiOlt7ImZhbWlseSI6IkFobWVkIiwiZ2l2ZW4iOiJJcmZhbiIsInBhcnNlLW5hbWVzIjpmYWxzZSwiZHJvcHBpbmctcGFydGljbGUiOiIiLCJub24tZHJvcHBpbmctcGFydGljbGUiOiIifSx7ImZhbWlseSI6IkFzZ2VpcnNzb24iLCJnaXZlbiI6IktyaXN0amFuIFMuIiwicGFyc2UtbmFtZXMiOmZhbHNlLCJkcm9wcGluZy1wYXJ0aWNsZSI6IiIsIm5vbi1kcm9wcGluZy1wYXJ0aWNsZSI6IiJ9LHsiZmFtaWx5IjoiQmVja2luZ2hhbSIsImdpdmVuIjoiSWFuIEouIiwicGFyc2UtbmFtZXMiOmZhbHNlLCJkcm9wcGluZy1wYXJ0aWNsZSI6IiIsIm5vbi1kcm9wcGluZy1wYXJ0aWNsZSI6IiJ9LHsiZmFtaWx5IjoiTG9ibyIsImdpdmVuIjoiRGlsZWVwIE4uIiwicGFyc2UtbmFtZXMiOmZhbHNlLCJkcm9wcGluZy1wYXJ0aWNsZSI6IiIsIm5vbi1kcm9wcGluZy1wYXJ0aWNsZSI6IiJ9XSwiY29udGFpbmVyLXRpdGxlIjoiU3VyZ2ljYWwgYW5kIHJhZGlvbG9naWMgYW5hdG9teSA6IFNSQSIsImNvbnRhaW5lci10aXRsZS1zaG9ydCI6IlN1cmcgUmFkaW9sIEFuYXQiLCJET0kiOiIxMC4xMDA3L1MwMDI3Ni0wMDctMDE4Mi04IiwiSVNTTiI6IjA5MzAtMTAzOCIsIlBNSUQiOiIxNzMxODI4NSIsImlzc3VlZCI6eyJkYXRlLXBhcnRzIjpbWzIwMDddXX0sInBhZ2UiOiIxNjUtMTY4IiwiYWJzdHJhY3QiOiJCYWNrZ3JvdW5kOiBUaGUgdmVybWlmb3JtIGFwcGVuZGl4IGhhcyBubyBjb25zdGFudCBwb3NpdGlvbiBhbmQgdGhlIGRhdGEgb24gdGhlIHZhcmlhdGlvbnMgaW4gaXRzIHBvc2l0aW9uIGFyZSBsaW1pdGVkLiBUaGUgYWltIG9mIHRoaXMgc3R1ZHkgd2FzIHRvIGRldGVybWluZSB0aGUgZnJlcXVlbmN5IG9mIHRoZSB2YXJpb3VzIHBvc2l0aW9ucyBvZiB0aGUgYXBwZW5kaXggYXQgbGFwYXJvc2NvcHkuIE1ldGhvZHM6IFBhdGllbnRzIHVuZGVyZ29pbmcgZW1lcmdlbmN5IG9yIGVsZWN0aXZlIGxhcGFyb3Njb3B5IGF0IGEgdW5pdmVyc2l0eSB0ZWFjaGluZyBob3NwaXRhbCBiZXR3ZWVuIEFwcmlsIGFuZCBTZXB0ZW1iZXIgMjAwNCB3ZXJlIHN0dWRpZWQgcHJvc3BlY3RpdmVseS4gVGhlIHBvc2l0aW9ucyBvZiB0aGUgYXBwZW5kaXggYW5kIHRoZSBjYWVjdW0gd2VyZSBkZXRlcm1pbmVkIGFmdGVyIGluc2VydGlvbiBvZiB0aGUgbGFwYXJvc2NvcGUsIHByaW9yIHRvIGFueSBvdGhlciBwcm9jZWR1cmUgYW5kIHRoZSByZWxhdGl2ZSBmcmVxdWVuY2llcyBjYWxjdWxhdGVkLiBSZXN1bHRzOiBBIHRvdGFsIG9mIDMwMyAoMTAyIG1hbGVzIGFuZCAyMDEgZmVtYWxlcykgcGF0aWVudHMgd2l0aCBhIG1lZGlhbiBhZ2Ugb2YgNTIgeWVhcnMgKHJhbmdlIDE4LTkzIHllYXJzKSB3ZXJlIHN0dWRpZWQuIEFuIGVtZXJnZW5jeSBhcHBlbmRpY2VjdG9teSB3YXMgcGVyZm9ybWVkIGluIDY3IHBhdGllbnRzLCA0OSBoYWQgYSBkaWFnbm9zdGljIGxhcGFyb3Njb3B5LCAxNzkgdW5kZXJ3ZW50IGEgbGFwYXJvc2NvcGljIGNob2xlY3lzdGVjdG9teSBhbmQgZWlnaHQgaGFkIG90aGVyIHByb2NlZHVyZXMuIFRoZSBjYWVjdW0gd2FzIGF0IE1jQnVybmV5J3MgcG9pbnQgaW4gMjQ1ICg4MC45JSkgcGF0aWVudHMsIHBlbHZpYyBpbiA0NSAoMTQuOSUpIGFuZCBoaWdoIGx5aW5nIGluIDEzICg0LjMlKS4gVGhlIGFwcGVuZGl4IHdhcyBwZWx2aWMgaW4gMTU1ICg1MS4yJSkgcGF0aWVudHMsIHByZS1pbGVhbCBpbiA5ICgzLjAlKSwgcGFyYS1jYWVjYWwgaW4gMTEgKDMuNiUpLCBwb3N0LWlsZWFsIGluIDY3ICgyMi4xJSkgYW5kIHJldHJvY2FlY2FsIGluIDYxICgyMC4xJSkgcGF0aWVudHMuIENvbmNsdXNpb246IENvbnRyYXJ5IHRvIHRoZSBjb21tb24gYmVsaWVmIHRoZSBhcHBlbmRpeCBpcyBtb3JlIG9mdGVuIGZvdW5kIGluIHRoZSBwZWx2aWMgcmF0aGVyIHRoYW4gdGhlIHJldHJvY2FlY2FsIHBvc2l0aW9uLiBUaGVyZSBpcyBhbHNvIGNvbnNpZGVyYWJsZSB2YXJpYXRpb24gaW4gdGhlIHBvc2l0aW9uIG9mIHRoZSBjYWVjdW0uIMKpIFNwcmluZ2VyLVZlcmxhZyAyMDA3LiIsInB1Ymxpc2hlciI6IlN1cmcgUmFkaW9sIEFuYXQiLCJpc3N1ZSI6IjIiLCJ2b2x1bWUiOiIyOSJ9LCJpc1RlbXBvcmFyeSI6ZmFsc2V9XX0="/>
          <w:id w:val="-349558505"/>
        </w:sdtPr>
        <w:sdtContent>
          <w:r>
            <w:rPr>
              <w:rFonts w:eastAsia="MS Mincho"/>
            </w:rPr>
          </w:r>
          <w:r>
            <w:rPr>
              <w:rFonts w:eastAsia="MS Mincho"/>
              <w:color w:val="000000"/>
            </w:rPr>
            <w:t>(15)</w:t>
          </w:r>
        </w:sdtContent>
      </w:sdt>
      <w:r>
        <w:rPr/>
        <w:t xml:space="preserve">. </w:t>
      </w:r>
      <w:r>
        <w:rPr/>
        <w:t xml:space="preserve">Estas variaciones son relevantes tanto para la presentación clínica como para la interpretación quirúrgica y radiológica de las patologías apendiculares. La Figura 1 ilustra gráficamente las principales ubicaciones anatómicas posibles del apéndice </w:t>
      </w:r>
      <w:sdt>
        <w:sdtPr>
          <w:placeholder>
            <w:docPart w:val="DefaultPlaceholder_-1854013440"/>
          </w:placeholder>
          <w:tag w:val="MENDELEY_CITATION_v3_eyJjaXRhdGlvbklEIjoiTUVOREVMRVlfQ0lUQVRJT05fYmIyN2U2N2EtOGY1Ny00Y2E0LWJjMzItNzNmYjE5OGFlYzZmIiwicHJvcGVydGllcyI6eyJub3RlSW5kZXgiOjB9LCJpc0VkaXRlZCI6ZmFsc2UsIm1hbnVhbE92ZXJyaWRlIjp7ImlzTWFudWFsbHlPdmVycmlkZGVuIjpmYWxzZSwiY2l0ZXByb2NUZXh0IjoiKDExKSIsIm1hbnVhbE92ZXJyaWRlVGV4dCI6IiJ9LCJjaXRhdGlvbkl0ZW1zIjpbeyJpZCI6ImIwZjlkYTJkLTc4MGYtM2YzZC1hMjMzLTk2MWQzZDcyNjA3OCIsIml0ZW1EYXRhIjp7InR5cGUiOiJhcnRpY2xlLWpvdXJuYWwiLCJpZCI6ImIwZjlkYTJkLTc4MGYtM2YzZC1hMjMzLTk2MWQzZDcyNjA3OCIsInRpdGxlIjoiVGhlIFZlcm1pZm9ybSBBcHBlbmRpeCBhbmQgSXRzIFBhdGhvbG9naWVzLiIsImF1dGhvciI6W3siZmFtaWx5IjoiQ29uc3RhbnRpbiIsImdpdmVuIjoiTWFyaWFuIiwicGFyc2UtbmFtZXMiOmZhbHNlLCJkcm9wcGluZy1wYXJ0aWNsZSI6IiIsIm5vbi1kcm9wcGluZy1wYXJ0aWNsZSI6IiJ9LHsiZmFtaWx5IjoiUGV0cmVzY3UiLCJnaXZlbiI6IkxpdmlhIiwicGFyc2UtbmFtZXMiOmZhbHNlLCJkcm9wcGluZy1wYXJ0aWNsZSI6IiIsIm5vbi1kcm9wcGluZy1wYXJ0aWNsZSI6IiJ9LHsiZmFtaWx5IjoiTcSDdGFuaWUiLCJnaXZlbiI6IkNyaXN0aW5hIiwicGFyc2UtbmFtZXMiOmZhbHNlLCJkcm9wcGluZy1wYXJ0aWNsZSI6IiIsIm5vbi1kcm9wcGluZy1wYXJ0aWNsZSI6IiJ9LHsiZmFtaWx5IjoiVnJhbmNpYW51IiwiZ2l2ZW4iOiJDb3JuZWxpdSBPdmlkaXUiLCJwYXJzZS1uYW1lcyI6ZmFsc2UsImRyb3BwaW5nLXBhcnRpY2xlIjoiIiwibm9uLWRyb3BwaW5nLXBhcnRpY2xlIjoiIn0seyJmYW1pbHkiOiJOaWN1bGVzY3UiLCJnaXZlbiI6IkFkZWxpbmEgR2FicmllbGEiLCJwYXJzZS1uYW1lcyI6ZmFsc2UsImRyb3BwaW5nLXBhcnRpY2xlIjoiIiwibm9uLWRyb3BwaW5nLXBhcnRpY2xlIjoiIn0seyJmYW1pbHkiOiJBbmRyb25pYyIsImdpdmVuIjoiT2N0YXZpYW4iLCJwYXJzZS1uYW1lcyI6ZmFsc2UsImRyb3BwaW5nLXBhcnRpY2xlIjoiIiwibm9uLWRyb3BwaW5nLXBhcnRpY2xlIjoiIn0seyJmYW1pbHkiOiJCb2xvY2FuIiwiZ2l2ZW4iOiJBbGV4YW5kcmEiLCJwYXJzZS1uYW1lcyI6ZmFsc2UsImRyb3BwaW5nLXBhcnRpY2xlIjoiIiwibm9uLWRyb3BwaW5nLXBhcnRpY2xlIjoiIn1dLCJjb250YWluZXItdGl0bGUiOiJDYW5jZXJzIiwiY29udGFpbmVyLXRpdGxlLXNob3J0IjoiQ2FuY2VycyAoQmFzZWwpIiwiYWNjZXNzZWQiOnsiZGF0ZS1wYXJ0cyI6W1syMDI1LDMsMjNdXX0sIkRPSSI6IjEwLjMzOTAvQ0FOQ0VSUzE1MTUzODcyIiwiSVNTTiI6IjIwNzItNjY5NCIsIlBNSUQiOiIzNzU2ODY4OCIsIlVSTCI6Imh0dHBzOi8vb3BlbnVybC5lYnNjby5jb20vY29udGVudGl0ZW0vZG9pOjEwLjMzOTAvY2FuY2VyczE1MTUzODcyP3NpZD1lYnNjbzpwbGluazpjcmF3bGVyJmlkPWVic2NvOmRvaToxMC4zMzkwL2NhbmNlcnMxNTE1Mzg3MiZjcmw9YyIsImlzc3VlZCI6eyJkYXRlLXBhcnRzIjpbWzIwMjNdXX0sInBhZ2UiOiIzODcyIiwiYWJzdHJhY3QiOiJUaGUgdmVybWlmb3JtIGFwcGVuZGl4IGlzIGEgbXVzY3VsYXIgY3lsaW5kcmljYWwgc3RydWN0dXJlIG9yaWdpbmF0aW5nIG5lYXIgdGhlIGp1bmN0aW9uIG9mIHRoZSBjZWN1bSBhbmQgaWxldW0sIGF2ZXJhZ2luZyA5IGNtICg14oCTMzUgY20pIGluIHNpemUuIEFzIHRoZSBtb3N0IG1vYmlsZSB2aXNjZXJhLCBpdCBjYW4gYWRvcHQgc2V2ZXJhbCBwb3NpdGlvbnMsIHRoZSBtb3N0IGNvbW1vbiBiZWluZyB0aGUgcmV0cm9jZWNhbCBwb3NpdGlvbi4gUGVyY2VpdmVkIGFzIGFuIGF0YXZpc3RpYyBvcmdhbiBsYWNraW5nIHBoeXNpb2xvZ2ljYWwgcmVsZXZhbmNlLCB0aGUgdmVybWlmb3JtIGFwcGVuZGl4IGFwcGVhcnMgdG8gYmUgaW52b2x2ZWQgaW4gaW1tdW5lIGZ1bmN0aW9uLCBzZXJ2aW5nIGluIHRoZSBtYXR1cmF0aW9uIG9mIEIgbHltcGhvY3l0ZXMgYW5kIHRoZSBwcm9kdWN0aW9uIG9mIGltbXVub2dsb2J1bGluIEEsIGluIGVuZG9jcmluZSBmdW5jdGlvbiwgZXhjcmV0aW5nIGFtaW5lcyBhbmQgaG9ybW9uZXMgaW4gdGhlIDLigJMzIG1MIG9mIG11Y3VzIHNlY3JldGVkIGRhaWx5LCBhbmQgaW4gZGlnZXN0aXZlIGZ1bmN0aW9uLCBieSBzdG9yaW5nIGJlbmVmaWNpYWwgYmFjdGVyaWEgZnJvbSB3aGVyZSB0aGV5IGNhbiByZWNvbG9uaXplIHRoZSBjb2xvbi4gV2l0aCBhIGx1bWVuIG9mIGFib3V0IDYgbW0sIHRoZSB2ZXJtaWZvcm0gYXBwZW5kaXggaGFzIGEgcmVkdWNlZCBzdG9yYWdlIGNhcGFjaXR5LCBzbyBhbnkgYmxvY2thZ2Ugb2YgdGhlIGFwcGVuZGl4IHdpdGggZmVjb2xpdGhzIChmZWNhbGl0aHMpLCBzZWVkcyBkZXJhaWxlZCBmcm9tIHRoZSBjb2xvbiwgb3IgZW5sYXJnZWQgbHltcGggbm9kZXMgcHJldmVudHMgZHJhaW5hZ2UgYW5kIGludHJhbHVtaW5hbCBhY2N1bXVsYXRpb24gb2Ygc2VjcmV0ZWQgbXVjdXMuIFVuYWJsZSB0byByZWxheCwgdGhlIGFwcGVuZGl4IHdhbGwgc2V2ZXJlbHkgbGltaXRzIGl0cyBpbnRyYWx1bWluYWwgdm9sdW1lLCBzbyBtdWN1cyBhY2N1bXVsYXRpb24gbGVhZHMgdG8gaW5mbGFtbWF0aW9uIG9mIHRoZSBhcHBlbmRpeCwga25vd24gZ2VuZXJpY2FsbHkgYXMgYXBwZW5kaWNpdGlzLiBJbiBhZGRpdGlvbiwgdGhlIHZlcm1pZm9ybSBhcHBlbmRpeCBtYXkgYmUgdGhlIHNpdGUgb2YgdGhlIGRldmVsb3BtZW50IG9mIG5lb3BsYXN0aWMgcHJvY2Vzc2VzLCB3aGljaCBtYXkgb3IgbWF5IG5vdCBpbnZvbHZlIG11Y3VzIHByb2R1Y3Rpb24sIHNvbWUgb2Ygd2hpY2ggY2FuIHNpZ25pZmljYW50bHkgYWZmZWN0IHRoZSBzdGFuZGFyZCBvZiBsaXZpbmcgYW5kIHVsdGltYXRlbHkgbGVhZCB0byBkZWF0aC4gSW4gZ2VuZXJhbCwgbXVjaW5vdXMgdHVtb3JzIG1heSBoYXZlIGEgYmV0dGVyIHByb2dub3NpcyB0aGFuIG5vbi1tdWNpbm91cyB0dW1vcnMuIFRoaXMgcmV2aWV3IHRha2VzIGEgY29tcHJlaGVuc2l2ZSBwYXRoLCBzdGFydGluZyBieSBkZXNjcmliaW5nIHRoZSBhbmF0b215IGFuZCBlbWJyeW9sb2d5IG9mIHRoZSB2ZXJtaWZvcm0gYXBwZW5kaXggYW5kIGZ1cnRoZXIgZGV0YWlsaW5nIGl0cyBpbmZsYW1tYXRvcnkgcGF0aG9sb2dpZXMsIHBhdGhvbG9naWVzIHJlbGF0ZWQgdG8gY29uZ2VuaXRhbCBhbm9tYWxpZXMsIGFuZCBhcHBlbmRpeCB0dW1vcnMsIHRodXMgY3JlYXRpbmcgYW4gdXAtdG8tZGF0ZSBmcmFtZXdvcmsgZm9yIGJldHRlciB1bmRlcnN0YW5kaW5nLCBkaWFnbm9zaXMsIGFuZCB0cmVhdG1lbnQgb2YgdGhlc2UgaGVhbHRoIHByb2JsZW1zLiIsInB1Ymxpc2hlciI6Ik1EUEkiLCJpc3N1ZSI6IjE1Iiwidm9sdW1lIjoiMTUifSwiaXNUZW1wb3JhcnkiOmZhbHNlfV19"/>
          <w:id w:val="-461585957"/>
        </w:sdtPr>
        <w:sdtContent>
          <w:r>
            <w:rPr/>
          </w:r>
          <w:r>
            <w:rPr>
              <w:color w:val="000000"/>
            </w:rPr>
            <w:t>(11).</w:t>
          </w:r>
        </w:sdtContent>
      </w:sdt>
    </w:p>
    <w:p>
      <w:pPr>
        <w:pStyle w:val="Normal"/>
        <w:keepNext w:val="true"/>
        <w:jc w:val="center"/>
        <w:rPr/>
      </w:pPr>
      <w:r>
        <w:rPr/>
        <w:drawing>
          <wp:inline distT="0" distB="0" distL="0" distR="0">
            <wp:extent cx="2757170" cy="2445385"/>
            <wp:effectExtent l="0" t="0" r="0" b="0"/>
            <wp:docPr id="2"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
                    <pic:cNvPicPr>
                      <a:picLocks noChangeAspect="1" noChangeArrowheads="1"/>
                    </pic:cNvPicPr>
                  </pic:nvPicPr>
                  <pic:blipFill>
                    <a:blip r:embed="rId6"/>
                    <a:stretch>
                      <a:fillRect/>
                    </a:stretch>
                  </pic:blipFill>
                  <pic:spPr bwMode="auto">
                    <a:xfrm>
                      <a:off x="0" y="0"/>
                      <a:ext cx="2757170" cy="2445385"/>
                    </a:xfrm>
                    <a:prstGeom prst="rect">
                      <a:avLst/>
                    </a:prstGeom>
                    <a:noFill/>
                  </pic:spPr>
                </pic:pic>
              </a:graphicData>
            </a:graphic>
          </wp:inline>
        </w:drawing>
      </w:r>
    </w:p>
    <w:p>
      <w:pPr>
        <w:pStyle w:val="Caption"/>
        <w:jc w:val="center"/>
        <w:rPr>
          <w:i w:val="false"/>
          <w:i w:val="false"/>
          <w:color w:val="0E0E0E"/>
          <w:sz w:val="21"/>
        </w:rPr>
      </w:pPr>
      <w:bookmarkStart w:id="44" w:name="_Toc199964172"/>
      <w:bookmarkStart w:id="45" w:name="_Toc199960422"/>
      <w:bookmarkStart w:id="46" w:name="_Toc199960480"/>
      <w:bookmarkStart w:id="47" w:name="_Toc200580364"/>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w:t>
      </w:r>
      <w:r>
        <w:rPr>
          <w:i w:val="false"/>
          <w:b/>
          <w:iCs w:val="false"/>
          <w:bCs/>
          <w:color w:themeColor="text1" w:val="000000"/>
        </w:rPr>
        <w:fldChar w:fldCharType="end"/>
      </w:r>
      <w:r>
        <w:rPr>
          <w:b/>
          <w:bCs/>
          <w:i w:val="false"/>
          <w:iCs w:val="false"/>
          <w:color w:themeColor="text1" w:val="000000"/>
        </w:rPr>
        <w:t>.</w:t>
      </w:r>
      <w:r>
        <w:rPr>
          <w:i w:val="false"/>
          <w:color w:themeColor="text1" w:val="000000"/>
          <w:sz w:val="21"/>
        </w:rPr>
        <w:t xml:space="preserve"> </w:t>
      </w:r>
      <w:r>
        <w:rPr>
          <w:i w:val="false"/>
          <w:color w:val="0E0E0E"/>
          <w:sz w:val="21"/>
        </w:rPr>
        <w:t>Principales ubicaciones anatómicas posibles del apéndice</w:t>
      </w:r>
      <w:bookmarkEnd w:id="44"/>
      <w:bookmarkEnd w:id="45"/>
      <w:bookmarkEnd w:id="46"/>
      <w:bookmarkEnd w:id="47"/>
      <w:r>
        <w:rPr>
          <w:i w:val="false"/>
          <w:iCs w:val="false"/>
          <w:color w:val="0E0E0E"/>
          <w:sz w:val="21"/>
          <w:szCs w:val="21"/>
        </w:rPr>
        <w:t xml:space="preserve"> (11).</w:t>
      </w:r>
    </w:p>
    <w:p>
      <w:pPr>
        <w:pStyle w:val="p1"/>
        <w:spacing w:lineRule="auto" w:line="360" w:before="280" w:after="280"/>
        <w:jc w:val="both"/>
        <w:rPr/>
      </w:pPr>
      <w:r>
        <w:rPr/>
        <w:t>Para una visión integral de la patología neoplásica apendicular, es importante estudiar la fisiología normal del apéndice y sus funciones básicas que hasta el momento se han esclarecido. El apéndice cumple una función inmunológica, participando en la maduración de linfocitos B y en la producción de inmunoglobulina A (IgA). Además, contribuye como reservorio de microbiota intestinal. A pesar de estas funciones teóricas, la resección del apéndice en adultos, principalmente por apendicitis aguda, no se asocia clínicamente con deficiencias inmunológicas evidentes</w:t>
      </w:r>
      <w:bookmarkStart w:id="48" w:name="_Hlk200624705"/>
      <w:sdt>
        <w:sdtPr>
          <w:placeholder>
            <w:docPart w:val="DefaultPlaceholder_-1854013440"/>
          </w:placeholder>
          <w:tag w:val="MENDELEY_CITATION_v3_eyJjaXRhdGlvbklEIjoiTUVOREVMRVlfQ0lUQVRJT05fMDM1NTBkY2YtYzNlYy00ZDI5LTk1MzgtMGRkYmYxMTc0OGU1IiwicHJvcGVydGllcyI6eyJub3RlSW5kZXgiOjB9LCJpc0VkaXRlZCI6ZmFsc2UsIm1hbnVhbE92ZXJyaWRlIjp7ImlzTWFudWFsbHlPdmVycmlkZGVuIjpmYWxzZSwiY2l0ZXByb2NUZXh0IjoiKDExKSIsIm1hbnVhbE92ZXJyaWRlVGV4dCI6IiJ9LCJjaXRhdGlvbkl0ZW1zIjpbeyJpZCI6ImIwZjlkYTJkLTc4MGYtM2YzZC1hMjMzLTk2MWQzZDcyNjA3OCIsIml0ZW1EYXRhIjp7InR5cGUiOiJhcnRpY2xlLWpvdXJuYWwiLCJpZCI6ImIwZjlkYTJkLTc4MGYtM2YzZC1hMjMzLTk2MWQzZDcyNjA3OCIsInRpdGxlIjoiVGhlIFZlcm1pZm9ybSBBcHBlbmRpeCBhbmQgSXRzIFBhdGhvbG9naWVzLiIsImF1dGhvciI6W3siZmFtaWx5IjoiQ29uc3RhbnRpbiIsImdpdmVuIjoiTWFyaWFuIiwicGFyc2UtbmFtZXMiOmZhbHNlLCJkcm9wcGluZy1wYXJ0aWNsZSI6IiIsIm5vbi1kcm9wcGluZy1wYXJ0aWNsZSI6IiJ9LHsiZmFtaWx5IjoiUGV0cmVzY3UiLCJnaXZlbiI6IkxpdmlhIiwicGFyc2UtbmFtZXMiOmZhbHNlLCJkcm9wcGluZy1wYXJ0aWNsZSI6IiIsIm5vbi1kcm9wcGluZy1wYXJ0aWNsZSI6IiJ9LHsiZmFtaWx5IjoiTcSDdGFuaWUiLCJnaXZlbiI6IkNyaXN0aW5hIiwicGFyc2UtbmFtZXMiOmZhbHNlLCJkcm9wcGluZy1wYXJ0aWNsZSI6IiIsIm5vbi1kcm9wcGluZy1wYXJ0aWNsZSI6IiJ9LHsiZmFtaWx5IjoiVnJhbmNpYW51IiwiZ2l2ZW4iOiJDb3JuZWxpdSBPdmlkaXUiLCJwYXJzZS1uYW1lcyI6ZmFsc2UsImRyb3BwaW5nLXBhcnRpY2xlIjoiIiwibm9uLWRyb3BwaW5nLXBhcnRpY2xlIjoiIn0seyJmYW1pbHkiOiJOaWN1bGVzY3UiLCJnaXZlbiI6IkFkZWxpbmEgR2FicmllbGEiLCJwYXJzZS1uYW1lcyI6ZmFsc2UsImRyb3BwaW5nLXBhcnRpY2xlIjoiIiwibm9uLWRyb3BwaW5nLXBhcnRpY2xlIjoiIn0seyJmYW1pbHkiOiJBbmRyb25pYyIsImdpdmVuIjoiT2N0YXZpYW4iLCJwYXJzZS1uYW1lcyI6ZmFsc2UsImRyb3BwaW5nLXBhcnRpY2xlIjoiIiwibm9uLWRyb3BwaW5nLXBhcnRpY2xlIjoiIn0seyJmYW1pbHkiOiJCb2xvY2FuIiwiZ2l2ZW4iOiJBbGV4YW5kcmEiLCJwYXJzZS1uYW1lcyI6ZmFsc2UsImRyb3BwaW5nLXBhcnRpY2xlIjoiIiwibm9uLWRyb3BwaW5nLXBhcnRpY2xlIjoiIn1dLCJjb250YWluZXItdGl0bGUiOiJDYW5jZXJzIiwiY29udGFpbmVyLXRpdGxlLXNob3J0IjoiQ2FuY2VycyAoQmFzZWwpIiwiYWNjZXNzZWQiOnsiZGF0ZS1wYXJ0cyI6W1syMDI1LDMsMjNdXX0sIkRPSSI6IjEwLjMzOTAvQ0FOQ0VSUzE1MTUzODcyIiwiSVNTTiI6IjIwNzItNjY5NCIsIlBNSUQiOiIzNzU2ODY4OCIsIlVSTCI6Imh0dHBzOi8vb3BlbnVybC5lYnNjby5jb20vY29udGVudGl0ZW0vZG9pOjEwLjMzOTAvY2FuY2VyczE1MTUzODcyP3NpZD1lYnNjbzpwbGluazpjcmF3bGVyJmlkPWVic2NvOmRvaToxMC4zMzkwL2NhbmNlcnMxNTE1Mzg3MiZjcmw9YyIsImlzc3VlZCI6eyJkYXRlLXBhcnRzIjpbWzIwMjNdXX0sInBhZ2UiOiIzODcyIiwiYWJzdHJhY3QiOiJUaGUgdmVybWlmb3JtIGFwcGVuZGl4IGlzIGEgbXVzY3VsYXIgY3lsaW5kcmljYWwgc3RydWN0dXJlIG9yaWdpbmF0aW5nIG5lYXIgdGhlIGp1bmN0aW9uIG9mIHRoZSBjZWN1bSBhbmQgaWxldW0sIGF2ZXJhZ2luZyA5IGNtICg14oCTMzUgY20pIGluIHNpemUuIEFzIHRoZSBtb3N0IG1vYmlsZSB2aXNjZXJhLCBpdCBjYW4gYWRvcHQgc2V2ZXJhbCBwb3NpdGlvbnMsIHRoZSBtb3N0IGNvbW1vbiBiZWluZyB0aGUgcmV0cm9jZWNhbCBwb3NpdGlvbi4gUGVyY2VpdmVkIGFzIGFuIGF0YXZpc3RpYyBvcmdhbiBsYWNraW5nIHBoeXNpb2xvZ2ljYWwgcmVsZXZhbmNlLCB0aGUgdmVybWlmb3JtIGFwcGVuZGl4IGFwcGVhcnMgdG8gYmUgaW52b2x2ZWQgaW4gaW1tdW5lIGZ1bmN0aW9uLCBzZXJ2aW5nIGluIHRoZSBtYXR1cmF0aW9uIG9mIEIgbHltcGhvY3l0ZXMgYW5kIHRoZSBwcm9kdWN0aW9uIG9mIGltbXVub2dsb2J1bGluIEEsIGluIGVuZG9jcmluZSBmdW5jdGlvbiwgZXhjcmV0aW5nIGFtaW5lcyBhbmQgaG9ybW9uZXMgaW4gdGhlIDLigJMzIG1MIG9mIG11Y3VzIHNlY3JldGVkIGRhaWx5LCBhbmQgaW4gZGlnZXN0aXZlIGZ1bmN0aW9uLCBieSBzdG9yaW5nIGJlbmVmaWNpYWwgYmFjdGVyaWEgZnJvbSB3aGVyZSB0aGV5IGNhbiByZWNvbG9uaXplIHRoZSBjb2xvbi4gV2l0aCBhIGx1bWVuIG9mIGFib3V0IDYgbW0sIHRoZSB2ZXJtaWZvcm0gYXBwZW5kaXggaGFzIGEgcmVkdWNlZCBzdG9yYWdlIGNhcGFjaXR5LCBzbyBhbnkgYmxvY2thZ2Ugb2YgdGhlIGFwcGVuZGl4IHdpdGggZmVjb2xpdGhzIChmZWNhbGl0aHMpLCBzZWVkcyBkZXJhaWxlZCBmcm9tIHRoZSBjb2xvbiwgb3IgZW5sYXJnZWQgbHltcGggbm9kZXMgcHJldmVudHMgZHJhaW5hZ2UgYW5kIGludHJhbHVtaW5hbCBhY2N1bXVsYXRpb24gb2Ygc2VjcmV0ZWQgbXVjdXMuIFVuYWJsZSB0byByZWxheCwgdGhlIGFwcGVuZGl4IHdhbGwgc2V2ZXJlbHkgbGltaXRzIGl0cyBpbnRyYWx1bWluYWwgdm9sdW1lLCBzbyBtdWN1cyBhY2N1bXVsYXRpb24gbGVhZHMgdG8gaW5mbGFtbWF0aW9uIG9mIHRoZSBhcHBlbmRpeCwga25vd24gZ2VuZXJpY2FsbHkgYXMgYXBwZW5kaWNpdGlzLiBJbiBhZGRpdGlvbiwgdGhlIHZlcm1pZm9ybSBhcHBlbmRpeCBtYXkgYmUgdGhlIHNpdGUgb2YgdGhlIGRldmVsb3BtZW50IG9mIG5lb3BsYXN0aWMgcHJvY2Vzc2VzLCB3aGljaCBtYXkgb3IgbWF5IG5vdCBpbnZvbHZlIG11Y3VzIHByb2R1Y3Rpb24sIHNvbWUgb2Ygd2hpY2ggY2FuIHNpZ25pZmljYW50bHkgYWZmZWN0IHRoZSBzdGFuZGFyZCBvZiBsaXZpbmcgYW5kIHVsdGltYXRlbHkgbGVhZCB0byBkZWF0aC4gSW4gZ2VuZXJhbCwgbXVjaW5vdXMgdHVtb3JzIG1heSBoYXZlIGEgYmV0dGVyIHByb2dub3NpcyB0aGFuIG5vbi1tdWNpbm91cyB0dW1vcnMuIFRoaXMgcmV2aWV3IHRha2VzIGEgY29tcHJlaGVuc2l2ZSBwYXRoLCBzdGFydGluZyBieSBkZXNjcmliaW5nIHRoZSBhbmF0b215IGFuZCBlbWJyeW9sb2d5IG9mIHRoZSB2ZXJtaWZvcm0gYXBwZW5kaXggYW5kIGZ1cnRoZXIgZGV0YWlsaW5nIGl0cyBpbmZsYW1tYXRvcnkgcGF0aG9sb2dpZXMsIHBhdGhvbG9naWVzIHJlbGF0ZWQgdG8gY29uZ2VuaXRhbCBhbm9tYWxpZXMsIGFuZCBhcHBlbmRpeCB0dW1vcnMsIHRodXMgY3JlYXRpbmcgYW4gdXAtdG8tZGF0ZSBmcmFtZXdvcmsgZm9yIGJldHRlciB1bmRlcnN0YW5kaW5nLCBkaWFnbm9zaXMsIGFuZCB0cmVhdG1lbnQgb2YgdGhlc2UgaGVhbHRoIHByb2JsZW1zLiIsInB1Ymxpc2hlciI6Ik1EUEkiLCJpc3N1ZSI6IjE1Iiwidm9sdW1lIjoiMTUifSwiaXNUZW1wb3JhcnkiOmZhbHNlfV19"/>
          <w:id w:val="1978564677"/>
        </w:sdtPr>
        <w:sdtContent>
          <w:r>
            <w:rPr/>
          </w:r>
          <w:r>
            <w:rPr>
              <w:rFonts w:eastAsia="MS Mincho"/>
              <w:color w:val="000000"/>
            </w:rPr>
            <w:t xml:space="preserve"> (11</w:t>
          </w:r>
        </w:sdtContent>
      </w:sdt>
      <w:bookmarkEnd w:id="48"/>
      <w:sdt>
        <w:sdtPr>
          <w:placeholder>
            <w:docPart w:val="DefaultPlaceholder_-1854013440"/>
          </w:placeholder>
          <w:tag w:val="MENDELEY_CITATION_v3_eyJjaXRhdGlvbklEIjoiTUVOREVMRVlfQ0lUQVRJT05fYmI2ZDBmYjgtOTA0Mi00ZDdlLWJhMmItMDc1YjM4MTYwNWUwIiwicHJvcGVydGllcyI6eyJub3RlSW5kZXgiOjB9LCJpc0VkaXRlZCI6ZmFsc2UsIm1hbnVhbE92ZXJyaWRlIjp7ImlzTWFudWFsbHlPdmVycmlkZGVuIjpmYWxzZSwiY2l0ZXByb2NUZXh0IjoiKDE2KSIsIm1hbnVhbE92ZXJyaWRlVGV4dCI6IiJ9LCJjaXRhdGlvbkl0ZW1zIjpbeyJpZCI6ImRmNTc2NzczLWRkNzQtMzRlNy04N2RjLTRjN2U5OWM2ZjNmNSIsIml0ZW1EYXRhIjp7InR5cGUiOiJhcnRpY2xlLWpvdXJuYWwiLCJpZCI6ImRmNTc2NzczLWRkNzQtMzRlNy04N2RjLTRjN2U5OWM2ZjNmNSIsInRpdGxlIjoiQXBwZW5kaWNlYWwgSW5jaWRlbnRhbG9tYXM6IFByZXZhbGVuY2UsIFJhZGlvZ3JhcGhpYyBDaGFyYWN0ZXJpc3RpY3MsIE1hbmFnZW1lbnQsIGFuZCBPdXRjb21lcyIsImF1dGhvciI6W3siZmFtaWx5IjoiS2VsbHkiLCJnaXZlbiI6IkFkYW0iLCJwYXJzZS1uYW1lcyI6ZmFsc2UsImRyb3BwaW5nLXBhcnRpY2xlIjoiIiwibm9uLWRyb3BwaW5nLXBhcnRpY2xlIjoiIn0seyJmYW1pbHkiOiJP4oCZQ29ubm9yIiwiZ2l2ZW4iOiJTdGFjeSIsInBhcnNlLW5hbWVzIjpmYWxzZSwiZHJvcHBpbmctcGFydGljbGUiOiIiLCJub24tZHJvcHBpbmctcGFydGljbGUiOiIifSx7ImZhbWlseSI6IkthbmUiLCJnaXZlbiI6IkRpYW5hIiwicGFyc2UtbmFtZXMiOmZhbHNlLCJkcm9wcGluZy1wYXJ0aWNsZSI6IiIsIm5vbi1kcm9wcGluZy1wYXJ0aWNsZSI6IiJ9LHsiZmFtaWx5IjoiSHVhbmciLCJnaXZlbiI6IkNoaWFuZyBDaGluZyIsInBhcnNlLW5hbWVzIjpmYWxzZSwiZHJvcHBpbmctcGFydGljbGUiOiIiLCJub24tZHJvcHBpbmctcGFydGljbGUiOiIifSx7ImZhbWlseSI6Ik1vZ2FsIiwiZ2l2ZW4iOiJIYXJ2ZXNocCIsInBhcnNlLW5hbWVzIjpmYWxzZSwiZHJvcHBpbmctcGFydGljbGUiOiIiLCJub24tZHJvcHBpbmctcGFydGljbGUiOiIifV0sImNvbnRhaW5lci10aXRsZSI6IkFubmFscyBvZiBzdXJnaWNhbCBvbmNvbG9neSIsImNvbnRhaW5lci10aXRsZS1zaG9ydCI6IkFubiBTdXJnIE9uY29sIiwiRE9JIjoiMTAuMTI0NS9TMTA0MzQtMDIyLTEyMzYyLVgiLCJJU1NOIjoiMTUzNC00NjgxIiwiUE1JRCI6IjM1OTg5MzkyIiwiaXNzdWVkIjp7ImRhdGUtcGFydHMiOltbMjAyMl1dfSwicGFnZSI6IjgyNjUtODI3MyIsImFic3RyYWN0IjoiQmFja2dyb3VuZDogUmFkaW9ncmFwaGljYWxseSBkZXRlY3RlZCBpbmNpZGVudGFsIGFwcGVuZGljZWFsIGFibm9ybWFsaXRpZXMsIGluIHRoaXMgcmVwb3J0IHRlcm1lZCDigJxhcHBlbmRpY2VhbCBpbmNpZGVudGFsb21hc+KAnSAoQUlzKSwgYXJlIGFuIGlsbC1kZWZpbmVkIGVudGl0eSB3aXRoIGFuIHVua25vd24gcHJldmFsZW5jZSBvZiBuZW9wbGFzbS4gVGhpcyBzdHVkeSBhaW1lZCB0byBkZXNjcmliZSB0aGUgcHJldmFsZW5jZSwgcmFkaW9ncmFwaGljIGNoYXJhY3RlcmlzdGljcywgYW5kIG91dGNvbWVzIG9mIHBhdGllbnRzIHdpdGggYSBkaWFnbm9zaXMgb2YgQUkuIE1ldGhvZHM6IFRoZSBzdHVkeSByZXZpZXdlZCB0aGUgZWxlY3Ryb25pYyBoZWFsdGggcmVjb3JkcyBmb3IgcGF0aWVudHMgYXQgYSBzaW5nbGUgaW5zdGl0dXRpb24gdW5kZXJnb2luZyBhYmRvbWlub3BlbHZpYyBjb21wdXRlZCB0b21vZ3JhcGh5IGFuZCBtYWduZXRpYyByZXNvbmFuY2UgaW1hZ2luZyAoTVJJKSBmcm9tIDIwMDAgdG8gMjAyMCBmb3Igbm9uLWFwcGVuZGl4LXJlbGF0ZWTCoGNvbXBsYWludHPCoHdpdGggbWVudGlvbiBvZiBhcHBlbmRpeCBhYm5vcm1hbGl0eSBpbiB0aGUgcmFkaW9sb2d5IHJlcG9ydC4gVGhlIHN1Z2dlc3RlZMKgZGlhZ25vc2lzwqBhdCB0aGUgaW5kZXggaW1hZ2luZyB3YXMgcmVjb3JkZWQuIE91dGNvbWVzIHdlcmUgY29tcGFyZWQgYmV0d2VlbiB0aGUgb3BlcmF0aXZlIGFuZCBub24tb3BlcmF0aXZlIHBhdGllbnRzLiBSZXN1bHRzOiBPZiA1MTk3IHJlY29yZHMsIDQ4NCB3ZXJlIGlkZW50aWZpZWQgYXMgcmVwb3J0cyBvZiBBSXMgKDnCoCUgb2Ygc2NyZWVuZWQgcGF0aWVudHMpLiBOZW9wbGFzbXMgd2VyZSBzdWdnZXN0ZWQgcmFkaW9ncmFwaGljYWxseSBpbiAxNiAlIChuID0gNzkpIG9mIHRoZSByZWNvcmRzLCA1OSAlICg0Ny83OSkgb2Ygd2hpY2ggd2VyZSByZXNlY3RlZC4gUGF0aG9sb2dpY2FsbHksIDMyIG9mIHRoZSBhYm5vcm1hbGl0aWVzIHdlcmUgY29uZmlybWVkIGFzIG5lb3BsYXNtcywgeWllbGRpbmcgYSBkaWFnbm9zdGljIGFjY3VyYWN5IG9mIDY4ICUuIENvbXBhcmVkIHdpdGggdGhlIG5vbi1vcGVyYXRpdmUgcGF0aWVudHMsIHRoZSBvcGVyYXRpdmUgcGF0aWVudHMgaGFkIEFJcyB3aXRoIGEgbGFyZ2VyIG1lYW4gZGlhbWV0ZXIgKDIyLjcgwrEgMTMuMCB2cy4gMTcuOCDCsTcuNyBtbTsgcCA9IDAuMDQpLCBhIGhpZ2hlciBjb2xvbm9zY29weSByYXRlICg1MSAlIHZzLiAyMiAlOyBwID0gMC4wMSksIGFuZCBkaWFnbm9zaXMgYXQgYSB5b3VuZ2VyIGFnZSAoNTUuOCDCsSAxNS42IHZzLiA2Ny4yIMKxIDE2LjAgeWVhcnM7IHAgPSAwLjAwMykuIFRoZSBwb3N0b3BlcmF0aXZlIGNvbXBsaWNhdGlvbnMgd2VyZSBtaW5vciAoQ2xhdmllbi1EaW5kbyBncmFkZSAxIG9yIDIpIGluIDI2ICUgYW5kIG1ham9yIChncmFkZXMgM+KAkzUpIGluIDQgJSBvZiB0aGUgY2FzZXMuIER1cmluZyBhIG1lZGlhbiBmb2xsb3ctdXAgcGVyaW9kIG9mIDI4LjMgbW9udGhzLCA5NCAlIG9mIHRoZSBwYXRpZW50cyB3ZXJlIGFsaXZlIHdpdGhvdXQgZGlzZWFzZSwgYW5kIDYgJSBkaWVkIG9mIG90aGVyIGNhdXNlcy4gVGhlIDMyIG5vbi1vcGVyYXRpdmUgc3VnZ2VzdGVkIG5lb3BsYXN0aWMgQUlzIGhhZCBhIG1lZGlhbiBmb2xsb3ctdXAgcGVyaW9kIG9mIDIwLjkgbW9udGhzLiBBdCB0aGlzIHdyaXRpbmcsIDU5ICUgb2YgdGhlIG9wZXJhdGl2ZSBwYXRpZW50cyBhcmUgYWxpdmUgd2l0aCBhIHN0YWJsZSBhYm5vcm1hbCBhcHBlbmRpeCwgMTMgJSBoYWQgbm8gYXBwZW5kaXggYWJub3JtYWxpdHkgYXQgbGFzdCBmb2xsb3ctdXAgdmlzaXQsIGFuZCAyOCAlIGhhdmUgZGllZCBvZiBvdGhlciBjYXVzZXMuIENvbmNsdXNpb246IE5lb3BsYXN0aWMgQUlzIGFyZSBhbiB1bmNvbW1vbiBmaW5kaW5nIGFuZCByYWRpb2dyYXBoaWNhbGx5IGRpYWdub3NlZCB3aXRoIHJlbGF0aXZlbHkgaGlnaCBhY2N1cmFjeS4gTGFyZ2VyIGFwcGVuZGljZWFsIGRpYW1ldGVyIGFuZCB5b3VuZ2VyIGFnZSBwcmVkaWN0IG9wZXJhdGl2ZSBpbnRlcnZlbnRpb24uIEFsdGhvdWdoIHN1cmdlcnkgaXMgYXNzb2NpYXRlZCB3aXRoIGZhdm9yYWJsZSBvdXRjb21lcyBhbmQgbWluaW1hbCByaXNrIG9mIHBvc3RvcGVyYXRpdmUgY29tcGxpY2F0aW9ucywgb2JzZXJ2YXRpb24gb2Ygc3VzcGVjdGVkIG5lb3BsYXN0aWMgQUlzIG1heSBiZSBhIHNhZmUgYWx0ZXJuYXRpdmUgZm9yIHNlbGVjdCBwYXRpZW50cyB1bmRlcmdvaW5nIGZvbGxvdy11cCBsb25naXR1ZGluYWwgaW1hZ2luZy4iLCJwdWJsaXNoZXIiOiJBbm4gU3VyZyBPbmNvbCIsImlzc3VlIjoiMTMiLCJ2b2x1bWUiOiIyOSJ9LCJpc1RlbXBvcmFyeSI6ZmFsc2V9XX0="/>
          <w:id w:val="1460456581"/>
        </w:sdtPr>
        <w:sdtContent>
          <w:r>
            <w:rPr>
              <w:rFonts w:eastAsia="MS Mincho"/>
              <w:color w:val="000000"/>
            </w:rPr>
          </w:r>
          <w:r>
            <w:rPr>
              <w:color w:val="000000"/>
            </w:rPr>
            <w:t>,</w:t>
          </w:r>
          <w:r>
            <w:rPr>
              <w:color w:val="000000"/>
            </w:rPr>
            <w:t xml:space="preserve"> 16)</w:t>
          </w:r>
        </w:sdtContent>
      </w:sdt>
      <w:r>
        <w:rPr/>
        <w:t xml:space="preserve">. </w:t>
      </w:r>
      <w:r>
        <w:rPr/>
        <w:t xml:space="preserve">Esto ha llevado a algunos autores a interpretar el apéndice como un órgano de función redundante en adultos, aunque potencialmente importante en etapas tempranas del desarrollo humano. </w:t>
      </w:r>
    </w:p>
    <w:p>
      <w:pPr>
        <w:pStyle w:val="p1"/>
        <w:spacing w:lineRule="auto" w:line="360" w:before="280" w:after="280"/>
        <w:jc w:val="both"/>
        <w:rPr/>
      </w:pPr>
      <w:r>
        <w:rPr/>
        <w:t xml:space="preserve">También se le ha atribuido una función endocrina, pues secreta aminas y hormonas en el moco que produce diariamente (2–3 mL), implicándose en la modulación de respuestas inmunes locales y en la motilidad intestinal. Finalmente, se le asigna una función microbiológica, actuando como reservorio de bacterias comensales beneficiosas, facilitando la recolonización del colon tras episodios de disbiosis o infecciones gastrointestinales  </w:t>
      </w:r>
      <w:r>
        <w:rPr>
          <w:color w:val="000000"/>
        </w:rPr>
        <w:t>(13).</w:t>
      </w:r>
    </w:p>
    <w:p>
      <w:pPr>
        <w:pStyle w:val="p1"/>
        <w:spacing w:lineRule="auto" w:line="360" w:before="280" w:after="280"/>
        <w:jc w:val="both"/>
        <w:rPr/>
      </w:pPr>
      <w:bookmarkStart w:id="49" w:name="_Toc199583934"/>
      <w:bookmarkStart w:id="50" w:name="_Toc199584569"/>
      <w:r>
        <w:rPr/>
        <w:t>Una vez abordadas de manera general la anatomía y fisiología del apéndice normal, se detallarán los subtipos histológicos que se desarrollan cuando estos procesos normales se alteran y surge una patología neoplásica.</w:t>
      </w:r>
      <w:bookmarkEnd w:id="49"/>
      <w:bookmarkEnd w:id="50"/>
    </w:p>
    <w:p>
      <w:pPr>
        <w:pStyle w:val="Heading2"/>
        <w:numPr>
          <w:ilvl w:val="1"/>
          <w:numId w:val="55"/>
        </w:numPr>
        <w:rPr>
          <w:rStyle w:val="s1"/>
        </w:rPr>
      </w:pPr>
      <w:bookmarkStart w:id="51" w:name="_Toc199584570"/>
      <w:bookmarkStart w:id="52" w:name="_Toc200580215"/>
      <w:bookmarkStart w:id="53" w:name="_Toc200580216"/>
      <w:bookmarkEnd w:id="52"/>
      <w:r>
        <w:rPr/>
        <w:t>Epidemiología mundial y evolución temporal de la incidencia</w:t>
      </w:r>
      <w:bookmarkEnd w:id="51"/>
      <w:bookmarkEnd w:id="53"/>
    </w:p>
    <w:p>
      <w:pPr>
        <w:pStyle w:val="p1"/>
        <w:spacing w:lineRule="auto" w:line="360" w:before="280" w:after="280"/>
        <w:jc w:val="both"/>
        <w:rPr/>
      </w:pPr>
      <w:bookmarkStart w:id="54" w:name="_Toc199584571"/>
      <w:bookmarkStart w:id="55" w:name="_Toc199583936"/>
      <w:r>
        <w:rPr/>
        <w:t xml:space="preserve">Las neoplasias del apéndice son tumores poco frecuentes del tracto gastrointestinal, representando entre el 1 % y el 4 % de todas las neoplasias digestivas, según la fuente epidemiológica consultada. Históricamente, estas lesiones se consideraban hallazgos raros e incidentales, generalmente detectados durante procedimientos quirúrgicos por sospecha de apendicitis aguda. El diagnóstico en etapas tempranas era infrecuente debido a la ausencia de manifestaciones clínicas específicas y a la limitada sensibilidad de las técnicas de imagen disponibles en el pasado  </w:t>
      </w:r>
      <w:sdt>
        <w:sdtPr>
          <w:placeholder>
            <w:docPart w:val="B18690BDBB2E7B46973312666CD52CF1"/>
          </w:placeholder>
          <w:tag w:val="MENDELEY_CITATION_v3_eyJjaXRhdGlvbklEIjoiTUVOREVMRVlfQ0lUQVRJT05fOTk3NDk1MDctYmRjMC00MmM2LWExY2ItYTk0Mzk1M2I3OWIyIiwicHJvcGVydGllcyI6eyJub3RlSW5kZXgiOjB9LCJpc0VkaXRlZCI6ZmFsc2UsIm1hbnVhbE92ZXJyaWRlIjp7ImlzTWFudWFsbHlPdmVycmlkZGVuIjpmYWxzZSwiY2l0ZXByb2NUZXh0IjoiKDE3KSIsIm1hbnVhbE92ZXJyaWRlVGV4dCI6IiJ9LCJjaXRhdGlvbkl0ZW1zIjpbeyJpZCI6Ijg3OGMyZjc0LTczYmQtMzM4MS04MjNmLTk2OTI4YzBjMzE5YiIsIml0ZW1EYXRhIjp7InR5cGUiOiJhcnRpY2xlLWpvdXJuYWwiLCJpZCI6Ijg3OGMyZjc0LTczYmQtMzM4MS04MjNmLTk2OTI4YzBjMzE5YiIsInRpdGxlIjoiSW5jaWRlbmNlIG9mIGFwcGVuZGljZWFsIG5lb3BsYXNtcyBpbiBhcHBlbmRlY3RvbXkgcGF0aWVudHMiLCJhdXRob3IiOlt7ImZhbWlseSI6Ik7DusOxZXotUm9jaGEiLCJnaXZlbiI6IlJpY2FyZG8gRS4iLCJwYXJzZS1uYW1lcyI6ZmFsc2UsImRyb3BwaW5nLXBhcnRpY2xlIjoiIiwibm9uLWRyb3BwaW5nLXBhcnRpY2xlIjoiIn0seyJmYW1pbHkiOiJHaXLDs24iLCJnaXZlbiI6IkZlbGlwZSIsInBhcnNlLW5hbWVzIjpmYWxzZSwiZHJvcHBpbmctcGFydGljbGUiOiIiLCJub24tZHJvcHBpbmctcGFydGljbGUiOiIifSx7ImZhbWlseSI6IlJvZHLDrWd1ZXoiLCJnaXZlbiI6IkxpbmEiLCJwYXJzZS1uYW1lcyI6ZmFsc2UsImRyb3BwaW5nLXBhcnRpY2xlIjoiIiwibm9uLWRyb3BwaW5nLXBhcnRpY2xlIjoiIn0seyJmYW1pbHkiOiJDYW1hcmdvLUfDs21leiIsImdpdmVuIjoiRGFuaWVsYSIsInBhcnNlLW5hbWVzIjpmYWxzZSwiZHJvcHBpbmctcGFydGljbGUiOiIiLCJub24tZHJvcHBpbmctcGFydGljbGUiOiIifSx7ImZhbWlseSI6IlJlc3RyZXBvLUJvbmlsbGEiLCJnaXZlbiI6IkNhcm9saW5hIiwicGFyc2UtbmFtZXMiOmZhbHNlLCJkcm9wcGluZy1wYXJ0aWNsZSI6IiIsIm5vbi1kcm9wcGluZy1wYXJ0aWNsZSI6IiJ9LHsiZmFtaWx5IjoiUGFucXVldmEiLCJnaXZlbiI6IlJvY8OtbyBEZWwgUGlsYXIgTMOzcGV6IiwicGFyc2UtbmFtZXMiOmZhbHNlLCJkcm9wcGluZy1wYXJ0aWNsZSI6IiIsIm5vbi1kcm9wcGluZy1wYXJ0aWNsZSI6IiJ9LHsiZmFtaWx5IjoiQ2FkZW5hIiwiZ2l2ZW4iOiJNYW51ZWwiLCJwYXJzZS1uYW1lcyI6ZmFsc2UsImRyb3BwaW5nLXBhcnRpY2xlIjoiIiwibm9uLWRyb3BwaW5nLXBhcnRpY2xlIjoiIn0seyJmYW1pbHkiOiJOYXNzYXIiLCJnaXZlbiI6IlJpY2FyZG8iLCJwYXJzZS1uYW1lcyI6ZmFsc2UsImRyb3BwaW5nLXBhcnRpY2xlIjoiIiwibm9uLWRyb3BwaW5nLXBhcnRpY2xlIjoiIn0seyJmYW1pbHkiOiJIZXJyZXJhLUFsbWFyaW8iLCJnaXZlbiI6IkdhYnJpZWwgRS4iLCJwYXJzZS1uYW1lcyI6ZmFsc2UsImRyb3BwaW5nLXBhcnRpY2xlIjoiIiwibm9uLWRyb3BwaW5nLXBhcnRpY2xlIjoiIn0seyJmYW1pbHkiOiJIZXJuw6FuZGV6LVJlc3RyZXBvIiwiZ2l2ZW4iOiJKdWFuIERhdmlkIiwicGFyc2UtbmFtZXMiOmZhbHNlLCJkcm9wcGluZy1wYXJ0aWNsZSI6IiIsIm5vbi1kcm9wcGluZy1wYXJ0aWNsZSI6IiJ9XSwiY29udGFpbmVyLXRpdGxlIjoiQk1DIHN1cmdlcnkiLCJjb250YWluZXItdGl0bGUtc2hvcnQiOiJCTUMgU3VyZyIsIkRPSSI6IjEwLjExODYvUzEyODkzLTAyMy0wMjE4My00IiwiSVNTTiI6IjE0NzEtMjQ4MiIsIlBNSUQiOiIzNzczNTQwNiIsImlzc3VlZCI6eyJkYXRlLXBhcnRzIjpbWzIwMjNdXX0sImFic3RyYWN0IjoiQmFja2dyb3VuZDogTm9uLW9wZXJhdGl2ZSBtYW5hZ2VtZW50IGhhcyBiZWVuIHN1Z2dlc3RlZCBhcyBhIHRoZXJhcHkgZm9yIHVuY29tcGxpY2F0ZWQgYXBwZW5kaWNpdGlzLiBOb3R3aXRoc3RhbmRpbmcsIHRoZSByaXNrIG9mIG1pc3NpbmcgYW4gYXBwZW5kaWNlYWwgdHVtb3IgbXVzdCBiZSBjb25zaWRlcmVkLCBiZWluZyB0aGUgc3VyZ2ljYWwgcGllY2UgY3J1Y2lhbCB0byBydWxlIG91dCBuZW9wbGFzbXMuIFRoZXJlZm9yZSwgd2UgYWltIHRvIGRldGVybWluZSB0aGUgaW5jaWRlbmNlIG9mIGFwcGVuZGljZWFsIG5lb3BsYXNtcyBpbiBwYXRpZW50cyB3aXRoIGFjdXRlIGFwcGVuZGljaXRpcywgdHVtb3IgdHlwZXMgYW5kIHRoZSBpbXBvcnRhbmNlIG9mIHRoZSBhbmF0b21vcGF0aG9sb2dpY2FsIHN0dWR5IG9mIHRoZSBzdXJnaWNhbCBwaWVjZS4gU3R1ZHkgZGVzaWduOiBSZXRyb3NwZWN0aXZlIHN0dWR5IGluIHdoaWNoIHdlIGRlc2NyaWJlZCBwYXRpZW50cyB3aG8gdW5kZXJ3ZW50IGVtZXJnZW50IGFwcGVuZGVjdG9teSB3aXRoIGhpc3RvcGF0aG9sb2dpY2FsIGZpbmRpbmdzIG9mIGFwcGVuZGljZWFsIG5lb3BsYXNtcyBmcm9tIEphbnVhcnkgMjAxMiB0byBTZXB0ZW1iZXIgMjAxOC4gRGVzY3JpcHRpdmUgYW5hbHlzaXMgaW5jbHVkZWQgZGVtb2dyYXBoaWMgdmFyaWFibGVzLCBkaWFnbm9zdGljIG1ldGhvZHMsIGFuZCBzdXJnaWNhbCB0ZWNobmlxdWVzLiBSZXN1bHRzOiAyOTkzIHBhdGllbnRzIGRpYWdub3NlZCB3aXRoIGFjdXRlIGFwcGVuZGljaXRpcyB3aG8gdW5kZXJ3ZW50IGFuIGVtZXJnZW5jeSBhcHBlbmRlY3RvbXkuIDY0IG5lb3BsYXNtcyBvZiB0aGUgYXBwZW5kaXggd2VyZSBmb3VuZCB3aXRoIGFuIGluY2lkZW5jZSBvZiAyLDE0JS4gNjcuMiUgd2VyZSB3b21lbiwgdGhlIG1lYW4gYWdlIHdhcyA0Niw0IHllYXJzICjCsSAxOS41KS4gVGhlIG1vc3QgZnJlcXVlbnQgYXBwZW5kaWNlYWwgbmVvcGxhc21zIHdlcmUgbmV1cm9lbmRvY3JpbmUgdHVtb3JzICg0MiwyJSksIGZvbGxvd2VkIGJ5IGFwcGVuZGljZWFsIG11Y2lub3VzIG5lb3BsYXNtcyAoMzUsOSUpLCBzZXNzaWxlIHNlcnJhdGVkIGFkZW5vbWFzICgxOCw4JSksIGFuZCBhZGVub2NhcmNpbm9tYXMgKDMsMSUpLiBJbiA4OSwxJSBvZiB0aGUgY2FzZXMsIGFjdXRlIGFwcGVuZGljaXRpcyB3YXMgZGV0ZXJtaW5lZCBieSBpbWFnaW5nLCBhbmQgMTQlIG9mIGNhc2VzIHdlcmUgc3VzcGVjdGVkIGludHJhb3BlcmF0aXZlbHkuIEFwcGVuZGVjdG9teSB3YXMgcGVyZm9ybWVkIGluIDc4LDElIHdpdGhvdXQgYWRkaXRpb25hbCBwcm9jZWR1cmVzLiBDb25jbHVzaW9uczogQXBwZW5kaWNlYWwgdHVtb3JzIGFyZSByYXJlIGFuZCBtdXN0IGJlIHJ1bGVkIG91dCBpbiBwYXRpZW50cyB3aXRoIHN1c3BlY3RlZCBhY3V0ZSBhcHBlbmRpY2l0aXMuIFRoZSBpbmNpZGVuY2Ugb2YgaW5jaWRlbnRhbCBuZW9wbGFzbXMgaXMgaGlnaGVyIGluIHRoaXMgc3R1ZHkgdGhhbiBpbiB0aGUgcHJldmlvdXNseSByZXBvcnRlZCBzZXJpZXMuIFRoaXMgaW5mb3JtYXRpb24gbXVzdCBiZSBpbmNsdWRlZCBpbiBkZWNpc2lvbi1tYWtpbmcgd2hlbiBjb25zaWRlcmluZyB0cmVhdG1lbnQgb3B0aW9ucyBmb3IgYWN1dGUgYXBwZW5kaWNpdGlzLiIsInB1Ymxpc2hlciI6IkJNQyBTdXJnIiwiaXNzdWUiOiIxIiwidm9sdW1lIjoiMjMifSwiaXNUZW1wb3JhcnkiOmZhbHNlfV19"/>
          <w:id w:val="-54018918"/>
        </w:sdtPr>
        <w:sdtContent>
          <w:r>
            <w:rPr/>
          </w:r>
          <w:r>
            <w:rPr>
              <w:color w:val="000000"/>
            </w:rPr>
            <w:t>(17)</w:t>
          </w:r>
        </w:sdtContent>
      </w:sdt>
      <w:r>
        <w:rPr/>
        <w:t>.</w:t>
      </w:r>
      <w:bookmarkEnd w:id="54"/>
      <w:bookmarkEnd w:id="55"/>
      <w:r>
        <w:rPr/>
        <w:t xml:space="preserve"> </w:t>
      </w:r>
    </w:p>
    <w:p>
      <w:pPr>
        <w:pStyle w:val="p3"/>
        <w:spacing w:lineRule="auto" w:line="360" w:before="280" w:after="280"/>
        <w:jc w:val="both"/>
        <w:rPr/>
      </w:pPr>
      <w:r>
        <w:rPr/>
        <w:t xml:space="preserve">Debido a esa razón, la epidemiología mundial ha sido difícil de seguir con fidelidad, situación que también se refleja en la realidad nacional costarricense. Durante las últimas dos décadas, se ha observado un incremento sostenido en la incidencia reportada de tumores apendiculares a nivel mundial </w:t>
      </w:r>
      <w:sdt>
        <w:sdtPr>
          <w:placeholder>
            <w:docPart w:val="B18690BDBB2E7B46973312666CD52CF1"/>
          </w:placeholder>
          <w:tag w:val="MENDELEY_CITATION_v3_eyJjaXRhdGlvbklEIjoiTUVOREVMRVlfQ0lUQVRJT05fNDkxMjk0YTctODc1OS00NmQxLTgxNjEtMWEzNjM2YmY0NDE2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10112936"/>
        </w:sdtPr>
        <w:sdtContent>
          <w:r>
            <w:rPr/>
          </w:r>
          <w:r>
            <w:rPr>
              <w:rStyle w:val="s2"/>
              <w:bCs/>
              <w:color w:val="000000"/>
            </w:rPr>
            <w:t>(4)</w:t>
          </w:r>
        </w:sdtContent>
      </w:sdt>
      <w:r>
        <w:rPr/>
        <w:t>.</w:t>
      </w:r>
    </w:p>
    <w:p>
      <w:pPr>
        <w:pStyle w:val="p3"/>
        <w:spacing w:lineRule="auto" w:line="360" w:before="280" w:after="280"/>
        <w:jc w:val="both"/>
        <w:rPr/>
      </w:pPr>
      <w:r>
        <w:rPr/>
        <w:t>Datos recientes provenientes de grandes registros poblacionales, como el Surveillance, Epidemiology, and End Results (SEER) de Estados Unidos, muestran que la incidencia anual estandarizada de tumores apendiculares aumentó de 0,63 a 1,6 casos por 100,000 habitantes entre 2000 y 2017.</w:t>
      </w:r>
    </w:p>
    <w:p>
      <w:pPr>
        <w:pStyle w:val="p3"/>
        <w:spacing w:lineRule="auto" w:line="360" w:before="280" w:after="280"/>
        <w:jc w:val="both"/>
        <w:rPr/>
      </w:pPr>
      <w:r>
        <w:rPr/>
        <w:t xml:space="preserve">El aumento observado en la incidencia de tumores apendiculares puede explicarse principalmente por factores como los avances en imagenología y el uso extendido de la tomografía computarizada; cambios en las prácticas quirúrgicas, con apendicectomías realizadas de forma más temprana y frecuente, detectando tumores en estadios asintomáticos </w:t>
      </w:r>
      <w:sdt>
        <w:sdtPr>
          <w:placeholder>
            <w:docPart w:val="B18690BDBB2E7B46973312666CD52CF1"/>
          </w:placeholder>
          <w:tag w:val="MENDELEY_CITATION_v3_eyJjaXRhdGlvbklEIjoiTUVOREVMRVlfQ0lUQVRJT05fYjVmMzU0OTYtMzZiMS00MjkxLThkNTYtZjEwOWZjNzk2Njg0IiwicHJvcGVydGllcyI6eyJub3RlSW5kZXgiOjB9LCJpc0VkaXRlZCI6ZmFsc2UsIm1hbnVhbE92ZXJyaWRlIjp7ImlzTWFudWFsbHlPdmVycmlkZGVuIjpmYWxzZSwiY2l0ZXByb2NUZXh0IjoiKDE4KSIsIm1hbnVhbE92ZXJyaWRlVGV4dCI6IiJ9LCJjaXRhdGlvbkl0ZW1zIjpbeyJpZCI6IjMxOWFlM2JiLWYzMjItM2JiZS1iOTIyLTgwOGQ0MTg1ZGI4NCIsIml0ZW1EYXRhIjp7InR5cGUiOiJhcnRpY2xlLWpvdXJuYWwiLCJpZCI6IjMxOWFlM2JiLWYzMjItM2JiZS1iOTIyLTgwOGQ0MTg1ZGI4NCIsInRpdGxlIjoiUmV0cm9zcGVjdGl2ZSBhbmFseXNpcyBvZiB0aGUgaW5jaWRlbmNlXG5vZiBhcHBlbmRpY2VhbCBuZW9wbGFzbSBhbmQgbWFsaWduYW5jeVxuaW4gcGF0aWVudHMgdHJlYXRlZCBmb3Igc3VzcGVjdGVkIGFjdXRlXG5hcHBlbmRpY2l0aXMiLCJhdXRob3IiOlt7ImZhbWlseSI6IkVsaWFuZSBEb2huZXIiLCJnaXZlbiI6IkZpb25hIEpvc2VwaGluZSBLaWVyZG9yZiwgUnVwZXJ0IExhbmdlciwgTWFya3VzIFp1YmVyIGFuZCBSZW5lIEZhaHJuZXIiLCJwYXJzZS1uYW1lcyI6ZmFsc2UsImRyb3BwaW5nLXBhcnRpY2xlIjoiIiwibm9uLWRyb3BwaW5nLXBhcnRpY2xlIjoiIn0seyJmYW1pbHkiOiJEZSIsImdpdmVuIjoiRmFocm5lckB3ZWIiLCJwYXJzZS1uYW1lcyI6ZmFsc2UsImRyb3BwaW5nLXBhcnRpY2xlIjoiIiwibm9uLWRyb3BwaW5nLXBhcnRpY2xlIjoiIn1dLCJjb250YWluZXItdGl0bGUiOiJCQ00gU3VyZ2VyeSIsIkRPSSI6IjEwLjExODYvczEyODkzLTAyNC0wMjQxMi00IiwiaXNzdWVkIjp7ImRhdGUtcGFydHMiOltbMjAyNF1dfSwiYWJzdHJhY3QiOiJCYWNrZ3JvdW5kIE5vbm9wZXJhdGl2ZSBtYW5hZ2VtZW50IG9mIHVuY29tcGxpY2F0ZWQgYXBwZW5kaWNpdGlzIGlzIGN1cnJlbnRseSBiZWluZyBwcm9tb3RlZCBhcyB0cmVhdG1lbnQgb3B0aW9uLCBhbGJlaXQgMC43LTIuNSUgb2YgYXBwZW5kZWN0b21pZXMgcGVyZm9ybWVkIGR1ZSB0byBzdXNwZWN0ZWQgYWN1dGUgYXBwZW5kaWNpdGlzIHNob3cgaGlzdG9sb2dpY2FsbHkgbWFsaWduYW50IGZpbmRpbmdzLiBUaGUgcHVycG9zZSBvZiB0aGlzIHN0dWR5IHdhcyB0byBpbnZlc3RpZ2F0ZSB0aGUgaW5jaWRlbmNlIG9mIG5lb3BsYXNtIGFuZCBtYWxpZ25hbmN5IG9mIHRoZSBhcHBlbmRpeCBpbiBwYXRpZW50cyBwcmVzZW50aW5nIHdpdGggc3VzcGVjdGVkIGFjdXRlIGFwcGVuZGljaXRpcyBpbiByZWFsIHdvcmxkIHNldHRpbmcuIE1ldGhvZHMgVGhpcyBpcyBhIHJldHJvc3BlY3RpdmUgc2luZ2xlLWNlbnRyZSBpbnZlc3RpZ2F0aW9uIG9mIDQ1NyBwYXRpZW50cyB1bmRlcmdvaW5nIGFwcGVuZGVjdG9teSBiZXR3ZWVuIHRoZSB5ZWFycyAyMDE3LTIwMjAuIFRoZSBwYXRpZW50cycgZGVtb2dyYXBoaWNzLCBzeW1wdG9tcyBhbmQgZGlhZ25vc2lzLCBpbnRyYW9wZXJhdGl2ZSBmaW5kaW5ncywgYW5kIGhpc3RvcGF0aG9sb2dpY2FsIHJlc3VsdHMgd2VyZSBhbmFseXNlZC4gUmVzdWx0cyBJbiAzLjclIChuID0gMTcpIGhpc3RvbG9naWNhbCBhbmFseXNpcyByZXZlYWxlZCBuZW9wbGFzbXMgb3IgbWFsaWduYW5jaWVzLiBNZWRpYW4gYWdlIHdhcyA0OCB5ZWFycyAoMjAtOTAgeWVhcnMpLCB3aXRob3V0IHNleCBwcmVkb21pbmFuY2UuIExldWtvY3l0ZXMgKDExLjMgwrEgMy43IEcvbCkgYW5kIEMtcmVhY3RpdmUgcHJvdGVpbiAoNTQuMiDCsSA2OS4wIG1nL2wpIHdlcmUgZWxldmF0ZWQuIEhpc3RvbG9naWNhbCBhbmFseXNpcyByZXZlYWxlZCBsb3ctZ3JhZGUgbXVjaW5vdXMgYXBwZW5kaWNlYWwgbmVvcGxhc2lhIChuID0gMyksIHNlc3NpbGUgc2VycmF0ZWQgYWRlbm9tYSBvZiB0aGUgYXBwZW5kaXggKG4gPSAzKSwgbmV1cm9lbmRvY3JpbmUgdHVtb3VycyAobiA9IDcpLCBhcHBlbmRpY2VhbCBhZGVub2NhcmNpbm9tYSBvZiBpbnRlc3RpbmFsIHR5cGUgKG4gPSAzKSwgYW5kIGdvYmxldCBjZWxsIGNhcmNpbm9tYSAobiA9IDEpLiBBZGRpdGlvbmFsIHRyZWF0bWVudCB2YXJpZWQgYmV0d2VlbiBubyB0cmVhdG1lbnQgb3IgZm9sbG93LXVwIGR1ZSB0byBlYXJseSB0dW1vdXIgc3RhZ2UgKG4gPSA0KSwgZm9sbG93LXVwIGNhcmUgKG4gPSAzKSwgYWRkaXRpb25hbCBzdXJnaWNhbCB0cmVhdG1lbnQgKG4gPSA4KSwgb3IgYmVzdCBzdXBwb3J0aXZlIGNhcmUgKG4gPSAyKS4gQ29uY2x1c2lvbnMgUHJlb3BlcmF0aXZlIGRpYWdub3NpcyBvZiBhcHBlbmRpY2VhbCB0dW1vdXJzIGlzIGRpZmZpY3VsdC4gTm9ub3BlcmF0aXZlIG1hbmFnZW1lbnQgb2YgcGF0aWVudHMgd2l0aCBhY3V0ZSwgdW5jb21wbGljYXRlZCBhcHBlbmRpY2l0aXMgcG90ZW50aWFsbHkgcHJldmVudHMgdGhlIGNvcnJlY3QgZGlhZ25vc2lzIG9mIG1hbGlnbmFudCBhcHBlbmRpY2VhbCBwYXRob2xvZ2llcy4gVGhlcmVmb3JlLCBjbG9zZSBmb2xsb3ctdXAgb3Igc3VyZ2ljYWwgcmVtb3ZhbCBvZiB0aGUgYXBwZW5kaXggaXMgbWFuZGF0b3J5LiIsImlzc3VlIjoiMjQiLCJ2b2x1bWUiOiIxMjEiLCJjb250YWluZXItdGl0bGUtc2hvcnQiOiIifSwiaXNUZW1wb3JhcnkiOmZhbHNlfV19"/>
          <w:id w:val="-739554092"/>
        </w:sdtPr>
        <w:sdtContent>
          <w:r>
            <w:rPr/>
          </w:r>
          <w:r>
            <w:rPr>
              <w:rStyle w:val="s1"/>
              <w:color w:val="000000"/>
            </w:rPr>
            <w:t>(18)</w:t>
          </w:r>
        </w:sdtContent>
      </w:sdt>
      <w:r>
        <w:rPr>
          <w:rStyle w:val="s1"/>
          <w:color w:val="000000"/>
        </w:rPr>
        <w:t>;</w:t>
      </w:r>
      <w:r>
        <w:rPr>
          <w:rStyle w:val="s1"/>
          <w:color w:val="000000"/>
        </w:rPr>
        <w:t xml:space="preserve"> </w:t>
      </w:r>
      <w:r>
        <w:rPr/>
        <w:t xml:space="preserve">un mayor rigor histopatológico, con análisis sistemático de todas las piezas apendiculares resecadas, lo que contribuye al hallazgo de neoplasias previamente no detectadas </w:t>
      </w:r>
      <w:sdt>
        <w:sdtPr>
          <w:placeholder>
            <w:docPart w:val="B18690BDBB2E7B46973312666CD52CF1"/>
          </w:placeholder>
          <w:tag w:val="MENDELEY_CITATION_v3_eyJjaXRhdGlvbklEIjoiTUVOREVMRVlfQ0lUQVRJT05fZmQ0MjA2YjYtOTFiOS00NjAzLTkxN2QtNGUyMjVmNWUzZGY0IiwicHJvcGVydGllcyI6eyJub3RlSW5kZXgiOjB9LCJpc0VkaXRlZCI6ZmFsc2UsIm1hbnVhbE92ZXJyaWRlIjp7ImlzTWFudWFsbHlPdmVycmlkZGVuIjpmYWxzZSwiY2l0ZXByb2NUZXh0IjoiKDE3KSIsIm1hbnVhbE92ZXJyaWRlVGV4dCI6IiJ9LCJjaXRhdGlvbkl0ZW1zIjpbeyJpZCI6Ijg3OGMyZjc0LTczYmQtMzM4MS04MjNmLTk2OTI4YzBjMzE5YiIsIml0ZW1EYXRhIjp7InR5cGUiOiJhcnRpY2xlLWpvdXJuYWwiLCJpZCI6Ijg3OGMyZjc0LTczYmQtMzM4MS04MjNmLTk2OTI4YzBjMzE5YiIsInRpdGxlIjoiSW5jaWRlbmNlIG9mIGFwcGVuZGljZWFsIG5lb3BsYXNtcyBpbiBhcHBlbmRlY3RvbXkgcGF0aWVudHMiLCJhdXRob3IiOlt7ImZhbWlseSI6Ik7DusOxZXotUm9jaGEiLCJnaXZlbiI6IlJpY2FyZG8gRS4iLCJwYXJzZS1uYW1lcyI6ZmFsc2UsImRyb3BwaW5nLXBhcnRpY2xlIjoiIiwibm9uLWRyb3BwaW5nLXBhcnRpY2xlIjoiIn0seyJmYW1pbHkiOiJHaXLDs24iLCJnaXZlbiI6IkZlbGlwZSIsInBhcnNlLW5hbWVzIjpmYWxzZSwiZHJvcHBpbmctcGFydGljbGUiOiIiLCJub24tZHJvcHBpbmctcGFydGljbGUiOiIifSx7ImZhbWlseSI6IlJvZHLDrWd1ZXoiLCJnaXZlbiI6IkxpbmEiLCJwYXJzZS1uYW1lcyI6ZmFsc2UsImRyb3BwaW5nLXBhcnRpY2xlIjoiIiwibm9uLWRyb3BwaW5nLXBhcnRpY2xlIjoiIn0seyJmYW1pbHkiOiJDYW1hcmdvLUfDs21leiIsImdpdmVuIjoiRGFuaWVsYSIsInBhcnNlLW5hbWVzIjpmYWxzZSwiZHJvcHBpbmctcGFydGljbGUiOiIiLCJub24tZHJvcHBpbmctcGFydGljbGUiOiIifSx7ImZhbWlseSI6IlJlc3RyZXBvLUJvbmlsbGEiLCJnaXZlbiI6IkNhcm9saW5hIiwicGFyc2UtbmFtZXMiOmZhbHNlLCJkcm9wcGluZy1wYXJ0aWNsZSI6IiIsIm5vbi1kcm9wcGluZy1wYXJ0aWNsZSI6IiJ9LHsiZmFtaWx5IjoiUGFucXVldmEiLCJnaXZlbiI6IlJvY8OtbyBEZWwgUGlsYXIgTMOzcGV6IiwicGFyc2UtbmFtZXMiOmZhbHNlLCJkcm9wcGluZy1wYXJ0aWNsZSI6IiIsIm5vbi1kcm9wcGluZy1wYXJ0aWNsZSI6IiJ9LHsiZmFtaWx5IjoiQ2FkZW5hIiwiZ2l2ZW4iOiJNYW51ZWwiLCJwYXJzZS1uYW1lcyI6ZmFsc2UsImRyb3BwaW5nLXBhcnRpY2xlIjoiIiwibm9uLWRyb3BwaW5nLXBhcnRpY2xlIjoiIn0seyJmYW1pbHkiOiJOYXNzYXIiLCJnaXZlbiI6IlJpY2FyZG8iLCJwYXJzZS1uYW1lcyI6ZmFsc2UsImRyb3BwaW5nLXBhcnRpY2xlIjoiIiwibm9uLWRyb3BwaW5nLXBhcnRpY2xlIjoiIn0seyJmYW1pbHkiOiJIZXJyZXJhLUFsbWFyaW8iLCJnaXZlbiI6IkdhYnJpZWwgRS4iLCJwYXJzZS1uYW1lcyI6ZmFsc2UsImRyb3BwaW5nLXBhcnRpY2xlIjoiIiwibm9uLWRyb3BwaW5nLXBhcnRpY2xlIjoiIn0seyJmYW1pbHkiOiJIZXJuw6FuZGV6LVJlc3RyZXBvIiwiZ2l2ZW4iOiJKdWFuIERhdmlkIiwicGFyc2UtbmFtZXMiOmZhbHNlLCJkcm9wcGluZy1wYXJ0aWNsZSI6IiIsIm5vbi1kcm9wcGluZy1wYXJ0aWNsZSI6IiJ9XSwiY29udGFpbmVyLXRpdGxlIjoiQk1DIHN1cmdlcnkiLCJjb250YWluZXItdGl0bGUtc2hvcnQiOiJCTUMgU3VyZyIsIkRPSSI6IjEwLjExODYvUzEyODkzLTAyMy0wMjE4My00IiwiSVNTTiI6IjE0NzEtMjQ4MiIsIlBNSUQiOiIzNzczNTQwNiIsImlzc3VlZCI6eyJkYXRlLXBhcnRzIjpbWzIwMjNdXX0sImFic3RyYWN0IjoiQmFja2dyb3VuZDogTm9uLW9wZXJhdGl2ZSBtYW5hZ2VtZW50IGhhcyBiZWVuIHN1Z2dlc3RlZCBhcyBhIHRoZXJhcHkgZm9yIHVuY29tcGxpY2F0ZWQgYXBwZW5kaWNpdGlzLiBOb3R3aXRoc3RhbmRpbmcsIHRoZSByaXNrIG9mIG1pc3NpbmcgYW4gYXBwZW5kaWNlYWwgdHVtb3IgbXVzdCBiZSBjb25zaWRlcmVkLCBiZWluZyB0aGUgc3VyZ2ljYWwgcGllY2UgY3J1Y2lhbCB0byBydWxlIG91dCBuZW9wbGFzbXMuIFRoZXJlZm9yZSwgd2UgYWltIHRvIGRldGVybWluZSB0aGUgaW5jaWRlbmNlIG9mIGFwcGVuZGljZWFsIG5lb3BsYXNtcyBpbiBwYXRpZW50cyB3aXRoIGFjdXRlIGFwcGVuZGljaXRpcywgdHVtb3IgdHlwZXMgYW5kIHRoZSBpbXBvcnRhbmNlIG9mIHRoZSBhbmF0b21vcGF0aG9sb2dpY2FsIHN0dWR5IG9mIHRoZSBzdXJnaWNhbCBwaWVjZS4gU3R1ZHkgZGVzaWduOiBSZXRyb3NwZWN0aXZlIHN0dWR5IGluIHdoaWNoIHdlIGRlc2NyaWJlZCBwYXRpZW50cyB3aG8gdW5kZXJ3ZW50IGVtZXJnZW50IGFwcGVuZGVjdG9teSB3aXRoIGhpc3RvcGF0aG9sb2dpY2FsIGZpbmRpbmdzIG9mIGFwcGVuZGljZWFsIG5lb3BsYXNtcyBmcm9tIEphbnVhcnkgMjAxMiB0byBTZXB0ZW1iZXIgMjAxOC4gRGVzY3JpcHRpdmUgYW5hbHlzaXMgaW5jbHVkZWQgZGVtb2dyYXBoaWMgdmFyaWFibGVzLCBkaWFnbm9zdGljIG1ldGhvZHMsIGFuZCBzdXJnaWNhbCB0ZWNobmlxdWVzLiBSZXN1bHRzOiAyOTkzIHBhdGllbnRzIGRpYWdub3NlZCB3aXRoIGFjdXRlIGFwcGVuZGljaXRpcyB3aG8gdW5kZXJ3ZW50IGFuIGVtZXJnZW5jeSBhcHBlbmRlY3RvbXkuIDY0IG5lb3BsYXNtcyBvZiB0aGUgYXBwZW5kaXggd2VyZSBmb3VuZCB3aXRoIGFuIGluY2lkZW5jZSBvZiAyLDE0JS4gNjcuMiUgd2VyZSB3b21lbiwgdGhlIG1lYW4gYWdlIHdhcyA0Niw0IHllYXJzICjCsSAxOS41KS4gVGhlIG1vc3QgZnJlcXVlbnQgYXBwZW5kaWNlYWwgbmVvcGxhc21zIHdlcmUgbmV1cm9lbmRvY3JpbmUgdHVtb3JzICg0MiwyJSksIGZvbGxvd2VkIGJ5IGFwcGVuZGljZWFsIG11Y2lub3VzIG5lb3BsYXNtcyAoMzUsOSUpLCBzZXNzaWxlIHNlcnJhdGVkIGFkZW5vbWFzICgxOCw4JSksIGFuZCBhZGVub2NhcmNpbm9tYXMgKDMsMSUpLiBJbiA4OSwxJSBvZiB0aGUgY2FzZXMsIGFjdXRlIGFwcGVuZGljaXRpcyB3YXMgZGV0ZXJtaW5lZCBieSBpbWFnaW5nLCBhbmQgMTQlIG9mIGNhc2VzIHdlcmUgc3VzcGVjdGVkIGludHJhb3BlcmF0aXZlbHkuIEFwcGVuZGVjdG9teSB3YXMgcGVyZm9ybWVkIGluIDc4LDElIHdpdGhvdXQgYWRkaXRpb25hbCBwcm9jZWR1cmVzLiBDb25jbHVzaW9uczogQXBwZW5kaWNlYWwgdHVtb3JzIGFyZSByYXJlIGFuZCBtdXN0IGJlIHJ1bGVkIG91dCBpbiBwYXRpZW50cyB3aXRoIHN1c3BlY3RlZCBhY3V0ZSBhcHBlbmRpY2l0aXMuIFRoZSBpbmNpZGVuY2Ugb2YgaW5jaWRlbnRhbCBuZW9wbGFzbXMgaXMgaGlnaGVyIGluIHRoaXMgc3R1ZHkgdGhhbiBpbiB0aGUgcHJldmlvdXNseSByZXBvcnRlZCBzZXJpZXMuIFRoaXMgaW5mb3JtYXRpb24gbXVzdCBiZSBpbmNsdWRlZCBpbiBkZWNpc2lvbi1tYWtpbmcgd2hlbiBjb25zaWRlcmluZyB0cmVhdG1lbnQgb3B0aW9ucyBmb3IgYWN1dGUgYXBwZW5kaWNpdGlzLiIsInB1Ymxpc2hlciI6IkJNQyBTdXJnIiwiaXNzdWUiOiIxIiwidm9sdW1lIjoiMjMifSwiaXNUZW1wb3JhcnkiOmZhbHNlfV19"/>
          <w:id w:val="-1985918920"/>
        </w:sdtPr>
        <w:sdtContent>
          <w:r>
            <w:rPr/>
          </w:r>
          <w:r>
            <w:rPr>
              <w:rStyle w:val="s1"/>
              <w:color w:val="000000"/>
            </w:rPr>
            <w:t>(17)</w:t>
          </w:r>
        </w:sdtContent>
      </w:sdt>
      <w:r>
        <w:rPr/>
        <w:t xml:space="preserve"> </w:t>
      </w:r>
      <w:r>
        <w:rPr/>
        <w:t xml:space="preserve">y factores demográficos, en los cuales el envejecimiento poblacional predispone al desarrollo de dichas neoplasias </w:t>
      </w:r>
      <w:sdt>
        <w:sdtPr>
          <w:placeholder>
            <w:docPart w:val="B18690BDBB2E7B46973312666CD52CF1"/>
          </w:placeholder>
          <w:tag w:val="MENDELEY_CITATION_v3_eyJjaXRhdGlvbklEIjoiTUVOREVMRVlfQ0lUQVRJT05fODQ2NzViYjctNzNlNS00OGMzLWJlNDgtOGMyZGU2MTdlZjEz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273018239"/>
        </w:sdtPr>
        <w:sdtContent>
          <w:r>
            <w:rPr/>
          </w:r>
          <w:r>
            <w:rPr>
              <w:rStyle w:val="s1"/>
              <w:bCs/>
              <w:color w:val="000000"/>
            </w:rPr>
            <w:t>(4)</w:t>
          </w:r>
        </w:sdtContent>
      </w:sdt>
    </w:p>
    <w:p>
      <w:pPr>
        <w:pStyle w:val="Heading2"/>
        <w:numPr>
          <w:ilvl w:val="1"/>
          <w:numId w:val="56"/>
        </w:numPr>
        <w:rPr/>
      </w:pPr>
      <w:bookmarkStart w:id="56" w:name="_Toc199584572"/>
      <w:bookmarkStart w:id="57" w:name="_Toc200580217"/>
      <w:r>
        <w:rPr/>
        <w:t>Patogénesis</w:t>
      </w:r>
      <w:bookmarkEnd w:id="56"/>
      <w:bookmarkEnd w:id="57"/>
      <w:r>
        <w:rPr/>
        <w:t xml:space="preserve"> </w:t>
      </w:r>
    </w:p>
    <w:p>
      <w:pPr>
        <w:pStyle w:val="p3"/>
        <w:spacing w:lineRule="auto" w:line="360" w:before="280" w:after="280"/>
        <w:jc w:val="both"/>
        <w:rPr/>
      </w:pPr>
      <w:r>
        <w:rPr/>
        <w:t>La comprensión de la patogénesis del cáncer apendicular ha experimentado avances importantes en las últimas dos décadas, impulsados principalmente por el desarrollo de técnicas de biología molecular y genómica</w:t>
      </w:r>
      <w:sdt>
        <w:sdtPr>
          <w:placeholder>
            <w:docPart w:val="4A389E49B84373468F8D3FA3B32755B9"/>
          </w:placeholder>
          <w:tag w:val="MENDELEY_CITATION_v3_eyJjaXRhdGlvbklEIjoiTUVOREVMRVlfQ0lUQVRJT05fZTA0OGRlYzYtM2YwNC00YmE4LTliMGItZDk5ZjI4ZjJmNmY3IiwicHJvcGVydGllcyI6eyJub3RlSW5kZXgiOjB9LCJpc0VkaXRlZCI6ZmFsc2UsIm1hbnVhbE92ZXJyaWRlIjp7ImlzTWFudWFsbHlPdmVycmlkZGVuIjpmYWxzZSwiY2l0ZXByb2NUZXh0IjoiKDE5KSIsIm1hbnVhbE92ZXJyaWRlVGV4dCI6IiJ9LCJjaXRhdGlvbkl0ZW1zIjpbeyJpZCI6IjI2YzQyM2JlLWRmMDUtMzM5YS1iYmI4LTlmY2E4OWQ5MjU5ZiIsIml0ZW1EYXRhIjp7InR5cGUiOiJhcnRpY2xlLWpvdXJuYWwiLCJpZCI6IjI2YzQyM2JlLWRmMDUtMzM5YS1iYmI4LTlmY2E4OWQ5MjU5ZiIsInRpdGxlIjoiRXhwbG9yaW5nIHRoZSBwcm9nbm9zdGljIGFuZCB0aGVyYXBldXRpYyB1dGlsaXR5IG9mIGV4cGFuZGVkIG11dGF0aW9uIHByb2ZpbGluZyBpbiBhcHBlbmRpeCBwZXJpdG9uZWFsIG1ldGFzdGFzaXMgbWFuYWdlZCB3aXRoIENSUy9ISVBFQyIsImF1dGhvciI6W3siZmFtaWx5IjoiWmhhbmciLCJnaXZlbiI6IkNodW5tZW5nIiwicGFyc2UtbmFtZXMiOmZhbHNlLCJkcm9wcGluZy1wYXJ0aWNsZSI6IiIsIm5vbi1kcm9wcGluZy1wYXJ0aWNsZSI6IiJ9LHsiZmFtaWx5IjoiUGxhbWJlY2siLCJnaXZlbiI6IkJlbmphbWluIEQuIiwicGFyc2UtbmFtZXMiOmZhbHNlLCJkcm9wcGluZy1wYXJ0aWNsZSI6IiIsIm5vbi1kcm9wcGluZy1wYXJ0aWNsZSI6IiJ9LHsiZmFtaWx5IjoiQ3JhaWciLCJnaXZlbiI6Ik1hcmdhcmV0IEUuIiwicGFyc2UtbmFtZXMiOmZhbHNlLCJkcm9wcGluZy1wYXJ0aWNsZSI6IiIsIm5vbi1kcm9wcGluZy1wYXJ0aWNsZSI6IiJ9LHsiZmFtaWx5IjoiVHUiLCJnaXZlbiI6IkFsZXhhbmRlciIsInBhcnNlLW5hbWVzIjpmYWxzZSwiZHJvcHBpbmctcGFydGljbGUiOiIiLCJub24tZHJvcHBpbmctcGFydGljbGUiOiIifSx7ImZhbWlseSI6Ik1pa3VzIiwiZ2l2ZW4iOiJSeWFuIEouIiwicGFyc2UtbmFtZXMiOmZhbHNlLCJkcm9wcGluZy1wYXJ0aWNsZSI6IiIsIm5vbi1kcm9wcGluZy1wYXJ0aWNsZSI6IiJ9LHsiZmFtaWx5IjoiU2hvc3Ryb20iLCJnaXZlbiI6IlZhbGVyaWUiLCJwYXJzZS1uYW1lcyI6ZmFsc2UsImRyb3BwaW5nLXBhcnRpY2xlIjoiIiwibm9uLWRyb3BwaW5nLXBhcnRpY2xlIjoiIn0seyJmYW1pbHkiOiJNY0Rlcm1vdHQiLCJnaXZlbiI6IlNlYW4gUC4iLCJwYXJzZS1uYW1lcyI6ZmFsc2UsImRyb3BwaW5nLXBhcnRpY2xlIjoiIiwibm9uLWRyb3BwaW5nLXBhcnRpY2xlIjoiIn0seyJmYW1pbHkiOiJJZ2JpbmlnaWUiLCJnaXZlbiI6IklrcG9ubXdvc2EiLCJwYXJzZS1uYW1lcyI6ZmFsc2UsImRyb3BwaW5nLXBhcnRpY2xlIjoiIiwibm9uLWRyb3BwaW5nLXBhcnRpY2xlIjoiIn0seyJmYW1pbHkiOiJCcm93biIsImdpdmVuIjoiS3Jpc3RhIiwicGFyc2UtbmFtZXMiOmZhbHNlLCJkcm9wcGluZy1wYXJ0aWNsZSI6IiIsIm5vbi1kcm9wcGluZy1wYXJ0aWNsZSI6IiJ9LHsiZmFtaWx5IjoiQ3VzaG1hbi1Wb2tvdW4iLCJnaXZlbiI6IkFsbGlzb24iLCJwYXJzZS1uYW1lcyI6ZmFsc2UsImRyb3BwaW5nLXBhcnRpY2xlIjoiIiwibm9uLWRyb3BwaW5nLXBhcnRpY2xlIjoiIn0seyJmYW1pbHkiOiJGb3N0ZXIiLCJnaXZlbiI6Ikphc29uIE0uIiwicGFyc2UtbmFtZXMiOmZhbHNlLCJkcm9wcGluZy1wYXJ0aWNsZSI6IiIsIm5vbi1kcm9wcGluZy1wYXJ0aWNsZSI6IiJ9XSwiY29udGFpbmVyLXRpdGxlIjoiSm91cm5hbCBvZiBzdXJnaWNhbCBvbmNvbG9neSIsImNvbnRhaW5lci10aXRsZS1zaG9ydCI6IkogU3VyZyBPbmNvbCIsIkRPSSI6IjEwLjEwMDIvSlNPLjI2NDM5IiwiSVNTTiI6IjEwOTYtOTA5OCIsIlBNSUQiOiIzMzY2NzMxNyIsImlzc3VlZCI6eyJkYXRlLXBhcnRzIjpbWzIwMjFdXX0sInBhZ2UiOiIxNTk5LTE2MDkiLCJhYnN0cmFjdCI6IkludHJvZHVjdGlvbjogSW50ZXJyb2dhdGlvbiBvZiBjYW5jZXJzIHdpdGggbmV4dC1nZW5lcmF0aW9uIHNlcXVlbmNpbmcgKE5HUykgbXV0YXRpb24gcGFuZWxzIGhhcyBiZWNvbWUgd2lkZWx5IHV0aWxpemVkLCBpZGVudGlmeWluZyBwcm9nbm9zdGljIGFuZCBhY3Rpb25hYmxlIG11dGF0aW9ucy4gVGhpcyBzdHVkeSBleHBsb3JlZCB0aGUgdmFsdWUgb2YgZXhwYW5kZWQgbXV0YXRpb24gYW5hbHlzaXMgaW4gYXBwZW5kaXggcGVyaXRvbmVhbCBtZXRhc3Rhc2VzIChBUE0pLiBNZXRob2RzOiBGb3J0eS1laWdodCBBUE0gcGF0aWVudHMgdHJlYXRlZCAyMDEz4oCTMjAxOCB3ZXJlIHJldHJvc3BlY3RpdmVseSBjb2xsZWN0ZWQgZnJvbSBhIHJlZ2lzdHJ5LiBGaWZ0eS1nZW5lIE5HUyBhbmFseXNpcyB3YXMgcGVyZm9ybWVkIGluIENMSUEgYXBwcm92ZWQgbGFiIHRvIG9idGFpbiBtdXRhdGlvbiBwcm9maWxlcy4gQWxsIHBhdGllbnRzIHVuZGVyd2VudCBjeXRvcmVkdWN0aXZlIHN1cmdlcnkgKENSUykvaHlwZXJ0aGVybWljIGludHJhcGVyaXRvbmVhbCBjaGVtb3RoZXJhcHkgKEhJUEVDKSB3aXRoIG1pdG9teWNpbiBDLiBQZXJpdG9uZWFsIGNhbmNlciBpbmRleCAoUENJKSwgb3B0aW1hbCBDUlMsIHN1cnZpdmFsIChvdmVyYWxsIHN1cnZpdmFsIFtPU10gYW5kIHByb2dyZXNzaW9uLWZyZWUgc3Vydml2YWwgW1BGU10pIGRhdGEgd2VyZSBjb2xsZWN0ZWQuIFN1cnZpdmFsIGFuYWx5c2VzIHdlcmUgcGVyZm9ybWVkIG9uIGFsbCBBUE0sIGhpZ2gtZ3JhZGUgKEhHKSwgYW5kIGxvdyBncmFkZSAoTEcpIHN1YnNldHMsIGV2YWx1YXRpbmcgdGhlIGltcGFjdCBvZiBzcGVjaWZpYyBtdXRhdGlvbnMgb24gdGhlIG91dGNvbWUuIFJlc3VsdHM6IEVpZ2h0eS10aHJlZSBwZXJjZW50IG9mIEFQTSBoYWQgYSBtdXRhdGlvbiBpZGVudGlmaWVkLiBLUkFTIHdhcyBtb3N0IGZyZXF1ZW50LCA2NSUgKDg4JSBMRyA0MiUgSEcpIHdpdGggR05BUyBpZGVudGlmaWVkIGluIDkyJSBvZiBMRy1BUE0uIFNNQUQ0IGFuZC9vciBUUDUzIG11dGF0aW9ucyBvY2N1cnJlZCBpbiAyNSUgb2YgQVBNIHdpdGggb2JzZXJ2ZWQgZGVjcmVhc2VkIE9TICg0NiB2cy4gODEgbW9udGhzIHAgPS4wMDI5KTsgd29yc2UgaW4gSEctQVBNICgyNiB2cy4gNDkgbW9udGhzIHAgPS4wNDUxKS4gU01BRDQgd2FzIGFzc29jaWF0ZWQgd2l0aCB0aGUgbW9zdCBzaWduaWZpY2FudCByZWR1Y3Rpb24gaW4gUEZTIGluIEFQTSAocCA9LjAwODUpLiBBY3Rpb25hYmxlIG11dGF0aW9ucyB3ZXJlIGlkZW50aWZpZWQgaW4gNzMlIG9mIEFQTSBwYXRpZW50cy4gQ29uY2x1c2lvbnM6IE1vc3QgZnJlcXVlbnQgbXV0YXRpb25zIHdlcmUgS1JBUywgVFA1MywgYW5kIFNNQUQ0LCBhbmQgYWN0aW9uYWJsZSBtdXRhdGlvbiBkZXRlY3Rpb24gd2FzIGNvbW1vbi4gU01BRDQgYW5kIFRQNTMgd2VyZSBhc3NvY2lhdGVkIHdpdGggZGVjcmVhc2VkIE9TLiBOR1MgbXV0YXRpb24gcHJvZmlsaW5nIGhhcyBwb3RlbnRpYWwgdXRpbGl0eSBpbiBBUE0uIiwicHVibGlzaGVyIjoiSiBTdXJnIE9uY29sIiwiaXNzdWUiOiI3Iiwidm9sdW1lIjoiMTIzIn0sImlzVGVtcG9yYXJ5IjpmYWxzZX1dfQ=="/>
          <w:id w:val="-570508002"/>
        </w:sdtPr>
        <w:sdtContent>
          <w:r>
            <w:rPr/>
          </w:r>
          <w:r>
            <w:rPr>
              <w:color w:val="000000"/>
            </w:rPr>
            <w:t>(19)</w:t>
          </w:r>
        </w:sdtContent>
      </w:sdt>
      <w:r>
        <w:rPr/>
        <w:t xml:space="preserve">. Aunque los tumores apendiculares comparten algunas alteraciones genéticas comunes con las neoplasias colorrectales, también presentan perfiles moleculares distintivos, particularmente en las neoplasias mucinosas y </w:t>
      </w:r>
      <w:r>
        <w:rPr/>
        <w:t>neoplasias de células caliciformes.</w:t>
      </w:r>
    </w:p>
    <w:p>
      <w:pPr>
        <w:pStyle w:val="p3"/>
        <w:spacing w:lineRule="auto" w:line="360" w:before="280" w:after="280"/>
        <w:jc w:val="both"/>
        <w:rPr/>
      </w:pPr>
      <w:r>
        <w:rPr/>
        <w:t>La patogénesis de las diferentes variedades histológicas apendiculares involucra una compleja interacción de mutaciones somáticas, alteraciones de vías de señalización intracelular, inestabilidad genómica y, en algunos casos, cambios epigenéticos. Estas alteraciones no solo explican las diferencias en el comportamiento biológico de los tumores, sino que también tienen implicaciones potenciales en el pronóstico y en el desarrollo de terapias dirigidas</w:t>
      </w:r>
      <w:r>
        <w:rPr>
          <w:color w:val="000000"/>
        </w:rPr>
        <w:t xml:space="preserve">. </w:t>
      </w:r>
    </w:p>
    <w:p>
      <w:pPr>
        <w:pStyle w:val="p3"/>
        <w:spacing w:lineRule="auto" w:line="360" w:before="280" w:after="280"/>
        <w:jc w:val="both"/>
        <w:rPr/>
      </w:pPr>
      <w:r>
        <w:rPr/>
        <w:t>A continuación, se abordarán en detalle los principales aspectos de la genética molecular y las anormalidades moleculares asociadas al cáncer apendicular, diferenciando los patrones característicos de las diversas entidades histológicas.</w:t>
      </w:r>
    </w:p>
    <w:p>
      <w:pPr>
        <w:pStyle w:val="Heading3"/>
        <w:numPr>
          <w:ilvl w:val="2"/>
          <w:numId w:val="57"/>
        </w:numPr>
        <w:spacing w:before="40" w:after="240"/>
        <w:rPr>
          <w:sz w:val="27"/>
          <w:szCs w:val="27"/>
        </w:rPr>
      </w:pPr>
      <w:bookmarkStart w:id="58" w:name="_Toc200580218"/>
      <w:bookmarkStart w:id="59" w:name="_Toc199584573"/>
      <w:r>
        <w:rPr/>
        <w:t>Genética molecular y anormalidades del cáncer apendicular</w:t>
      </w:r>
      <w:bookmarkEnd w:id="58"/>
      <w:bookmarkEnd w:id="59"/>
    </w:p>
    <w:p>
      <w:pPr>
        <w:pStyle w:val="Normal"/>
        <w:spacing w:lineRule="auto" w:line="360"/>
        <w:jc w:val="both"/>
        <w:rPr/>
      </w:pPr>
      <w:r>
        <w:rPr/>
        <w:t>Para abordar este subtema, es importante considerar la relevancia de la genómica en el manejo del cáncer apendicular y la necesidad de identificar elementos que permitan estratificar e identificar individuos con alto riesgo de cáncer apendicular temprano. Este enfoque facilitará el descubrimiento y desarrollo de biomarcadores para la detección, el monitoreo, la vigilancia y el diseño de estrategias terapéuticas.</w:t>
      </w:r>
    </w:p>
    <w:p>
      <w:pPr>
        <w:pStyle w:val="p3"/>
        <w:spacing w:lineRule="auto" w:line="360" w:before="280" w:after="280"/>
        <w:jc w:val="both"/>
        <w:rPr/>
      </w:pPr>
      <w:r>
        <w:rPr/>
        <w:t xml:space="preserve">La caracterización molecular del cáncer apendicular ha revelado una arquitectura genética distintiva que difiere sustancialmente de la observada en otras neoplasias gastrointestinales, incluyendo el cáncer colorrectal. Esta divergencia refleja la singularidad biológica del apéndice como sitio anatómico, así como la marcada heterogeneidad histológica de sus tumores. En efecto, los avances en secuenciación y análisis genético han permitido identificar alteraciones específicas en genes clave, cuyas frecuencias varían según el tipo histológico y grado de diferenciación, impactando directamente en el comportamiento clínico, el pronóstico y las potenciales estrategias terapéuticas </w:t>
      </w:r>
      <w:sdt>
        <w:sdtPr>
          <w:placeholder>
            <w:docPart w:val="DefaultPlaceholder_-1854013440"/>
          </w:placeholder>
          <w:tag w:val="MENDELEY_CITATION_v3_eyJjaXRhdGlvbklEIjoiTUVOREVMRVlfQ0lUQVRJT05fNjA4MTgxZDMtMGEzYi00YmVkLTgyMDAtMzEyYjdhMDg2N2U5IiwicHJvcGVydGllcyI6eyJub3RlSW5kZXgiOjB9LCJpc0VkaXRlZCI6ZmFsc2UsIm1hbnVhbE92ZXJyaWRlIjp7ImlzTWFudWFsbHlPdmVycmlkZGVuIjpmYWxzZSwiY2l0ZXByb2NUZXh0IjoiKDIwKSIsIm1hbnVhbE92ZXJyaWRlVGV4dCI6IiJ9LCJjaXRhdGlvbkl0ZW1zIjpbeyJpZCI6IjQ3MGI3ODRkLWRmMGEtMzgxMi04Y2VhLTdkZDBjMTRkMWIwNSIsIml0ZW1EYXRhIjp7InR5cGUiOiJhcnRpY2xlLWpvdXJuYWwiLCJpZCI6IjQ3MGI3ODRkLWRmMGEtMzgxMi04Y2VhLTdkZDBjMTRkMWIwNSIsInRpdGxlIjoiVGhlIFByb21pc2Ugb2YgRXBpZ2VuZXRpY3MgUmVzZWFyY2ggaW4gdGhlIFRyZWF0bWVudCBvZiBBcHBlbmRpY2VhbCBOZW9wbGFzbXMiLCJhdXRob3IiOlt7ImZhbWlseSI6IkxhZGVsIiwiZ2l2ZW4iOiJMdWlzYSIsInBhcnNlLW5hbWVzIjpmYWxzZSwiZHJvcHBpbmctcGFydGljbGUiOiIiLCJub24tZHJvcHBpbmctcGFydGljbGUiOiIifSx7ImZhbWlseSI6IlRhbiIsImdpdmVuIjoiV2FuIFlpbmciLCJwYXJzZS1uYW1lcyI6ZmFsc2UsImRyb3BwaW5nLXBhcnRpY2xlIjoiIiwibm9uLWRyb3BwaW5nLXBhcnRpY2xlIjoiIn0seyJmYW1pbHkiOiJKZXlha2FudGhhbiIsImdpdmVuIjoiVGhhbnVzaGl5YSIsInBhcnNlLW5hbWVzIjpmYWxzZSwiZHJvcHBpbmctcGFydGljbGUiOiIiLCJub24tZHJvcHBpbmctcGFydGljbGUiOiIifSx7ImZhbWlseSI6IlNhaWxvIiwiZ2l2ZW4iOiJCZXRoc2ViaWUiLCJwYXJzZS1uYW1lcyI6ZmFsc2UsImRyb3BwaW5nLXBhcnRpY2xlIjoiIiwibm9uLWRyb3BwaW5nLXBhcnRpY2xlIjoiIn0seyJmYW1pbHkiOiJTaGFybWEiLCJnaXZlbiI6IkFudXAiLCJwYXJzZS1uYW1lcyI6ZmFsc2UsImRyb3BwaW5nLXBhcnRpY2xlIjoiIiwibm9uLWRyb3BwaW5nLXBhcnRpY2xlIjoiIn0seyJmYW1pbHkiOiJBaHVqYSIsImdpdmVuIjoiTml0YSIsInBhcnNlLW5hbWVzIjpmYWxzZSwiZHJvcHBpbmctcGFydGljbGUiOiIiLCJub24tZHJvcHBpbmctcGFydGljbGUiOiIifV0sImNvbnRhaW5lci10aXRsZSI6IkNlbGxzIiwiY29udGFpbmVyLXRpdGxlLXNob3J0IjoiQ2VsbHMiLCJET0kiOiIxMC4zMzkwL0NFTExTMTIxNTE5NjIiLCJJU1NOIjoiMjA3My00NDA5IiwiUE1JRCI6IjM3NTY2MDQxIiwiaXNzdWVkIjp7ImRhdGUtcGFydHMiOltbMjAyM11dfSwiYWJzdHJhY3QiOiJBcHBlbmRpY2VhbCBjYW5jZXJzIChBQykgYXJlIGEgcmFyZSBhbmQgaGV0ZXJvZ2VuZW91cyBncm91cCBvZiBtYWxpZ25hbmNpZXMuIEhpc3RvcmljYWxseSwgYXBwZW5kaWNlYWwgbmVvcGxhc21zIGhhdmUgYmVlbiBncm91cGVkIHdpdGggY29sb3JlY3RhbCBjYW5jZXJzIChDUkMpLCBhbmQgdHJlYXRtZW50IHN0cmF0ZWdpZXMgaGF2ZSBiZWVuIG1vZGVsZWQgYWZ0ZXIgQ1JDIG1hbmFnZW1lbnQgZ3VpZGVsaW5lcyBkdWUgdG8gdGhlaXIgc3RydWN0dXJhbCBzaW1pbGFyaXRpZXMgYW5kIGFuYXRvbWljYWwgcHJveGltaXR5LiBIb3dldmVyLCB0aGUgdHdvIGhhdmUgbWFya2VkIGRpZmZlcmVuY2VzIGluIGJpb2xvZ2ljYWwgYmVoYXZpb3IgYW5kIHRyZWF0bWVudCByZXNwb25zZSwgYW5kIGV2aWRlbmNlIHN1Z2dlc3RzIHNpZ25pZmljYW50IGRpc2NyZXBhbmNpZXMgaW4gdGhlaXIgcmVzcGVjdGl2ZSBnZW5ldGljIHByb2ZpbGVzLiBJbiBhZGRpdGlvbiwgd2hpbGUgdGhlIFdITyBjbGFzc2lmaWNhdGlvbiBmb3IgYXBwZW5kaWNlYWwgY2FuY2VycyBpcyBjdXJyZW50bHkgYmFzZWQgb24gdHJhZGl0aW9uYWwgaGlzdG9wYXRob2xvZ2ljYWwgY3JpdGVyaWEsIHN0dWRpZXMgaGF2ZSBkZW1vbnN0cmF0ZWQgdGhhdCBoaXN0b21vcnBob2xvZ3kgZG9lcyBub3QgY29ycmVsYXRlIHdpdGggc3Vydml2YWwgb3IgdHJlYXRtZW50IHJlc3BvbnNlIGluIEFDLiBEdWUgdG8gdGhlaXIgcmFyaXR5LCBhcHBlbmRpY2VhbCBjYW5jZXJzIGhhdmUgbm90IGJlZW4gc3R1ZGllZCBhcyBleHRlbnNpdmVseSBhcyBvdGhlciBnYXN0cm9pbnRlc3RpbmFsIGNhbmNlcnMuIEhvd2V2ZXIsIHRoZWlyIGluY2lkZW5jZSBoYXMgYmVlbiBpbmNyZWFzaW5nIHN0ZWFkaWx5IG92ZXIgdGhlIHBhc3QgZGVjYWRlLCBtYWtpbmcgaXQgY3J1Y2lhbCB0byBpZGVudGlmeSBuZXcgYW5kIG1vcmUgZWZmZWN0aXZlIHN0cmF0ZWdpZXMgZm9yIGRldGVjdGlvbiBhbmQgdHJlYXRtZW50LiBSZWNlbnQgZWZmb3J0cyB0byBtYXAgYW5kIHVuZGVyc3RhbmQgdGhlIG1vbGVjdWxhciBsYW5kc2NhcGUgb2YgYXBwZW5kaWNlYWwgY2FuY2VycyBoYXZlIHVuZWFydGhlZCBhIHdlYWx0aCBvZiBpbmZvcm1hdGlvbiB0aGF0IGhhcyBtYWRlIGl0IGV2aWRlbnQgdGhhdCBhcHBlbmRpY2VhbCBjYW5jZXJzIHBvc3Nlc3MgYSB1bmlxdWUgbW9sZWN1bGFyIHByb2ZpbGUsIGRpc3RpbmN0IGZyb20gb3RoZXIgZ2FzdHJvaW50ZXN0aW5hbCBjYW5jZXJzLiBUaGlzIHJldmlldyBmb2N1c2VzIG9uIHRoZSBlcGlnZW5ldGljIGxhbmRzY2FwZSBvZiBlcGl0aGVsaWFsIGFwcGVuZGljZWFsIGNhbmNlcnMgYW5kIGFpbXMgdG8gcHJvdmlkZSBhIGNvbXByZWhlbnNpdmUgb3ZlcnZpZXcgb2YgdGhlIGN1cnJlbnQgc3RhdGUgb2Yga25vd2xlZGdlIG9mIGVwaWdlbmV0aWMgY2hhbmdlcyBhY3Jvc3MgZGlmZmVyZW50IGFwcGVuZGljZWFsIGNhbmNlciBzdWJ0eXBlcywgaGlnaGxpZ2h0aW5nIHRoZSBjaGFsbGVuZ2VzIGFzIHdlbGwgYXMgdGhlIHByb21pc2Ugb2YgZW1wbG95aW5nIGVwaWdlbmV0aWNzIGluIHRoZSBxdWVzdCBmb3IgdGhlIGRldGVjdGlvbiBvZiBiaW9tYXJrZXJzLCB0aGVyYXBldXRpYyB0YXJnZXRzLCBzdXJ2ZWlsbGFuY2UgbWFya2VycywgYW5kIHByZWRpY3RvcnMgb2YgdHJlYXRtZW50IHJlc3BvbnNlIGFuZCBzdXJ2aXZhbCBpbiBlcGl0aGVsaWFsIGFwcGVuZGljZWFsIG5lb3BsYXNtcy4iLCJwdWJsaXNoZXIiOiJDZWxscyIsImlzc3VlIjoiMTUiLCJ2b2x1bWUiOiIxMiJ9LCJpc1RlbXBvcmFyeSI6ZmFsc2V9XX0="/>
          <w:id w:val="1453974327"/>
        </w:sdtPr>
        <w:sdtContent>
          <w:r>
            <w:rPr/>
          </w:r>
          <w:r>
            <w:rPr>
              <w:color w:val="000000"/>
            </w:rPr>
            <w:t>(20)</w:t>
          </w:r>
        </w:sdtContent>
      </w:sdt>
    </w:p>
    <w:p>
      <w:pPr>
        <w:pStyle w:val="p3"/>
        <w:spacing w:lineRule="auto" w:line="360" w:before="280" w:after="280"/>
        <w:jc w:val="both"/>
        <w:rPr>
          <w:lang w:val="es-ES_tradnl"/>
        </w:rPr>
      </w:pPr>
      <w:r>
        <w:rPr/>
        <w:t xml:space="preserve">En las últimas décadas, se ha confirmado que las neoplasias mucinosas apendiculares, especialmente las de bajo grado (LAMN) y las de alto grado (HAMN), presentan un perfil mutacional característico centrado en las vías de señalización de proliferación celular y secreción mucinosa. Las mutaciones genómicas más frecuentes y representativas de esta entidad son KRAS, TP53 y GNAS, las cuales funcionan como predictores de supervivencia principalmente en adenocarcinomas mucinosos; sin embargo, se han observado diferencias en otros subtipos histológicos apendiculares. Esto ha llevado a que diversos autores, como Garland-Kledzik et al. y Foote et al </w:t>
      </w:r>
      <w:sdt>
        <w:sdtPr>
          <w:placeholder>
            <w:docPart w:val="00D569FFC2606C46B2D6001ABC759CDF"/>
          </w:placeholder>
          <w:tag w:val="MENDELEY_CITATION_v3_eyJjaXRhdGlvbklEIjoiTUVOREVMRVlfQ0lUQVRJT05fN2EyMTliNzYtZWZlMi00ZTExLTg4MDAtMTI0NjlkYTg2OWMwIiwicHJvcGVydGllcyI6eyJub3RlSW5kZXgiOjB9LCJpc0VkaXRlZCI6ZmFsc2UsIm1hbnVhbE92ZXJyaWRlIjp7ImlzTWFudWFsbHlPdmVycmlkZGVuIjpmYWxzZSwiY2l0ZXByb2NUZXh0IjoiKDIwKSIsIm1hbnVhbE92ZXJyaWRlVGV4dCI6IiJ9LCJjaXRhdGlvbkl0ZW1zIjpbeyJpZCI6IjQ3MGI3ODRkLWRmMGEtMzgxMi04Y2VhLTdkZDBjMTRkMWIwNSIsIml0ZW1EYXRhIjp7InR5cGUiOiJhcnRpY2xlLWpvdXJuYWwiLCJpZCI6IjQ3MGI3ODRkLWRmMGEtMzgxMi04Y2VhLTdkZDBjMTRkMWIwNSIsInRpdGxlIjoiVGhlIFByb21pc2Ugb2YgRXBpZ2VuZXRpY3MgUmVzZWFyY2ggaW4gdGhlIFRyZWF0bWVudCBvZiBBcHBlbmRpY2VhbCBOZW9wbGFzbXMiLCJhdXRob3IiOlt7ImZhbWlseSI6IkxhZGVsIiwiZ2l2ZW4iOiJMdWlzYSIsInBhcnNlLW5hbWVzIjpmYWxzZSwiZHJvcHBpbmctcGFydGljbGUiOiIiLCJub24tZHJvcHBpbmctcGFydGljbGUiOiIifSx7ImZhbWlseSI6IlRhbiIsImdpdmVuIjoiV2FuIFlpbmciLCJwYXJzZS1uYW1lcyI6ZmFsc2UsImRyb3BwaW5nLXBhcnRpY2xlIjoiIiwibm9uLWRyb3BwaW5nLXBhcnRpY2xlIjoiIn0seyJmYW1pbHkiOiJKZXlha2FudGhhbiIsImdpdmVuIjoiVGhhbnVzaGl5YSIsInBhcnNlLW5hbWVzIjpmYWxzZSwiZHJvcHBpbmctcGFydGljbGUiOiIiLCJub24tZHJvcHBpbmctcGFydGljbGUiOiIifSx7ImZhbWlseSI6IlNhaWxvIiwiZ2l2ZW4iOiJCZXRoc2ViaWUiLCJwYXJzZS1uYW1lcyI6ZmFsc2UsImRyb3BwaW5nLXBhcnRpY2xlIjoiIiwibm9uLWRyb3BwaW5nLXBhcnRpY2xlIjoiIn0seyJmYW1pbHkiOiJTaGFybWEiLCJnaXZlbiI6IkFudXAiLCJwYXJzZS1uYW1lcyI6ZmFsc2UsImRyb3BwaW5nLXBhcnRpY2xlIjoiIiwibm9uLWRyb3BwaW5nLXBhcnRpY2xlIjoiIn0seyJmYW1pbHkiOiJBaHVqYSIsImdpdmVuIjoiTml0YSIsInBhcnNlLW5hbWVzIjpmYWxzZSwiZHJvcHBpbmctcGFydGljbGUiOiIiLCJub24tZHJvcHBpbmctcGFydGljbGUiOiIifV0sImNvbnRhaW5lci10aXRsZSI6IkNlbGxzIiwiY29udGFpbmVyLXRpdGxlLXNob3J0IjoiQ2VsbHMiLCJET0kiOiIxMC4zMzkwL0NFTExTMTIxNTE5NjIiLCJJU1NOIjoiMjA3My00NDA5IiwiUE1JRCI6IjM3NTY2MDQxIiwiaXNzdWVkIjp7ImRhdGUtcGFydHMiOltbMjAyM11dfSwiYWJzdHJhY3QiOiJBcHBlbmRpY2VhbCBjYW5jZXJzIChBQykgYXJlIGEgcmFyZSBhbmQgaGV0ZXJvZ2VuZW91cyBncm91cCBvZiBtYWxpZ25hbmNpZXMuIEhpc3RvcmljYWxseSwgYXBwZW5kaWNlYWwgbmVvcGxhc21zIGhhdmUgYmVlbiBncm91cGVkIHdpdGggY29sb3JlY3RhbCBjYW5jZXJzIChDUkMpLCBhbmQgdHJlYXRtZW50IHN0cmF0ZWdpZXMgaGF2ZSBiZWVuIG1vZGVsZWQgYWZ0ZXIgQ1JDIG1hbmFnZW1lbnQgZ3VpZGVsaW5lcyBkdWUgdG8gdGhlaXIgc3RydWN0dXJhbCBzaW1pbGFyaXRpZXMgYW5kIGFuYXRvbWljYWwgcHJveGltaXR5LiBIb3dldmVyLCB0aGUgdHdvIGhhdmUgbWFya2VkIGRpZmZlcmVuY2VzIGluIGJpb2xvZ2ljYWwgYmVoYXZpb3IgYW5kIHRyZWF0bWVudCByZXNwb25zZSwgYW5kIGV2aWRlbmNlIHN1Z2dlc3RzIHNpZ25pZmljYW50IGRpc2NyZXBhbmNpZXMgaW4gdGhlaXIgcmVzcGVjdGl2ZSBnZW5ldGljIHByb2ZpbGVzLiBJbiBhZGRpdGlvbiwgd2hpbGUgdGhlIFdITyBjbGFzc2lmaWNhdGlvbiBmb3IgYXBwZW5kaWNlYWwgY2FuY2VycyBpcyBjdXJyZW50bHkgYmFzZWQgb24gdHJhZGl0aW9uYWwgaGlzdG9wYXRob2xvZ2ljYWwgY3JpdGVyaWEsIHN0dWRpZXMgaGF2ZSBkZW1vbnN0cmF0ZWQgdGhhdCBoaXN0b21vcnBob2xvZ3kgZG9lcyBub3QgY29ycmVsYXRlIHdpdGggc3Vydml2YWwgb3IgdHJlYXRtZW50IHJlc3BvbnNlIGluIEFDLiBEdWUgdG8gdGhlaXIgcmFyaXR5LCBhcHBlbmRpY2VhbCBjYW5jZXJzIGhhdmUgbm90IGJlZW4gc3R1ZGllZCBhcyBleHRlbnNpdmVseSBhcyBvdGhlciBnYXN0cm9pbnRlc3RpbmFsIGNhbmNlcnMuIEhvd2V2ZXIsIHRoZWlyIGluY2lkZW5jZSBoYXMgYmVlbiBpbmNyZWFzaW5nIHN0ZWFkaWx5IG92ZXIgdGhlIHBhc3QgZGVjYWRlLCBtYWtpbmcgaXQgY3J1Y2lhbCB0byBpZGVudGlmeSBuZXcgYW5kIG1vcmUgZWZmZWN0aXZlIHN0cmF0ZWdpZXMgZm9yIGRldGVjdGlvbiBhbmQgdHJlYXRtZW50LiBSZWNlbnQgZWZmb3J0cyB0byBtYXAgYW5kIHVuZGVyc3RhbmQgdGhlIG1vbGVjdWxhciBsYW5kc2NhcGUgb2YgYXBwZW5kaWNlYWwgY2FuY2VycyBoYXZlIHVuZWFydGhlZCBhIHdlYWx0aCBvZiBpbmZvcm1hdGlvbiB0aGF0IGhhcyBtYWRlIGl0IGV2aWRlbnQgdGhhdCBhcHBlbmRpY2VhbCBjYW5jZXJzIHBvc3Nlc3MgYSB1bmlxdWUgbW9sZWN1bGFyIHByb2ZpbGUsIGRpc3RpbmN0IGZyb20gb3RoZXIgZ2FzdHJvaW50ZXN0aW5hbCBjYW5jZXJzLiBUaGlzIHJldmlldyBmb2N1c2VzIG9uIHRoZSBlcGlnZW5ldGljIGxhbmRzY2FwZSBvZiBlcGl0aGVsaWFsIGFwcGVuZGljZWFsIGNhbmNlcnMgYW5kIGFpbXMgdG8gcHJvdmlkZSBhIGNvbXByZWhlbnNpdmUgb3ZlcnZpZXcgb2YgdGhlIGN1cnJlbnQgc3RhdGUgb2Yga25vd2xlZGdlIG9mIGVwaWdlbmV0aWMgY2hhbmdlcyBhY3Jvc3MgZGlmZmVyZW50IGFwcGVuZGljZWFsIGNhbmNlciBzdWJ0eXBlcywgaGlnaGxpZ2h0aW5nIHRoZSBjaGFsbGVuZ2VzIGFzIHdlbGwgYXMgdGhlIHByb21pc2Ugb2YgZW1wbG95aW5nIGVwaWdlbmV0aWNzIGluIHRoZSBxdWVzdCBmb3IgdGhlIGRldGVjdGlvbiBvZiBiaW9tYXJrZXJzLCB0aGVyYXBldXRpYyB0YXJnZXRzLCBzdXJ2ZWlsbGFuY2UgbWFya2VycywgYW5kIHByZWRpY3RvcnMgb2YgdHJlYXRtZW50IHJlc3BvbnNlIGFuZCBzdXJ2aXZhbCBpbiBlcGl0aGVsaWFsIGFwcGVuZGljZWFsIG5lb3BsYXNtcy4iLCJwdWJsaXNoZXIiOiJDZWxscyIsImlzc3VlIjoiMTUiLCJ2b2x1bWUiOiIxMiJ9LCJpc1RlbXBvcmFyeSI6ZmFsc2V9XX0="/>
          <w:id w:val="-153214571"/>
        </w:sdtPr>
        <w:sdtContent>
          <w:r>
            <w:rPr/>
          </w:r>
          <w:r>
            <w:rPr>
              <w:color w:val="000000"/>
            </w:rPr>
            <w:t>(20)</w:t>
          </w:r>
        </w:sdtContent>
      </w:sdt>
      <w:r>
        <w:rPr/>
        <w:t xml:space="preserve"> propongan clasificaciones del cáncer apendicular basadas en la genómica, sistematizando nuevos grupos según similitudes transcriptómicas y evaluando diferentes mutaciones en conjuntos genéticos predefinidos</w:t>
      </w:r>
      <w:r>
        <w:rPr/>
        <w:t xml:space="preserve">. </w:t>
      </w:r>
    </w:p>
    <w:p>
      <w:pPr>
        <w:pStyle w:val="p3"/>
        <w:spacing w:lineRule="auto" w:line="360" w:before="280" w:after="280"/>
        <w:jc w:val="both"/>
        <w:rPr/>
      </w:pPr>
      <w:r>
        <w:rPr/>
        <w:t>De las tres mutaciones previamente descritas:</w:t>
      </w:r>
    </w:p>
    <w:p>
      <w:pPr>
        <w:pStyle w:val="p3"/>
        <w:numPr>
          <w:ilvl w:val="0"/>
          <w:numId w:val="38"/>
        </w:numPr>
        <w:spacing w:lineRule="auto" w:line="360" w:before="280" w:after="0"/>
        <w:jc w:val="both"/>
        <w:rPr/>
      </w:pPr>
      <w:r>
        <w:rPr/>
        <w:t>Las mutaciones en el gen KRAS, que codifica una proteína GTPasa de la vía RAS-RAF-MEK-ERK, se detectan en aproximadamente el 60 % al 80 % de los LAMN, HAMN y adenocarcinomas mucinosos. Estas alteraciones promueven una activación constitutiva de la vía MAPK, favoreciendo la estimulación constante de señales proliferativas, la inhibición de la apoptosis (lo que promueve la acumulación progresiva de células neoplásicas) y el aumento de la capacidad invasiva del epitelio transformado. La consecuencia clínica de esta activación es la tendencia a un crecimiento tumoral lento pero persistente, característica de muchas neoplasias mucinosas apendiculares.</w:t>
      </w:r>
    </w:p>
    <w:p>
      <w:pPr>
        <w:pStyle w:val="p3"/>
        <w:numPr>
          <w:ilvl w:val="0"/>
          <w:numId w:val="38"/>
        </w:numPr>
        <w:spacing w:lineRule="auto" w:line="360" w:before="0" w:after="0"/>
        <w:jc w:val="both"/>
        <w:rPr/>
      </w:pPr>
      <w:r>
        <w:rPr/>
        <w:t>Las mutaciones en el gen GNAS (40–60 %), que codifica la subunidad α de la proteína G estimuladora de adenilato ciclasa, generan una activación persistente de la vía AMPc–PKA. El incremento de la producción intracelular de AMPc, con la consecuente activación de la proteína quinasa A (PKA) y la modulación de factores transcripcionales, favorece la acumulación excesiva de mucina dentro del apéndice y, eventualmente, en la cavidad peritoneal. Este mecanismo es clave en la patogénesis del pseudomixoma peritonei, donde la mucina, más que las células tumorales per se, determina gran parte de la morbilidad clínica.</w:t>
      </w:r>
    </w:p>
    <w:p>
      <w:pPr>
        <w:pStyle w:val="p3"/>
        <w:numPr>
          <w:ilvl w:val="0"/>
          <w:numId w:val="38"/>
        </w:numPr>
        <w:spacing w:lineRule="auto" w:line="360" w:before="0" w:after="280"/>
        <w:jc w:val="both"/>
        <w:rPr/>
      </w:pPr>
      <w:r>
        <w:rPr/>
        <w:t xml:space="preserve">Las mutaciones en el gen TP53, considerado el principal supresor tumoral del genoma humano, se han vinculado a la progresión tumoral, la pérdida del control del ciclo celular, mayor inestabilidad genética y un incremento del potencial invasivo. La presencia de TP53 mutado es indicativa de un fenotipo más agresivo y se asocia con diseminación peritoneal en etapas más precoces. Esta y otras mutaciones adicionales se han observado en adenocarcinomas de alto grado —incluidos algunos HAMN avanzados— y se relacionan con un peor pronóstico. </w:t>
      </w:r>
      <w:sdt>
        <w:sdtPr>
          <w:placeholder>
            <w:docPart w:val="9D67ECB40FD89B4E89DDA70CF7778F7C"/>
          </w:placeholder>
          <w:tag w:val="MENDELEY_CITATION_v3_eyJjaXRhdGlvbklEIjoiTUVOREVMRVlfQ0lUQVRJT05fNWIxOWFmMjUtZmE5Mi00ZjQ4LTk2NWMtOTA5MDlhMDc4NTUzIiwicHJvcGVydGllcyI6eyJub3RlSW5kZXgiOjB9LCJpc0VkaXRlZCI6ZmFsc2UsIm1hbnVhbE92ZXJyaWRlIjp7ImlzTWFudWFsbHlPdmVycmlkZGVuIjpmYWxzZSwiY2l0ZXByb2NUZXh0IjoiKDIxKSIsIm1hbnVhbE92ZXJyaWRlVGV4dCI6IiJ9LCJjaXRhdGlvbkl0ZW1zIjpbeyJpZCI6IjIwNjYwNTdhLTcxZGItMzA2OS1hNzQ2LThmMTRkZDllNTljZCIsIml0ZW1EYXRhIjp7InR5cGUiOiJhcnRpY2xlLWpvdXJuYWwiLCJpZCI6IjIwNjYwNTdhLTcxZGItMzA2OS1hNzQ2LThmMTRkZDllNTljZCIsInRpdGxlIjoiVFA1MyBBbHRlcmF0aW9ucyBBcmUgYW4gSW5kZXBlbmRlbnQgQWR2ZXJzZSBQcm9nbm9zdGljIEluZGljYXRvciBpbiBQc2V1ZG9teXhvbWEgUGVyaXRvbmVpIG9mIEFwcGVuZGljZWFsIE9yaWdpbiBGb2xsb3dpbmcgQ3l0b3JlZHVjdGl2ZSBTdXJnZXJ5IGFuZCBJbnRyYXBlcml0b25lYWwgQ2hlbW90aGVyYXB5IiwiYXV0aG9yIjpbeyJmYW1pbHkiOiJTaGFrZXIiLCJnaXZlbiI6Ik51aGEiLCJwYXJzZS1uYW1lcyI6ZmFsc2UsImRyb3BwaW5nLXBhcnRpY2xlIjoiIiwibm9uLWRyb3BwaW5nLXBhcnRpY2xlIjoiIn0seyJmYW1pbHkiOiJEYXZpc29uIiwiZ2l2ZW4iOiJKb24iLCJwYXJzZS1uYW1lcyI6ZmFsc2UsImRyb3BwaW5nLXBhcnRpY2xlIjoiIiwibm9uLWRyb3BwaW5nLXBhcnRpY2xlIjoiIn0seyJmYW1pbHkiOiJEZXJieSIsImdpdmVuIjoiSm9zaHVhIiwicGFyc2UtbmFtZXMiOmZhbHNlLCJkcm9wcGluZy1wYXJ0aWNsZSI6IiIsIm5vbi1kcm9wcGluZy1wYXJ0aWNsZSI6IiJ9LHsiZmFtaWx5IjoiQWJ1a2hpcmFuIiwiZ2l2ZW4iOiJJYnJhaGltIiwicGFyc2UtbmFtZXMiOmZhbHNlLCJkcm9wcGluZy1wYXJ0aWNsZSI6IiIsIm5vbi1kcm9wcGluZy1wYXJ0aWNsZSI6IiJ9LHsiZmFtaWx5IjoiTWFuc291ciIsImdpdmVuIjoiQWtpbGEiLCJwYXJzZS1uYW1lcyI6ZmFsc2UsImRyb3BwaW5nLXBhcnRpY2xlIjoiIiwibm9uLWRyb3BwaW5nLXBhcnRpY2xlIjoiIn0seyJmYW1pbHkiOiJIb2x0em1hbiIsImdpdmVuIjoiTWF0dGhldyIsInBhcnNlLW5hbWVzIjpmYWxzZSwiZHJvcHBpbmctcGFydGljbGUiOiIiLCJub24tZHJvcHBpbmctcGFydGljbGUiOiIifSx7ImZhbWlseSI6IkNob3VkcnkiLCJnaXZlbiI6Ikhhcm9vbiIsInBhcnNlLW5hbWVzIjpmYWxzZSwiZHJvcHBpbmctcGFydGljbGUiOiIiLCJub24tZHJvcHBpbmctcGFydGljbGUiOiIifSx7ImZhbWlseSI6IlBhaSIsImdpdmVuIjoiUmVldGVzaCBLLiIsInBhcnNlLW5hbWVzIjpmYWxzZSwiZHJvcHBpbmctcGFydGljbGUiOiIiLCJub24tZHJvcHBpbmctcGFydGljbGUiOiIifV0sImNvbnRhaW5lci10aXRsZSI6IkFwcGxpZWQgaW1tdW5vaGlzdG9jaGVtaXN0cnkgJiBtb2xlY3VsYXIgbW9ycGhvbG9neSA6IEFJTU0iLCJjb250YWluZXItdGl0bGUtc2hvcnQiOiJBcHBsIEltbXVub2hpc3RvY2hlbSBNb2wgTW9ycGhvbCIsImFjY2Vzc2VkIjp7ImRhdGUtcGFydHMiOltbMjAyNSw0LDE4XV19LCJET0kiOiIxMC4xMDk3L1BBSS4wMDAwMDAwMDAwMDAxMjQ1IiwiSVNTTiI6IjE1MzMtNDA1OCIsIlBNSUQiOiIzOTgxMjMxOCIsIlVSTCI6Imh0dHBzOi8vcHVibWVkLm5jYmkubmxtLm5paC5nb3YvMzk4MTIzMTgvIiwiaXNzdWVkIjp7ImRhdGUtcGFydHMiOltbMjAyNV1dfSwicGFnZSI6IjcwLTc3IiwiYWJzdHJhY3QiOiJIaXN0b2xvZ2ljIGdyYWRlIGlzIGEga2V5IHByZWRpY3RvciBmb3IgcHNldWRvbXl4b21hIHBlcml0b25laSAoUE1QKSBvZiBhcHBlbmRpY2VhbCBvcmlnaW4gdGhhdCBpcyB1c2VkIHRvIGd1aWRlIGNsaW5pY2FsIG1hbmFnZW1lbnQuIEhvd2V2ZXIsIHNvbWUgdHVtb3JzIGRlbW9uc3RyYXRlIGRpc2Vhc2UgYmVoYXZpb3IgdGhhdCBkZXZpYXRlcyBmcm9tIHRoZWlyIGhpc3RvbG9naWMgZ3JhZGUuIEEgcmVjZW50IHN0dWR5IHN1Z2dlc3RlZCB0aGF0IFRQNTMsIEdOQVMgLCBhbmQgUkFTIG11dGF0aW9uIGFuYWx5c2lzIGNvdWxkIHN0cmF0aWZ5IHR1bW9ycyBpbnRvIGRpc3RpbmN0IG1vbGVjdWxhciBncm91cHMgd2l0aCBkaWZmZXJlbnQgcHJvZ25vc2lzLiBXZSBpbnZlc3RpZ2F0ZWQgbW9sZWN1bGFyIGFsdGVyYXRpb25zIGluIDExNCBwYXRpZW50cyB3aXRoIFBNUCBvZiBhcHBlbmRpY2VhbCBvcmlnaW4gd2hvIHdlcmUgdW5pZm9ybWx5IHRyZWF0ZWQgd2l0aCBjeXRvcmVkdWN0aXZlIHN1cmdlcnkgd2l0aCBpbnRyYXBlcml0b25lYWwgY2hlbW90aGVyYXB5IChDUlMrSVBDVCkuIFR1bW9ycyB3ZXJlIHNlcGFyYXRlZCBpbnRvIDQgZ3JvdXBzIGJhc2VkIG9uIHRoZWlyIHByZWRvbWluYW50IGdlbm9taWMgYWx0ZXJhdGlvbjogUkFTIC1tdXQsIEdOQVMgLW11dCwgVFA1MyAtbXV0LCBhbmQgdHJpcGxlLW5lZ2F0aXZlICggUkFTL0dOQVMvVFA1MyAtd2lsZHR5cGUpLiBUaGUgcmVzdWx0cyB3ZXJlIGNvcnJlbGF0ZWQgd2l0aCBXb3JsZCBIZWFsdGggT3JnYW5pemF0aW9uIChXSE8pIGdyYWRlLCBwZXJpdG9uZWFsIGNhcmNpbm9tYXRvc2lzIGluZGV4IChQQ0kpLCBjb21wbGV0ZW5lc3Mgb2YgY3l0b3JlZHVjdGlvbiAoQ0MpIHNjb3JlLCBhbmQgb3ZlcmFsbCBzdXJ2aXZhbCAoT1MpIGZyb20gdGhlIHRpbWUgb2YgQ1JTK0lQQ1QgdXNpbmcgbXVsdGl2YXJpYXRlIENveCBwcm9wb3J0aW9uYWwgaGF6YXJkIGFuYWx5c2lzLiBGaWZ0eSBwZXJjZW50IG9mIFRQNTMgLW11dCB3ZXJlIFdITyBncmFkZSAzIGNvbXBhcmVkIHdpdGggMzglIHRyaXBsZS1uZWdhdGl2ZSwgMTAlIFJBUyAtbXV0LCBhbmQgNyUgR05BUyAtbXV0IHR1bW9ycyAoIFAgPDAuMDAxKS4gVGhlIFRQNTMgLW11dCBncm91cCBleGhpYml0ZWQgYSBzaWduaWZpY2FudGx5IHJlZHVjZWQgT1MgY29tcGFyZWQgd2l0aCBvdGhlciBncm91cHMgKCBQIDwwLjAwMSkuIE5vIHNpZ25pZmljYW50IE9TIGRpZmZlcmVuY2Ugd2FzIGlkZW50aWZpZWQgYmV0d2VlbiBSQVMgLW11dCwgR05BUyAtbXV0LCBhbmQgdHJpcGxlLW5lZ2F0aXZlIGdyb3VwcyAoIFAgPjAuMDUpLiBJbiBncmFkZSAzIFBNUCwgVFA1MyAtbXV0IHdhcyBzaWduaWZpY2FudGx5IGFzc29jaWF0ZWQgd2l0aCByZWR1Y2VkIE9TICggUCA9MC4wMDIpLiBJbiB0aGUgbXVsdGl2YXJpYXRlIGFuYWx5c2lzIGZvciBPUyBhZnRlciBDUlMrSVBDVCwgVFA1MyAtbXV0IFtoYXphcmQgcmF0aW8gKEhSKSAzLjIzLCBQID0wLjAwNF0gYW5kIFdITyBncmFkZSAoZ3JhZGUgMiBIUiAyLjczLCBQID0wLjAzIGFuZCBncmFkZSAzIEhSIDUuNjcsIFAgPDAuMDAxKSB3ZXJlIHRoZSBvbmx5IGluZGVwZW5kZW50IHByZWRpY3RvcnMgb2Ygc3Vydml2YWwuIE91ciByZXN1bHRzIHN1Z2dlc3QgdGhhdCwgaW4gYWRkaXRpb24gdG8gdHVtb3IgZ3JhZGUsIFRQNTMgc3RhdHVzIG1heSBoZWxwIHRvIHByb3ZpZGUgYSBtb3JlIHBhdGllbnQtY2VudGVyZWQgYXBwcm9hY2ggaW4gZ3VpZGluZyB0aGVyYXB5IGluIFBNUC4iLCJwdWJsaXNoZXIiOiJBcHBsIEltbXVub2hpc3RvY2hlbSBNb2wgTW9ycGhvbCIsImlzc3VlIjoiMiIsInZvbHVtZSI6IjMzIn0sImlzVGVtcG9yYXJ5IjpmYWxzZX1dfQ=="/>
          <w:id w:val="-1800602704"/>
        </w:sdtPr>
        <w:sdtContent>
          <w:r>
            <w:rPr/>
          </w:r>
          <w:r>
            <w:rPr>
              <w:rFonts w:eastAsia="MS Mincho"/>
              <w:color w:val="000000"/>
            </w:rPr>
            <w:t>(21)</w:t>
          </w:r>
        </w:sdtContent>
      </w:sdt>
    </w:p>
    <w:p>
      <w:pPr>
        <w:pStyle w:val="p3"/>
        <w:spacing w:lineRule="auto" w:line="360" w:before="280" w:after="280"/>
        <w:jc w:val="both"/>
        <w:rPr/>
      </w:pPr>
      <w:r>
        <w:rPr/>
        <w:t>En una proporción menor de casos, especialmente en adenocarcinomas de alto grado, se han identificado mutaciones en genes como SMAD4 (vía TGF-β) y PIK3CA (vía PI3K/AKT/mTOR), ambas asociadas a procesos de invasión epitelial y resistencia terapéutica. Aunque su frecuencia es baja, su identificación cobra relevancia en el desarrollo de terapias dirigidas.</w:t>
      </w:r>
    </w:p>
    <w:p>
      <w:pPr>
        <w:pStyle w:val="p3"/>
        <w:spacing w:lineRule="auto" w:line="360" w:before="280" w:after="280"/>
        <w:jc w:val="both"/>
        <w:rPr/>
      </w:pPr>
      <w:r>
        <w:rPr/>
        <w:t>Por el contrario, las mutaciones BRAF V600E, comunes en el cáncer colorrectal, son excepcionalmente infrecuentes en tumores apendiculares, lo que resalta su identidad molecular particular y desaconseja extrapolar estrategias terapéuticas directamente desde el modelo colónico.</w:t>
      </w:r>
    </w:p>
    <w:p>
      <w:pPr>
        <w:pStyle w:val="p1"/>
        <w:spacing w:lineRule="auto" w:line="360" w:before="280" w:after="280"/>
        <w:jc w:val="both"/>
        <w:rPr/>
      </w:pPr>
      <w:r>
        <w:rPr/>
        <w:t>A diferencia de las alteraciones genómicas, que han sido más ampliamente caracterizadas en las neoplasias apendiculares, el estudio de los mecanismos epigenéticos en estos tumores aún es incipiente. Sin embargo, emergen datos que sugieren que la regulación epigenética podría desempeñar un papel clave en la biología tumoral del apéndice. Las principales vías epigenéticas implicadas incluyen la metilación del ADN en regiones promotoras de genes supresores tumorales, las modificaciones de histonas y la remodelación de la cromatina, procesos que condicionan la expresión génica sin alterar la secuencia nucleotídica.</w:t>
      </w:r>
    </w:p>
    <w:p>
      <w:pPr>
        <w:pStyle w:val="p1"/>
        <w:spacing w:lineRule="auto" w:line="360" w:before="280" w:after="280"/>
        <w:jc w:val="both"/>
        <w:rPr/>
      </w:pPr>
      <w:r>
        <w:rPr/>
        <w:t>Diversos estudios han identificado mutaciones en genes como KDM6A, ARID1A, KMT2D, SMARCA4 y SMAD4, todos reguladores epigenéticos implicados en el control transcripcional, el mantenimiento de la arquitectura cromatínica y la estabilidad genómica. La alteración de estas vías sugiere un posible mecanismo epigenómico común en subtipos histológicos diversos, incluidos el adenocarcinoma mucinoso, los LAMN y las neoplasias con células en anillo de sello.</w:t>
      </w:r>
    </w:p>
    <w:p>
      <w:pPr>
        <w:pStyle w:val="p1"/>
        <w:spacing w:lineRule="auto" w:line="360" w:before="280" w:after="280"/>
        <w:jc w:val="both"/>
        <w:rPr/>
      </w:pPr>
      <w:r>
        <w:rPr/>
        <w:t xml:space="preserve">Aunque aún no se han definido biomarcadores epigenéticos clínicamente validados para estos tumores, el estudio de estos mecanismos representa un campo prometedor para el desarrollo de estrategias de detección temprana, predicción de respuesta terapéutica y estratificación pronóstica. En el contexto costarricense, donde el abordaje del cáncer apendicular enfrenta desafíos logísticos y limitaciones diagnósticas, la integración futura de perfiles epigenéticos podría constituir una herramienta complementaria valiosa en casos seleccionados de enfermedad avanzada o con evolución atípica </w:t>
      </w:r>
      <w:r>
        <w:rPr>
          <w:rFonts w:eastAsia="MS Mincho"/>
          <w:color w:val="000000"/>
        </w:rPr>
        <w:t>(20</w:t>
      </w:r>
      <w:sdt>
        <w:sdtPr>
          <w:placeholder>
            <w:docPart w:val="DefaultPlaceholder_-1854013440"/>
          </w:placeholder>
          <w:tag w:val="MENDELEY_CITATION_v3_eyJjaXRhdGlvbklEIjoiTUVOREVMRVlfQ0lUQVRJT05fMWI1MGQ5MzktYjNlYy00MzdjLTkyMDMtY2E3MDQ5MTYyYjdlIiwicHJvcGVydGllcyI6eyJub3RlSW5kZXgiOjB9LCJpc0VkaXRlZCI6ZmFsc2UsIm1hbnVhbE92ZXJyaWRlIjp7ImlzTWFudWFsbHlPdmVycmlkZGVuIjpmYWxzZSwiY2l0ZXByb2NUZXh0IjoiKDIwKSIsIm1hbnVhbE92ZXJyaWRlVGV4dCI6IiJ9LCJjaXRhdGlvbkl0ZW1zIjpbeyJpZCI6IjQ3MGI3ODRkLWRmMGEtMzgxMi04Y2VhLTdkZDBjMTRkMWIwNSIsIml0ZW1EYXRhIjp7InR5cGUiOiJhcnRpY2xlLWpvdXJuYWwiLCJpZCI6IjQ3MGI3ODRkLWRmMGEtMzgxMi04Y2VhLTdkZDBjMTRkMWIwNSIsInRpdGxlIjoiVGhlIFByb21pc2Ugb2YgRXBpZ2VuZXRpY3MgUmVzZWFyY2ggaW4gdGhlIFRyZWF0bWVudCBvZiBBcHBlbmRpY2VhbCBOZW9wbGFzbXMiLCJhdXRob3IiOlt7ImZhbWlseSI6IkxhZGVsIiwiZ2l2ZW4iOiJMdWlzYSIsInBhcnNlLW5hbWVzIjpmYWxzZSwiZHJvcHBpbmctcGFydGljbGUiOiIiLCJub24tZHJvcHBpbmctcGFydGljbGUiOiIifSx7ImZhbWlseSI6IlRhbiIsImdpdmVuIjoiV2FuIFlpbmciLCJwYXJzZS1uYW1lcyI6ZmFsc2UsImRyb3BwaW5nLXBhcnRpY2xlIjoiIiwibm9uLWRyb3BwaW5nLXBhcnRpY2xlIjoiIn0seyJmYW1pbHkiOiJKZXlha2FudGhhbiIsImdpdmVuIjoiVGhhbnVzaGl5YSIsInBhcnNlLW5hbWVzIjpmYWxzZSwiZHJvcHBpbmctcGFydGljbGUiOiIiLCJub24tZHJvcHBpbmctcGFydGljbGUiOiIifSx7ImZhbWlseSI6IlNhaWxvIiwiZ2l2ZW4iOiJCZXRoc2ViaWUiLCJwYXJzZS1uYW1lcyI6ZmFsc2UsImRyb3BwaW5nLXBhcnRpY2xlIjoiIiwibm9uLWRyb3BwaW5nLXBhcnRpY2xlIjoiIn0seyJmYW1pbHkiOiJTaGFybWEiLCJnaXZlbiI6IkFudXAiLCJwYXJzZS1uYW1lcyI6ZmFsc2UsImRyb3BwaW5nLXBhcnRpY2xlIjoiIiwibm9uLWRyb3BwaW5nLXBhcnRpY2xlIjoiIn0seyJmYW1pbHkiOiJBaHVqYSIsImdpdmVuIjoiTml0YSIsInBhcnNlLW5hbWVzIjpmYWxzZSwiZHJvcHBpbmctcGFydGljbGUiOiIiLCJub24tZHJvcHBpbmctcGFydGljbGUiOiIifV0sImNvbnRhaW5lci10aXRsZSI6IkNlbGxzIiwiY29udGFpbmVyLXRpdGxlLXNob3J0IjoiQ2VsbHMiLCJET0kiOiIxMC4zMzkwL0NFTExTMTIxNTE5NjIiLCJJU1NOIjoiMjA3My00NDA5IiwiUE1JRCI6IjM3NTY2MDQxIiwiaXNzdWVkIjp7ImRhdGUtcGFydHMiOltbMjAyM11dfSwiYWJzdHJhY3QiOiJBcHBlbmRpY2VhbCBjYW5jZXJzIChBQykgYXJlIGEgcmFyZSBhbmQgaGV0ZXJvZ2VuZW91cyBncm91cCBvZiBtYWxpZ25hbmNpZXMuIEhpc3RvcmljYWxseSwgYXBwZW5kaWNlYWwgbmVvcGxhc21zIGhhdmUgYmVlbiBncm91cGVkIHdpdGggY29sb3JlY3RhbCBjYW5jZXJzIChDUkMpLCBhbmQgdHJlYXRtZW50IHN0cmF0ZWdpZXMgaGF2ZSBiZWVuIG1vZGVsZWQgYWZ0ZXIgQ1JDIG1hbmFnZW1lbnQgZ3VpZGVsaW5lcyBkdWUgdG8gdGhlaXIgc3RydWN0dXJhbCBzaW1pbGFyaXRpZXMgYW5kIGFuYXRvbWljYWwgcHJveGltaXR5LiBIb3dldmVyLCB0aGUgdHdvIGhhdmUgbWFya2VkIGRpZmZlcmVuY2VzIGluIGJpb2xvZ2ljYWwgYmVoYXZpb3IgYW5kIHRyZWF0bWVudCByZXNwb25zZSwgYW5kIGV2aWRlbmNlIHN1Z2dlc3RzIHNpZ25pZmljYW50IGRpc2NyZXBhbmNpZXMgaW4gdGhlaXIgcmVzcGVjdGl2ZSBnZW5ldGljIHByb2ZpbGVzLiBJbiBhZGRpdGlvbiwgd2hpbGUgdGhlIFdITyBjbGFzc2lmaWNhdGlvbiBmb3IgYXBwZW5kaWNlYWwgY2FuY2VycyBpcyBjdXJyZW50bHkgYmFzZWQgb24gdHJhZGl0aW9uYWwgaGlzdG9wYXRob2xvZ2ljYWwgY3JpdGVyaWEsIHN0dWRpZXMgaGF2ZSBkZW1vbnN0cmF0ZWQgdGhhdCBoaXN0b21vcnBob2xvZ3kgZG9lcyBub3QgY29ycmVsYXRlIHdpdGggc3Vydml2YWwgb3IgdHJlYXRtZW50IHJlc3BvbnNlIGluIEFDLiBEdWUgdG8gdGhlaXIgcmFyaXR5LCBhcHBlbmRpY2VhbCBjYW5jZXJzIGhhdmUgbm90IGJlZW4gc3R1ZGllZCBhcyBleHRlbnNpdmVseSBhcyBvdGhlciBnYXN0cm9pbnRlc3RpbmFsIGNhbmNlcnMuIEhvd2V2ZXIsIHRoZWlyIGluY2lkZW5jZSBoYXMgYmVlbiBpbmNyZWFzaW5nIHN0ZWFkaWx5IG92ZXIgdGhlIHBhc3QgZGVjYWRlLCBtYWtpbmcgaXQgY3J1Y2lhbCB0byBpZGVudGlmeSBuZXcgYW5kIG1vcmUgZWZmZWN0aXZlIHN0cmF0ZWdpZXMgZm9yIGRldGVjdGlvbiBhbmQgdHJlYXRtZW50LiBSZWNlbnQgZWZmb3J0cyB0byBtYXAgYW5kIHVuZGVyc3RhbmQgdGhlIG1vbGVjdWxhciBsYW5kc2NhcGUgb2YgYXBwZW5kaWNlYWwgY2FuY2VycyBoYXZlIHVuZWFydGhlZCBhIHdlYWx0aCBvZiBpbmZvcm1hdGlvbiB0aGF0IGhhcyBtYWRlIGl0IGV2aWRlbnQgdGhhdCBhcHBlbmRpY2VhbCBjYW5jZXJzIHBvc3Nlc3MgYSB1bmlxdWUgbW9sZWN1bGFyIHByb2ZpbGUsIGRpc3RpbmN0IGZyb20gb3RoZXIgZ2FzdHJvaW50ZXN0aW5hbCBjYW5jZXJzLiBUaGlzIHJldmlldyBmb2N1c2VzIG9uIHRoZSBlcGlnZW5ldGljIGxhbmRzY2FwZSBvZiBlcGl0aGVsaWFsIGFwcGVuZGljZWFsIGNhbmNlcnMgYW5kIGFpbXMgdG8gcHJvdmlkZSBhIGNvbXByZWhlbnNpdmUgb3ZlcnZpZXcgb2YgdGhlIGN1cnJlbnQgc3RhdGUgb2Yga25vd2xlZGdlIG9mIGVwaWdlbmV0aWMgY2hhbmdlcyBhY3Jvc3MgZGlmZmVyZW50IGFwcGVuZGljZWFsIGNhbmNlciBzdWJ0eXBlcywgaGlnaGxpZ2h0aW5nIHRoZSBjaGFsbGVuZ2VzIGFzIHdlbGwgYXMgdGhlIHByb21pc2Ugb2YgZW1wbG95aW5nIGVwaWdlbmV0aWNzIGluIHRoZSBxdWVzdCBmb3IgdGhlIGRldGVjdGlvbiBvZiBiaW9tYXJrZXJzLCB0aGVyYXBldXRpYyB0YXJnZXRzLCBzdXJ2ZWlsbGFuY2UgbWFya2VycywgYW5kIHByZWRpY3RvcnMgb2YgdHJlYXRtZW50IHJlc3BvbnNlIGFuZCBzdXJ2aXZhbCBpbiBlcGl0aGVsaWFsIGFwcGVuZGljZWFsIG5lb3BsYXNtcy4iLCJwdWJsaXNoZXIiOiJDZWxscyIsImlzc3VlIjoiMTUiLCJ2b2x1bWUiOiIxMiJ9LCJpc1RlbXBvcmFyeSI6ZmFsc2V9XX0="/>
          <w:id w:val="-1576660079"/>
        </w:sdtPr>
        <w:sdtContent>
          <w:r>
            <w:rPr>
              <w:rFonts w:eastAsia="MS Mincho"/>
              <w:color w:val="000000"/>
            </w:rPr>
          </w:r>
          <w:r>
            <w:rPr>
              <w:color w:val="000000"/>
            </w:rPr>
            <w:t>(20)</w:t>
          </w:r>
        </w:sdtContent>
      </w:sdt>
    </w:p>
    <w:p>
      <w:pPr>
        <w:pStyle w:val="p3"/>
        <w:spacing w:lineRule="auto" w:line="360" w:before="280" w:after="280"/>
        <w:jc w:val="both"/>
        <w:rPr/>
      </w:pPr>
      <w:r>
        <w:rPr/>
        <w:t>La identificación de anormalidades moleculares en el cáncer apendicular no solo permite una mejor comprensión de su biología, sino que ofrece oportunidades para:</w:t>
      </w:r>
    </w:p>
    <w:p>
      <w:pPr>
        <w:pStyle w:val="p1"/>
        <w:numPr>
          <w:ilvl w:val="0"/>
          <w:numId w:val="7"/>
        </w:numPr>
        <w:spacing w:lineRule="auto" w:line="360" w:before="280" w:after="0"/>
        <w:jc w:val="both"/>
        <w:rPr/>
      </w:pPr>
      <w:r>
        <w:rPr>
          <w:rStyle w:val="s1"/>
          <w:b/>
          <w:bCs/>
        </w:rPr>
        <w:t>Desarrollo de biomarcadores pronósticos</w:t>
      </w:r>
      <w:r>
        <w:rPr/>
        <w:t>: Mutaciones en TP53, pérdida de SMAD4 o alteraciones en la vía KRAS–GNAS pueden utilizarse para estratificar a los pacientes según el riesgo de recurrencia.</w:t>
      </w:r>
    </w:p>
    <w:p>
      <w:pPr>
        <w:pStyle w:val="p1"/>
        <w:numPr>
          <w:ilvl w:val="0"/>
          <w:numId w:val="7"/>
        </w:numPr>
        <w:spacing w:lineRule="auto" w:line="360" w:before="0" w:after="0"/>
        <w:jc w:val="both"/>
        <w:rPr/>
      </w:pPr>
      <w:r>
        <w:rPr>
          <w:rStyle w:val="s1"/>
          <w:b/>
          <w:bCs/>
        </w:rPr>
        <w:t>Diseño de terapias dirigidas</w:t>
      </w:r>
      <w:r>
        <w:rPr/>
        <w:t>: A futuro, las terapias que inhiban rutas específicas de señalización podrían representar alternativas terapéuticas en subgrupos seleccionados.</w:t>
      </w:r>
    </w:p>
    <w:p>
      <w:pPr>
        <w:pStyle w:val="p1"/>
        <w:numPr>
          <w:ilvl w:val="0"/>
          <w:numId w:val="7"/>
        </w:numPr>
        <w:spacing w:lineRule="auto" w:line="360" w:before="0" w:after="280"/>
        <w:jc w:val="both"/>
        <w:rPr/>
      </w:pPr>
      <w:r>
        <w:rPr>
          <w:rStyle w:val="s1"/>
          <w:b/>
          <w:bCs/>
        </w:rPr>
        <w:t>Mejor caracterización de subtipos tumorales</w:t>
      </w:r>
      <w:r>
        <w:rPr/>
        <w:t>: Las firmas moleculares permiten distinguir entre neoplasias de bajo y alto grado, así como entre mucinosas y no mucinosas.</w:t>
      </w:r>
    </w:p>
    <w:p>
      <w:pPr>
        <w:pStyle w:val="p3"/>
        <w:spacing w:lineRule="auto" w:line="360" w:before="280" w:after="280"/>
        <w:jc w:val="both"/>
        <w:rPr/>
      </w:pPr>
      <w:r>
        <w:rPr/>
        <w:t>Esta clarificación de las anormalidades moleculares en el cáncer apendicular subyace a su heterogeneidad clínica y pronóstica, representando no solo un campo de interés académico, sino también una plataforma potencial para la innovación terapéutica personalizada en el futuro.</w:t>
      </w:r>
    </w:p>
    <w:p>
      <w:pPr>
        <w:pStyle w:val="Normal"/>
        <w:spacing w:lineRule="auto" w:line="360"/>
        <w:jc w:val="both"/>
        <w:rPr/>
      </w:pPr>
      <w:r>
        <w:rPr/>
      </w:r>
    </w:p>
    <w:p>
      <w:pPr>
        <w:pStyle w:val="Heading2"/>
        <w:numPr>
          <w:ilvl w:val="1"/>
          <w:numId w:val="58"/>
        </w:numPr>
        <w:rPr/>
      </w:pPr>
      <w:bookmarkStart w:id="60" w:name="_Toc199584574"/>
      <w:bookmarkStart w:id="61" w:name="_Toc200580219"/>
      <w:r>
        <w:rPr/>
        <w:t>Tipos de neoplasias apendiculares</w:t>
      </w:r>
      <w:bookmarkEnd w:id="60"/>
      <w:bookmarkEnd w:id="61"/>
    </w:p>
    <w:p>
      <w:pPr>
        <w:pStyle w:val="p3"/>
        <w:spacing w:lineRule="auto" w:line="360" w:before="280" w:after="280"/>
        <w:jc w:val="both"/>
        <w:rPr/>
      </w:pPr>
      <w:r>
        <w:rPr/>
        <w:t>Los tumores apendiculares constituyen un grupo heterogéneo de neoplasias que varían considerablemente en su histología, comportamiento clínico y pronóstico. Aunque globalmente son raros, representan un espectro amplio. Cada subtipo tumoral posee particularidades que condicionan su forma de presentación, el tratamiento quirúrgico requerido y el seguimiento posterior. En las secciones siguientes se describen las principales entidades histológicas, sus características clínicas y su implicación terapéutica.</w:t>
      </w:r>
    </w:p>
    <w:p>
      <w:pPr>
        <w:pStyle w:val="p3"/>
        <w:spacing w:lineRule="auto" w:line="360" w:before="280" w:after="280"/>
        <w:jc w:val="both"/>
        <w:rPr/>
      </w:pPr>
      <w:r>
        <w:rPr/>
        <w:t xml:space="preserve">Es importante señalar que la clasificación y la terminología de las neoplasias apendiculares han sido motivo de controversia durante décadas. Por esta razón, en el presente trabajo se tomó como referencia la última actualización de la clasificación de la </w:t>
      </w:r>
      <w:r>
        <w:rPr>
          <w:rStyle w:val="Emphasis"/>
        </w:rPr>
        <w:t>World Health Organization</w:t>
      </w:r>
      <w:r>
        <w:rPr/>
        <w:t xml:space="preserve"> (WHO), 5.ª edición (2019), y la 8.ª edición del </w:t>
      </w:r>
      <w:r>
        <w:rPr>
          <w:rStyle w:val="Emphasis"/>
        </w:rPr>
        <w:t>American Joint Committee on Cancer Staging Manual</w:t>
      </w:r>
      <w:r>
        <w:rPr/>
        <w:t xml:space="preserve">, donde se agrupan los subtipos histológicos en dos grandes categorías, a las cuales se añade una subclasificación para neoplasias epiteliales poco diferenciadas que no se ajustan completamente a los tipos previamente descritos: </w:t>
      </w:r>
    </w:p>
    <w:p>
      <w:pPr>
        <w:pStyle w:val="p3"/>
        <w:numPr>
          <w:ilvl w:val="0"/>
          <w:numId w:val="37"/>
        </w:numPr>
        <w:spacing w:lineRule="auto" w:line="360" w:before="280" w:after="0"/>
        <w:jc w:val="both"/>
        <w:rPr/>
      </w:pPr>
      <w:r>
        <w:rPr/>
        <w:t>Tumores neuroendocrinos.</w:t>
      </w:r>
    </w:p>
    <w:p>
      <w:pPr>
        <w:pStyle w:val="p3"/>
        <w:numPr>
          <w:ilvl w:val="0"/>
          <w:numId w:val="37"/>
        </w:numPr>
        <w:spacing w:lineRule="auto" w:line="360" w:before="0" w:after="0"/>
        <w:jc w:val="both"/>
        <w:rPr/>
      </w:pPr>
      <w:r>
        <w:rPr/>
        <w:t>Neoplasias epiteliales, conformadas por adenocarcinomas mucinosos, adenocarcinomas de células caliciformes, adenocarcinomas no mucinosos (como el de tipo colónico), adenocarcinomas con células en anillo de sello, y finalmente, carcinomas indiferenciados y mixtos epiteliales.</w:t>
      </w:r>
    </w:p>
    <w:p>
      <w:pPr>
        <w:pStyle w:val="Heading3"/>
        <w:numPr>
          <w:ilvl w:val="2"/>
          <w:numId w:val="59"/>
        </w:numPr>
        <w:rPr>
          <w:sz w:val="27"/>
        </w:rPr>
      </w:pPr>
      <w:bookmarkStart w:id="62" w:name="_Toc200580220"/>
      <w:bookmarkStart w:id="63" w:name="_Toc199584575"/>
      <w:r>
        <w:rPr/>
        <w:t>Tumores neuroendocrinos apendiculares</w:t>
      </w:r>
      <w:bookmarkEnd w:id="62"/>
      <w:bookmarkEnd w:id="63"/>
    </w:p>
    <w:p>
      <w:pPr>
        <w:pStyle w:val="p1"/>
        <w:spacing w:lineRule="auto" w:line="360" w:before="280" w:after="280"/>
        <w:jc w:val="both"/>
        <w:rPr/>
      </w:pPr>
      <w:r>
        <w:rPr/>
        <w:t xml:space="preserve">De acuerdo con la clasificación antes mencionada, los tumores neuroendocrinos del apéndice vermiforme (TNEA) representan la neoplasia más común en esta localización, constituyendo entre el 30% y el 80% de todos los tumores apendiculares, según diversas series recientes. Su diagnóstico suele ser incidental, identificado en el análisis histopatológico de piezas de apendicectomía realizadas por sospecha de apendicitis aguda, dado que los TNEA rara vez presentan manifestaciones clínicas específicas </w:t>
      </w:r>
      <w:sdt>
        <w:sdtPr>
          <w:placeholder>
            <w:docPart w:val="3DC624430E78194794DFC75B201524A4"/>
          </w:placeholder>
          <w:tag w:val="MENDELEY_CITATION_v3_eyJjaXRhdGlvbklEIjoiTUVOREVMRVlfQ0lUQVRJT05fZTI5MzQ4N2ItOTliMC00MWQ1LTgyM2UtNjQ0YWY1NGI0OTFlIiwicHJvcGVydGllcyI6eyJub3RlSW5kZXgiOjB9LCJpc0VkaXRlZCI6ZmFsc2UsIm1hbnVhbE92ZXJyaWRlIjp7ImlzTWFudWFsbHlPdmVycmlkZGVuIjpmYWxzZSwiY2l0ZXByb2NUZXh0IjoiKDIyKSIsIm1hbnVhbE92ZXJyaWRlVGV4dCI6IiJ9LCJjaXRhdGlvbkl0ZW1zIjpbeyJpZCI6IjdmNzJkOGMzLTY3M2QtM2VmNC04MWNhLTNjZmQzOTJjNmY2YyIsIml0ZW1EYXRhIjp7InR5cGUiOiJhcnRpY2xlLWpvdXJuYWwiLCJpZCI6IjdmNzJkOGMzLTY3M2QtM2VmNC04MWNhLTNjZmQzOTJjNmY2YyIsInRpdGxlIjoiQW4gVXBkYXRlIG9uIEFwcGVuZGljZWFsIE5ldXJvZW5kb2NyaW5lIFR1bW9ycyIsImF1dGhvciI6W3siZmFtaWx5IjoiQW5kcmluaSIsImdpdmVuIjoiRWxpc2EiLCJwYXJzZS1uYW1lcyI6ZmFsc2UsImRyb3BwaW5nLXBhcnRpY2xlIjoiIiwibm9uLWRyb3BwaW5nLXBhcnRpY2xlIjoiIn0seyJmYW1pbHkiOiJMYW1iZXJ0aSIsImdpdmVuIjoiR2l1c2VwcGUiLCJwYXJzZS1uYW1lcyI6ZmFsc2UsImRyb3BwaW5nLXBhcnRpY2xlIjoiIiwibm9uLWRyb3BwaW5nLXBhcnRpY2xlIjoiIn0seyJmYW1pbHkiOiJBbGJlcmljaSIsImdpdmVuIjoiTGF1cmEiLCJwYXJzZS1uYW1lcyI6ZmFsc2UsImRyb3BwaW5nLXBhcnRpY2xlIjoiIiwibm9uLWRyb3BwaW5nLXBhcnRpY2xlIjoiIn0seyJmYW1pbHkiOiJSaWNjaSIsImdpdmVuIjoiQ2xhdWRpbyIsInBhcnNlLW5hbWVzIjpmYWxzZSwiZHJvcHBpbmctcGFydGljbGUiOiIiLCJub24tZHJvcHBpbmctcGFydGljbGUiOiIifSx7ImZhbWlseSI6IkNhbXBhbmEiLCJnaXZlbiI6IkRhdmlkZSIsInBhcnNlLW5hbWVzIjpmYWxzZSwiZHJvcHBpbmctcGFydGljbGUiOiIiLCJub24tZHJvcHBpbmctcGFydGljbGUiOiIifV0sImNvbnRhaW5lci10aXRsZSI6IkN1cnJlbnQgdHJlYXRtZW50IG9wdGlvbnMgaW4gb25jb2xvZ3kiLCJjb250YWluZXItdGl0bGUtc2hvcnQiOiJDdXJyIFRyZWF0IE9wdGlvbnMgT25jb2wiLCJET0kiOiIxMC4xMDA3L1MxMTg2NC0wMjMtMDEwOTMtMCIsIklTU04iOiIxNTM0LTYyNzciLCJQTUlEIjoiMzcxNDA3NzMiLCJpc3N1ZWQiOnsiZGF0ZS1wYXJ0cyI6W1syMDIzXV19LCJwYWdlIjoiNzQyLTc1NiIsImFic3RyYWN0IjoiVGhlIG1haW5zdGF5IG9mIGFwcGVuZGljZWFsIG5ldXJvZW5kb2NyaW5lIG5lb3BsYXNtIChhTkVOKSB0cmVhdG1lbnQgaXMgc3VyZ2VyeSwgYmFzZWQgb24gc2ltcGxlIGFwcGVuZGVjdG9teSBvciByaWdodC1zaWRlZCBoZW1pY29sZWN0b215IHdpdGggbHltcGhhZGVuZWN0b215IChSSEMpLiBUaGUgbWFqb3JpdHkgb2YgYU5FTnMgYXJlIGFkZXF1YXRlbHkgdHJlYXRlZCB3aXRoIGFwcGVuZGVjdG9teSwgYnV0IGN1cnJlbnQgZ3VpZGVsaW5lcyBoYXZlIHBvb3IgYWNjdXJhY3kgaW4gdGVybXMgb2Ygc2VsZWN0aW5nIHBhdGllbnRzIHJlcXVpcmluZyBSSEMsIGVzcGVjaWFsbHkgaW4gYU5FTnMgMeKAkzLCoGNtIGluIHNpemUuIFNpbXBsZSBhcHBlbmRlY3RvbXkgaXMgY3VyYXRpdmUgZm9yIGFwcGVuZGljZWFsIE5FVHMgKEcx4oCTRzIpIDwgMcKgY20gKGlmIHRoZSByZXNlY3Rpb24gc3RhdHVzIGlzIFIwKSwgd2hlcmVhcyBSSEMgd2l0aCBseW1waCBub2RlIGRpc3NlY3Rpb24gaXMgcmVjb21tZW5kZWQgaW4gdHVtb3JzIOKJpSAywqBjbSBpbiBkaWFtZXRlciwgYmFzZWQgb24gdGhlIGhpZ2ggcmlzayBvZiBub2RhbCBtZXRhc3Rhc2VzIGluIHRoZXNlIGNhc2VzLiBUaGUgY2xpbmljYWwgbWFuYWdlbWVudCBvZiBhTkVOcyAx4oCTMsKgY20gaW4gc2l6ZSBpcyBtb3JlIGNvbnRyb3ZlcnNpYWwgYmVjYXVzZSBseW1waCBub2RlIG9yIGRpc3RhbnQgbWV0YXN0YXNlcyBhcmUgdW5jb21tb24gYnV0IHBvc3NpYmxlLiBJbiBvdXIgb3BpbmlvbiwgcGF0aWVudHMgd2l0aCB0dW1vciBzaXplID4gMTXCoG1tIG9yIHdpdGggZ3JhZGluZyBHMiAoYWNjb3JkaW5nIHRvIFdITyAyMDEwKSBhbmQvb3IgbHltcGhvLXZhc2N1bGFyIGludmFzaW9uIHNob3VsZCBiZSByZWZlcnJlZCBmb3IgcmFkaWNhbGl6YXRpb24gd2l0aCBSSEMuIEhvd2V2ZXIsIGRlY2lzaW9uLW1ha2luZyBpbiB0aGVzZSBjYXNlcyBzaG91bGQgaW5jbHVkZSBkaXNjdXNzaW9uIHdpdGhpbiBhIG11bHRpZGlzY2lwbGluYXJ5IHR1bW9yIGJvYXJkIGF0IHJlZmVycmFsIGNlbnRlcnMgd2l0aCB0aGUgYWltIG9mIG9mZmVyaW5nIGVhY2ggcGF0aWVudCBhIHRhaWxvcmVkIHRyZWF0bWVudCwgYWxzbyBjb25zaWRlcmluZyB0aGF0IHJlbGF0aXZlbHkgeW91bmcgcGF0aWVudHMgd2l0aCBsb25nLWxpZmUgZXhwZWN0YW5jeSByZXByZXNlbnQgdGhlIG1ham9yaXR5IG9mIGNhc2VzLiIsInB1Ymxpc2hlciI6IkN1cnIgVHJlYXQgT3B0aW9ucyBPbmNvbCIsImlzc3VlIjoiNyIsInZvbHVtZSI6IjI0In0sImlzVGVtcG9yYXJ5IjpmYWxzZX1dfQ=="/>
          <w:id w:val="-201939743"/>
        </w:sdtPr>
        <w:sdtContent>
          <w:r>
            <w:rPr/>
          </w:r>
          <w:r>
            <w:rPr>
              <w:color w:val="000000"/>
            </w:rPr>
            <w:t>(22)</w:t>
          </w:r>
        </w:sdtContent>
      </w:sdt>
      <w:r>
        <w:rPr/>
        <w:t>.</w:t>
      </w:r>
      <w:r>
        <w:rPr/>
        <w:t xml:space="preserve"> </w:t>
      </w:r>
    </w:p>
    <w:p>
      <w:pPr>
        <w:pStyle w:val="p1"/>
        <w:spacing w:lineRule="auto" w:line="360" w:before="280" w:after="280"/>
        <w:jc w:val="both"/>
        <w:rPr/>
      </w:pPr>
      <w:r>
        <w:rPr/>
        <w:t xml:space="preserve">Aunque se ha observado una tendencia por el sexo femenino, algunos estudios no demuestran una preferencia significativa por sexo. La edad de aparición se sitúa aproximadamente entre los 33 y los 51 años </w:t>
      </w:r>
      <w:sdt>
        <w:sdtPr>
          <w:placeholder>
            <w:docPart w:val="DefaultPlaceholder_-1854013440"/>
          </w:placeholder>
          <w:tag w:val="MENDELEY_CITATION_v3_eyJjaXRhdGlvbklEIjoiTUVOREVMRVlfQ0lUQVRJT05fODM2MmI3ZTgtOWE0OS00YjE2LTg3ZDQtOTM4YzI3YmJmNzgyIiwicHJvcGVydGllcyI6eyJub3RlSW5kZXgiOjB9LCJpc0VkaXRlZCI6ZmFsc2UsIm1hbnVhbE92ZXJyaWRlIjp7ImlzTWFudWFsbHlPdmVycmlkZGVuIjpmYWxzZSwiY2l0ZXByb2NUZXh0IjoiKDIzKSIsIm1hbnVhbE92ZXJyaWRlVGV4dCI6IiJ9LCJjaXRhdGlvbkl0ZW1zIjpbeyJpZCI6ImJkN2RkYTk0LTNlMTEtMzIyMi1hNjI2LTcwY2VmZTQ5ZmU2ZSIsIml0ZW1EYXRhIjp7InR5cGUiOiJhcnRpY2xlLWpvdXJuYWwiLCJpZCI6ImJkN2RkYTk0LTNlMTEtMzIyMi1hNjI2LTcwY2VmZTQ5ZmU2ZSIsInRpdGxlIjoiQXBwZW5kaWNlYWwgTmV1cm9lbmRvY3JpbmUgTmVvcGxhc21zOiBBIENvbXByZWhlbnNpdmUgUmV2aWV3IiwiYXV0aG9yIjpbeyJmYW1pbHkiOiJQYWRtYW5hYmhhbiBOYWlyIFNvYmhhIiwiZ2l2ZW4iOiJSZW5qaXRoIiwicGFyc2UtbmFtZXMiOmZhbHNlLCJkcm9wcGluZy1wYXJ0aWNsZSI6IiIsIm5vbi1kcm9wcGluZy1wYXJ0aWNsZSI6IiJ9LHsiZmFtaWx5IjoiSmVuc2VuIiwiZ2l2ZW4iOiJDb3JleSBULiIsInBhcnNlLW5hbWVzIjpmYWxzZSwiZHJvcHBpbmctcGFydGljbGUiOiIiLCJub24tZHJvcHBpbmctcGFydGljbGUiOiIifSx7ImZhbWlseSI6IldhdGVycyIsImdpdmVuIjoiUmViZWNjYSIsInBhcnNlLW5hbWVzIjpmYWxzZSwiZHJvcHBpbmctcGFydGljbGUiOiIiLCJub24tZHJvcHBpbmctcGFydGljbGUiOiIifSx7ImZhbWlseSI6IkNhbGltYW5vLVJhbWlyZXoiLCJnaXZlbiI6Ikx1aXMgRmVybmFuZG8iLCJwYXJzZS1uYW1lcyI6ZmFsc2UsImRyb3BwaW5nLXBhcnRpY2xlIjoiIiwibm9uLWRyb3BwaW5nLXBhcnRpY2xlIjoiIn0seyJmYW1pbHkiOiJWaXJhcmthciIsImdpdmVuIjoiTWF5dXIgSy4iLCJwYXJzZS1uYW1lcyI6ZmFsc2UsImRyb3BwaW5nLXBhcnRpY2xlIjoiIiwibm9uLWRyb3BwaW5nLXBhcnRpY2xlIjoiIn1dLCJjb250YWluZXItdGl0bGUiOiJKb3VybmFsIG9mIGNvbXB1dGVyIGFzc2lzdGVkIHRvbW9ncmFwaHkiLCJjb250YWluZXItdGl0bGUtc2hvcnQiOiJKIENvbXB1dCBBc3Npc3QgVG9tb2dyIiwiRE9JIjoiMTAuMTA5Ny9SQ1QuMDAwMDAwMDAwMDAwMTUyOCIsIklTU04iOiIxNTMyLTMxNDUiLCJQTUlEIjoiMzc1NzQ2NTMiLCJpc3N1ZWQiOnsiZGF0ZS1wYXJ0cyI6W1syMDI0XV19LCJwYWdlIjoiNTQ1LTU2MiIsImFic3RyYWN0IjoiQXBwZW5kaWNlYWwgbmV1cm9lbmRvY3JpbmUgbmVvcGxhc20gKE5FTikgaXMgdGhlIG1vc3QgY29tbW9uIGFkdWx0IGFwcGVuZGljZWFsIG1hbGlnbmFudCB0dW1vciwgY29uc3RpdHV0aW5nIDE2JSBvZiBnYXN0cm9pbnRlc3RpbmFsIE5FTnMuIFRoZXkgYXJlIHZlcnNhdGlsZSB0dW1vcnMgd2l0aCB2YXJ5aW5nIG1vcnBob2xvZ3ksIGltbXVub2hpc3RvY2hlbWlzdHJ5LCBzZWNyZXRvcnkgcHJvcGVydGllcywgYW5kIGNhbmNlciBnZW5vbWljcy4gVGhleSBhcmUgc2xvdyBncm93aW5nIGFuZCBjbGluaWNhbGx5IHNpbGVudCwgdG8gYmVnaW4gd2l0aCwgb3IgcHJlc2VudCB3aXRoIGZlYXR1cmVzIG9mIG5vbnNwZWNpZmljIHZhZ3VlIGFiZG9taW5hbCBwYWluLiBNb3N0IGFjdXRlIHByZXNlbnRhdGlvbnMgYXJlIGF0dHJpYnV0ZWQgY2xpbmljYWxseSB0byBhcHBlbmRpY2l0aXMsIHdpdGggbW9zdCBjYXNlcyBkZXRlY3RlZCBpbmNpZGVudGFsbHkgb24gcGF0aG9sb2d5IGFmdGVyIGFuIGFwcGVuZGVjdG9teS4gQXBwcm94aW1hdGVseSA0MCUgb2YgdGhlbSBwcmVzZW50IGNsaW5pY2FsbHkgd2l0aCBmZWF0dXJlcyBvZiBob3Jtb25hbCBleGNlc3MsIHdoaWNoIGlzIGxpa2VuZWQgdG8gdGhlIGZ1bmN0aW9uYWwgc2VjcmV0b3J5IG5hdHVyZSBvZiB0aGVpciBwYXJlbnQgY2VsbCBvZiBvcmlnaW4uIFRoZSBzeW1wdG9tcyBvZiBjYXJjaW5vaWQgc3luZHJvbWUgcmVuZGVyIHRoZWlyIHByZXNlbmNlIGNsaW5pY2FsbHkgZXZpZGVudC4gSG93ZXZlciwgc2xvdyBncm93aW5nIGFuZCBzeW1wdG9tYXRpY2FsbHkgc2lsZW50IGluIGl0cyBpbml0aWFsIHN0YWdlcywgaGlnaC1ncmFkZSBuZXVyb2VuZG9jcmluZSB0dW1vcnMgYW5kIG5ldXJvZW5kb2NyaW5lIGNhcmNpbm9tYXMgb2YgdGhlIGFwcGVuZGl4IGFyZSBhZ2dyZXNzaXZlIGFuZCB1c3VhbGx5IGhhdmUgaGVwYXRpYyBhbmQgbHltcGggbm9kZSBtZXRhc3Rhc2lzIGF0IHByZXNlbnRhdGlvbi4gVGhpcyByZXZpZXcgYXJ0aWNsZSBmb2N1c2VzIG9uIGltYWdpbmcgY2hhcmFjdGVyaXN0aWNzLCBXb3JsZCBIZWFsdGggT3JnYW5pemF0aW9uIGhpc3RvcGF0aG9sb2dpY2FsIGNsYXNzaWZpY2F0aW9uIGFuZCBncmFkaW5nLCBBbWVyaWNhbiBKb2ludCBDb21taXR0ZWUgb24gQ2FuY2VyL1VuaW9uIG9yIEludGVybmF0aW9uYWwgQ2FuY2VyIENvbnRyb2wsIEV1cm9wZWFuIE5ldXJvZW5kb2NyaW5lIFR1bW9yIFNvY2lldHkgc3RhZ2luZywgRXVyb3BlYW4gTmV1cm9lbmRvY3JpbmUgVHVtb3IgU29jaWV0eSBzdGFuZGFyZGl6ZWQgZ3VpZGVsaW5lcyBmb3IgcmVwb3J0aW5nLCBkYXRhIGludGVycHJldGF0aW9uLCBlYXJseS1zdGFnZSBtYW5hZ2VtZW50IHByb3RvY29scywgYW5kIGFkdmFuY2VkLXN0YWdlIGFwcGVuZGljZWFsIE5FTnMuIEd1aWRlbGluZXMgYXJlIGFsc28gc2V0IGZvciB0aGUgZm9sbG93LXVwIGFuZCByZWFzc2Vzc21lbnQuIFRoZSByb2xlIG9mIHRhcmdldGVkIHJhZGlvdGhlcmFweSwgY2hlbW90aGVyYXB5LCBhbmQgaGlnaC1kb3NlIHNvbWF0b3N0YXRpbiBhbmFsb2dzIGluIHRyZWF0aW5nIGFkdmFuY2VkIGRpc2Vhc2UgYXJlIGRpc2N1c3NlZCwgYWxvbmcgd2l0aCB0eXBlcyBvZiBhYmxhdGl2ZSB0aGVyYXBpZXMgYW5kIGxpdmVyIHRyYW5zcGxhbnRhdGlvbiBmb3IgdHVtb3IgcmVjdXJyZW5jZS4gVGhlIHNlYXJjaCBmb3IgbmV3ZXIgbG9jYXRpb24tc3BlY2lmaWMgYmlvbWFya2VycyBpbiBORU4gaXMgYWxzbyBzdW1tYXJpemVkLiBSZWdhcmRpbmcgdGhlIHZhcnlpbmcgYWdncmVzc2l2ZW5lc3Mgb2YgdGhlIHR1bW9yLCB0aGVyZSBpcyBhIHNjb3BlIGZvciByZXNlYXJjaCBpbiB0aGUgZmllbGQsIHdpdGggcGxlbnR5IG9mIGRhdGEgeWV0IHRvIGJlIGRpc2NvdmVyZWQuIiwicHVibGlzaGVyIjoiSiBDb21wdXQgQXNzaXN0IFRvbW9nciIsImlzc3VlIjoiNCIsInZvbHVtZSI6IjQ4In0sImlzVGVtcG9yYXJ5IjpmYWxzZX1dfQ=="/>
          <w:id w:val="603153701"/>
        </w:sdtPr>
        <w:sdtContent>
          <w:r>
            <w:rPr/>
          </w:r>
          <w:r>
            <w:rPr>
              <w:color w:val="000000"/>
            </w:rPr>
            <w:t>(23)</w:t>
          </w:r>
        </w:sdtContent>
      </w:sdt>
      <w:r>
        <w:rPr>
          <w:color w:val="000000"/>
        </w:rPr>
        <w:t>.</w:t>
      </w:r>
    </w:p>
    <w:p>
      <w:pPr>
        <w:pStyle w:val="p1"/>
        <w:spacing w:lineRule="auto" w:line="360" w:before="280" w:after="280"/>
        <w:jc w:val="both"/>
        <w:rPr/>
      </w:pPr>
      <w:r>
        <w:rPr/>
        <w:t>Los TNEA derivan de las células enterocromafines (células de Kulchitsky), localizadas predominantemente en la base del apéndice. Estas células forman parte del sistema neuroendocrino difuso y secretan diversas aminas biogénicas, especialmente serotonina. Sin embargo, a diferencia de otros tumores neuroendocrinos del tracto gastrointestinal, la producción clínica de síndrome carcinoide en los tumores apendiculares es extremadamente infrecuente, reportándose en menos del 1% de los casos</w:t>
      </w:r>
      <w:sdt>
        <w:sdtPr>
          <w:placeholder>
            <w:docPart w:val="3DC624430E78194794DFC75B201524A4"/>
          </w:placeholder>
          <w:tag w:val="MENDELEY_CITATION_v3_eyJjaXRhdGlvbklEIjoiTUVOREVMRVlfQ0lUQVRJT05fMmY0YmQ2ZWUtZTBkNy00OGIxLTlhYTktY2FiY2JhM2YxOWUyIiwicHJvcGVydGllcyI6eyJub3RlSW5kZXgiOjB9LCJpc0VkaXRlZCI6ZmFsc2UsIm1hbnVhbE92ZXJyaWRlIjp7ImlzTWFudWFsbHlPdmVycmlkZGVuIjpmYWxzZSwiY2l0ZXByb2NUZXh0IjoiKDIzKSIsIm1hbnVhbE92ZXJyaWRlVGV4dCI6IiJ9LCJjaXRhdGlvbkl0ZW1zIjpbeyJpZCI6ImJkN2RkYTk0LTNlMTEtMzIyMi1hNjI2LTcwY2VmZTQ5ZmU2ZSIsIml0ZW1EYXRhIjp7InR5cGUiOiJhcnRpY2xlLWpvdXJuYWwiLCJpZCI6ImJkN2RkYTk0LTNlMTEtMzIyMi1hNjI2LTcwY2VmZTQ5ZmU2ZSIsInRpdGxlIjoiQXBwZW5kaWNlYWwgTmV1cm9lbmRvY3JpbmUgTmVvcGxhc21zOiBBIENvbXByZWhlbnNpdmUgUmV2aWV3IiwiYXV0aG9yIjpbeyJmYW1pbHkiOiJQYWRtYW5hYmhhbiBOYWlyIFNvYmhhIiwiZ2l2ZW4iOiJSZW5qaXRoIiwicGFyc2UtbmFtZXMiOmZhbHNlLCJkcm9wcGluZy1wYXJ0aWNsZSI6IiIsIm5vbi1kcm9wcGluZy1wYXJ0aWNsZSI6IiJ9LHsiZmFtaWx5IjoiSmVuc2VuIiwiZ2l2ZW4iOiJDb3JleSBULiIsInBhcnNlLW5hbWVzIjpmYWxzZSwiZHJvcHBpbmctcGFydGljbGUiOiIiLCJub24tZHJvcHBpbmctcGFydGljbGUiOiIifSx7ImZhbWlseSI6IldhdGVycyIsImdpdmVuIjoiUmViZWNjYSIsInBhcnNlLW5hbWVzIjpmYWxzZSwiZHJvcHBpbmctcGFydGljbGUiOiIiLCJub24tZHJvcHBpbmctcGFydGljbGUiOiIifSx7ImZhbWlseSI6IkNhbGltYW5vLVJhbWlyZXoiLCJnaXZlbiI6Ikx1aXMgRmVybmFuZG8iLCJwYXJzZS1uYW1lcyI6ZmFsc2UsImRyb3BwaW5nLXBhcnRpY2xlIjoiIiwibm9uLWRyb3BwaW5nLXBhcnRpY2xlIjoiIn0seyJmYW1pbHkiOiJWaXJhcmthciIsImdpdmVuIjoiTWF5dXIgSy4iLCJwYXJzZS1uYW1lcyI6ZmFsc2UsImRyb3BwaW5nLXBhcnRpY2xlIjoiIiwibm9uLWRyb3BwaW5nLXBhcnRpY2xlIjoiIn1dLCJjb250YWluZXItdGl0bGUiOiJKb3VybmFsIG9mIGNvbXB1dGVyIGFzc2lzdGVkIHRvbW9ncmFwaHkiLCJjb250YWluZXItdGl0bGUtc2hvcnQiOiJKIENvbXB1dCBBc3Npc3QgVG9tb2dyIiwiRE9JIjoiMTAuMTA5Ny9SQ1QuMDAwMDAwMDAwMDAwMTUyOCIsIklTU04iOiIxNTMyLTMxNDUiLCJQTUlEIjoiMzc1NzQ2NTMiLCJpc3N1ZWQiOnsiZGF0ZS1wYXJ0cyI6W1syMDI0XV19LCJwYWdlIjoiNTQ1LTU2MiIsImFic3RyYWN0IjoiQXBwZW5kaWNlYWwgbmV1cm9lbmRvY3JpbmUgbmVvcGxhc20gKE5FTikgaXMgdGhlIG1vc3QgY29tbW9uIGFkdWx0IGFwcGVuZGljZWFsIG1hbGlnbmFudCB0dW1vciwgY29uc3RpdHV0aW5nIDE2JSBvZiBnYXN0cm9pbnRlc3RpbmFsIE5FTnMuIFRoZXkgYXJlIHZlcnNhdGlsZSB0dW1vcnMgd2l0aCB2YXJ5aW5nIG1vcnBob2xvZ3ksIGltbXVub2hpc3RvY2hlbWlzdHJ5LCBzZWNyZXRvcnkgcHJvcGVydGllcywgYW5kIGNhbmNlciBnZW5vbWljcy4gVGhleSBhcmUgc2xvdyBncm93aW5nIGFuZCBjbGluaWNhbGx5IHNpbGVudCwgdG8gYmVnaW4gd2l0aCwgb3IgcHJlc2VudCB3aXRoIGZlYXR1cmVzIG9mIG5vbnNwZWNpZmljIHZhZ3VlIGFiZG9taW5hbCBwYWluLiBNb3N0IGFjdXRlIHByZXNlbnRhdGlvbnMgYXJlIGF0dHJpYnV0ZWQgY2xpbmljYWxseSB0byBhcHBlbmRpY2l0aXMsIHdpdGggbW9zdCBjYXNlcyBkZXRlY3RlZCBpbmNpZGVudGFsbHkgb24gcGF0aG9sb2d5IGFmdGVyIGFuIGFwcGVuZGVjdG9teS4gQXBwcm94aW1hdGVseSA0MCUgb2YgdGhlbSBwcmVzZW50IGNsaW5pY2FsbHkgd2l0aCBmZWF0dXJlcyBvZiBob3Jtb25hbCBleGNlc3MsIHdoaWNoIGlzIGxpa2VuZWQgdG8gdGhlIGZ1bmN0aW9uYWwgc2VjcmV0b3J5IG5hdHVyZSBvZiB0aGVpciBwYXJlbnQgY2VsbCBvZiBvcmlnaW4uIFRoZSBzeW1wdG9tcyBvZiBjYXJjaW5vaWQgc3luZHJvbWUgcmVuZGVyIHRoZWlyIHByZXNlbmNlIGNsaW5pY2FsbHkgZXZpZGVudC4gSG93ZXZlciwgc2xvdyBncm93aW5nIGFuZCBzeW1wdG9tYXRpY2FsbHkgc2lsZW50IGluIGl0cyBpbml0aWFsIHN0YWdlcywgaGlnaC1ncmFkZSBuZXVyb2VuZG9jcmluZSB0dW1vcnMgYW5kIG5ldXJvZW5kb2NyaW5lIGNhcmNpbm9tYXMgb2YgdGhlIGFwcGVuZGl4IGFyZSBhZ2dyZXNzaXZlIGFuZCB1c3VhbGx5IGhhdmUgaGVwYXRpYyBhbmQgbHltcGggbm9kZSBtZXRhc3Rhc2lzIGF0IHByZXNlbnRhdGlvbi4gVGhpcyByZXZpZXcgYXJ0aWNsZSBmb2N1c2VzIG9uIGltYWdpbmcgY2hhcmFjdGVyaXN0aWNzLCBXb3JsZCBIZWFsdGggT3JnYW5pemF0aW9uIGhpc3RvcGF0aG9sb2dpY2FsIGNsYXNzaWZpY2F0aW9uIGFuZCBncmFkaW5nLCBBbWVyaWNhbiBKb2ludCBDb21taXR0ZWUgb24gQ2FuY2VyL1VuaW9uIG9yIEludGVybmF0aW9uYWwgQ2FuY2VyIENvbnRyb2wsIEV1cm9wZWFuIE5ldXJvZW5kb2NyaW5lIFR1bW9yIFNvY2lldHkgc3RhZ2luZywgRXVyb3BlYW4gTmV1cm9lbmRvY3JpbmUgVHVtb3IgU29jaWV0eSBzdGFuZGFyZGl6ZWQgZ3VpZGVsaW5lcyBmb3IgcmVwb3J0aW5nLCBkYXRhIGludGVycHJldGF0aW9uLCBlYXJseS1zdGFnZSBtYW5hZ2VtZW50IHByb3RvY29scywgYW5kIGFkdmFuY2VkLXN0YWdlIGFwcGVuZGljZWFsIE5FTnMuIEd1aWRlbGluZXMgYXJlIGFsc28gc2V0IGZvciB0aGUgZm9sbG93LXVwIGFuZCByZWFzc2Vzc21lbnQuIFRoZSByb2xlIG9mIHRhcmdldGVkIHJhZGlvdGhlcmFweSwgY2hlbW90aGVyYXB5LCBhbmQgaGlnaC1kb3NlIHNvbWF0b3N0YXRpbiBhbmFsb2dzIGluIHRyZWF0aW5nIGFkdmFuY2VkIGRpc2Vhc2UgYXJlIGRpc2N1c3NlZCwgYWxvbmcgd2l0aCB0eXBlcyBvZiBhYmxhdGl2ZSB0aGVyYXBpZXMgYW5kIGxpdmVyIHRyYW5zcGxhbnRhdGlvbiBmb3IgdHVtb3IgcmVjdXJyZW5jZS4gVGhlIHNlYXJjaCBmb3IgbmV3ZXIgbG9jYXRpb24tc3BlY2lmaWMgYmlvbWFya2VycyBpbiBORU4gaXMgYWxzbyBzdW1tYXJpemVkLiBSZWdhcmRpbmcgdGhlIHZhcnlpbmcgYWdncmVzc2l2ZW5lc3Mgb2YgdGhlIHR1bW9yLCB0aGVyZSBpcyBhIHNjb3BlIGZvciByZXNlYXJjaCBpbiB0aGUgZmllbGQsIHdpdGggcGxlbnR5IG9mIGRhdGEgeWV0IHRvIGJlIGRpc2NvdmVyZWQuIiwicHVibGlzaGVyIjoiSiBDb21wdXQgQXNzaXN0IFRvbW9nciIsImlzc3VlIjoiNCIsInZvbHVtZSI6IjQ4In0sImlzVGVtcG9yYXJ5IjpmYWxzZX1dfQ=="/>
          <w:id w:val="-1860114971"/>
        </w:sdtPr>
        <w:sdtContent>
          <w:r>
            <w:rPr/>
          </w:r>
          <w:r>
            <w:rPr>
              <w:color w:val="000000"/>
            </w:rPr>
            <w:t>(23)</w:t>
          </w:r>
        </w:sdtContent>
      </w:sdt>
      <w:r>
        <w:rPr/>
        <w:t>.</w:t>
      </w:r>
      <w:r>
        <w:rPr/>
        <w:t xml:space="preserve"> </w:t>
      </w:r>
    </w:p>
    <w:p>
      <w:pPr>
        <w:pStyle w:val="p1"/>
        <w:spacing w:lineRule="auto" w:line="360" w:before="280" w:after="280"/>
        <w:jc w:val="both"/>
        <w:rPr/>
      </w:pPr>
      <w:r>
        <w:rPr/>
        <w:t xml:space="preserve">Desde el punto de vista histológico, los TNEA están compuestos por células uniformes, con núcleo redondeado, cromatina finamente granular en "sal y pimienta" y escaso citoplasma. Se organizan en patrones sólidos, trabeculares o acinariformes. La inmunohistoquímica muestra positividad para marcadores clásicos como cromogranina A, sinaptofisina y CD56. Además, el índice de proliferación medido mediante </w:t>
      </w:r>
      <w:r>
        <w:rPr>
          <w:rStyle w:val="Emphasis"/>
          <w:i w:val="false"/>
        </w:rPr>
        <w:t>Ki-67</w:t>
      </w:r>
      <w:r>
        <w:rPr/>
        <w:t xml:space="preserve"> es fundamental para su clasificación, distinguiéndose entre tumores G1 (</w:t>
      </w:r>
      <w:r>
        <w:rPr>
          <w:rStyle w:val="Emphasis"/>
          <w:i w:val="false"/>
        </w:rPr>
        <w:t>Ki-67</w:t>
      </w:r>
      <w:r>
        <w:rPr/>
        <w:t xml:space="preserve"> ≤ 2%), G2 (</w:t>
      </w:r>
      <w:r>
        <w:rPr>
          <w:rStyle w:val="Emphasis"/>
          <w:i w:val="false"/>
        </w:rPr>
        <w:t>Ki-67</w:t>
      </w:r>
      <w:r>
        <w:rPr/>
        <w:t xml:space="preserve"> entre 3% y 20%) y G3 (</w:t>
      </w:r>
      <w:r>
        <w:rPr>
          <w:rStyle w:val="Emphasis"/>
          <w:i w:val="false"/>
        </w:rPr>
        <w:t>Ki-67</w:t>
      </w:r>
      <w:r>
        <w:rPr/>
        <w:t xml:space="preserve"> &gt; 20%) </w:t>
      </w:r>
      <w:sdt>
        <w:sdtPr>
          <w:placeholder>
            <w:docPart w:val="275A40CBBB09094C8B3ED7B2805C1E08"/>
          </w:placeholder>
          <w:tag w:val="MENDELEY_CITATION_v3_eyJjaXRhdGlvbklEIjoiTUVOREVMRVlfQ0lUQVRJT05fZWM5MzEyNDAtYzMwMy00YTQzLTk0NDItM2VmNGRiZDNkMzk0IiwicHJvcGVydGllcyI6eyJub3RlSW5kZXgiOjB9LCJpc0VkaXRlZCI6ZmFsc2UsIm1hbnVhbE92ZXJyaWRlIjp7ImlzTWFudWFsbHlPdmVycmlkZGVuIjpmYWxzZSwiY2l0ZXByb2NUZXh0IjoiKDI0KSIsIm1hbnVhbE92ZXJyaWRlVGV4dCI6IiJ9LCJjaXRhdGlvbkl0ZW1zIjpbeyJpZCI6ImNiZDNiMDEyLWJlMzAtMzdkNS1iYjM0LWU0ODZhNDcyMWE1NCIsIml0ZW1EYXRhIjp7InR5cGUiOiJhcnRpY2xlLWpvdXJuYWwiLCJpZCI6ImNiZDNiMDEyLWJlMzAtMzdkNS1iYjM0LWU0ODZhNDcyMWE1NCIsInRpdGxlIjoiVGhlIDIwMTkgV0hPIGNsYXNzaWZpY2F0aW9uIG9mIHR1bW91cnMgb2YgdGhlIGRpZ2VzdGl2ZSBzeXN0ZW0iLCJhdXRob3IiOlt7ImZhbWlseSI6Ik5hZ3RlZ2FhbCIsImdpdmVuIjoiSXJpcyBELiIsInBhcnNlLW5hbWVzIjpmYWxzZSwiZHJvcHBpbmctcGFydGljbGUiOiIiLCJub24tZHJvcHBpbmctcGFydGljbGUiOiIifSx7ImZhbWlseSI6Ik9kemUiLCJnaXZlbiI6IlJvYmVydCBELiIsInBhcnNlLW5hbWVzIjpmYWxzZSwiZHJvcHBpbmctcGFydGljbGUiOiIiLCJub24tZHJvcHBpbmctcGFydGljbGUiOiIifSx7ImZhbWlseSI6IktsaW1zdHJhIiwiZ2l2ZW4iOiJEYXZpZCIsInBhcnNlLW5hbWVzIjpmYWxzZSwiZHJvcHBpbmctcGFydGljbGUiOiIiLCJub24tZHJvcHBpbmctcGFydGljbGUiOiIifSx7ImZhbWlseSI6IlBhcmFkaXMiLCJnaXZlbiI6IlZhbGVyaWUiLCJwYXJzZS1uYW1lcyI6ZmFsc2UsImRyb3BwaW5nLXBhcnRpY2xlIjoiIiwibm9uLWRyb3BwaW5nLXBhcnRpY2xlIjoiIn0seyJmYW1pbHkiOiJSdWdnZSIsImdpdmVuIjoiTWFzc2ltbyIsInBhcnNlLW5hbWVzIjpmYWxzZSwiZHJvcHBpbmctcGFydGljbGUiOiIiLCJub24tZHJvcHBpbmctcGFydGljbGUiOiIifSx7ImZhbWlseSI6IlNjaGlybWFjaGVyIiwiZ2l2ZW4iOiJQZXRlciIsInBhcnNlLW5hbWVzIjpmYWxzZSwiZHJvcHBpbmctcGFydGljbGUiOiIiLCJub24tZHJvcHBpbmctcGFydGljbGUiOiIifSx7ImZhbWlseSI6Ildhc2hpbmd0b24iLCJnaXZlbiI6IktheSBNLiIsInBhcnNlLW5hbWVzIjpmYWxzZSwiZHJvcHBpbmctcGFydGljbGUiOiIiLCJub24tZHJvcHBpbmctcGFydGljbGUiOiIifSx7ImZhbWlseSI6IkNhcm5laXJvIiwiZ2l2ZW4iOiJGYXRpbWEiLCJwYXJzZS1uYW1lcyI6ZmFsc2UsImRyb3BwaW5nLXBhcnRpY2xlIjoiIiwibm9uLWRyb3BwaW5nLXBhcnRpY2xlIjoiIn0seyJmYW1pbHkiOiJDcmVlIiwiZ2l2ZW4iOiJJYW4gQS4iLCJwYXJzZS1uYW1lcyI6ZmFsc2UsImRyb3BwaW5nLXBhcnRpY2xlIjoiIiwibm9uLWRyb3BwaW5nLXBhcnRpY2xlIjoiIn1dLCJjb250YWluZXItdGl0bGUiOiJIaXN0b3BhdGhvbG9neSIsImNvbnRhaW5lci10aXRsZS1zaG9ydCI6Ikhpc3RvcGF0aG9sb2d5IiwiRE9JIjoiMTAuMTExMS9ISVMuMTM5NzUiLCJJU1NOIjoiMTM2NTI1NTkiLCJQTUlEIjoiMzE0MzM1MTUiLCJpc3N1ZWQiOnsiZGF0ZS1wYXJ0cyI6W1syMDE5XV19LCJwYWdlIjoiMTgyIiwicHVibGlzaGVyIjoiQmxhY2t3ZWxsIFB1Ymxpc2hpbmcgTHRkIiwiaXNzdWUiOiIyIiwidm9sdW1lIjoiNzYifSwiaXNUZW1wb3JhcnkiOmZhbHNlfV19"/>
          <w:id w:val="108630779"/>
        </w:sdtPr>
        <w:sdtContent>
          <w:r>
            <w:rPr/>
          </w:r>
          <w:r>
            <w:rPr>
              <w:rFonts w:eastAsia="MS Mincho"/>
              <w:color w:val="000000"/>
            </w:rPr>
            <w:t>(24)</w:t>
          </w:r>
        </w:sdtContent>
      </w:sdt>
      <w:r>
        <w:rPr>
          <w:color w:themeColor="text1" w:val="000000"/>
        </w:rPr>
        <w:t>.</w:t>
      </w:r>
    </w:p>
    <w:p>
      <w:pPr>
        <w:pStyle w:val="p1"/>
        <w:spacing w:lineRule="auto" w:line="360" w:before="280" w:after="280"/>
        <w:jc w:val="both"/>
        <w:rPr/>
      </w:pPr>
      <w:r>
        <w:rPr/>
        <w:t xml:space="preserve">Finalmente, subtipos menos comunes como el tumor carcinoide perforado representan un desafío diagnóstico y terapéutico adicional, ya que el riesgo de diseminación peritoneal y recurrencia local es mayor, incluso en lesiones de pequeño tamaño </w:t>
      </w:r>
      <w:sdt>
        <w:sdtPr>
          <w:placeholder>
            <w:docPart w:val="3DC624430E78194794DFC75B201524A4"/>
          </w:placeholder>
          <w:tag w:val="MENDELEY_CITATION_v3_eyJjaXRhdGlvbklEIjoiTUVOREVMRVlfQ0lUQVRJT05fYmVlMGYzYzMtYzE4NC00NWQ4LTg1NjgtMmUyMjJiZDEyYjQxIiwicHJvcGVydGllcyI6eyJub3RlSW5kZXgiOjB9LCJpc0VkaXRlZCI6ZmFsc2UsIm1hbnVhbE92ZXJyaWRlIjp7ImlzTWFudWFsbHlPdmVycmlkZGVuIjpmYWxzZSwiY2l0ZXByb2NUZXh0IjoiKDI1KSIsIm1hbnVhbE92ZXJyaWRlVGV4dCI6IiJ9LCJjaXRhdGlvbkl0ZW1zIjpbeyJpZCI6Ijc1YjZhYjBlLTM3ZDUtMzIxNC1iNWIyLWI3YmIxZTFlMWFmOSIsIml0ZW1EYXRhIjp7InR5cGUiOiJhcnRpY2xlLWpvdXJuYWwiLCJpZCI6Ijc1YjZhYjBlLTM3ZDUtMzIxNC1iNWIyLWI3YmIxZTFlMWFmOSIsInRpdGxlIjoiUGVyZm9yYXRlZCBDYXJjaW5vaWQgVHVtb3Igb2YgdGhlIEFwcGVuZGl4OiBOZWVkIGZvciBHdWlkZWxpbmVzIGZvciBNYW5hZ2VtZW50IFdpdGggUmVzcGVjdCB0byBQcm9nbm9zdGljIEZhY3RvcnMiLCJhdXRob3IiOlt7ImZhbWlseSI6Ik1jQ2FubiIsImdpdmVuIjoiQ2hhcmxlcyIsInBhcnNlLW5hbWVzIjpmYWxzZSwiZHJvcHBpbmctcGFydGljbGUiOiIiLCJub24tZHJvcHBpbmctcGFydGljbGUiOiIifSx7ImZhbWlseSI6IlNjaHdhcnR6IiwiZ2l2ZW4iOiJKYW5kaWUiLCJwYXJzZS1uYW1lcyI6ZmFsc2UsImRyb3BwaW5nLXBhcnRpY2xlIjoiIiwibm9uLWRyb3BwaW5nLXBhcnRpY2xlIjoiIn0seyJmYW1pbHkiOiJQZXJyeSIsImdpdmVuIjoiTHVrZSIsInBhcnNlLW5hbWVzIjpmYWxzZSwiZHJvcHBpbmctcGFydGljbGUiOiIiLCJub24tZHJvcHBpbmctcGFydGljbGUiOiIifSx7ImZhbWlseSI6IkNoZW5nIiwiZ2l2ZW4iOiJFbGFpbmUiLCJwYXJzZS1uYW1lcyI6ZmFsc2UsImRyb3BwaW5nLXBhcnRpY2xlIjoiIiwibm9uLWRyb3BwaW5nLXBhcnRpY2xlIjoiIn1dLCJjb250YWluZXItdGl0bGUiOiJUaGUgQW1lcmljYW4gc3VyZ2VvbiIsImNvbnRhaW5lci10aXRsZS1zaG9ydCI6IkFtIFN1cmciLCJhY2Nlc3NlZCI6eyJkYXRlLXBhcnRzIjpbWzIwMjUsNCwxMl1dfSwiRE9JIjoiMTAuMTE3Ny8wMDAzMTM0ODIwOTYwMDI3IiwiSVNTTiI6IjE1NTUtOTgyMyIsIlBNSUQiOiIzMzUwMjI0MiIsIlVSTCI6Imh0dHBzOi8vcHVibWVkLm5jYmkubmxtLm5paC5nb3YvMzM1MDIyNDIvIiwiaXNzdWVkIjp7ImRhdGUtcGFydHMiOltbMjAyM11dfSwicGFnZSI6IjEyMTMtMTIxNSIsImFic3RyYWN0IjoiQ2FyY2lub2lkIHR1bW9ycywgb25lIG9mIHRoZSBtb3N0IGNvbW1vbiBtYWxpZ25hbnQgbGVzaW9ucyBpbnZvbHZpbmcgdGhlIGFwcGVuZGl4LCBhcmUgdHlwaWNhbGx5IGZvdW5kIGluY2lkZW50YWxseSBkdXJpbmcgcm91dGluZSBhcHBlbmRlY3RvbWllcy4gV2hpbGUgdXAgdG8gMjAlIG9mIGFjdXRlIGFwcGVuZGljaXRpcyBjYXNlcyBwcmVzZW50IHdpdGggcGVyZm9yYXRpb24sIHRoZSBpbmNpZGVuY2Ugb2YgcGVyZm9yYXRpb24gYW1vbmcgcGF0aWVudHMgd2l0aCB1bmRpYWdub3NlZCBjYXJjaW5vaWQgdHVtb3JzIG9mIHRoZSBhcHBlbmRpeCBpcyB1bmtub3duLiBJbiBhZGRpdGlvbiwgdGhlcmUgaXMgbm8gY29uc2Vuc3VzIG9uIHRoZSBtYW5hZ2VtZW50IG9mIGNhcmNpbm9pZCB0dW1vcnMgaW4gdGhlIHBlcmZvcmF0ZWQgYXBwZW5kaXggb3IgaXRzIGltcGFjdCBvbiBwcm9nbm9zaXMuIFdlIHByZXNlbnQgYSBjYXNlIG9mIGEgNDIteWVhci1vbGQgd29tYW4gcHJlc2VudGVkIHdpdGggcGVyZm9yYXRlZCBhcHBlbmRpY2l0aXMuIEZpbmFsIHBhdGhvbG9neSBkZW1vbnN0cmF0ZWQgdGhlIHByZXNlbmNlIG9mIGEgMS4xwqBjbSwgd2VsbC1kaWZmZXJlbnRpYXRlZCBncmFkZSAxIG5ldXJvZW5kb2NyaW5lIHR1bW9yIGF0IHRoZSB0aXAgb2YgdGhlIGFwcGVuZGl4IGV4dGVuZGluZyBpbnRvIHRoZSBzdWJzZXJvc2EsIHdpdGhvdXQgZXZpZGVuY2UgZm9yIGx5bXBob3Zhc2N1bGFyIGludmFzaW9uLiBHaXZlbiB0aGUgZGVwdGggb2YgdHVtb3IgaW52YXNpb24gYW5kIHRoZSByZWxhdGl2ZWx5IHlvdW5nIGFnZSBvZiB0aGUgcGF0aWVudCwgdGhlIGRlY2lzaW9uIHdhcyBtYWRlIHRvIHBlcmZvcm0gYW4gaW50ZXJ2YWwgY29tcGxldGlvbiByaWdodCBoZW1pY29sZWN0b215IGZvciBseW1waCBub2RlIHNhbXBsaW5nLiBPbmx5IGEgZmV3IGNhc2VzIGhhdmUgYmVlbiByZXBvcnRlZCBpbiB0aGUgYXZhaWxhYmxlIGxpdGVyYXR1cmUsIGFuZCBpdCByZW1haW5zIHVuY2xlYXIgd2hldGhlciBhcHBlbmRpY2VhbCBwZXJmb3JhdGlvbiByZXByZXNlbnRzIGFuIGluZGVwZW5kZW50IG5lZ2F0aXZlIHByb2dub3N0aWMgZmFjdG9yIGZvciBwYXRpZW50IHN1cnZpdmFsLiBBZGRpdGlvbmFsIGRhdGEgZnJvbSBjb2hvcnQgc3R1ZGllcyBhcmUgbmVlZGVkIHRvIGRldGVybWluZSB0aGUgdHJ1ZSBpbmNpZGVuY2UsIHByb2dub3NpcywgYW5kIG9wdGltYWwgbWFuYWdlbWVudCBvZiBuZXdseSBkaWFnbm9zZWQgY2FyY2lub2lkIHR1bW9ycyBpbiB0aGUgcGVyZm9yYXRlZCBhcHBlbmRpeC4gRnVydGhlcm1vcmUsIGNsZWFyIGNvbnNlbnN1cyBndWlkZWxpbmVzIGFyZSBuZWVkZWQgdG8gaWRlbnRpZnkgdGhlIHN1Ymdyb3VwIG9mIHBhdGllbnRzIHdobyB3b3VsZCBiZW5lZml0IGZyb20gaW50ZXJ2YWwgb3IgcHJpbWFyeSByaWdodCBoZW1pY29sZWN0b215LiIsInB1Ymxpc2hlciI6IkFtIFN1cmciLCJpc3N1ZSI6IjQiLCJ2b2x1bWUiOiI4OSJ9LCJpc1RlbXBvcmFyeSI6ZmFsc2V9XX0="/>
          <w:id w:val="-1547754220"/>
        </w:sdtPr>
        <w:sdtContent>
          <w:r>
            <w:rPr/>
          </w:r>
          <w:r>
            <w:rPr>
              <w:color w:val="000000"/>
            </w:rPr>
            <w:t>(25)</w:t>
          </w:r>
        </w:sdtContent>
      </w:sdt>
      <w:r>
        <w:rPr>
          <w:color w:val="000000"/>
        </w:rPr>
        <w:t>.</w:t>
      </w:r>
      <w:r>
        <w:rPr/>
        <w:t xml:space="preserve"> No obstante, en general, los tumores neuroendocrinos del apéndice son neoplasias de excelente pronóstico en la mayoría de los casos, siempre que se realice una adecuada evaluación de factores de riesgo, una correcta elección del tratamiento quirúrgico inicial y un seguimiento riguroso basado en los estándares internacionales más actualizados.</w:t>
      </w:r>
    </w:p>
    <w:p>
      <w:pPr>
        <w:pStyle w:val="Heading3"/>
        <w:numPr>
          <w:ilvl w:val="2"/>
          <w:numId w:val="60"/>
        </w:numPr>
        <w:rPr>
          <w:sz w:val="27"/>
        </w:rPr>
      </w:pPr>
      <w:bookmarkStart w:id="64" w:name="_Toc199584576"/>
      <w:bookmarkStart w:id="65" w:name="_Toc200580221"/>
      <w:r>
        <w:rPr/>
        <w:t>Tumores epiteliales apendiculares</w:t>
      </w:r>
      <w:bookmarkEnd w:id="64"/>
      <w:bookmarkEnd w:id="65"/>
    </w:p>
    <w:p>
      <w:pPr>
        <w:pStyle w:val="p3"/>
        <w:spacing w:lineRule="auto" w:line="360" w:before="280" w:after="280"/>
        <w:jc w:val="both"/>
        <w:rPr>
          <w:color w:val="000000"/>
        </w:rPr>
      </w:pPr>
      <w:r>
        <w:rPr/>
        <w:t xml:space="preserve">Las </w:t>
      </w:r>
      <w:r>
        <w:rPr>
          <w:rStyle w:val="s1"/>
          <w:b/>
          <w:bCs/>
        </w:rPr>
        <w:t>neoplasias epiteliales</w:t>
      </w:r>
      <w:r>
        <w:rPr/>
        <w:t xml:space="preserve"> del apéndice vermiforme comprenden un grupo heterogéneo de tumores que se originan en el epitelio glandular apendicular. Representan la mayoría de las neoplasias malignas apendiculares no neuroendocrinas y se clasifican según su morfología, grado de diferenciación, producción de mucina y comportamiento clínico, aspectos que se ampliarán en los capítulos subsiguientes </w:t>
      </w:r>
      <w:sdt>
        <w:sdtPr>
          <w:placeholder>
            <w:docPart w:val="DefaultPlaceholder_-1854013440"/>
          </w:placeholder>
          <w:tag w:val="MENDELEY_CITATION_v3_eyJjaXRhdGlvbklEIjoiTUVOREVMRVlfQ0lUQVRJT05fYzNlNjc0NmYtNjJjOC00OGZhLWE2ZjItMmJhYzdlNGFmMjgxIiwicHJvcGVydGllcyI6eyJub3RlSW5kZXgiOjB9LCJpc0VkaXRlZCI6ZmFsc2UsIm1hbnVhbE92ZXJyaWRlIjp7ImlzTWFudWFsbHlPdmVycmlkZGVuIjpmYWxzZSwiY2l0ZXByb2NUZXh0IjoiKDI2KSIsIm1hbnVhbE92ZXJyaWRlVGV4dCI6IiJ9LCJjaXRhdGlvbkl0ZW1zIjpbeyJpZCI6ImUxNmY5YmFiLWM3YmEtM2NhNS05ZTNmLTM2MzMwYzBkYjQ2NyIsIml0ZW1EYXRhIjp7InR5cGUiOiJhcnRpY2xlLWpvdXJuYWwiLCJpZCI6ImUxNmY5YmFiLWM3YmEtM2NhNS05ZTNmLTM2MzMwYzBkYjQ2NyIsInRpdGxlIjoiQXBwZW5kaWNlYWwgYWRlbm9jYXJjaW5vbWE6IEN1cnJlbnQgY29uY2VwdHMgJiBjaGFsbGVuZ2VzIiwiYXV0aG9yIjpbeyJmYW1pbHkiOiJCZWxsIiwiZ2l2ZW4iOiJQaG9lbml4IEQuIiwicGFyc2UtbmFtZXMiOmZhbHNlLCJkcm9wcGluZy1wYXJ0aWNsZSI6IiIsIm5vbi1kcm9wcGluZy1wYXJ0aWNsZSI6IiJ9XSwiY29udGFpbmVyLXRpdGxlIjoiU2VtaW5hcnMgaW4gZGlhZ25vc3RpYyBwYXRob2xvZ3kiLCJjb250YWluZXItdGl0bGUtc2hvcnQiOiJTZW1pbiBEaWFnbiBQYXRob2wiLCJET0kiOiIxMC4xMDUzL0ouU0VNRFAuMjAyNC4wOC4wMDUiLCJJU1NOIjoiMDc0MC0yNTcwIiwiUE1JRCI6IjM5MjE0NzI1IiwiaXNzdWVkIjp7ImRhdGUtcGFydHMiOltbMjAyNF1dfSwicGFnZSI6IjIxMy0yMjEiLCJhYnN0cmFjdCI6IkFwcGVuZGljZWFsIGFkZW5vY2FyY2lub21hIChBcEFDKSBpcyBhIHJhcmUgbWFsaWduYW5jeSwgY29tcHJpc2luZyBsZXNzIHRoYW4gMSAlIG9mIGFsbCBnYXN0cm9pbnRlc3RpbmFsIHR1bW9ycy4gVGhlIGN1cnJlbnQgV29ybGQgSGVhbHRoIE9yZ2FuaXphdGlvbiBjbGFzc2lmaWVzIEFwQUMgYXMgbXVjaW5vdXMgb3Igbm9ubXVjaW5vdXMuIE11Y2lub3VzIEFwQUMgYXJlIGNvbXBvc2VkIG9mIHBvb2xzIG9mIG11Y2luIGxpbmVkIGJ5IGNlbGxzIHdpdGggbG93LSBhbmQgaGlnaC1ncmFkZSBjeXRvbG9neSBhbmQgYXJlYXMgb2YgaW5maWx0cmF0aXZlIGludmFzaW9uLiBOb25tdWNpbm91cyBBcEFDIGhpc3RvbG9naWNhbGx5IHJlc2VtYmxlIGNvbnZlbnRpb25hbCBjb2xvcmVjdGFsIGFkZW5vY2FyY2lub21hcyBhbmQgaGF2ZSBhIHdvcnNlIHByb2dub3NpcyB0aGFuIHRoZWlyIG11Y2lub3VzIGNvdW50ZXJwYXJ0LiBVbmZvcnR1bmF0ZWx5LCB0aGUgbm9tZW5jbGF0dXJlIGFuZCBoaXN0b2xvZ2ljIGNsYXNzaWZpY2F0aW9uIG9mIEFwQUMsIHNwZWNpZmljYWxseSB0aGUgbXVjaW5vdXMgc3VidHlwZSwgaGFzIGNoYW5nZWQgc2V2ZXJhbCB0aW1lcyB0aHJvdWdob3V0IHRoZSB5ZWFycywgY29udHJpYnV0aW5nIHRvIGRpYWdub3N0aWMgY29uZnVzaW9uIGZvciBwYXRob2xvZ2lzdHMuIFRoZSB0cmVhdG1lbnQgZm9yIG11Y2lub3VzIEFwQUMgZGlmZmVycyBmcm9tIHRoYXQgb2Ygb3RoZXIgYXBwZW5kaWNlYWwgbXVjaW5vdXMgbmVvcGxhc21zLCB0aHVzIGFjY3VyYXRlIGRpYWdub3NpcyBpcyBrZXkgdG8gcGF0aWVudCBtYW5hZ2VtZW50IGFuZCBvdXRjb21lLiBUaGlzIHJldmlldyBkaXNjdXNzZXMgdGhlIGN1cnJlbnQgY2xhc3NpZmljYXRpb24gYW5kIHN0YWdpbmcgb2YgQXBBQyB3aXRoIGEgcGFydGljdWxhciBlbXBoYXNpcyBvbiB0aGUgbXVjaW5vdXMgc3VidHlwZSBhbmQgcGVyaXRvbmVhbCBkaXNlYXNlLCBhcyB0aGVzZSBhcmVhcyBhcmUgdGhlIG1vc3QgY2hhbGxlbmdpbmcgZm9yIHByYWN0aWNpbmcgc3VyZ2ljYWwgcGF0aG9sb2dpc3RzLiIsInB1Ymxpc2hlciI6IlNlbWluIERpYWduIFBhdGhvbCIsImlzc3VlIjoiNSIsInZvbHVtZSI6IjQxIn0sImlzVGVtcG9yYXJ5IjpmYWxzZX1dfQ=="/>
          <w:id w:val="982356948"/>
        </w:sdtPr>
        <w:sdtContent>
          <w:r>
            <w:rPr/>
          </w:r>
          <w:r>
            <w:rPr>
              <w:color w:val="000000"/>
            </w:rPr>
            <w:t>(26)</w:t>
          </w:r>
        </w:sdtContent>
      </w:sdt>
      <w:r>
        <w:rPr>
          <w:color w:val="000000"/>
        </w:rPr>
        <w:t xml:space="preserve"> </w:t>
      </w:r>
      <w:r>
        <w:rPr/>
        <w:t>De acuerdo con lo planteado anteriormente, se dividen en neoplasias mucinosas, adenocarcinomas no mucinosos, adenocarcinomas de células caliciformes, adenocarcinomas con células en anillo de sello y una entidad poco frecuente y agresiva que no corresponde a los subtipos epiteliales antes mencionados: el carcinoma indiferenciado y los carcinomas mixtos epiteliales</w:t>
      </w:r>
      <w:r>
        <w:rPr>
          <w:color w:val="000000"/>
        </w:rPr>
        <w:t>.</w:t>
      </w:r>
    </w:p>
    <w:p>
      <w:pPr>
        <w:pStyle w:val="p1"/>
        <w:spacing w:lineRule="auto" w:line="360" w:before="280" w:after="280"/>
        <w:jc w:val="both"/>
        <w:rPr/>
      </w:pPr>
      <w:r>
        <w:rPr/>
        <w:t xml:space="preserve">En términos de sobrevida, el pronóstico varía ampliamente según el subtipo histológico y el estadio al momento del diagnóstico, pues los adenocarcinomas mucinosos de bajo grado confinados al apéndice presentan tasas de sobrevida a cinco años superiores al 80%, mientras que los adenocarcinomas no mucinosos o de alto grado, especialmente en presencia de diseminación peritoneal o metástasis ganglionares, muestran tasas significativamente menores </w:t>
      </w:r>
      <w:sdt>
        <w:sdtPr>
          <w:placeholder>
            <w:docPart w:val="7705C490FC91A04C8452A18B498F395A"/>
          </w:placeholder>
          <w:tag w:val="MENDELEY_CITATION_v3_eyJjaXRhdGlvbklEIjoiTUVOREVMRVlfQ0lUQVRJT05fNTc1YjJkYTQtZmEwZC00MjlkLWE1NWYtYzQ3ODdiZGMwZGE0IiwicHJvcGVydGllcyI6eyJub3RlSW5kZXgiOjB9LCJpc0VkaXRlZCI6ZmFsc2UsIm1hbnVhbE92ZXJyaWRlIjp7ImlzTWFudWFsbHlPdmVycmlkZGVuIjpmYWxzZSwiY2l0ZXByb2NUZXh0IjoiKDI3KSIsIm1hbnVhbE92ZXJyaWRlVGV4dCI6IiJ9LCJjaXRhdGlvbkl0ZW1zIjpbeyJpZCI6ImI4ZDBkZDY3LWM0MGYtMzc5MC05ZWFmLTc4MTY1YzhlZWUyOCIsIml0ZW1EYXRhIjp7InR5cGUiOiJhcnRpY2xlLWpvdXJuYWwiLCJpZCI6ImI4ZDBkZDY3LWM0MGYtMzc5MC05ZWFmLTc4MTY1YzhlZWUyOCIsInRpdGxlIjoiQW5hbHlzaXMgb2Ygc3Vydml2YWwgYW5kIHByb2dub3N0aWMgZmFjdG9ycyBpbiBhcHBlbmRpeCBhZGVub2NhcmNpbm9tYSBhbmQgbXVjaW5vdXMgY2FyY2lub21hIiwiYXV0aG9yIjpbeyJmYW1pbHkiOiJUdXJhbiIsImdpdmVuIjoiQmlsYWwiLCJwYXJzZS1uYW1lcyI6ZmFsc2UsImRyb3BwaW5nLXBhcnRpY2xlIjoiIiwibm9uLWRyb3BwaW5nLXBhcnRpY2xlIjoiIn0seyJmYW1pbHkiOiJTYW5saSIsImdpdmVuIjoiQWhtZXQgTmVjYXRpIiwicGFyc2UtbmFtZXMiOmZhbHNlLCJkcm9wcGluZy1wYXJ0aWNsZSI6IiIsIm5vbi1kcm9wcGluZy1wYXJ0aWNsZSI6IiJ9LHsiZmFtaWx5IjoiQWNhciIsImdpdmVuIjoiU2VyZGFyIiwicGFyc2UtbmFtZXMiOmZhbHNlLCJkcm9wcGluZy1wYXJ0aWNsZSI6IiIsIm5vbi1kcm9wcGluZy1wYXJ0aWNsZSI6IiJ9XSwiY29udGFpbmVyLXRpdGxlIjoiVXBkYXRlcyBpbiBzdXJnZXJ5IiwiY29udGFpbmVyLXRpdGxlLXNob3J0IjoiVXBkYXRlcyBTdXJnIiwiRE9JIjoiMTAuMTAwNy9TMTMzMDQtMDI1LTAyMTAzLTYiLCJJU1NOIjoiMjAzOC0zMzEyIiwiUE1JRCI6IjM5ODIxNTU0IiwiaXNzdWVkIjp7ImRhdGUtcGFydHMiOltbMjAyNV1dfSwiYWJzdHJhY3QiOiJUaGlzIHN0dWR5IGFpbWVkIHRvIGNvbXBhcmUgbXVjaW5vdXMgY2FyY2lub21hIGFuZCBhZGVub2NhcmNpbm9tYSBvZiB0aGUgYXBwZW5kaXggaW4gdGVybXMgb2Ygc3Vydml2YWwgYW5kIGludmVzdGlnYXRlIHRoZSByaXNrIGZhY3RvcnMgaW5mbHVlbmNpbmcgc3Vydml2YWwuIFRoZSBkYXRhIGZvciB0aGlzIHN0dWR5IHdlcmUgcmV0cmlldmVkIGZyb20gdGhlIFNFRVIgZGF0YWJhc2UgKFNFRVIgUmVzZWFyY2ggUGx1cyAxNyByZWdpc3RyaWVzKS4gUGF0aWVudHMgZGlhZ25vc2VkIHdpdGggYXBwZW5kaXggY2FuY2VyIGJldHdlZW4gMjAwNCBhbmQgMjAxOSB3ZXJlIGluY2x1ZGVkLiBEZW1vZ3JhcGhpYyBkYXRhLCBzdWNoIGFzIGFnZSwgZ2VuZGVyLCBtYXJpdGFsIHN0YXR1cywgYW5kIHllYXIgb2YgZGlhZ25vc2lzLCBhbG9uZyB3aXRoIG9uY29sb2dpY2FsIHZhcmlhYmxlcyBsaWtlIHN0YWdlLCBzdXJnZXJ5LCBjaGVtb3RoZXJhcHksIHJhZGlvdGhlcmFweSwgYW5kIHN1cnZpdmFsIHRpbWUsIHdlcmUgZXh0cmFjdGVkIGZyb20gdGhlIFNFRVIgZGF0YWJhc2UuIFBhdGhvbG9naWNhbCBzdWJ0eXBlcyB3ZXJlIGNsYXNzaWZpZWQgYXMgYWRlbm9jYXJjaW5vbWEgKEFDKSBhbmQgbXVjaW5vdXMgYWRlbm9jYXJjaW5vbWEgKE1BQykgYmFzZWQgb24gdGhlIENvbGxlZ2Ugb2YgQW1lcmljYW4gUGF0aG9sb2dpc3RzIGd1aWRlbGluZXMuIFBhdGllbnRzIHdpdGggb3RoZXIgcGF0aG9sb2dpY2FsIHN1YnR5cGVzIG9yIG1pc3NpbmcgZGF0YSB3ZXJlIGV4Y2x1ZGVkIGZyb20gdGhlIHN0dWR5LiBUaGlzIHN0dWR5IGluY2x1ZGVkIDQ1MjQgcGF0aWVudHMsIHdpdGggMjExOCAoNDYuOCUpIGNsYXNzaWZpZWQgYXMgQUMgYW5kIDI0MDYgKDUzLjIlKSBhcyBNQUMuIFRoZXJlIHdhcyBubyBzaWduaWZpY2FudCBkaWZmZXJlbmNlIGluIG1lYW4gYWdlIGJldHdlZW4gQUMgYW5kIE1BQyBncm91cHMgKDYzLjIyIMKxIDE0LjMwIHZzLiA1OS40NiDCsSAxNC4wNywgcCA9IDAuNDgzKS4gQUMgd2FzIG1vcmUgY29tbW9uIGluIG1hbGVzLCB3aGlsZSBNQUMgd2FzIG1vcmUgcHJldmFsZW50IGluIGZlbWFsZXMgKDQ2LjglIHZzLiA1My4yJTsgNTUuNiUgdnMuIDQ0LjQlLCBwIDwgMC4wMDEsIHJlc3BlY3RpdmVseSkuIE1hcnJpZWQgc3RhdHVzIHdhcyBoaWdoIGluIGJvdGggZ3JvdXBzIChwID0gMC4wMDEpLiBXaGlsZSBubyBkaWZmZXJlbmNlIHdhcyBmb3VuZCBpbiB3aGl0ZSByYWNlIGRpc3RyaWJ1dGlvbiwgdGhlIGJsYWNrIHJhY2Ugd2FzIG1vcmUgcHJldmFsZW50IGluIHRoZSBBQyBncm91cCAoNTcuMSUgdnMuIDQyLjklLCBwIDwgMC4wMDEpLiBHcmFkZSAxIHR1bW9ycyB3ZXJlIG1vcmUgZnJlcXVlbnQgaW4gdGhlIEFDIGdyb3VwLCB3aGVyZWFzIEdyYWRlcyAyIGFuZCAzIHdlcmUgbW9yZSBjb21tb24gaW4gdGhlIE1BQyBncm91cCAocCA8IDAuMDAxKS4gU3RhZ2VzIDEsIDIsIGFuZCAzIHdlcmUgbW9yZSBwcmV2YWxlbnQgaW4gdGhlIEFDIGdyb3VwLCB3aGlsZSB0aGUgbWFqb3JpdHkgb2YgTUFDIGNhc2VzIHdlcmUgYXQgU3RhZ2UgNC4gU3VyZ2VyeSByYXRlcyB3ZXJlIGhpZ2hlciBpbiB0aGUgQUMgZ3JvdXAgKDk4LjYlIHZzLiA5Ni40JSwgcCA8IDAuMDAxKS4gQ2hlbW90aGVyYXB5IHdhcyB1c2VkIG1vcmUgZnJlcXVlbnRseSBpbiB0aGUgTUFDIGdyb3VwICg1MC45JSB2cy4gNDAuNiUsIHAgPCAwLjAwMSksIHdoaWxlIHJhZGlvdGhlcmFweSByYXRlcyB3ZXJlIHNpbWlsYXIgaW4gYm90aCBncm91cHMgKHAgPSAwLjQ5OCkuIFRoZSBtZWFuIGZvbGxvdy11cCBwZXJpb2Qgd2FzIDU1LjcwIMKxIDQ3LjLCoG1vbnRocy4gRml2ZS0gYW5kIHRlbi15ZWFyIHN1cnZpdmFsIHJhdGVzIGZvciB0aGUgTUFDIGdyb3VwIHdlcmUgNjQuNCUgYW5kIDUwLjIlLCByZXNwZWN0aXZlbHksIGhpZ2hlciB0aGFuIHRoZSBBQyBncm91cOKAmXMgcmF0ZXMgb2YgNTQuMiUgYW5kIDM5LjclIChwIDwgMC4wMDEpLiBUaGUgb3ZlcmFsbCByaXNrIG9mIG1vcnRhbGl0eSB3YXMgMS40IHRpbWVzIGhpZ2hlciBpbiB0aGUgQUMgZ3JvdXAgY29tcGFyZWQgdG8gdGhlIE1BQyBncm91cCAocCA8IDAuMDAxLCBIUjogMS4zNzcgW0NJIDk1JSAxLjI1OeKAkzEuNTA3XSkuIFdoaWxlIGFkZW5vY2FyY2lub21hcyBhbmQgbXVjaW5vdXMgYWRlbm9jYXJjaW5vbWFzIGhhdmUgc2ltaWxhciBpbmNpZGVuY2VzLCBub24tbWV0YXN0YXRpYyBhZGVub2NhcmNpbm9tYXMgd2VyZSBtb3JlIGZyZXF1ZW50bHkgb2JzZXJ2ZWQuIEluIGNvbnRyYXN0LCBtdWNpbm91cyBhZGVub2NhcmNpbm9tYXMgb2Z0ZW4gZXhoaWJpdGVkIGRpc3RhbnQgbWV0YXN0YXNlcy4gTmV2ZXJ0aGVsZXNzLCB0aGUgc3Vydml2YWwgcmF0ZSB3YXMgaGlnaGVyIGluIG11Y2lub3VzIGFkZW5vY2FyY2lub21hcy4iLCJwdWJsaXNoZXIiOiJVcGRhdGVzIFN1cmciLCJpc3N1ZSI6IjIiLCJ2b2x1bWUiOiI3NyJ9LCJpc1RlbXBvcmFyeSI6ZmFsc2V9XX0="/>
          <w:id w:val="-389730854"/>
        </w:sdtPr>
        <w:sdtContent>
          <w:r>
            <w:rPr/>
          </w:r>
          <w:r>
            <w:rPr>
              <w:color w:val="000000"/>
            </w:rPr>
            <w:t>(27)</w:t>
          </w:r>
        </w:sdtContent>
      </w:sdt>
      <w:r>
        <w:rPr/>
        <w:t>.</w:t>
      </w:r>
    </w:p>
    <w:p>
      <w:pPr>
        <w:pStyle w:val="Heading4"/>
        <w:spacing w:before="0" w:after="0"/>
        <w:ind w:firstLine="709" w:left="0"/>
        <w:rPr>
          <w:vanish/>
          <w:specVanish/>
        </w:rPr>
      </w:pPr>
      <w:bookmarkStart w:id="66" w:name="_Toc199584577"/>
      <w:r>
        <w:rPr/>
        <w:t>Adenocarcinoma apendicular</w:t>
      </w:r>
      <w:bookmarkEnd w:id="66"/>
      <w:r>
        <w:rPr/>
        <w:t>.</w:t>
      </w:r>
    </w:p>
    <w:p>
      <w:pPr>
        <w:pStyle w:val="p1"/>
        <w:spacing w:lineRule="auto" w:line="360" w:before="280" w:after="280"/>
        <w:jc w:val="both"/>
        <w:rPr/>
      </w:pPr>
      <w:r>
        <w:rPr/>
      </w:r>
      <w:r>
        <w:rPr/>
        <w:t xml:space="preserve"> </w:t>
      </w:r>
      <w:r>
        <w:rPr/>
        <w:t>El adenocarcinoma apendicular representa una neoplasia infrecuente dentro de los tumores gastrointestinales, con una incidencia anual estimada de aproximadamente 0,12 casos por cada 1.000.000 de habitantes</w:t>
      </w:r>
      <w:sdt>
        <w:sdtPr>
          <w:placeholder>
            <w:docPart w:val="DefaultPlaceholder_-1854013440"/>
          </w:placeholder>
          <w:tag w:val="MENDELEY_CITATION_v3_eyJjaXRhdGlvbklEIjoiTUVOREVMRVlfQ0lUQVRJT05fMjhmZjViNGMtMGI3My00NzYwLWIzNWEtZDdiYmJhYjM4Y2M4IiwicHJvcGVydGllcyI6eyJub3RlSW5kZXgiOjB9LCJpc0VkaXRlZCI6ZmFsc2UsIm1hbnVhbE92ZXJyaWRlIjp7ImlzTWFudWFsbHlPdmVycmlkZGVuIjpmYWxzZSwiY2l0ZXByb2NUZXh0IjoiKDI2KSIsIm1hbnVhbE92ZXJyaWRlVGV4dCI6IiJ9LCJjaXRhdGlvbkl0ZW1zIjpbeyJpZCI6ImUxNmY5YmFiLWM3YmEtM2NhNS05ZTNmLTM2MzMwYzBkYjQ2NyIsIml0ZW1EYXRhIjp7InR5cGUiOiJhcnRpY2xlLWpvdXJuYWwiLCJpZCI6ImUxNmY5YmFiLWM3YmEtM2NhNS05ZTNmLTM2MzMwYzBkYjQ2NyIsInRpdGxlIjoiQXBwZW5kaWNlYWwgYWRlbm9jYXJjaW5vbWE6IEN1cnJlbnQgY29uY2VwdHMgJiBjaGFsbGVuZ2VzIiwiYXV0aG9yIjpbeyJmYW1pbHkiOiJCZWxsIiwiZ2l2ZW4iOiJQaG9lbml4IEQuIiwicGFyc2UtbmFtZXMiOmZhbHNlLCJkcm9wcGluZy1wYXJ0aWNsZSI6IiIsIm5vbi1kcm9wcGluZy1wYXJ0aWNsZSI6IiJ9XSwiY29udGFpbmVyLXRpdGxlIjoiU2VtaW5hcnMgaW4gZGlhZ25vc3RpYyBwYXRob2xvZ3kiLCJjb250YWluZXItdGl0bGUtc2hvcnQiOiJTZW1pbiBEaWFnbiBQYXRob2wiLCJET0kiOiIxMC4xMDUzL0ouU0VNRFAuMjAyNC4wOC4wMDUiLCJJU1NOIjoiMDc0MC0yNTcwIiwiUE1JRCI6IjM5MjE0NzI1IiwiaXNzdWVkIjp7ImRhdGUtcGFydHMiOltbMjAyNF1dfSwicGFnZSI6IjIxMy0yMjEiLCJhYnN0cmFjdCI6IkFwcGVuZGljZWFsIGFkZW5vY2FyY2lub21hIChBcEFDKSBpcyBhIHJhcmUgbWFsaWduYW5jeSwgY29tcHJpc2luZyBsZXNzIHRoYW4gMSAlIG9mIGFsbCBnYXN0cm9pbnRlc3RpbmFsIHR1bW9ycy4gVGhlIGN1cnJlbnQgV29ybGQgSGVhbHRoIE9yZ2FuaXphdGlvbiBjbGFzc2lmaWVzIEFwQUMgYXMgbXVjaW5vdXMgb3Igbm9ubXVjaW5vdXMuIE11Y2lub3VzIEFwQUMgYXJlIGNvbXBvc2VkIG9mIHBvb2xzIG9mIG11Y2luIGxpbmVkIGJ5IGNlbGxzIHdpdGggbG93LSBhbmQgaGlnaC1ncmFkZSBjeXRvbG9neSBhbmQgYXJlYXMgb2YgaW5maWx0cmF0aXZlIGludmFzaW9uLiBOb25tdWNpbm91cyBBcEFDIGhpc3RvbG9naWNhbGx5IHJlc2VtYmxlIGNvbnZlbnRpb25hbCBjb2xvcmVjdGFsIGFkZW5vY2FyY2lub21hcyBhbmQgaGF2ZSBhIHdvcnNlIHByb2dub3NpcyB0aGFuIHRoZWlyIG11Y2lub3VzIGNvdW50ZXJwYXJ0LiBVbmZvcnR1bmF0ZWx5LCB0aGUgbm9tZW5jbGF0dXJlIGFuZCBoaXN0b2xvZ2ljIGNsYXNzaWZpY2F0aW9uIG9mIEFwQUMsIHNwZWNpZmljYWxseSB0aGUgbXVjaW5vdXMgc3VidHlwZSwgaGFzIGNoYW5nZWQgc2V2ZXJhbCB0aW1lcyB0aHJvdWdob3V0IHRoZSB5ZWFycywgY29udHJpYnV0aW5nIHRvIGRpYWdub3N0aWMgY29uZnVzaW9uIGZvciBwYXRob2xvZ2lzdHMuIFRoZSB0cmVhdG1lbnQgZm9yIG11Y2lub3VzIEFwQUMgZGlmZmVycyBmcm9tIHRoYXQgb2Ygb3RoZXIgYXBwZW5kaWNlYWwgbXVjaW5vdXMgbmVvcGxhc21zLCB0aHVzIGFjY3VyYXRlIGRpYWdub3NpcyBpcyBrZXkgdG8gcGF0aWVudCBtYW5hZ2VtZW50IGFuZCBvdXRjb21lLiBUaGlzIHJldmlldyBkaXNjdXNzZXMgdGhlIGN1cnJlbnQgY2xhc3NpZmljYXRpb24gYW5kIHN0YWdpbmcgb2YgQXBBQyB3aXRoIGEgcGFydGljdWxhciBlbXBoYXNpcyBvbiB0aGUgbXVjaW5vdXMgc3VidHlwZSBhbmQgcGVyaXRvbmVhbCBkaXNlYXNlLCBhcyB0aGVzZSBhcmVhcyBhcmUgdGhlIG1vc3QgY2hhbGxlbmdpbmcgZm9yIHByYWN0aWNpbmcgc3VyZ2ljYWwgcGF0aG9sb2dpc3RzLiIsInB1Ymxpc2hlciI6IlNlbWluIERpYWduIFBhdGhvbCIsImlzc3VlIjoiNSIsInZvbHVtZSI6IjQxIn0sImlzVGVtcG9yYXJ5IjpmYWxzZX1dfQ=="/>
          <w:id w:val="-308563271"/>
        </w:sdtPr>
        <w:sdtContent>
          <w:r>
            <w:rPr/>
          </w:r>
          <w:r>
            <w:rPr>
              <w:color w:val="000000"/>
            </w:rPr>
            <w:t>(26)</w:t>
          </w:r>
        </w:sdtContent>
      </w:sdt>
      <w:r>
        <w:rPr/>
        <w:t xml:space="preserve">. </w:t>
      </w:r>
      <w:r>
        <w:rPr/>
        <w:t xml:space="preserve">Constituye entre el 10 % y el 20 % de todas las neoplasias apendiculares, siendo superado en frecuencia únicamente por los tumores neuroendocrinos. Su rareza histórica ha conducido a una evolución lenta en la comprensión de su comportamiento clínico y en la estandarización de su tratamiento. </w:t>
      </w:r>
    </w:p>
    <w:p>
      <w:pPr>
        <w:pStyle w:val="p1"/>
        <w:spacing w:lineRule="auto" w:line="360" w:before="280" w:after="280"/>
        <w:jc w:val="both"/>
        <w:rPr/>
      </w:pPr>
      <w:r>
        <w:rPr/>
        <w:t xml:space="preserve">Desde el punto de vista histopatológico, el adenocarcinoma apendicular constituye una neoplasia epitelial maligna con múltiples patrones morfológicos que reflejan una diversidad biológica considerable. El </w:t>
      </w:r>
      <w:r>
        <w:rPr>
          <w:b/>
          <w:bCs/>
        </w:rPr>
        <w:t>adenocarcinoma no mucinoso</w:t>
      </w:r>
      <w:r>
        <w:rPr>
          <w:b/>
        </w:rPr>
        <w:t xml:space="preserve"> </w:t>
      </w:r>
      <w:r>
        <w:rPr/>
        <w:t xml:space="preserve">(convencional o de tipo intestinal) presenta una conducta similar al cáncer de colon, con glándulas infiltrativas irregulares o anguladas compuestas por células tumorales altas, citología de alto grado y un estroma desmoplásico. Puede mostrar gemación tumoral y, a diferencia de las neoplasias mucinosas, raramente se asocia con pseudomixoma peritonei. Suele originarse en adenomas tubulares o tubulovellosos, así como en lesiones serradas precursoras.  </w:t>
      </w:r>
    </w:p>
    <w:p>
      <w:pPr>
        <w:pStyle w:val="p1"/>
        <w:spacing w:lineRule="auto" w:line="360" w:before="280" w:after="280"/>
        <w:jc w:val="both"/>
        <w:rPr/>
      </w:pPr>
      <w:r>
        <w:rPr/>
        <w:t>Dentro del espectro de los adenocarcinomas apendiculares, además de la clasificación principal basada en la composición mucinosa y el grado de diferenciación, es frecuente observar variantes arquitectónicas o fenotipos histológicos secundarios. Entre ellos destacan los patrones tubular, velloso y tubulovelloso, que reflejan una arquitectura glandular similar a la observada en los adenomas colónicos avanzados. Estas variantes morfológicas, aunque clínicamente relevantes por su posible origen en la secuencia adenoma-carcinoma, no constituyen subtipos independientes según la clasificación oficial de la Organización Mundial de la Salud (OMS, 2019), sino que se consideran parte del adenocarcinoma convencional no mucinoso.</w:t>
      </w:r>
    </w:p>
    <w:p>
      <w:pPr>
        <w:pStyle w:val="p3"/>
        <w:spacing w:lineRule="auto" w:line="360" w:before="280" w:after="280"/>
        <w:jc w:val="both"/>
        <w:rPr/>
      </w:pPr>
      <w:r>
        <w:rPr/>
        <w:t xml:space="preserve">El </w:t>
      </w:r>
      <w:r>
        <w:rPr>
          <w:b/>
          <w:bCs/>
        </w:rPr>
        <w:t>adenocarcinoma mucinoso</w:t>
      </w:r>
      <w:r>
        <w:rPr/>
        <w:t xml:space="preserve"> es el subtipo más frecuente, representando más del 50 % de los casos. Se caracteriza por una abundante producción de mucina extracelular y una arquitectura glandular distendida. El subtipo convencional muestra estructuras glandulares irregulares y proliferación desorganizada, con invasión destructiva de la muscular propia y frecuente compromiso linfovascular. Si bien la clasificación sigue siendo variable y controversial, la quinta edición de la clasificación de la OMS no especifica el grado de diferenciación de estos tumores, centrando su implicación principal en la posibilidad de desarrollar pseudomixoma peritonei. </w:t>
      </w:r>
    </w:p>
    <w:p>
      <w:pPr>
        <w:pStyle w:val="p3"/>
        <w:spacing w:lineRule="auto" w:line="360" w:before="280" w:after="280"/>
        <w:jc w:val="both"/>
        <w:rPr/>
      </w:pPr>
      <w:r>
        <w:rPr/>
        <w:t>La nomenclatura de las neoplasias mucinosas apendiculares ha evolucionado de forma significativa en las últimas dos décadas, reflejando una mejor comprensión de su biología. Términos como “mucocele apendicular” o “cistadenoma mucinoso” se utilizaban anteriormente de manera laxa, generando confusión clínica y patológica. Actualmente, gracias a los esfuerzos de estandarización liderados por la OMS y diversos consensos internacionales, se dispone de una clasificación más precisa y universalmente aceptada</w:t>
      </w:r>
      <w:sdt>
        <w:sdtPr>
          <w:placeholder>
            <w:docPart w:val="5F1E430047BBDA4182492335205C45C0"/>
          </w:placeholder>
          <w:tag w:val="MENDELEY_CITATION_v3_eyJjaXRhdGlvbklEIjoiTUVOREVMRVlfQ0lUQVRJT05fNTAyZGIwNTEtY2QzMC00NzEwLWJhY2UtMTcxZTlmNWU1NWE3IiwicHJvcGVydGllcyI6eyJub3RlSW5kZXgiOjB9LCJpc0VkaXRlZCI6ZmFsc2UsIm1hbnVhbE92ZXJyaWRlIjp7ImlzTWFudWFsbHlPdmVycmlkZGVuIjpmYWxzZSwiY2l0ZXByb2NUZXh0IjoiKDEyKSIsIm1hbnVhbE92ZXJyaWRlVGV4dCI6IiJ9LCJjaXRhdGlvbkl0ZW1zIjpbeyJpZCI6IjE4YmU1MTQzLTRmMWMtM2I3OC05ZTdlLTdkOWQ4MGY4Y2JhMyIsIml0ZW1EYXRhIjp7InR5cGUiOiJhcnRpY2xlLWpvdXJuYWwiLCJpZCI6IjE4YmU1MTQzLTRmMWMtM2I3OC05ZTdlLTdkOWQ4MGY4Y2JhMyIsInRpdGxlIjoiVXBkYXRlcyBpbiBBcHBlbmRpeCBQYXRob2xvZ3k6IFRoZSBQcmVjYXJpb3VzIEN1dHRpbmcgRWRnZSIsImF1dGhvciI6W3siZmFtaWx5IjoiQ2FyciIsImdpdmVuIjoiTm9ybWFuIEouIiwicGFyc2UtbmFtZXMiOmZhbHNlLCJkcm9wcGluZy1wYXJ0aWNsZSI6IiIsIm5vbi1kcm9wcGluZy1wYXJ0aWNsZSI6IiJ9XSwiY29udGFpbmVyLXRpdGxlIjoiU3VyZ2ljYWwgcGF0aG9sb2d5IGNsaW5pY3MiLCJjb250YWluZXItdGl0bGUtc2hvcnQiOiJTdXJnIFBhdGhvbCBDbGluIiwiRE9JIjoiMTAuMTAxNi9KLlBBVEguMjAyMC4wNS4wMDYiLCJJU1NOIjoiMTg3NS05MTU3IiwiUE1JRCI6IjMyNzczMTk1IiwiaXNzdWVkIjp7ImRhdGUtcGFydHMiOltbMjAyMF1dfSwicGFnZSI6IjQ2OS00ODQiLCJhYnN0cmFjdCI6Ik11Y2lub3VzIGFwcGVuZGljZWFsIHR1bW9ycyBpbmNsdWRlIGxvdy1ncmFkZSBhcHBlbmRpY2VhbCBtdWNpbm91cyBuZW9wbGFzbSwgaGlnaC1ncmFkZSBhcHBlbmRpY2VhbCBtdWNpbm91cyBuZW9wbGFzbSwgYW5kIG11Y2lub3VzIGFkZW5vY2FyY2lub21hLiBOb25tdWNpbm91cyBhZGVub2NhcmNpbm9tYXMgYXJlIGxlc3MgZnJlcXVlbnQuIFJlY2VudCBjb25zZW5zdXMgZ3VpZGVsaW5lcyBhbmQgdGhlIGxhdGVzdCBlZGl0aW9uIG9mIHRoZSBXb3JsZCBIZWFsdGggT3JnYW5pemF0aW9uIGNsYXNzaWZpY2F0aW9uIHdpbGwgYWxsb3cgY29uc2lzdGVudCB1c2Ugb2YgYWdyZWVkIG5vbWVuY2xhdHVyZS4gQWNjdXJhdGUgZGlhZ25vc2lzIGlzIGltcG9ydGFudCBub3Qgb25seSBmb3IgcGF0aWVudCBtYW5hZ2VtZW50IGJ1dCBhbHNvIHRvIGFsbG93IGNvbXBhcmlzb24gb2YgcmVzdWx0cyBiZXR3ZWVuIGNlbnRlcnMgYW5kIHR1bW9yIHJlZ2lzdHJpZXMuIFNlcnJhdGVkIHBvbHlwcyBhcmUgdGhlIG1vc3QgY29tbW9uIGJlbmlnbiBwb2x5cCBpbiB0aGUgYXBwZW5kaXguIFRoZXkgbmVlZCB0byBiZSBkaXN0aW5ndWlzaGVkIGZyb20gbG93LWdyYWRlIGFwcGVuZGljZWFsIG11Y2lub3VzIG5lb3BsYXNtLCB3aGljaCBjYW4gYWxzbyBtaW1pYyBvdGhlciBiZW5pZ24gY29uZGl0aW9ucy4gR29ibGV0IGNlbGwgYWRlbm9jYXJjaW5vbWFzIGFyZSBhIGRpc3RpbmN0aXZlIHR5cGUgb2YgYXBwZW5kaWNlYWwgbmVvcGxhc20uIiwicHVibGlzaGVyIjoiU3VyZyBQYXRob2wgQ2xpbiIsImlzc3VlIjoiMyIsInZvbHVtZSI6IjEzIn0sImlzVGVtcG9yYXJ5IjpmYWxzZX1dfQ=="/>
          <w:id w:val="25141022"/>
        </w:sdtPr>
        <w:sdtContent>
          <w:r>
            <w:rPr/>
          </w:r>
          <w:r>
            <w:rPr>
              <w:color w:val="000000"/>
            </w:rPr>
            <w:t>(12)</w:t>
          </w:r>
        </w:sdtContent>
      </w:sdt>
      <w:r>
        <w:rPr/>
        <w:t>.</w:t>
      </w:r>
    </w:p>
    <w:p>
      <w:pPr>
        <w:pStyle w:val="p3"/>
        <w:spacing w:lineRule="auto" w:line="360" w:before="280" w:after="280"/>
        <w:jc w:val="both"/>
        <w:rPr/>
      </w:pPr>
      <w:r>
        <w:rPr/>
        <w:t xml:space="preserve">Para abordar con mayor detalle este subtipo histológico, resulta fundamental especificar el nivel de agresividad de la neoplasia, clasificando las neoplasias mucinosas en bajo y alto grado, dado que presentan diferencias significativas en cuanto a comportamiento biológico, pronóstico y manejo terapéutico </w:t>
      </w:r>
      <w:sdt>
        <w:sdtPr>
          <w:placeholder>
            <w:docPart w:val="1E2B417F234543469802E4D0BEBE35C8"/>
          </w:placeholder>
          <w:tag w:val="MENDELEY_CITATION_v3_eyJjaXRhdGlvbklEIjoiTUVOREVMRVlfQ0lUQVRJT05fMWM1ODU2ZjktZjM4MS00ZmI2LTk0MWYtNDAxMTUwMTVmOGEwIiwicHJvcGVydGllcyI6eyJub3RlSW5kZXgiOjB9LCJpc0VkaXRlZCI6ZmFsc2UsIm1hbnVhbE92ZXJyaWRlIjp7ImlzTWFudWFsbHlPdmVycmlkZGVuIjpmYWxzZSwiY2l0ZXByb2NUZXh0IjoiKDI0KSIsIm1hbnVhbE92ZXJyaWRlVGV4dCI6IiJ9LCJjaXRhdGlvbkl0ZW1zIjpbeyJpZCI6ImNiZDNiMDEyLWJlMzAtMzdkNS1iYjM0LWU0ODZhNDcyMWE1NCIsIml0ZW1EYXRhIjp7InR5cGUiOiJhcnRpY2xlLWpvdXJuYWwiLCJpZCI6ImNiZDNiMDEyLWJlMzAtMzdkNS1iYjM0LWU0ODZhNDcyMWE1NCIsInRpdGxlIjoiVGhlIDIwMTkgV0hPIGNsYXNzaWZpY2F0aW9uIG9mIHR1bW91cnMgb2YgdGhlIGRpZ2VzdGl2ZSBzeXN0ZW0iLCJhdXRob3IiOlt7ImZhbWlseSI6Ik5hZ3RlZ2FhbCIsImdpdmVuIjoiSXJpcyBELiIsInBhcnNlLW5hbWVzIjpmYWxzZSwiZHJvcHBpbmctcGFydGljbGUiOiIiLCJub24tZHJvcHBpbmctcGFydGljbGUiOiIifSx7ImZhbWlseSI6Ik9kemUiLCJnaXZlbiI6IlJvYmVydCBELiIsInBhcnNlLW5hbWVzIjpmYWxzZSwiZHJvcHBpbmctcGFydGljbGUiOiIiLCJub24tZHJvcHBpbmctcGFydGljbGUiOiIifSx7ImZhbWlseSI6IktsaW1zdHJhIiwiZ2l2ZW4iOiJEYXZpZCIsInBhcnNlLW5hbWVzIjpmYWxzZSwiZHJvcHBpbmctcGFydGljbGUiOiIiLCJub24tZHJvcHBpbmctcGFydGljbGUiOiIifSx7ImZhbWlseSI6IlBhcmFkaXMiLCJnaXZlbiI6IlZhbGVyaWUiLCJwYXJzZS1uYW1lcyI6ZmFsc2UsImRyb3BwaW5nLXBhcnRpY2xlIjoiIiwibm9uLWRyb3BwaW5nLXBhcnRpY2xlIjoiIn0seyJmYW1pbHkiOiJSdWdnZSIsImdpdmVuIjoiTWFzc2ltbyIsInBhcnNlLW5hbWVzIjpmYWxzZSwiZHJvcHBpbmctcGFydGljbGUiOiIiLCJub24tZHJvcHBpbmctcGFydGljbGUiOiIifSx7ImZhbWlseSI6IlNjaGlybWFjaGVyIiwiZ2l2ZW4iOiJQZXRlciIsInBhcnNlLW5hbWVzIjpmYWxzZSwiZHJvcHBpbmctcGFydGljbGUiOiIiLCJub24tZHJvcHBpbmctcGFydGljbGUiOiIifSx7ImZhbWlseSI6Ildhc2hpbmd0b24iLCJnaXZlbiI6IktheSBNLiIsInBhcnNlLW5hbWVzIjpmYWxzZSwiZHJvcHBpbmctcGFydGljbGUiOiIiLCJub24tZHJvcHBpbmctcGFydGljbGUiOiIifSx7ImZhbWlseSI6IkNhcm5laXJvIiwiZ2l2ZW4iOiJGYXRpbWEiLCJwYXJzZS1uYW1lcyI6ZmFsc2UsImRyb3BwaW5nLXBhcnRpY2xlIjoiIiwibm9uLWRyb3BwaW5nLXBhcnRpY2xlIjoiIn0seyJmYW1pbHkiOiJDcmVlIiwiZ2l2ZW4iOiJJYW4gQS4iLCJwYXJzZS1uYW1lcyI6ZmFsc2UsImRyb3BwaW5nLXBhcnRpY2xlIjoiIiwibm9uLWRyb3BwaW5nLXBhcnRpY2xlIjoiIn1dLCJjb250YWluZXItdGl0bGUiOiJIaXN0b3BhdGhvbG9neSIsImNvbnRhaW5lci10aXRsZS1zaG9ydCI6Ikhpc3RvcGF0aG9sb2d5IiwiRE9JIjoiMTAuMTExMS9ISVMuMTM5NzUiLCJJU1NOIjoiMTM2NTI1NTkiLCJQTUlEIjoiMzE0MzM1MTUiLCJpc3N1ZWQiOnsiZGF0ZS1wYXJ0cyI6W1syMDE5XV19LCJwYWdlIjoiMTgyIiwicHVibGlzaGVyIjoiQmxhY2t3ZWxsIFB1Ymxpc2hpbmcgTHRkIiwiaXNzdWUiOiIyIiwidm9sdW1lIjoiNzYifSwiaXNUZW1wb3JhcnkiOmZhbHNlfV19"/>
          <w:id w:val="298202259"/>
        </w:sdtPr>
        <w:sdtContent>
          <w:r>
            <w:rPr/>
          </w:r>
          <w:r>
            <w:rPr>
              <w:rFonts w:eastAsia="MS Mincho"/>
              <w:color w:val="000000"/>
            </w:rPr>
            <w:t>(24)</w:t>
          </w:r>
        </w:sdtContent>
      </w:sdt>
      <w:r>
        <w:rPr/>
        <w:t xml:space="preserve">. </w:t>
      </w:r>
      <w:r>
        <w:rPr/>
        <w:t>Estas entidades incluyen las neoplasias apendiculares mucinosas de bajo grado (LAMN, por sus siglas en inglés), las neoplasias apendiculares de alto grado (HAMN, por sus siglas en inglés) y la enfermedad diseminada conocida como pseudomixoma peritonei (PMP).</w:t>
      </w:r>
    </w:p>
    <w:p>
      <w:pPr>
        <w:pStyle w:val="p3"/>
        <w:spacing w:lineRule="auto" w:line="360" w:before="280" w:after="280"/>
        <w:jc w:val="both"/>
        <w:rPr/>
      </w:pPr>
      <w:bookmarkStart w:id="67" w:name="_Toc199583943"/>
      <w:bookmarkStart w:id="68" w:name="_Toc199584578"/>
      <w:r>
        <w:rPr/>
        <w:t xml:space="preserve">El </w:t>
      </w:r>
      <w:r>
        <w:rPr>
          <w:rStyle w:val="Emphasis"/>
        </w:rPr>
        <w:t>low-grade appendiceal mucinous neoplasm</w:t>
      </w:r>
      <w:r>
        <w:rPr/>
        <w:t xml:space="preserve"> (LAMN) se caracteriza por una proliferación neoplásica epitelial de bajo grado que produce abundante mucina extracelular. Según los reportes más recientes, los LAMN representan aproximadamente entre el 30 % y el 50 % de todas las neoplasias apendiculares (15</w:t>
      </w:r>
      <w:sdt>
        <w:sdtPr>
          <w:placeholder>
            <w:docPart w:val="BAF3B3A71982F34B854CBEE35FDE0BC5"/>
          </w:placeholder>
          <w:tag w:val="MENDELEY_CITATION_v3_eyJjaXRhdGlvbklEIjoiTUVOREVMRVlfQ0lUQVRJT05fN2UyYzNiZDItNzlkOC00MDJjLTg2NDctMGYyNGI0Y2E2MGVjIiwicHJvcGVydGllcyI6eyJub3RlSW5kZXgiOjB9LCJpc0VkaXRlZCI6ZmFsc2UsIm1hbnVhbE92ZXJyaWRlIjp7ImlzTWFudWFsbHlPdmVycmlkZGVuIjpmYWxzZSwiY2l0ZXByb2NUZXh0IjoiKDI4KSIsIm1hbnVhbE92ZXJyaWRlVGV4dCI6IiJ9LCJjaXRhdGlvbkl0ZW1zIjpbeyJpZCI6ImRiNzMyNzY2LTVhMzMtMzkzMi04YmI2LWQxYWU4NDU5ZWFlNiIsIml0ZW1EYXRhIjp7InR5cGUiOiJhcnRpY2xlLWpvdXJuYWwiLCJpZCI6ImRiNzMyNzY2LTVhMzMtMzkzMi04YmI2LWQxYWU4NDU5ZWFlNiIsInRpdGxlIjoiQW5hbHlzaXMgb2YgQ2xpbmljYWwgQ2hhcmFjdGVyaXN0aWNzIG9mIExvdy1HcmFkZSBBcHBlbmRpY2VhbCBNdWNpbm91cyBOZW9wbGFzbSAoTEFNTik6IEEgUmV0cm9zcGVjdGl2ZSBDb2hvcnQgU3R1ZHkgb2YgNTEgTEFNTiBQYXRpZW50cyIsImF1dGhvciI6W3siZmFtaWx5IjoiWGlhbyIsImdpdmVuIjoiSmlhbmNodW4iLCJwYXJzZS1uYW1lcyI6ZmFsc2UsImRyb3BwaW5nLXBhcnRpY2xlIjoiIiwibm9uLWRyb3BwaW5nLXBhcnRpY2xlIjoiIn0seyJmYW1pbHkiOiJMaSIsImdpdmVuIjoiUGVpaGVuZyIsInBhcnNlLW5hbWVzIjpmYWxzZSwiZHJvcHBpbmctcGFydGljbGUiOiIiLCJub24tZHJvcHBpbmctcGFydGljbGUiOiIifSx7ImZhbWlseSI6IkxpdSIsImdpdmVuIjoiV2VpIiwicGFyc2UtbmFtZXMiOmZhbHNlLCJkcm9wcGluZy1wYXJ0aWNsZSI6IiIsIm5vbi1kcm9wcGluZy1wYXJ0aWNsZSI6IiJ9XSwiY29udGFpbmVyLXRpdGxlIjoiSm91cm5hbCBvZiBpbnZlc3RpZ2F0aXZlIHN1cmdlcnkgOiB0aGUgb2ZmaWNpYWwgam91cm5hbCBvZiB0aGUgQWNhZGVteSBvZiBTdXJnaWNhbCBSZXNlYXJjaCIsImNvbnRhaW5lci10aXRsZS1zaG9ydCI6IkogSW52ZXN0IFN1cmciLCJET0kiOiIxMC4xMDgwLzA4OTQxOTM5LjIwMTkuMTY5NTk4NiIsIklTU04iOiIxNTIxLTA1NTMiLCJQTUlEIjoiMzE5MDY3MzMiLCJpc3N1ZWQiOnsiZGF0ZS1wYXJ0cyI6W1syMDIxXV19LCJwYWdlIjoiNzIxLTcyNyIsImFic3RyYWN0IjoiSW50cm9kdWN0aW9uOiBMb3ctZ3JhZGUgYXBwZW5kaWNlYWwgbXVjaW5vdXMgbmVvcGxhc20gKExBTU4pIGlzIGEgcmFyZSBkaXNvcmRlci4gVGhlcmUgaXMgbm8gY29uc2Vuc3VzIG9uIHRoZSBwcm9nbm9zaXMgYW5kIG1hbmFnZW1lbnQgb2YgTEFNTi4gTWF0ZXJpYWxzIGFuZCBtZXRob2RzOiBXZSByZXZpZXdlZCA1MSBjb25zZWN1dGl2ZSBwYXRpZW50cyB3aXRoIExBTU4gZnJvbSAyMDEzIHRvIDIwMTguIFdlIGRpdmlkZWQgb3VyIHBhdGllbnRzIGludG8gdHdvIGdyb3Vwcy4gVGhlIGZpcnN0IGlzIHBhdGllbnRzIHdpdGggYW4gaW50YWN0IGFwcGVuZGl4LiBUaGUgc2Vjb25kIGdyb3VwIGNvbXByaXNlcyBwYXRpZW50cyB3aXRoIHRoZSBwb3RlbnRpYWwgdG8gZGV2ZWxvcCBhIG1hbGlnbmFudCBjb25kaXRpb24uIENvbXBhcmlzb25zIG9mIHNlcnVtIHR1bW9yIG1hcmtlcnMgYmV0d2VlbiB0d28gZ3JvdXBzIHdlcmUgcGVyZm9ybWVkLiBTdXJ2aXZhbCBjdXJ2ZXMgd2VyZSBlc3RpbWF0ZWQuIFVuaXZhcmlhdGUgYW5kIG11bHRpdmFyaWF0ZSBDb3ggcHJvcG9ydGlvbmFsIGhhemFyZHMgd2VyZSBjb21wdXRlZCBmb3IgNDYgcGF0aWVudHMgd2l0aCBtZWRpYW4gZm9sbG93LXVwIG9mIDIuNyB5ZWFycy4gUmVzdWx0czogQ29tcGFyaXNvbiBvZiBwYXRpZW50cyBpbiB0d28gZ3JvdXBzIHJldmVhbGVkIHNpZ25pZmljYW50IGRpZmZlcmVuY2VzIGluIHRoZSBtZWFuIGxldmVsIGFuZCBhYm5vcm1hbCByYXRpbyBvZiBDQTEyNSAocCA8IDAuMDAxLCBwIDwgMC4wMDEpLCBDQTE5LTkgKHAgPSAwLjA0LCBwID0gMC4wNCksIGFuZCBDRUEgKHAgPSAwLjAwMSwgcCA9IDAuMDIpLiBFaWdodCBwYXRpZW50cyBoYWQgcmVsYXBzZWQgYnkgdGhlIGxhc3QgZm9sbG93LXVwIGluIHRoZSBzZWNvbmQgZ3JvdXAuIFBhdGllbnRzIHdpdGggbm9ybWFsIENFQSBoYWQgc2lnbmlmaWNhbnRseSBsb25nZXIgZGlzZWFzZS1mcmVlIHN1cnZpdmFsIChERlMpIHRpbWUgdGhhbiB0aG9zZSB3aXRoIGFibm9ybWFsIENFQSAocCA9IDAuMDQpLiBDQTE5LTkgZXhoaWJpdGVkIGEgc2lnbmlmaWNhbnQgYXNzb2NpYXRpb24gd2l0aCBERlMgKEhSID0gNS43MiwgcCA9IDAuMDIpIGluIHRoZSBVbml2YXJpYXRlIENveCBwcm9wb3J0aW9uYWwgaGF6YXJkcy4gRGlzY3Vzc2lvbjogVGhlIHByb2dub3NpcyBvZiBMQU1OIGlzIHJlbGF0ZWQgdG8gc2VydW0gdHVtb3IgbWFya2VycywgdGhlIHN1cmdpY2FsIHByb2NlZHVyZSBhbmQgdGhlIHBhdGhvbG9neS4iLCJwdWJsaXNoZXIiOiJKIEludmVzdCBTdXJnIiwiaXNzdWUiOiI3Iiwidm9sdW1lIjoiMzQifSwiaXNUZW1wb3JhcnkiOmZhbHNlfV19"/>
          <w:id w:val="637846683"/>
        </w:sdtPr>
        <w:sdtContent>
          <w:r>
            <w:rPr/>
          </w:r>
          <w:r>
            <w:rPr>
              <w:color w:val="000000"/>
            </w:rPr>
            <w:t>(28)</w:t>
          </w:r>
        </w:sdtContent>
      </w:sdt>
      <w:bookmarkEnd w:id="67"/>
      <w:bookmarkEnd w:id="68"/>
    </w:p>
    <w:p>
      <w:pPr>
        <w:pStyle w:val="p3"/>
        <w:spacing w:lineRule="auto" w:line="360" w:before="280" w:after="280"/>
        <w:jc w:val="both"/>
        <w:rPr>
          <w:color w:val="000000"/>
        </w:rPr>
      </w:pPr>
      <w:r>
        <w:rPr/>
        <w:t>Histológicamente, los LAMN se definen por la presencia de un epitelio neoplásico de arquitectura vellosa o plana, compuesto por células columnares mucinosas con displasia de bajo grado. Un aspecto distintivo de estos tumores es que, a pesar de su bajo grado histológico, tienen el potencial de diseminar mucina (con o sin células neoplásicas) hacia la cavidad peritoneal, condición que puede evolucionar hacia pseudomixoma peritonei</w:t>
      </w:r>
      <w:sdt>
        <w:sdtPr>
          <w:placeholder>
            <w:docPart w:val="BAF3B3A71982F34B854CBEE35FDE0BC5"/>
          </w:placeholder>
          <w:tag w:val="MENDELEY_CITATION_v3_eyJjaXRhdGlvbklEIjoiTUVOREVMRVlfQ0lUQVRJT05fOTU4ZTRiNzYtNTNiZC00M2RlLTkxZmYtMWNhMjEzODY2YzlhIiwicHJvcGVydGllcyI6eyJub3RlSW5kZXgiOjB9LCJpc0VkaXRlZCI6ZmFsc2UsIm1hbnVhbE92ZXJyaWRlIjp7ImlzTWFudWFsbHlPdmVycmlkZGVuIjpmYWxzZSwiY2l0ZXByb2NUZXh0IjoiKDI0KSIsIm1hbnVhbE92ZXJyaWRlVGV4dCI6IiJ9LCJjaXRhdGlvbkl0ZW1zIjpbeyJpZCI6ImNiZDNiMDEyLWJlMzAtMzdkNS1iYjM0LWU0ODZhNDcyMWE1NCIsIml0ZW1EYXRhIjp7InR5cGUiOiJhcnRpY2xlLWpvdXJuYWwiLCJpZCI6ImNiZDNiMDEyLWJlMzAtMzdkNS1iYjM0LWU0ODZhNDcyMWE1NCIsInRpdGxlIjoiVGhlIDIwMTkgV0hPIGNsYXNzaWZpY2F0aW9uIG9mIHR1bW91cnMgb2YgdGhlIGRpZ2VzdGl2ZSBzeXN0ZW0iLCJhdXRob3IiOlt7ImZhbWlseSI6Ik5hZ3RlZ2FhbCIsImdpdmVuIjoiSXJpcyBELiIsInBhcnNlLW5hbWVzIjpmYWxzZSwiZHJvcHBpbmctcGFydGljbGUiOiIiLCJub24tZHJvcHBpbmctcGFydGljbGUiOiIifSx7ImZhbWlseSI6Ik9kemUiLCJnaXZlbiI6IlJvYmVydCBELiIsInBhcnNlLW5hbWVzIjpmYWxzZSwiZHJvcHBpbmctcGFydGljbGUiOiIiLCJub24tZHJvcHBpbmctcGFydGljbGUiOiIifSx7ImZhbWlseSI6IktsaW1zdHJhIiwiZ2l2ZW4iOiJEYXZpZCIsInBhcnNlLW5hbWVzIjpmYWxzZSwiZHJvcHBpbmctcGFydGljbGUiOiIiLCJub24tZHJvcHBpbmctcGFydGljbGUiOiIifSx7ImZhbWlseSI6IlBhcmFkaXMiLCJnaXZlbiI6IlZhbGVyaWUiLCJwYXJzZS1uYW1lcyI6ZmFsc2UsImRyb3BwaW5nLXBhcnRpY2xlIjoiIiwibm9uLWRyb3BwaW5nLXBhcnRpY2xlIjoiIn0seyJmYW1pbHkiOiJSdWdnZSIsImdpdmVuIjoiTWFzc2ltbyIsInBhcnNlLW5hbWVzIjpmYWxzZSwiZHJvcHBpbmctcGFydGljbGUiOiIiLCJub24tZHJvcHBpbmctcGFydGljbGUiOiIifSx7ImZhbWlseSI6IlNjaGlybWFjaGVyIiwiZ2l2ZW4iOiJQZXRlciIsInBhcnNlLW5hbWVzIjpmYWxzZSwiZHJvcHBpbmctcGFydGljbGUiOiIiLCJub24tZHJvcHBpbmctcGFydGljbGUiOiIifSx7ImZhbWlseSI6Ildhc2hpbmd0b24iLCJnaXZlbiI6IktheSBNLiIsInBhcnNlLW5hbWVzIjpmYWxzZSwiZHJvcHBpbmctcGFydGljbGUiOiIiLCJub24tZHJvcHBpbmctcGFydGljbGUiOiIifSx7ImZhbWlseSI6IkNhcm5laXJvIiwiZ2l2ZW4iOiJGYXRpbWEiLCJwYXJzZS1uYW1lcyI6ZmFsc2UsImRyb3BwaW5nLXBhcnRpY2xlIjoiIiwibm9uLWRyb3BwaW5nLXBhcnRpY2xlIjoiIn0seyJmYW1pbHkiOiJDcmVlIiwiZ2l2ZW4iOiJJYW4gQS4iLCJwYXJzZS1uYW1lcyI6ZmFsc2UsImRyb3BwaW5nLXBhcnRpY2xlIjoiIiwibm9uLWRyb3BwaW5nLXBhcnRpY2xlIjoiIn1dLCJjb250YWluZXItdGl0bGUiOiJIaXN0b3BhdGhvbG9neSIsImNvbnRhaW5lci10aXRsZS1zaG9ydCI6Ikhpc3RvcGF0aG9sb2d5IiwiRE9JIjoiMTAuMTExMS9ISVMuMTM5NzUiLCJJU1NOIjoiMTM2NTI1NTkiLCJQTUlEIjoiMzE0MzM1MTUiLCJpc3N1ZWQiOnsiZGF0ZS1wYXJ0cyI6W1syMDE5XV19LCJwYWdlIjoiMTgyIiwicHVibGlzaGVyIjoiQmxhY2t3ZWxsIFB1Ymxpc2hpbmcgTHRkIiwiaXNzdWUiOiIyIiwidm9sdW1lIjoiNzYifSwiaXNUZW1wb3JhcnkiOmZhbHNlfV19"/>
          <w:id w:val="950972155"/>
        </w:sdtPr>
        <w:sdtContent>
          <w:r>
            <w:rPr/>
          </w:r>
          <w:r>
            <w:rPr>
              <w:color w:val="000000"/>
            </w:rPr>
            <w:t>(24)</w:t>
          </w:r>
        </w:sdtContent>
      </w:sdt>
    </w:p>
    <w:tbl>
      <w:tblPr>
        <w:tblStyle w:val="PlainTable4"/>
        <w:tblpPr w:vertAnchor="text" w:horzAnchor="margin" w:leftFromText="141" w:rightFromText="141" w:tblpX="0" w:tblpY="514"/>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3"/>
              <w:widowControl/>
              <w:numPr>
                <w:ilvl w:val="0"/>
                <w:numId w:val="36"/>
              </w:numPr>
              <w:spacing w:lineRule="auto" w:line="360" w:before="0" w:afterAutospacing="0" w:after="0"/>
              <w:jc w:val="both"/>
              <w:rPr>
                <w:b/>
                <w:bCs/>
                <w:kern w:val="0"/>
                <w:lang w:val="es-CR" w:bidi="ar-SA"/>
              </w:rPr>
            </w:pPr>
            <w:r>
              <w:rPr>
                <w:b/>
                <w:bCs/>
                <w:color w:themeColor="text1" w:val="000000"/>
                <w:kern w:val="0"/>
                <w:sz w:val="22"/>
                <w:lang w:val="es-CR" w:bidi="ar-SA"/>
              </w:rPr>
              <w:t>Aplanamiento o pérdida de la arquitectura mucosa normal del apéndice.</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3"/>
              <w:widowControl/>
              <w:numPr>
                <w:ilvl w:val="0"/>
                <w:numId w:val="36"/>
              </w:numPr>
              <w:spacing w:lineRule="auto" w:line="360" w:before="0" w:afterAutospacing="0" w:after="0"/>
              <w:jc w:val="both"/>
              <w:rPr>
                <w:b/>
                <w:bCs/>
                <w:kern w:val="0"/>
                <w:lang w:val="es-CR" w:bidi="ar-SA"/>
              </w:rPr>
            </w:pPr>
            <w:r>
              <w:rPr>
                <w:b/>
                <w:bCs/>
                <w:color w:themeColor="text1" w:val="000000"/>
                <w:kern w:val="0"/>
                <w:sz w:val="22"/>
                <w:lang w:val="es-CR" w:bidi="ar-SA"/>
              </w:rPr>
              <w:t>Fibrosis de la submucosa secundaria a la producción de mucina.</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3"/>
              <w:widowControl/>
              <w:numPr>
                <w:ilvl w:val="0"/>
                <w:numId w:val="36"/>
              </w:numPr>
              <w:spacing w:lineRule="auto" w:line="360" w:before="0" w:afterAutospacing="0" w:after="0"/>
              <w:jc w:val="both"/>
              <w:rPr>
                <w:b/>
                <w:bCs/>
                <w:kern w:val="0"/>
                <w:lang w:val="es-CR" w:bidi="ar-SA"/>
              </w:rPr>
            </w:pPr>
            <w:r>
              <w:rPr>
                <w:b/>
                <w:bCs/>
                <w:color w:themeColor="text1" w:val="000000"/>
                <w:kern w:val="0"/>
                <w:sz w:val="22"/>
                <w:lang w:val="es-CR" w:bidi="ar-SA"/>
              </w:rPr>
              <w:t>Ausencia de invasión destructiva a la muscular propia (diferenciándose así de los adenocarcinomas).</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3"/>
              <w:widowControl/>
              <w:numPr>
                <w:ilvl w:val="0"/>
                <w:numId w:val="36"/>
              </w:numPr>
              <w:spacing w:lineRule="auto" w:line="360" w:before="0" w:afterAutospacing="0" w:after="0"/>
              <w:jc w:val="both"/>
              <w:rPr>
                <w:b/>
                <w:bCs/>
                <w:kern w:val="0"/>
                <w:lang w:val="es-CR" w:bidi="ar-SA"/>
              </w:rPr>
            </w:pPr>
            <w:r>
              <w:rPr>
                <w:b/>
                <w:bCs/>
                <w:color w:themeColor="text1" w:val="000000"/>
                <w:kern w:val="0"/>
                <w:sz w:val="22"/>
                <w:lang w:val="es-CR" w:bidi="ar-SA"/>
              </w:rPr>
              <w:t>Implantes peritoneales acelulares o de bajo grado en casos de diseminación.</w:t>
            </w:r>
          </w:p>
        </w:tc>
      </w:tr>
    </w:tbl>
    <w:p>
      <w:pPr>
        <w:pStyle w:val="p3"/>
        <w:spacing w:lineRule="auto" w:line="360" w:before="280" w:after="280"/>
        <w:jc w:val="both"/>
        <w:rPr>
          <w:sz w:val="18"/>
        </w:rPr>
      </w:pPr>
      <w:bookmarkStart w:id="69" w:name="_Toc199961082"/>
      <w:bookmarkStart w:id="70" w:name="_Toc199964147"/>
      <w:bookmarkStart w:id="71" w:name="_Toc199960291"/>
      <w:bookmarkStart w:id="72" w:name="_Toc199964084"/>
      <w:r>
        <w:rPr>
          <w:b/>
          <w:sz w:val="18"/>
        </w:rPr>
        <w:t xml:space="preserve">Tabla </w:t>
      </w:r>
      <w:r>
        <w:rPr>
          <w:b/>
          <w:sz w:val="18"/>
        </w:rPr>
        <w:fldChar w:fldCharType="begin"/>
      </w:r>
      <w:r>
        <w:rPr>
          <w:sz w:val="18"/>
          <w:b/>
        </w:rPr>
        <w:instrText xml:space="preserve"> SEQ Tabla \* ARABIC </w:instrText>
      </w:r>
      <w:r>
        <w:rPr>
          <w:sz w:val="18"/>
          <w:b/>
        </w:rPr>
        <w:fldChar w:fldCharType="separate"/>
      </w:r>
      <w:r>
        <w:rPr>
          <w:sz w:val="18"/>
          <w:b/>
        </w:rPr>
        <w:t>1</w:t>
      </w:r>
      <w:r>
        <w:rPr>
          <w:sz w:val="18"/>
          <w:b/>
        </w:rPr>
        <w:fldChar w:fldCharType="end"/>
      </w:r>
      <w:r>
        <w:rPr>
          <w:b/>
          <w:sz w:val="18"/>
        </w:rPr>
        <w:t>.</w:t>
      </w:r>
      <w:r>
        <w:rPr>
          <w:sz w:val="18"/>
        </w:rPr>
        <w:t xml:space="preserve"> Las principales características histológicas del LAMN</w:t>
      </w:r>
      <w:bookmarkEnd w:id="69"/>
      <w:bookmarkEnd w:id="70"/>
      <w:bookmarkEnd w:id="71"/>
      <w:bookmarkEnd w:id="72"/>
    </w:p>
    <w:p>
      <w:pPr>
        <w:pStyle w:val="p3"/>
        <w:spacing w:lineRule="auto" w:line="360" w:before="280" w:after="280"/>
        <w:jc w:val="both"/>
        <w:rPr/>
      </w:pPr>
      <w:r>
        <w:rPr/>
      </w:r>
    </w:p>
    <w:p>
      <w:pPr>
        <w:pStyle w:val="p3"/>
        <w:spacing w:lineRule="auto" w:line="360" w:before="280" w:after="280"/>
        <w:jc w:val="both"/>
        <w:rPr/>
      </w:pPr>
      <w:r>
        <w:rPr/>
        <w:t xml:space="preserve">El pronóstico de los pacientes con LAMN confinados al apéndice es excelente, con tasas de sobrevida a cinco años superiores al 95 % </w:t>
      </w:r>
      <w:sdt>
        <w:sdtPr>
          <w:placeholder>
            <w:docPart w:val="BAF3B3A71982F34B854CBEE35FDE0BC5"/>
          </w:placeholder>
          <w:tag w:val="MENDELEY_CITATION_v3_eyJjaXRhdGlvbklEIjoiTUVOREVMRVlfQ0lUQVRJT05fZmY2ODg1ZDktMWJmNi00YTljLWE4YWYtOTBhZGJiODA2NTEzIiwicHJvcGVydGllcyI6eyJub3RlSW5kZXgiOjB9LCJpc0VkaXRlZCI6ZmFsc2UsIm1hbnVhbE92ZXJyaWRlIjp7ImlzTWFudWFsbHlPdmVycmlkZGVuIjpmYWxzZSwiY2l0ZXByb2NUZXh0IjoiKDI4KSIsIm1hbnVhbE92ZXJyaWRlVGV4dCI6IiJ9LCJjaXRhdGlvbkl0ZW1zIjpbeyJpZCI6ImRiNzMyNzY2LTVhMzMtMzkzMi04YmI2LWQxYWU4NDU5ZWFlNiIsIml0ZW1EYXRhIjp7InR5cGUiOiJhcnRpY2xlLWpvdXJuYWwiLCJpZCI6ImRiNzMyNzY2LTVhMzMtMzkzMi04YmI2LWQxYWU4NDU5ZWFlNiIsInRpdGxlIjoiQW5hbHlzaXMgb2YgQ2xpbmljYWwgQ2hhcmFjdGVyaXN0aWNzIG9mIExvdy1HcmFkZSBBcHBlbmRpY2VhbCBNdWNpbm91cyBOZW9wbGFzbSAoTEFNTik6IEEgUmV0cm9zcGVjdGl2ZSBDb2hvcnQgU3R1ZHkgb2YgNTEgTEFNTiBQYXRpZW50cyIsImF1dGhvciI6W3siZmFtaWx5IjoiWGlhbyIsImdpdmVuIjoiSmlhbmNodW4iLCJwYXJzZS1uYW1lcyI6ZmFsc2UsImRyb3BwaW5nLXBhcnRpY2xlIjoiIiwibm9uLWRyb3BwaW5nLXBhcnRpY2xlIjoiIn0seyJmYW1pbHkiOiJMaSIsImdpdmVuIjoiUGVpaGVuZyIsInBhcnNlLW5hbWVzIjpmYWxzZSwiZHJvcHBpbmctcGFydGljbGUiOiIiLCJub24tZHJvcHBpbmctcGFydGljbGUiOiIifSx7ImZhbWlseSI6IkxpdSIsImdpdmVuIjoiV2VpIiwicGFyc2UtbmFtZXMiOmZhbHNlLCJkcm9wcGluZy1wYXJ0aWNsZSI6IiIsIm5vbi1kcm9wcGluZy1wYXJ0aWNsZSI6IiJ9XSwiY29udGFpbmVyLXRpdGxlIjoiSm91cm5hbCBvZiBpbnZlc3RpZ2F0aXZlIHN1cmdlcnkgOiB0aGUgb2ZmaWNpYWwgam91cm5hbCBvZiB0aGUgQWNhZGVteSBvZiBTdXJnaWNhbCBSZXNlYXJjaCIsImNvbnRhaW5lci10aXRsZS1zaG9ydCI6IkogSW52ZXN0IFN1cmciLCJET0kiOiIxMC4xMDgwLzA4OTQxOTM5LjIwMTkuMTY5NTk4NiIsIklTU04iOiIxNTIxLTA1NTMiLCJQTUlEIjoiMzE5MDY3MzMiLCJpc3N1ZWQiOnsiZGF0ZS1wYXJ0cyI6W1syMDIxXV19LCJwYWdlIjoiNzIxLTcyNyIsImFic3RyYWN0IjoiSW50cm9kdWN0aW9uOiBMb3ctZ3JhZGUgYXBwZW5kaWNlYWwgbXVjaW5vdXMgbmVvcGxhc20gKExBTU4pIGlzIGEgcmFyZSBkaXNvcmRlci4gVGhlcmUgaXMgbm8gY29uc2Vuc3VzIG9uIHRoZSBwcm9nbm9zaXMgYW5kIG1hbmFnZW1lbnQgb2YgTEFNTi4gTWF0ZXJpYWxzIGFuZCBtZXRob2RzOiBXZSByZXZpZXdlZCA1MSBjb25zZWN1dGl2ZSBwYXRpZW50cyB3aXRoIExBTU4gZnJvbSAyMDEzIHRvIDIwMTguIFdlIGRpdmlkZWQgb3VyIHBhdGllbnRzIGludG8gdHdvIGdyb3Vwcy4gVGhlIGZpcnN0IGlzIHBhdGllbnRzIHdpdGggYW4gaW50YWN0IGFwcGVuZGl4LiBUaGUgc2Vjb25kIGdyb3VwIGNvbXByaXNlcyBwYXRpZW50cyB3aXRoIHRoZSBwb3RlbnRpYWwgdG8gZGV2ZWxvcCBhIG1hbGlnbmFudCBjb25kaXRpb24uIENvbXBhcmlzb25zIG9mIHNlcnVtIHR1bW9yIG1hcmtlcnMgYmV0d2VlbiB0d28gZ3JvdXBzIHdlcmUgcGVyZm9ybWVkLiBTdXJ2aXZhbCBjdXJ2ZXMgd2VyZSBlc3RpbWF0ZWQuIFVuaXZhcmlhdGUgYW5kIG11bHRpdmFyaWF0ZSBDb3ggcHJvcG9ydGlvbmFsIGhhemFyZHMgd2VyZSBjb21wdXRlZCBmb3IgNDYgcGF0aWVudHMgd2l0aCBtZWRpYW4gZm9sbG93LXVwIG9mIDIuNyB5ZWFycy4gUmVzdWx0czogQ29tcGFyaXNvbiBvZiBwYXRpZW50cyBpbiB0d28gZ3JvdXBzIHJldmVhbGVkIHNpZ25pZmljYW50IGRpZmZlcmVuY2VzIGluIHRoZSBtZWFuIGxldmVsIGFuZCBhYm5vcm1hbCByYXRpbyBvZiBDQTEyNSAocCA8IDAuMDAxLCBwIDwgMC4wMDEpLCBDQTE5LTkgKHAgPSAwLjA0LCBwID0gMC4wNCksIGFuZCBDRUEgKHAgPSAwLjAwMSwgcCA9IDAuMDIpLiBFaWdodCBwYXRpZW50cyBoYWQgcmVsYXBzZWQgYnkgdGhlIGxhc3QgZm9sbG93LXVwIGluIHRoZSBzZWNvbmQgZ3JvdXAuIFBhdGllbnRzIHdpdGggbm9ybWFsIENFQSBoYWQgc2lnbmlmaWNhbnRseSBsb25nZXIgZGlzZWFzZS1mcmVlIHN1cnZpdmFsIChERlMpIHRpbWUgdGhhbiB0aG9zZSB3aXRoIGFibm9ybWFsIENFQSAocCA9IDAuMDQpLiBDQTE5LTkgZXhoaWJpdGVkIGEgc2lnbmlmaWNhbnQgYXNzb2NpYXRpb24gd2l0aCBERlMgKEhSID0gNS43MiwgcCA9IDAuMDIpIGluIHRoZSBVbml2YXJpYXRlIENveCBwcm9wb3J0aW9uYWwgaGF6YXJkcy4gRGlzY3Vzc2lvbjogVGhlIHByb2dub3NpcyBvZiBMQU1OIGlzIHJlbGF0ZWQgdG8gc2VydW0gdHVtb3IgbWFya2VycywgdGhlIHN1cmdpY2FsIHByb2NlZHVyZSBhbmQgdGhlIHBhdGhvbG9neS4iLCJwdWJsaXNoZXIiOiJKIEludmVzdCBTdXJnIiwiaXNzdWUiOiI3Iiwidm9sdW1lIjoiMzQifSwiaXNUZW1wb3JhcnkiOmZhbHNlfV19"/>
          <w:id w:val="1529600716"/>
        </w:sdtPr>
        <w:sdtContent>
          <w:r>
            <w:rPr/>
          </w:r>
          <w:r>
            <w:rPr>
              <w:rFonts w:eastAsia="MS Mincho"/>
              <w:color w:val="000000"/>
            </w:rPr>
            <w:t>(28)</w:t>
          </w:r>
        </w:sdtContent>
      </w:sdt>
      <w:r>
        <w:rPr/>
        <w:t xml:space="preserve">. </w:t>
      </w:r>
      <w:r>
        <w:rPr/>
        <w:t xml:space="preserve">Sin embargo, en presencia de diseminación peritoneal, el pronóstico depende del grado de los implantes peritoneales, la posibilidad de lograr una citorreducción completa y el tratamiento adyuvante recibido </w:t>
      </w:r>
      <w:sdt>
        <w:sdtPr>
          <w:placeholder>
            <w:docPart w:val="BAF3B3A71982F34B854CBEE35FDE0BC5"/>
          </w:placeholder>
          <w:tag w:val="MENDELEY_CITATION_v3_eyJjaXRhdGlvbklEIjoiTUVOREVMRVlfQ0lUQVRJT05fNTIzOTM3OWUtNWRhMy00YTU2LTk2MjAtMDVkNjdhNTJlZjUyIiwicHJvcGVydGllcyI6eyJub3RlSW5kZXgiOjB9LCJpc0VkaXRlZCI6ZmFsc2UsIm1hbnVhbE92ZXJyaWRlIjp7ImlzTWFudWFsbHlPdmVycmlkZGVuIjpmYWxzZSwiY2l0ZXByb2NUZXh0IjoiKDI5KSIsIm1hbnVhbE92ZXJyaWRlVGV4dCI6IiJ9LCJjaXRhdGlvbkl0ZW1zIjpbeyJpZCI6Ijc1ZGQyNGQ5LTExNWMtM2Q4NC05MmYzLTJjZjZkMmVkNDQ2NSIsIml0ZW1EYXRhIjp7InR5cGUiOiJhcnRpY2xlLWpvdXJuYWwiLCJpZCI6Ijc1ZGQyNGQ5LTExNWMtM2Q4NC05MmYzLTJjZjZkMmVkNDQ2NSIsInRpdGxlIjoiQ2xpbmljb3BhdGhvbG9naWMgcGFyYW1ldGVycyBhbmQgb3V0Y29tZXMgb2YgbXVjaW5vdXMgbmVvcGxhc21zIGNvbmZpbmVkIHRvIHRoZSBhcHBlbmRpeDogYSBiZW5pZ24gZW50aXR5IHdpdGggZXhjZWxsZW50IHByb2dub3NpcyIsImF1dGhvciI6W3siZmFtaWx5IjoiUG9seWRvcmlkZXMiLCJnaXZlbiI6IkFsZXhhbmRyb3MgRC4iLCJwYXJzZS1uYW1lcyI6ZmFsc2UsImRyb3BwaW5nLXBhcnRpY2xlIjoiIiwibm9uLWRyb3BwaW5nLXBhcnRpY2xlIjoiIn0seyJmYW1pbHkiOiJXZW4iLCJnaXZlbiI6IlhpYW95dW4iLCJwYXJzZS1uYW1lcyI6ZmFsc2UsImRyb3BwaW5nLXBhcnRpY2xlIjoiIiwibm9uLWRyb3BwaW5nLXBhcnRpY2xlIjoiIn1dLCJjb250YWluZXItdGl0bGUiOiJNb2Rlcm4gcGF0aG9sb2d5IDogYW4gb2ZmaWNpYWwgam91cm5hbCBvZiB0aGUgVW5pdGVkIFN0YXRlcyBhbmQgQ2FuYWRpYW4gQWNhZGVteSBvZiBQYXRob2xvZ3ksIEluYyIsImNvbnRhaW5lci10aXRsZS1zaG9ydCI6Ik1vZCBQYXRob2wiLCJET0kiOiIxMC4xMDM4L1M0MTM3OS0wMjItMDExMTQtNyIsIklTU04iOiIxNTMwLTAyODUiLCJQTUlEIjoiMzU2NzYzMzEiLCJpc3N1ZWQiOnsiZGF0ZS1wYXJ0cyI6W1syMDIyXV19LCJwYWdlIjoiMTczMi0xNzM5IiwiYWJzdHJhY3QiOiJBcHBlbmRpY2VhbCBtdWNpbm91cyBuZW9wbGFzbXMgKEFNTnMpLCBjaGFyYWN0ZXJpemVkIGJ5IGV4cGFuc2lsZSBvciDigJxwdXNoaW5n4oCdIGdyb3d0aCBvZiBuZW9wbGFzdGljIGVwaXRoZWxpdW0gdGhyb3VnaCB0aGUgYXBwZW5kaXggd2FsbCwgYXJlIHNvbWV0aW1lcyBhY2NvbXBhbmllZCBieSBwZXJpdG9uZWFsIGludm9sdmVtZW50LCB0aGUgZXh0ZW50IGFuZCBncmFkZSBvZiB3aGljaCBsYXJnZWx5IGRldGVybWluZSBjbGluaWNhbCBwcmVzZW50YXRpb24gYW5kIGxvbmctdGVybSBvdXRjb21lcy4gSG93ZXZlciwgdGhlIHByb2dub3NpcyBvZiB0dW1vcnMgZW50aXJlbHkgY29uZmluZWQgdG8gdGhlIGFwcGVuZGl4IGlzIHN0aWxsIGRlYmF0ZWQgYW5kIGNvbmZ1c2lvbiByZW1haW5zIHJlZ2FyZGluZyB0aGVpciBiaW9sb2dpYyBiZWhhdmlvciBhbmQsIGNvbnNlcXVlbnRseSwgdGhlaXIgY2xpbmljYWwgbWFuYWdlbWVudCBhbmQgZXZlbiBkaWFnbm9zdGljIG5vbWVuY2xhdHVyZS4gV2UgZXZhbHVhdGVkIEFNTnMgbGltaXRlZCB0byB0aGUgYXBwZW5kaXggZnJvbSAzMzcgcGF0aWVudHMgKG1lZGlhbiBhZ2U6IDU4IHllYXJzLCBpbnRlcnF1YXJ0aWxlIHJhbmdlIChJUVIpOiA0N+KAkzY3KSwgMTk0ICg1Ny42JSkgb2Ygd2hvbSB3ZXJlIHdvbWVuIGFuZCAxNDMgKDQyLjQlKSBtZW4uIFRoZSBtb3N0IGNvbW1vbiBjbGluaWNhbCBpbmRpY2F0aW9uIGZvciBzdXJnZXJ5IHdhcyBtYXNzIG9yIG11Y29jZWxlLCBpbiAxNjMgKDQ4LjQlKSBjYXNlcy4gTW9zdCBjYXNlcyAoTiA9IDMyMiwgOTUuNSUpIGNvbXByaXNlZCBsb3ctZ3JhZGUgZXBpdGhlbGl1bSwgYnV0IHRoZXJlIHdlcmUgYWxzbyAxNSAoNC41JSkgY2FzZXMgd2l0aCBoaWdoLWdyYWRlIGR5c3BsYXNpYS4gTHltcGggbm9kZXMgaGFkIGJlZW4gaGFydmVzdGVkIGluIDEwMiAoMzAuMyUpIGNhc2VzIHdpdGggYSBtZWRpYW4gNi41IGx5bXBoIG5vZGVzIChJUVI6IDLigJMxNCkgcGVyIHNwZWNpbWVuIGZvciBhIHRvdGFsIG9mIDkxMCBseW1waCBub2RlcyBleGFtaW5lZCwgYWxsIG9mIHdoaWNoIHdlcmUgbmVnYXRpdmUgZm9yIG1ldGFzdGF0aWMgZGlzZWFzZS4gSGlzdG9sb2dpYyBzbGlkZSByZXZpZXcgaW4gMjc5IGNhc2VzIHJldmVhbGVkIDc3ICgyNy42JSkgdHVtb3JzIGV4dGVuZGluZyB0byB0aGUgbXVjb3NhLCAxMDEgKDM2LjIlKSB0byBzdWJtdWNvc2EsIDMzICgxMS44JSkgdG8gbXVzY3VsYXJpcyBwcm9wcmlhLCBhbmQgNjggKDI0LjQlKSB0byBzdWJzZXJvc2FsIHRpc3N1ZXMuIEluIG11bHRpdmFyaWF0ZSBhbmFseXNpcywgZGVlcGVyIHR1bW9yIGV4dGVuc2lvbiB3YXMgYXNzb2NpYXRlZCB3aXRoIG9sZGVyIGFnZSAocCA9IDAuMDMyOyBvZGRzIHJhdGlvIChPUik6IDEuMDIsIDk1JSBjb25maWRlbmNlIGludGVydmFscyAoQ0kpOiAxLjAw4oCTMS4wMyksIGluZGljYXRpb24gb2YgbWFzcy9tdWNvY2VsZSAocCA8IDAuMDAxOyBPUjogMi4wOSwgQ0k6IDEuNDHigJMzLjExKSwgYW5kIHdpZGVyIGFwcGVuZGljZWFsIGRpYW1ldGVyLCBncm9zc2x5IChwIDwgMC4wMDE7IE9SOiAxLjYxLCBDSTogMS4yOOKAkzIuMDIpLiBJbXBvcnRhbnRseSwgYW1vbmcgMTk0IGNhc2VzIHdpdGggYXQgbGVhc3QgNiBtb250aHMgb2YgZm9sbG93LXVwIChtZWRpYW46IDU2LjEgbW9udGhzLCBJUVI6IDI0LjTigJM5OC41KSwgaW5jbHVkaW5nIDkgaGlnaC1ncmFkZSwgdGhlcmUgd2FzIG5vIGRpc2Vhc2UgcmVjdXJyZW5jZS9wcm9ncmVzc2lvbiwgcGVyaXRvbmVhbCBpbnZvbHZlbWVudCAocHNldWRvbXl4b21hIHBlcml0b25laSksIG9yIGRpc2Vhc2Utc3BlY2lmaWMgbW9ydGFsaXR5LiBUaGVzZSBkYXRhIHJlaW5mb3JjZSB0aGUgY29uY2x1c2lvbiB0aGF0IEFNTnMgY29uZmluZWQgdG8gdGhlIGFwcGVuZGl4IGFyZSBjaGFyYWN0ZXJpemVkIGJ5IGJlbmlnbiBiaW9sb2dpYyBiZWhhdmlvciBhbmQgZXhjZWxsZW50IGNsaW5pY2FsIHByb2dub3NpcyBhbmQgYWNjb3JkaW5nbHkgc3VnZ2VzdCB0aGF0IHJldmlzaW9ucyB0byB0aGVpciBub21lbmNsYXR1cmUgYW5kIHN0YWdpbmcgd291bGQgYmUgYXBwcm9wcmlhdGUsIGluY2x1ZGluZyByZXZlcnRpbmcgdG8gdGhlIGRpYWdub3N0aWMgdGVybSBtdWNpbm91cyBhZGVub21hIGluIG9yZGVyIHRvIGFjY3VyYXRlbHkgZGVzY3JpYmUgYSBzdWJzZXQgb2YgdGhlbS4iLCJwdWJsaXNoZXIiOiJNb2QgUGF0aG9sIiwiaXNzdWUiOiIxMSIsInZvbHVtZSI6IjM1In0sImlzVGVtcG9yYXJ5IjpmYWxzZX1dfQ=="/>
          <w:id w:val="1890605925"/>
        </w:sdtPr>
        <w:sdtContent>
          <w:r>
            <w:rPr/>
          </w:r>
          <w:r>
            <w:rPr>
              <w:rFonts w:eastAsia="MS Mincho"/>
              <w:color w:val="000000"/>
            </w:rPr>
            <w:t>(29)</w:t>
          </w:r>
        </w:sdtContent>
      </w:sdt>
    </w:p>
    <w:p>
      <w:pPr>
        <w:pStyle w:val="p3"/>
        <w:spacing w:lineRule="auto" w:line="360" w:before="280" w:after="280"/>
        <w:jc w:val="both"/>
        <w:rPr/>
      </w:pPr>
      <w:r>
        <w:rPr>
          <w:rFonts w:eastAsia="MS Mincho"/>
          <w:color w:val="000000"/>
        </w:rPr>
        <w:t xml:space="preserve">El </w:t>
      </w:r>
      <w:r>
        <w:rPr>
          <w:rStyle w:val="Emphasis"/>
        </w:rPr>
        <w:t>high-grade appendiceal mucinous neoplasm</w:t>
      </w:r>
      <w:r>
        <w:rPr/>
        <w:t xml:space="preserve"> (HAMN) se diferencia del LAMN por su mayor grado de displasia epitelial, aunque sin llegar a mostrar los patrones invasivos típicos de un adenocarcinoma </w:t>
      </w:r>
      <w:sdt>
        <w:sdtPr>
          <w:placeholder>
            <w:docPart w:val="F06F188AF611244982B313C9D162552D"/>
          </w:placeholder>
          <w:tag w:val="MENDELEY_CITATION_v3_eyJjaXRhdGlvbklEIjoiTUVOREVMRVlfQ0lUQVRJT05fNWNhYmMyZDQtOWIwOS00N2U1LWJiOTEtMjIwMTJlNTg2NTdjIiwicHJvcGVydGllcyI6eyJub3RlSW5kZXgiOjB9LCJpc0VkaXRlZCI6ZmFsc2UsIm1hbnVhbE92ZXJyaWRlIjp7ImlzTWFudWFsbHlPdmVycmlkZGVuIjpmYWxzZSwiY2l0ZXByb2NUZXh0IjoiKDI0KSIsIm1hbnVhbE92ZXJyaWRlVGV4dCI6IiJ9LCJjaXRhdGlvbkl0ZW1zIjpbeyJpZCI6ImNiZDNiMDEyLWJlMzAtMzdkNS1iYjM0LWU0ODZhNDcyMWE1NCIsIml0ZW1EYXRhIjp7InR5cGUiOiJhcnRpY2xlLWpvdXJuYWwiLCJpZCI6ImNiZDNiMDEyLWJlMzAtMzdkNS1iYjM0LWU0ODZhNDcyMWE1NCIsInRpdGxlIjoiVGhlIDIwMTkgV0hPIGNsYXNzaWZpY2F0aW9uIG9mIHR1bW91cnMgb2YgdGhlIGRpZ2VzdGl2ZSBzeXN0ZW0iLCJhdXRob3IiOlt7ImZhbWlseSI6Ik5hZ3RlZ2FhbCIsImdpdmVuIjoiSXJpcyBELiIsInBhcnNlLW5hbWVzIjpmYWxzZSwiZHJvcHBpbmctcGFydGljbGUiOiIiLCJub24tZHJvcHBpbmctcGFydGljbGUiOiIifSx7ImZhbWlseSI6Ik9kemUiLCJnaXZlbiI6IlJvYmVydCBELiIsInBhcnNlLW5hbWVzIjpmYWxzZSwiZHJvcHBpbmctcGFydGljbGUiOiIiLCJub24tZHJvcHBpbmctcGFydGljbGUiOiIifSx7ImZhbWlseSI6IktsaW1zdHJhIiwiZ2l2ZW4iOiJEYXZpZCIsInBhcnNlLW5hbWVzIjpmYWxzZSwiZHJvcHBpbmctcGFydGljbGUiOiIiLCJub24tZHJvcHBpbmctcGFydGljbGUiOiIifSx7ImZhbWlseSI6IlBhcmFkaXMiLCJnaXZlbiI6IlZhbGVyaWUiLCJwYXJzZS1uYW1lcyI6ZmFsc2UsImRyb3BwaW5nLXBhcnRpY2xlIjoiIiwibm9uLWRyb3BwaW5nLXBhcnRpY2xlIjoiIn0seyJmYW1pbHkiOiJSdWdnZSIsImdpdmVuIjoiTWFzc2ltbyIsInBhcnNlLW5hbWVzIjpmYWxzZSwiZHJvcHBpbmctcGFydGljbGUiOiIiLCJub24tZHJvcHBpbmctcGFydGljbGUiOiIifSx7ImZhbWlseSI6IlNjaGlybWFjaGVyIiwiZ2l2ZW4iOiJQZXRlciIsInBhcnNlLW5hbWVzIjpmYWxzZSwiZHJvcHBpbmctcGFydGljbGUiOiIiLCJub24tZHJvcHBpbmctcGFydGljbGUiOiIifSx7ImZhbWlseSI6Ildhc2hpbmd0b24iLCJnaXZlbiI6IktheSBNLiIsInBhcnNlLW5hbWVzIjpmYWxzZSwiZHJvcHBpbmctcGFydGljbGUiOiIiLCJub24tZHJvcHBpbmctcGFydGljbGUiOiIifSx7ImZhbWlseSI6IkNhcm5laXJvIiwiZ2l2ZW4iOiJGYXRpbWEiLCJwYXJzZS1uYW1lcyI6ZmFsc2UsImRyb3BwaW5nLXBhcnRpY2xlIjoiIiwibm9uLWRyb3BwaW5nLXBhcnRpY2xlIjoiIn0seyJmYW1pbHkiOiJDcmVlIiwiZ2l2ZW4iOiJJYW4gQS4iLCJwYXJzZS1uYW1lcyI6ZmFsc2UsImRyb3BwaW5nLXBhcnRpY2xlIjoiIiwibm9uLWRyb3BwaW5nLXBhcnRpY2xlIjoiIn1dLCJjb250YWluZXItdGl0bGUiOiJIaXN0b3BhdGhvbG9neSIsImNvbnRhaW5lci10aXRsZS1zaG9ydCI6Ikhpc3RvcGF0aG9sb2d5IiwiRE9JIjoiMTAuMTExMS9ISVMuMTM5NzUiLCJJU1NOIjoiMTM2NTI1NTkiLCJQTUlEIjoiMzE0MzM1MTUiLCJpc3N1ZWQiOnsiZGF0ZS1wYXJ0cyI6W1syMDE5XV19LCJwYWdlIjoiMTgyIiwicHVibGlzaGVyIjoiQmxhY2t3ZWxsIFB1Ymxpc2hpbmcgTHRkIiwiaXNzdWUiOiIyIiwidm9sdW1lIjoiNzYifSwiaXNUZW1wb3JhcnkiOmZhbHNlfV19"/>
          <w:id w:val="-336458444"/>
        </w:sdtPr>
        <w:sdtContent>
          <w:r>
            <w:rPr/>
          </w:r>
          <w:r>
            <w:rPr>
              <w:rFonts w:eastAsia="MS Mincho"/>
              <w:color w:val="000000"/>
            </w:rPr>
            <w:t>(24)</w:t>
          </w:r>
        </w:sdtContent>
      </w:sdt>
      <w:r>
        <w:rPr/>
        <w:t xml:space="preserve">. </w:t>
      </w:r>
      <w:r>
        <w:rPr/>
        <w:t xml:space="preserve">De acuerdo con series contemporáneas, los HAMN constituyen aproximadamente entre el 5 % y el 10 % de todas las neoplasias apendiculares mucinosas </w:t>
      </w:r>
      <w:r>
        <w:rPr>
          <w:color w:val="000000"/>
        </w:rPr>
        <w:t>(8).</w:t>
      </w:r>
    </w:p>
    <w:p>
      <w:pPr>
        <w:pStyle w:val="p3"/>
        <w:spacing w:lineRule="auto" w:line="360" w:before="280" w:after="280"/>
        <w:jc w:val="both"/>
        <w:rPr/>
      </w:pPr>
      <w:r>
        <w:rPr/>
        <w:t>Desde el punto de vista histológico, el HAMN exhibe una proliferación epitelial mucinosa con características citológicas de alto grado.</w:t>
      </w:r>
    </w:p>
    <w:p>
      <w:pPr>
        <w:pStyle w:val="p3"/>
        <w:spacing w:lineRule="auto" w:line="360" w:before="280" w:after="280"/>
        <w:jc w:val="both"/>
        <w:rPr/>
      </w:pPr>
      <w:r>
        <w:rPr/>
      </w:r>
    </w:p>
    <w:p>
      <w:pPr>
        <w:pStyle w:val="Normal"/>
        <w:spacing w:lineRule="auto" w:line="276" w:before="0" w:after="200"/>
        <w:rPr>
          <w:b/>
          <w:bCs/>
          <w:sz w:val="18"/>
          <w:szCs w:val="18"/>
        </w:rPr>
      </w:pPr>
      <w:r>
        <w:rPr>
          <w:b/>
          <w:bCs/>
          <w:sz w:val="18"/>
          <w:szCs w:val="18"/>
        </w:rPr>
      </w:r>
      <w:bookmarkStart w:id="73" w:name="_Toc199964148"/>
      <w:bookmarkStart w:id="74" w:name="_Toc199964085"/>
      <w:bookmarkStart w:id="75" w:name="_Toc199961083"/>
      <w:bookmarkStart w:id="76" w:name="_Toc199964148"/>
      <w:bookmarkStart w:id="77" w:name="_Toc199964085"/>
      <w:bookmarkStart w:id="78" w:name="_Toc199961083"/>
      <w:r>
        <w:br w:type="page"/>
      </w:r>
    </w:p>
    <w:p>
      <w:pPr>
        <w:pStyle w:val="p3"/>
        <w:spacing w:lineRule="auto" w:line="360" w:before="0" w:after="280"/>
        <w:jc w:val="both"/>
        <w:rPr>
          <w:b/>
          <w:i/>
          <w:i/>
          <w:sz w:val="18"/>
        </w:rPr>
      </w:pPr>
      <w:r>
        <w:rPr>
          <w:b/>
          <w:sz w:val="18"/>
        </w:rPr>
        <w:t xml:space="preserve">Tabla </w:t>
      </w:r>
      <w:r>
        <w:rPr>
          <w:b/>
          <w:sz w:val="18"/>
        </w:rPr>
        <w:fldChar w:fldCharType="begin"/>
      </w:r>
      <w:r>
        <w:rPr>
          <w:sz w:val="18"/>
          <w:b/>
        </w:rPr>
        <w:instrText xml:space="preserve"> SEQ Tabla \* ARABIC </w:instrText>
      </w:r>
      <w:r>
        <w:rPr>
          <w:sz w:val="18"/>
          <w:b/>
        </w:rPr>
        <w:fldChar w:fldCharType="separate"/>
      </w:r>
      <w:r>
        <w:rPr>
          <w:sz w:val="18"/>
          <w:b/>
        </w:rPr>
        <w:t>2</w:t>
      </w:r>
      <w:r>
        <w:rPr>
          <w:sz w:val="18"/>
          <w:b/>
        </w:rPr>
        <w:fldChar w:fldCharType="end"/>
      </w:r>
      <w:r>
        <w:rPr>
          <w:b/>
          <w:sz w:val="18"/>
        </w:rPr>
        <w:t xml:space="preserve">. </w:t>
      </w:r>
      <w:r>
        <w:rPr>
          <w:sz w:val="18"/>
        </w:rPr>
        <w:t>Características citológicas de alto grado</w:t>
      </w:r>
      <w:bookmarkEnd w:id="78"/>
      <w:r>
        <w:rPr>
          <w:sz w:val="18"/>
        </w:rPr>
        <w:t xml:space="preserve"> del HAMN</w:t>
      </w:r>
      <w:bookmarkEnd w:id="76"/>
      <w:bookmarkEnd w:id="77"/>
    </w:p>
    <w:tbl>
      <w:tblPr>
        <w:tblStyle w:val="PlainTable4"/>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2"/>
              </w:numPr>
              <w:spacing w:lineRule="auto" w:line="360" w:before="0" w:afterAutospacing="0" w:after="0"/>
              <w:jc w:val="both"/>
              <w:rPr>
                <w:b/>
                <w:bCs/>
                <w:kern w:val="0"/>
                <w:lang w:val="es-CR" w:bidi="ar-SA"/>
              </w:rPr>
            </w:pPr>
            <w:r>
              <w:rPr>
                <w:b/>
                <w:bCs/>
                <w:kern w:val="0"/>
                <w:lang w:val="es-CR" w:bidi="ar-SA"/>
              </w:rPr>
              <w:t>Hipercromasia nuclear prominente</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1"/>
              <w:widowControl/>
              <w:numPr>
                <w:ilvl w:val="0"/>
                <w:numId w:val="2"/>
              </w:numPr>
              <w:spacing w:lineRule="auto" w:line="360" w:before="0" w:afterAutospacing="0" w:after="0"/>
              <w:jc w:val="both"/>
              <w:rPr>
                <w:b/>
                <w:bCs/>
                <w:kern w:val="0"/>
                <w:lang w:val="es-CR" w:bidi="ar-SA"/>
              </w:rPr>
            </w:pPr>
            <w:r>
              <w:rPr>
                <w:b/>
                <w:bCs/>
                <w:kern w:val="0"/>
                <w:lang w:val="es-CR" w:bidi="ar-SA"/>
              </w:rPr>
              <w:t>Pleomorfismo celular significativo</w:t>
            </w:r>
            <w:r>
              <w:rPr>
                <w:rStyle w:val="s1"/>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2"/>
              </w:numPr>
              <w:spacing w:lineRule="auto" w:line="360" w:before="0" w:afterAutospacing="0" w:after="0"/>
              <w:jc w:val="both"/>
              <w:rPr>
                <w:b/>
                <w:bCs/>
                <w:kern w:val="0"/>
                <w:lang w:val="es-CR" w:bidi="ar-SA"/>
              </w:rPr>
            </w:pPr>
            <w:r>
              <w:rPr>
                <w:b/>
                <w:bCs/>
                <w:kern w:val="0"/>
                <w:lang w:val="es-CR" w:bidi="ar-SA"/>
              </w:rPr>
              <w:t>Patrones de crecimiento cribiforme, sólido o en micropapilas</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1"/>
              <w:widowControl/>
              <w:numPr>
                <w:ilvl w:val="0"/>
                <w:numId w:val="2"/>
              </w:numPr>
              <w:spacing w:lineRule="auto" w:line="360" w:before="0" w:afterAutospacing="0" w:after="0"/>
              <w:jc w:val="both"/>
              <w:rPr>
                <w:b/>
                <w:bCs/>
                <w:kern w:val="0"/>
                <w:lang w:val="es-CR" w:bidi="ar-SA"/>
              </w:rPr>
            </w:pPr>
            <w:r>
              <w:rPr>
                <w:b/>
                <w:bCs/>
                <w:kern w:val="0"/>
                <w:lang w:val="es-CR" w:bidi="ar-SA"/>
              </w:rPr>
              <w:t>Pérdida de polaridad celular marcada</w:t>
            </w:r>
            <w:r>
              <w:rPr>
                <w:rStyle w:val="s1"/>
                <w:b/>
                <w:bCs/>
                <w:kern w:val="0"/>
                <w:lang w:val="es-CR" w:bidi="ar-SA"/>
              </w:rPr>
              <w:t>.</w:t>
            </w:r>
          </w:p>
        </w:tc>
      </w:tr>
    </w:tbl>
    <w:p>
      <w:pPr>
        <w:pStyle w:val="p3"/>
        <w:spacing w:lineRule="auto" w:line="360" w:before="280" w:after="280"/>
        <w:jc w:val="both"/>
        <w:rPr/>
      </w:pPr>
      <w:r>
        <w:rPr/>
        <w:t xml:space="preserve">Clínicamente, los HAMN se presentan de forma similar a los LAMN, frecuentemente como hallazgos incidentales en apendicectomías realizadas por sospecha de apendicitis aguda. Sin embargo, debido a su biología más agresiva, los HAMN tienen una mayor propensión a perforar la pared apendicular y a generar diseminación de células neoplásicas de alto grado en la cavidad peritoneal </w:t>
      </w:r>
      <w:sdt>
        <w:sdtPr>
          <w:placeholder>
            <w:docPart w:val="F06F188AF611244982B313C9D162552D"/>
          </w:placeholder>
          <w:tag w:val="MENDELEY_CITATION_v3_eyJjaXRhdGlvbklEIjoiTUVOREVMRVlfQ0lUQVRJT05fZmY1ZWY1Y2EtMGE2NC00MDgyLTkxY2UtNWNmOTE3MjFjMGMzIiwicHJvcGVydGllcyI6eyJub3RlSW5kZXgiOjB9LCJpc0VkaXRlZCI6ZmFsc2UsIm1hbnVhbE92ZXJyaWRlIjp7ImlzTWFudWFsbHlPdmVycmlkZGVuIjpmYWxzZSwiY2l0ZXByb2NUZXh0IjoiKDMwKSIsIm1hbnVhbE92ZXJyaWRlVGV4dCI6IiJ9LCJjaXRhdGlvbkl0ZW1zIjpbeyJpZCI6Ijk0YWE0MmYyLTJjMDUtM2JiMy05MzBmLWJhY2Q2YWNhOTNmMCIsIml0ZW1EYXRhIjp7InR5cGUiOiJhcnRpY2xlLWpvdXJuYWwiLCJpZCI6Ijk0YWE0MmYyLTJjMDUtM2JiMy05MzBmLWJhY2Q2YWNhOTNmMCIsInRpdGxlIjoiTXVjaW5vdXMgQWRlbm9jYXJjaW5vbWEgb2YgdGhlIEFwcGVuZGl4IFdpdGggSGlzdG9sb2dpYyBSZXNwb25zZSB0byBOZW9hZGp1dmFudCBDaGVtb3RoZXJhcHk6IFJldmlldyBvZiBIaXN0b2xvZ2ljIGFuZCBDbGluaWNhbCBTcGVjdHJ1bSBvZiBFcGl0aGVsaWFsIE5lb3BsYXN0aWMgTXVjaW5vdXMgTGVzaW9ucyBvZiB0aGUgQXBwZW5kaXgiLCJhdXRob3IiOlt7ImZhbWlseSI6IkNvcHVyIiwiZ2l2ZW4iOiJNZWhtZXQgU2l0a2kiLCJwYXJzZS1uYW1lcyI6ZmFsc2UsImRyb3BwaW5nLXBhcnRpY2xlIjoiIiwibm9uLWRyb3BwaW5nLXBhcnRpY2xlIjoiIn0seyJmYW1pbHkiOiJDdXNobWFuLVZva291biIsImdpdmVuIjoiQWxsaXNvbiBNLiIsInBhcnNlLW5hbWVzIjpmYWxzZSwiZHJvcHBpbmctcGFydGljbGUiOiIiLCJub24tZHJvcHBpbmctcGFydGljbGUiOiIifSx7ImZhbWlseSI6IlBhZHVzc2lzIiwiZ2l2ZW4iOiJKYW1lcyBDLiIsInBhcnNlLW5hbWVzIjpmYWxzZSwiZHJvcHBpbmctcGFydGljbGUiOiIiLCJub24tZHJvcHBpbmctcGFydGljbGUiOiIifSx7ImZhbWlseSI6IldlZGVsIiwiZ2l2ZW4iOiJXaGl0bmV5IFIuIiwicGFyc2UtbmFtZXMiOmZhbHNlLCJkcm9wcGluZy1wYXJ0aWNsZSI6IiIsIm5vbi1kcm9wcGluZy1wYXJ0aWNsZSI6IiJ9LHsiZmFtaWx5IjoiU2Nocm9lZGVyIiwiZ2l2ZW4iOiJDYWxlYiBXLiIsInBhcnNlLW5hbWVzIjpmYWxzZSwiZHJvcHBpbmctcGFydGljbGUiOiIiLCJub24tZHJvcHBpbmctcGFydGljbGUiOiIifSx7ImZhbWlseSI6Ikhlcm9sZCIsImdpdmVuIjoiRGFuaWVsIEouIiwicGFyc2UtbmFtZXMiOmZhbHNlLCJkcm9wcGluZy1wYXJ0aWNsZSI6IiIsIm5vbi1kcm9wcGluZy1wYXJ0aWNsZSI6IiJ9LHsiZmFtaWx5IjoiTGludGVsIiwiZ2l2ZW4iOiJOaWNob2xhcyBKLiIsInBhcnNlLW5hbWVzIjpmYWxzZSwiZHJvcHBpbmctcGFydGljbGUiOiIiLCJub24tZHJvcHBpbmctcGFydGljbGUiOiIifSx7ImZhbWlseSI6Ikhvcm4iLCJnaXZlbiI6IkFkYW0gSi4iLCJwYXJzZS1uYW1lcyI6ZmFsc2UsImRyb3BwaW5nLXBhcnRpY2xlIjoiIiwibm9uLWRyb3BwaW5nLXBhcnRpY2xlIjoiIn1dLCJjb250YWluZXItdGl0bGUiOiJPbmNvbG9neSAoV2lsbGlzdG9uIFBhcmssIE4uWS4pIiwiY29udGFpbmVyLXRpdGxlLXNob3J0IjoiT25jb2xvZ3kgKFdpbGxpc3RvbiBQYXJrKSIsIkRPSSI6IjEwLjQ2ODgzL09OQy4yMDIxLjM1MDYuMDMzNSIsIklTU04iOiIwODkwLTkwOTEiLCJQTUlEIjoiMzQxNjEwNTMiLCJpc3N1ZWQiOnsiZGF0ZS1wYXJ0cyI6W1syMDIxXV19LCJwYWdlIjoiMzM1LTM0MCIsImFic3RyYWN0IjoiQXBwZW5kaWNlYWwgbXVjaW5vdXMgbmVvcGxhc21zIGFyZSBhIHJhcmUgYW5kIGhldGVyb2dlbmVvdXMgZ3JvdXAgb2YgZGlzZWFzZXMgd2l0aCBjaGFsbGVuZ2luZyBjbGluaWNhbCBtYW5hZ2VtZW50IGRlY2lzaW9ucy4gVGhleSBhY2NvdW50IGZvciBsZXNzIHRoYW4gMSUgb2YgYWxsIGNhbmNlcnMgYnV0IHRoZWlyIGluY2lkZW5jZSBpcyBvbiB0aGUgcmlzZS4gVHJlYXRtZW50IGlzIGJhc2VkIG9uIHRoZWlyIHN0YWdlIGFuZCBoaXN0b2xvZ3kuIEFwcGVuZGljZWFsIG5lb3BsYXNtcyBmcmVxdWVudGx5IG1ldGFzdGFzaXplIGluc2lkZSB0aGUgYWJkb21lbjsgdGhpcyBsZWFkcyB0byB0dW1vciBjZWxsIGdyb3d0aCBpbiB0aGUgYWJkb21pbmFsIGNhdml0eSwga25vd24gYXMgcGVyaXRvbmVhbCBjYXJjaW5vbWF0b3NpcywgYW5kIGJ1aWxkdXAgb2YgbXVjaW5vdXMgbWF0ZXJpYWwsIGtub3duIGFzIHBzZXVkb215eG9tYSBwZXJpdG9uZWkuIFdoaWxlIGxvdy1ncmFkZSwgZWFybHktc3RhZ2UgdHVtb3JzIGNhbiBiZSBlZmZlY3RpdmVseSB0cmVhdGVkIHdpdGggbGltaXRlZCBzdXJnaWNhbCByZXNlY3Rpb24sIHBhdGllbnRzIHdpdGggbG93LWdyYWRlLCBhZHZhbmNlZC1zdGFnZSBkaXNlYXNlIHJlcXVpcmUgcGVyaXRvbmVhbCBkZWJ1bGtpbmcgYW5kIGh5cGVydGhlcm1pYyBpbnRyYXBlcml0b25lYWwgY2hlbW90aGVyYXB5LiBUaGVyYXBldXRpYyBvcHRpb25zIGZvciBoaWdoZ3JhZGUsIGFkdmFuY2VkLXN0YWdlIG11Y2lub3VzIHR1bW9ycyBvZiB0aGUgYXBwZW5kaXggaGF2ZSBub3QgYmVlbiB3ZWxsIGVzdGFibGlzaGVkLiBEZWJ1bGtpbmcgc3VyZ2VyeSB3aXRoIGh5cGVydGhlcm1pYyBpbnRyYXBlcml0b25lYWwgY2hlbW90aGVyYXB5IHByZWNlZGVkIGFuZC9vciBmb2xsb3dlZCBieSBzeXN0ZW1pYyBjaGVtb3RoZXJhcHkgaGFzIGJlZW4gdXRpbGl6ZWQgYmFzZWQgb24gc29tZSBwcm9zcGVjdGl2ZSBidXQgbm90IHJhbmRvbWl6ZWQgZGF0YS4gV2UgcHJlc2VudCBhIGNhc2Ugb2YgbXVjaW5vdXMgYWRlbm9jYXJjaW5vbWEgb2YgdGhlIGFwcGVuZGl4IHRyZWF0ZWQgd2l0aCBuZW9hZGp1dmFudCBjaGVtb3RoZXJhcHkgZm9sbG93ZWQgYnkgY3l0b3JlZHVjdGl2ZSBzdXJnZXJ5LyBoeXBlcnRoZXJtaWMgaW50cmFwZXJpdG9uZWFsIGNoZW1vdGhlcmFweSBhbmQgYWRqdXZhbnQgY2hlbW90aGVyYXB5LiBQcmVvcGVyYXRpdmUgY2hlbW90aGVyYXB5IHByb3ZpZGVkIGEgZmF2b3JhYmxlIGhpc3RvbG9naWMgcmVzcG9uc2UgYnkgY29udmVydGluZyBpbml0aWFsIG11Y2lub3VzIGFwcGVuZGljZWFsIGFkZW5vY2FyY2lub21hIGhpc3RvbG9neSB0byBhIGhpZ2gtZ3JhZGUgbXVjaW5vdXMgYXBwZW5kaWNlYWwgbmVvcGxhc20uIiwicHVibGlzaGVyIjoiT25jb2xvZ3kgKFdpbGxpc3RvbiBQYXJrKSIsImlzc3VlIjoiNiIsInZvbHVtZSI6IjM1In0sImlzVGVtcG9yYXJ5IjpmYWxzZX1dfQ=="/>
          <w:id w:val="634297889"/>
        </w:sdtPr>
        <w:sdtContent>
          <w:r>
            <w:rPr/>
          </w:r>
          <w:r>
            <w:rPr>
              <w:rFonts w:eastAsia="MS Mincho"/>
              <w:color w:val="000000"/>
            </w:rPr>
            <w:t>(30)</w:t>
          </w:r>
        </w:sdtContent>
      </w:sdt>
      <w:r>
        <w:rPr/>
        <w:t>.</w:t>
      </w:r>
    </w:p>
    <w:p>
      <w:pPr>
        <w:pStyle w:val="p3"/>
        <w:spacing w:lineRule="auto" w:line="360" w:before="280" w:after="280"/>
        <w:jc w:val="both"/>
        <w:rPr/>
      </w:pPr>
      <w:r>
        <w:rPr/>
        <w:t>El pronóstico de los HAMN es menos favorable que el de los LAMN. Aunque la sobrevida a cinco años puede superar el 70 % en casos confinados al apéndice, en presencia de diseminación peritoneal o márgenes comprometidos, el riesgo de recurrencia y mortalidad aumenta considerablemente</w:t>
      </w:r>
      <w:sdt>
        <w:sdtPr>
          <w:placeholder>
            <w:docPart w:val="F06F188AF611244982B313C9D162552D"/>
          </w:placeholder>
          <w:tag w:val="MENDELEY_CITATION_v3_eyJjaXRhdGlvbklEIjoiTUVOREVMRVlfQ0lUQVRJT05fNDRhMDNlMjgtNzJjMC00YjUzLThkYTctYjY1M2Y5Yjk0NmU5IiwicHJvcGVydGllcyI6eyJub3RlSW5kZXgiOjB9LCJpc0VkaXRlZCI6ZmFsc2UsIm1hbnVhbE92ZXJyaWRlIjp7ImlzTWFudWFsbHlPdmVycmlkZGVuIjpmYWxzZSwiY2l0ZXByb2NUZXh0IjoiKDI4KSIsIm1hbnVhbE92ZXJyaWRlVGV4dCI6IiJ9LCJjaXRhdGlvbkl0ZW1zIjpbeyJpZCI6ImRiNzMyNzY2LTVhMzMtMzkzMi04YmI2LWQxYWU4NDU5ZWFlNiIsIml0ZW1EYXRhIjp7InR5cGUiOiJhcnRpY2xlLWpvdXJuYWwiLCJpZCI6ImRiNzMyNzY2LTVhMzMtMzkzMi04YmI2LWQxYWU4NDU5ZWFlNiIsInRpdGxlIjoiQW5hbHlzaXMgb2YgQ2xpbmljYWwgQ2hhcmFjdGVyaXN0aWNzIG9mIExvdy1HcmFkZSBBcHBlbmRpY2VhbCBNdWNpbm91cyBOZW9wbGFzbSAoTEFNTik6IEEgUmV0cm9zcGVjdGl2ZSBDb2hvcnQgU3R1ZHkgb2YgNTEgTEFNTiBQYXRpZW50cyIsImF1dGhvciI6W3siZmFtaWx5IjoiWGlhbyIsImdpdmVuIjoiSmlhbmNodW4iLCJwYXJzZS1uYW1lcyI6ZmFsc2UsImRyb3BwaW5nLXBhcnRpY2xlIjoiIiwibm9uLWRyb3BwaW5nLXBhcnRpY2xlIjoiIn0seyJmYW1pbHkiOiJMaSIsImdpdmVuIjoiUGVpaGVuZyIsInBhcnNlLW5hbWVzIjpmYWxzZSwiZHJvcHBpbmctcGFydGljbGUiOiIiLCJub24tZHJvcHBpbmctcGFydGljbGUiOiIifSx7ImZhbWlseSI6IkxpdSIsImdpdmVuIjoiV2VpIiwicGFyc2UtbmFtZXMiOmZhbHNlLCJkcm9wcGluZy1wYXJ0aWNsZSI6IiIsIm5vbi1kcm9wcGluZy1wYXJ0aWNsZSI6IiJ9XSwiY29udGFpbmVyLXRpdGxlIjoiSm91cm5hbCBvZiBpbnZlc3RpZ2F0aXZlIHN1cmdlcnkgOiB0aGUgb2ZmaWNpYWwgam91cm5hbCBvZiB0aGUgQWNhZGVteSBvZiBTdXJnaWNhbCBSZXNlYXJjaCIsImNvbnRhaW5lci10aXRsZS1zaG9ydCI6IkogSW52ZXN0IFN1cmciLCJET0kiOiIxMC4xMDgwLzA4OTQxOTM5LjIwMTkuMTY5NTk4NiIsIklTU04iOiIxNTIxLTA1NTMiLCJQTUlEIjoiMzE5MDY3MzMiLCJpc3N1ZWQiOnsiZGF0ZS1wYXJ0cyI6W1syMDIxXV19LCJwYWdlIjoiNzIxLTcyNyIsImFic3RyYWN0IjoiSW50cm9kdWN0aW9uOiBMb3ctZ3JhZGUgYXBwZW5kaWNlYWwgbXVjaW5vdXMgbmVvcGxhc20gKExBTU4pIGlzIGEgcmFyZSBkaXNvcmRlci4gVGhlcmUgaXMgbm8gY29uc2Vuc3VzIG9uIHRoZSBwcm9nbm9zaXMgYW5kIG1hbmFnZW1lbnQgb2YgTEFNTi4gTWF0ZXJpYWxzIGFuZCBtZXRob2RzOiBXZSByZXZpZXdlZCA1MSBjb25zZWN1dGl2ZSBwYXRpZW50cyB3aXRoIExBTU4gZnJvbSAyMDEzIHRvIDIwMTguIFdlIGRpdmlkZWQgb3VyIHBhdGllbnRzIGludG8gdHdvIGdyb3Vwcy4gVGhlIGZpcnN0IGlzIHBhdGllbnRzIHdpdGggYW4gaW50YWN0IGFwcGVuZGl4LiBUaGUgc2Vjb25kIGdyb3VwIGNvbXByaXNlcyBwYXRpZW50cyB3aXRoIHRoZSBwb3RlbnRpYWwgdG8gZGV2ZWxvcCBhIG1hbGlnbmFudCBjb25kaXRpb24uIENvbXBhcmlzb25zIG9mIHNlcnVtIHR1bW9yIG1hcmtlcnMgYmV0d2VlbiB0d28gZ3JvdXBzIHdlcmUgcGVyZm9ybWVkLiBTdXJ2aXZhbCBjdXJ2ZXMgd2VyZSBlc3RpbWF0ZWQuIFVuaXZhcmlhdGUgYW5kIG11bHRpdmFyaWF0ZSBDb3ggcHJvcG9ydGlvbmFsIGhhemFyZHMgd2VyZSBjb21wdXRlZCBmb3IgNDYgcGF0aWVudHMgd2l0aCBtZWRpYW4gZm9sbG93LXVwIG9mIDIuNyB5ZWFycy4gUmVzdWx0czogQ29tcGFyaXNvbiBvZiBwYXRpZW50cyBpbiB0d28gZ3JvdXBzIHJldmVhbGVkIHNpZ25pZmljYW50IGRpZmZlcmVuY2VzIGluIHRoZSBtZWFuIGxldmVsIGFuZCBhYm5vcm1hbCByYXRpbyBvZiBDQTEyNSAocCA8IDAuMDAxLCBwIDwgMC4wMDEpLCBDQTE5LTkgKHAgPSAwLjA0LCBwID0gMC4wNCksIGFuZCBDRUEgKHAgPSAwLjAwMSwgcCA9IDAuMDIpLiBFaWdodCBwYXRpZW50cyBoYWQgcmVsYXBzZWQgYnkgdGhlIGxhc3QgZm9sbG93LXVwIGluIHRoZSBzZWNvbmQgZ3JvdXAuIFBhdGllbnRzIHdpdGggbm9ybWFsIENFQSBoYWQgc2lnbmlmaWNhbnRseSBsb25nZXIgZGlzZWFzZS1mcmVlIHN1cnZpdmFsIChERlMpIHRpbWUgdGhhbiB0aG9zZSB3aXRoIGFibm9ybWFsIENFQSAocCA9IDAuMDQpLiBDQTE5LTkgZXhoaWJpdGVkIGEgc2lnbmlmaWNhbnQgYXNzb2NpYXRpb24gd2l0aCBERlMgKEhSID0gNS43MiwgcCA9IDAuMDIpIGluIHRoZSBVbml2YXJpYXRlIENveCBwcm9wb3J0aW9uYWwgaGF6YXJkcy4gRGlzY3Vzc2lvbjogVGhlIHByb2dub3NpcyBvZiBMQU1OIGlzIHJlbGF0ZWQgdG8gc2VydW0gdHVtb3IgbWFya2VycywgdGhlIHN1cmdpY2FsIHByb2NlZHVyZSBhbmQgdGhlIHBhdGhvbG9neS4iLCJwdWJsaXNoZXIiOiJKIEludmVzdCBTdXJnIiwiaXNzdWUiOiI3Iiwidm9sdW1lIjoiMzQifSwiaXNUZW1wb3JhcnkiOmZhbHNlfV19"/>
          <w:id w:val="1836955509"/>
        </w:sdtPr>
        <w:sdtContent>
          <w:r>
            <w:rPr/>
          </w:r>
          <w:r>
            <w:rPr>
              <w:rFonts w:eastAsia="MS Mincho" w:cs="MS Mincho" w:ascii="MS Mincho" w:hAnsi="MS Mincho"/>
              <w:color w:val="000000"/>
            </w:rPr>
            <w:t>(28)</w:t>
          </w:r>
        </w:sdtContent>
      </w:sdt>
      <w:sdt>
        <w:sdtPr>
          <w:placeholder>
            <w:docPart w:val="F06F188AF611244982B313C9D162552D"/>
          </w:placeholder>
          <w:tag w:val="MENDELEY_CITATION_v3_eyJjaXRhdGlvbklEIjoiTUVOREVMRVlfQ0lUQVRJT05fNjliNDdmMTItOTk3My00N2UzLTk0ZTctYjJiNmFmNjY5ZWNjIiwicHJvcGVydGllcyI6eyJub3RlSW5kZXgiOjB9LCJpc0VkaXRlZCI6ZmFsc2UsIm1hbnVhbE92ZXJyaWRlIjp7ImlzTWFudWFsbHlPdmVycmlkZGVuIjpmYWxzZSwiY2l0ZXByb2NUZXh0IjoiKDMwKSIsIm1hbnVhbE92ZXJyaWRlVGV4dCI6IiJ9LCJjaXRhdGlvbkl0ZW1zIjpbeyJpZCI6Ijk0YWE0MmYyLTJjMDUtM2JiMy05MzBmLWJhY2Q2YWNhOTNmMCIsIml0ZW1EYXRhIjp7InR5cGUiOiJhcnRpY2xlLWpvdXJuYWwiLCJpZCI6Ijk0YWE0MmYyLTJjMDUtM2JiMy05MzBmLWJhY2Q2YWNhOTNmMCIsInRpdGxlIjoiTXVjaW5vdXMgQWRlbm9jYXJjaW5vbWEgb2YgdGhlIEFwcGVuZGl4IFdpdGggSGlzdG9sb2dpYyBSZXNwb25zZSB0byBOZW9hZGp1dmFudCBDaGVtb3RoZXJhcHk6IFJldmlldyBvZiBIaXN0b2xvZ2ljIGFuZCBDbGluaWNhbCBTcGVjdHJ1bSBvZiBFcGl0aGVsaWFsIE5lb3BsYXN0aWMgTXVjaW5vdXMgTGVzaW9ucyBvZiB0aGUgQXBwZW5kaXgiLCJhdXRob3IiOlt7ImZhbWlseSI6IkNvcHVyIiwiZ2l2ZW4iOiJNZWhtZXQgU2l0a2kiLCJwYXJzZS1uYW1lcyI6ZmFsc2UsImRyb3BwaW5nLXBhcnRpY2xlIjoiIiwibm9uLWRyb3BwaW5nLXBhcnRpY2xlIjoiIn0seyJmYW1pbHkiOiJDdXNobWFuLVZva291biIsImdpdmVuIjoiQWxsaXNvbiBNLiIsInBhcnNlLW5hbWVzIjpmYWxzZSwiZHJvcHBpbmctcGFydGljbGUiOiIiLCJub24tZHJvcHBpbmctcGFydGljbGUiOiIifSx7ImZhbWlseSI6IlBhZHVzc2lzIiwiZ2l2ZW4iOiJKYW1lcyBDLiIsInBhcnNlLW5hbWVzIjpmYWxzZSwiZHJvcHBpbmctcGFydGljbGUiOiIiLCJub24tZHJvcHBpbmctcGFydGljbGUiOiIifSx7ImZhbWlseSI6IldlZGVsIiwiZ2l2ZW4iOiJXaGl0bmV5IFIuIiwicGFyc2UtbmFtZXMiOmZhbHNlLCJkcm9wcGluZy1wYXJ0aWNsZSI6IiIsIm5vbi1kcm9wcGluZy1wYXJ0aWNsZSI6IiJ9LHsiZmFtaWx5IjoiU2Nocm9lZGVyIiwiZ2l2ZW4iOiJDYWxlYiBXLiIsInBhcnNlLW5hbWVzIjpmYWxzZSwiZHJvcHBpbmctcGFydGljbGUiOiIiLCJub24tZHJvcHBpbmctcGFydGljbGUiOiIifSx7ImZhbWlseSI6Ikhlcm9sZCIsImdpdmVuIjoiRGFuaWVsIEouIiwicGFyc2UtbmFtZXMiOmZhbHNlLCJkcm9wcGluZy1wYXJ0aWNsZSI6IiIsIm5vbi1kcm9wcGluZy1wYXJ0aWNsZSI6IiJ9LHsiZmFtaWx5IjoiTGludGVsIiwiZ2l2ZW4iOiJOaWNob2xhcyBKLiIsInBhcnNlLW5hbWVzIjpmYWxzZSwiZHJvcHBpbmctcGFydGljbGUiOiIiLCJub24tZHJvcHBpbmctcGFydGljbGUiOiIifSx7ImZhbWlseSI6Ikhvcm4iLCJnaXZlbiI6IkFkYW0gSi4iLCJwYXJzZS1uYW1lcyI6ZmFsc2UsImRyb3BwaW5nLXBhcnRpY2xlIjoiIiwibm9uLWRyb3BwaW5nLXBhcnRpY2xlIjoiIn1dLCJjb250YWluZXItdGl0bGUiOiJPbmNvbG9neSAoV2lsbGlzdG9uIFBhcmssIE4uWS4pIiwiY29udGFpbmVyLXRpdGxlLXNob3J0IjoiT25jb2xvZ3kgKFdpbGxpc3RvbiBQYXJrKSIsIkRPSSI6IjEwLjQ2ODgzL09OQy4yMDIxLjM1MDYuMDMzNSIsIklTU04iOiIwODkwLTkwOTEiLCJQTUlEIjoiMzQxNjEwNTMiLCJpc3N1ZWQiOnsiZGF0ZS1wYXJ0cyI6W1syMDIxXV19LCJwYWdlIjoiMzM1LTM0MCIsImFic3RyYWN0IjoiQXBwZW5kaWNlYWwgbXVjaW5vdXMgbmVvcGxhc21zIGFyZSBhIHJhcmUgYW5kIGhldGVyb2dlbmVvdXMgZ3JvdXAgb2YgZGlzZWFzZXMgd2l0aCBjaGFsbGVuZ2luZyBjbGluaWNhbCBtYW5hZ2VtZW50IGRlY2lzaW9ucy4gVGhleSBhY2NvdW50IGZvciBsZXNzIHRoYW4gMSUgb2YgYWxsIGNhbmNlcnMgYnV0IHRoZWlyIGluY2lkZW5jZSBpcyBvbiB0aGUgcmlzZS4gVHJlYXRtZW50IGlzIGJhc2VkIG9uIHRoZWlyIHN0YWdlIGFuZCBoaXN0b2xvZ3kuIEFwcGVuZGljZWFsIG5lb3BsYXNtcyBmcmVxdWVudGx5IG1ldGFzdGFzaXplIGluc2lkZSB0aGUgYWJkb21lbjsgdGhpcyBsZWFkcyB0byB0dW1vciBjZWxsIGdyb3d0aCBpbiB0aGUgYWJkb21pbmFsIGNhdml0eSwga25vd24gYXMgcGVyaXRvbmVhbCBjYXJjaW5vbWF0b3NpcywgYW5kIGJ1aWxkdXAgb2YgbXVjaW5vdXMgbWF0ZXJpYWwsIGtub3duIGFzIHBzZXVkb215eG9tYSBwZXJpdG9uZWkuIFdoaWxlIGxvdy1ncmFkZSwgZWFybHktc3RhZ2UgdHVtb3JzIGNhbiBiZSBlZmZlY3RpdmVseSB0cmVhdGVkIHdpdGggbGltaXRlZCBzdXJnaWNhbCByZXNlY3Rpb24sIHBhdGllbnRzIHdpdGggbG93LWdyYWRlLCBhZHZhbmNlZC1zdGFnZSBkaXNlYXNlIHJlcXVpcmUgcGVyaXRvbmVhbCBkZWJ1bGtpbmcgYW5kIGh5cGVydGhlcm1pYyBpbnRyYXBlcml0b25lYWwgY2hlbW90aGVyYXB5LiBUaGVyYXBldXRpYyBvcHRpb25zIGZvciBoaWdoZ3JhZGUsIGFkdmFuY2VkLXN0YWdlIG11Y2lub3VzIHR1bW9ycyBvZiB0aGUgYXBwZW5kaXggaGF2ZSBub3QgYmVlbiB3ZWxsIGVzdGFibGlzaGVkLiBEZWJ1bGtpbmcgc3VyZ2VyeSB3aXRoIGh5cGVydGhlcm1pYyBpbnRyYXBlcml0b25lYWwgY2hlbW90aGVyYXB5IHByZWNlZGVkIGFuZC9vciBmb2xsb3dlZCBieSBzeXN0ZW1pYyBjaGVtb3RoZXJhcHkgaGFzIGJlZW4gdXRpbGl6ZWQgYmFzZWQgb24gc29tZSBwcm9zcGVjdGl2ZSBidXQgbm90IHJhbmRvbWl6ZWQgZGF0YS4gV2UgcHJlc2VudCBhIGNhc2Ugb2YgbXVjaW5vdXMgYWRlbm9jYXJjaW5vbWEgb2YgdGhlIGFwcGVuZGl4IHRyZWF0ZWQgd2l0aCBuZW9hZGp1dmFudCBjaGVtb3RoZXJhcHkgZm9sbG93ZWQgYnkgY3l0b3JlZHVjdGl2ZSBzdXJnZXJ5LyBoeXBlcnRoZXJtaWMgaW50cmFwZXJpdG9uZWFsIGNoZW1vdGhlcmFweSBhbmQgYWRqdXZhbnQgY2hlbW90aGVyYXB5LiBQcmVvcGVyYXRpdmUgY2hlbW90aGVyYXB5IHByb3ZpZGVkIGEgZmF2b3JhYmxlIGhpc3RvbG9naWMgcmVzcG9uc2UgYnkgY29udmVydGluZyBpbml0aWFsIG11Y2lub3VzIGFwcGVuZGljZWFsIGFkZW5vY2FyY2lub21hIGhpc3RvbG9neSB0byBhIGhpZ2gtZ3JhZGUgbXVjaW5vdXMgYXBwZW5kaWNlYWwgbmVvcGxhc20uIiwicHVibGlzaGVyIjoiT25jb2xvZ3kgKFdpbGxpc3RvbiBQYXJrKSIsImlzc3VlIjoiNiIsInZvbHVtZSI6IjM1In0sImlzVGVtcG9yYXJ5IjpmYWxzZX1dfQ=="/>
          <w:id w:val="480424228"/>
        </w:sdtPr>
        <w:sdtContent>
          <w:r>
            <w:rPr>
              <w:rFonts w:eastAsia="MS Mincho" w:cs="MS Mincho" w:ascii="MS Mincho" w:hAnsi="MS Mincho"/>
              <w:color w:val="000000"/>
            </w:rPr>
          </w:r>
          <w:r>
            <w:rPr>
              <w:color w:val="000000"/>
            </w:rPr>
            <w:t>(30)</w:t>
          </w:r>
        </w:sdtContent>
      </w:sdt>
      <w:r>
        <w:rPr/>
        <w:t>.</w:t>
      </w:r>
      <w:r>
        <w:rPr/>
        <w:t xml:space="preserve"> Un aspecto relevante en el manejo de los HAMN es la adecuada diferenciación con los adenocarcinomas mucinosos invasivos, dado que estos últimos presentan infiltración destructiva y exigen estrategias terapéuticas más agresivas </w:t>
      </w:r>
      <w:sdt>
        <w:sdtPr>
          <w:placeholder>
            <w:docPart w:val="F06F188AF611244982B313C9D162552D"/>
          </w:placeholder>
          <w:tag w:val="MENDELEY_CITATION_v3_eyJjaXRhdGlvbklEIjoiTUVOREVMRVlfQ0lUQVRJT05fNjk4NzYyNDUtMjdiYS00NmUxLTgxYjItYTQ0ZDE1ZDdjYTNmIiwicHJvcGVydGllcyI6eyJub3RlSW5kZXgiOjB9LCJpc0VkaXRlZCI6ZmFsc2UsIm1hbnVhbE92ZXJyaWRlIjp7ImlzTWFudWFsbHlPdmVycmlkZGVuIjpmYWxzZSwiY2l0ZXByb2NUZXh0IjoiKDI0KSIsIm1hbnVhbE92ZXJyaWRlVGV4dCI6IiJ9LCJjaXRhdGlvbkl0ZW1zIjpbeyJpZCI6ImNiZDNiMDEyLWJlMzAtMzdkNS1iYjM0LWU0ODZhNDcyMWE1NCIsIml0ZW1EYXRhIjp7InR5cGUiOiJhcnRpY2xlLWpvdXJuYWwiLCJpZCI6ImNiZDNiMDEyLWJlMzAtMzdkNS1iYjM0LWU0ODZhNDcyMWE1NCIsInRpdGxlIjoiVGhlIDIwMTkgV0hPIGNsYXNzaWZpY2F0aW9uIG9mIHR1bW91cnMgb2YgdGhlIGRpZ2VzdGl2ZSBzeXN0ZW0iLCJhdXRob3IiOlt7ImZhbWlseSI6Ik5hZ3RlZ2FhbCIsImdpdmVuIjoiSXJpcyBELiIsInBhcnNlLW5hbWVzIjpmYWxzZSwiZHJvcHBpbmctcGFydGljbGUiOiIiLCJub24tZHJvcHBpbmctcGFydGljbGUiOiIifSx7ImZhbWlseSI6Ik9kemUiLCJnaXZlbiI6IlJvYmVydCBELiIsInBhcnNlLW5hbWVzIjpmYWxzZSwiZHJvcHBpbmctcGFydGljbGUiOiIiLCJub24tZHJvcHBpbmctcGFydGljbGUiOiIifSx7ImZhbWlseSI6IktsaW1zdHJhIiwiZ2l2ZW4iOiJEYXZpZCIsInBhcnNlLW5hbWVzIjpmYWxzZSwiZHJvcHBpbmctcGFydGljbGUiOiIiLCJub24tZHJvcHBpbmctcGFydGljbGUiOiIifSx7ImZhbWlseSI6IlBhcmFkaXMiLCJnaXZlbiI6IlZhbGVyaWUiLCJwYXJzZS1uYW1lcyI6ZmFsc2UsImRyb3BwaW5nLXBhcnRpY2xlIjoiIiwibm9uLWRyb3BwaW5nLXBhcnRpY2xlIjoiIn0seyJmYW1pbHkiOiJSdWdnZSIsImdpdmVuIjoiTWFzc2ltbyIsInBhcnNlLW5hbWVzIjpmYWxzZSwiZHJvcHBpbmctcGFydGljbGUiOiIiLCJub24tZHJvcHBpbmctcGFydGljbGUiOiIifSx7ImZhbWlseSI6IlNjaGlybWFjaGVyIiwiZ2l2ZW4iOiJQZXRlciIsInBhcnNlLW5hbWVzIjpmYWxzZSwiZHJvcHBpbmctcGFydGljbGUiOiIiLCJub24tZHJvcHBpbmctcGFydGljbGUiOiIifSx7ImZhbWlseSI6Ildhc2hpbmd0b24iLCJnaXZlbiI6IktheSBNLiIsInBhcnNlLW5hbWVzIjpmYWxzZSwiZHJvcHBpbmctcGFydGljbGUiOiIiLCJub24tZHJvcHBpbmctcGFydGljbGUiOiIifSx7ImZhbWlseSI6IkNhcm5laXJvIiwiZ2l2ZW4iOiJGYXRpbWEiLCJwYXJzZS1uYW1lcyI6ZmFsc2UsImRyb3BwaW5nLXBhcnRpY2xlIjoiIiwibm9uLWRyb3BwaW5nLXBhcnRpY2xlIjoiIn0seyJmYW1pbHkiOiJDcmVlIiwiZ2l2ZW4iOiJJYW4gQS4iLCJwYXJzZS1uYW1lcyI6ZmFsc2UsImRyb3BwaW5nLXBhcnRpY2xlIjoiIiwibm9uLWRyb3BwaW5nLXBhcnRpY2xlIjoiIn1dLCJjb250YWluZXItdGl0bGUiOiJIaXN0b3BhdGhvbG9neSIsImNvbnRhaW5lci10aXRsZS1zaG9ydCI6Ikhpc3RvcGF0aG9sb2d5IiwiRE9JIjoiMTAuMTExMS9ISVMuMTM5NzUiLCJJU1NOIjoiMTM2NTI1NTkiLCJQTUlEIjoiMzE0MzM1MTUiLCJpc3N1ZWQiOnsiZGF0ZS1wYXJ0cyI6W1syMDE5XV19LCJwYWdlIjoiMTgyIiwicHVibGlzaGVyIjoiQmxhY2t3ZWxsIFB1Ymxpc2hpbmcgTHRkIiwiaXNzdWUiOiIyIiwidm9sdW1lIjoiNzYifSwiaXNUZW1wb3JhcnkiOmZhbHNlfV19"/>
          <w:id w:val="-638808142"/>
        </w:sdtPr>
        <w:sdtContent>
          <w:r>
            <w:rPr/>
          </w:r>
          <w:r>
            <w:rPr>
              <w:color w:val="000000"/>
            </w:rPr>
            <w:t>(24)</w:t>
          </w:r>
        </w:sdtContent>
      </w:sdt>
      <w:r>
        <w:rPr/>
        <w:t>.</w:t>
      </w:r>
    </w:p>
    <w:p>
      <w:pPr>
        <w:pStyle w:val="p3"/>
        <w:spacing w:lineRule="auto" w:line="360" w:before="280" w:after="280"/>
        <w:jc w:val="both"/>
        <w:rPr/>
      </w:pPr>
      <w:r>
        <w:rPr>
          <w:b/>
          <w:bCs/>
        </w:rPr>
        <w:t xml:space="preserve">El </w:t>
      </w:r>
      <w:r>
        <w:rPr/>
        <w:t>pseudomixoma peritonei (PMP) es una condición clínica rara pero devastadora, caracterizada por la acumulación progresiva de mucina en la cavidad peritoneal, frecuentemente acompañada por células epiteliales neoplásicas de origen apendicular</w:t>
      </w:r>
      <w:sdt>
        <w:sdtPr>
          <w:placeholder>
            <w:docPart w:val="E4502C676B5A99418CAE7C3A3E1130F6"/>
          </w:placeholder>
          <w:tag w:val="MENDELEY_CITATION_v3_eyJjaXRhdGlvbklEIjoiTUVOREVMRVlfQ0lUQVRJT05fMjM5MTgwMDMtMWIwMy00MjA0LWI4MzMtNzU2YTdlNWVjYmM2IiwicHJvcGVydGllcyI6eyJub3RlSW5kZXgiOjB9LCJpc0VkaXRlZCI6ZmFsc2UsIm1hbnVhbE92ZXJyaWRlIjp7ImlzTWFudWFsbHlPdmVycmlkZGVuIjpmYWxzZSwiY2l0ZXByb2NUZXh0IjoiKDMxKSIsIm1hbnVhbE92ZXJyaWRlVGV4dCI6IiJ9LCJjaXRhdGlvbkl0ZW1zIjpbeyJpZCI6ImVhZmU2ZDhmLWM3YzgtMzg3Yy1hNDZlLWJmZDFhODM5NWUwNiIsIml0ZW1EYXRhIjp7InR5cGUiOiJhcnRpY2xlLWpvdXJuYWwiLCJpZCI6ImVhZmU2ZDhmLWM3YzgtMzg3Yy1hNDZlLWJmZDFhODM5NWUwNiIsInRpdGxlIjoiUHNldWRvbXl4b21hIHBlcml0b25laSBwZXJpdG9uaXRpcyIsImF1dGhvciI6W3siZmFtaWx5IjoiWWFubmFtYW5pIiwiZ2l2ZW4iOiJQcmFuYXRoaSIsInBhcnNlLW5hbWVzIjpmYWxzZSwiZHJvcHBpbmctcGFydGljbGUiOiIiLCJub24tZHJvcHBpbmctcGFydGljbGUiOiIifSx7ImZhbWlseSI6IkNodW5ndSIsImdpdmVuIjoiTGlsbGlhbiIsInBhcnNlLW5hbWVzIjpmYWxzZSwiZHJvcHBpbmctcGFydGljbGUiOiIiLCJub24tZHJvcHBpbmctcGFydGljbGUiOiIifSx7ImZhbWlseSI6IlNoZXR0eSIsImdpdmVuIjoiUmFqZXNoIiwicGFyc2UtbmFtZXMiOmZhbHNlLCJkcm9wcGluZy1wYXJ0aWNsZSI6IiIsIm5vbi1kcm9wcGluZy1wYXJ0aWNsZSI6IiJ9LHsiZmFtaWx5IjoiT3lld29sZSIsImdpdmVuIjoiQmFua29sZSIsInBhcnNlLW5hbWVzIjpmYWxzZSwiZHJvcHBpbmctcGFydGljbGUiOiIiLCJub24tZHJvcHBpbmctcGFydGljbGUiOiIifV0sImNvbnRhaW5lci10aXRsZSI6IkJNSiBjYXNlIHJlcG9ydHMiLCJjb250YWluZXItdGl0bGUtc2hvcnQiOiJCTUogQ2FzZSBSZXAiLCJET0kiOiIxMC4xMTM2L0JDUi0yMDI0LTI2MDc1OSIsIklTU04iOiIxNzU3LTc5MFgiLCJQTUlEIjoiMzkxNzkyNjQiLCJpc3N1ZWQiOnsiZGF0ZS1wYXJ0cyI6W1syMDI0XV19LCJhYnN0cmFjdCI6IlBzZXVkb215eG9tYSBwZXJpdG9uZWkgKFBNUCkgaXMgYSByYXJlIG5lb3BsYXN0aWMgY29uZGl0aW9uIGNoYXJhY3RlcmlzZWQgYnkgZ2VsYXRpbm91cyBhc2NpdGVzLCB3aGljaCBnZW5lcmFsbHkgYXJpc2UgZnJvbSBtdWNpbi1wcm9kdWNpbmcgYXBwZW5kaWNlYWwgdHVtb3Vycy4gUHJlc2VudGF0aW9uIGlzIHZhcmlhYmxlIGJ1dCByZXF1aXJlcyBwcm9tcHQgcmVjb2duaXRpb24gdG8gZW5zdXJlIGFwcHJvcHJpYXRlIHNwZWNpYWxpc3QgbWFuYWdlbWVudCBkdWUgdG8gcmlzayBvZiBtYWxpZ25hbmN5LkEgbWFsZSBpbiBoaXMgNDBzIHByZXNlbnRlZCB3aXRoIGEgMS1kYXkgaGlzdG9yeSBvZiBzdWRkZW4gb25zZXQsIG5vbi1taWdyYXRvcnkgYWJkb21pbmFsIHBhaW4sIHdvcnNlIGluIHRoZSByaWdodCBpbGlhYyBmb3NzYS4gSGUgaGFkIG5vIHNpZ25pZmljYW50IG1lZGljYWwgaGlzdG9yeSBub3Iga25vd24gZHJ1ZyBhbGxlcmdpZXMuIEV4YW1pbmF0aW9uIHJldmVhbGVkIHJpZ2h0IGlsaWFjIGZvc3NhIHBlcml0b25pc20gYW5kIGJsb29kIHRlc3RzIHJldmVhbGVkIHJhaXNlZCBpbmZsYW1tYXRvcnkgbWFya2Vycy4gQ1Qgc2NhbiBzaG93ZWQgYSByaWdodC1zaWRlZCBhYmRvbWluYWwgY29sbGVjdGlvbi4gSW50cmFvcGVyYXRpdmVseSwgYSBkaWFnbm9zdGljIGxhcGFyb3Njb3B5IHdhcyBwZXJmb3JtZWQsIHdoaWNoIHJldmVhbGVkIGV4dGVuc2l2ZSBtdWNpbiBpbiB0aGUgYWJkb21pbmFsIGNhdml0eS4gVGhpcyB3YXMgd2FzaGVkIG91dCBhbmQgYSBsYXBhcm9zY29waWMgYXBwZW5kZWN0b215IHdhcyBwZXJmb3JtZWQ7IGhpc3RvcGF0aG9sb2d5IGNvbmZpcm1lZCBQTVAgZnJvbSB0aGUgcnVwdHVyZWQgYXBwZW5kaXguIiwicHVibGlzaGVyIjoiQk1KIENhc2UgUmVwIiwiaXNzdWUiOiI4Iiwidm9sdW1lIjoiMTcifSwiaXNUZW1wb3JhcnkiOmZhbHNlfV19"/>
          <w:id w:val="1255316579"/>
        </w:sdtPr>
        <w:sdtContent>
          <w:r>
            <w:rPr/>
          </w:r>
          <w:r>
            <w:rPr>
              <w:color w:val="000000"/>
            </w:rPr>
            <w:t>(31)</w:t>
          </w:r>
        </w:sdtContent>
      </w:sdt>
      <w:r>
        <w:rPr/>
        <w:t xml:space="preserve">. </w:t>
      </w:r>
      <w:r>
        <w:rPr/>
        <w:t xml:space="preserve">Se estima que el PMP tiene una incidencia anual de aproximadamente uno a dos casos por millón de habitantes, lo que lo convierte en una entidad de muy baja frecuencia en la práctica clínica </w:t>
      </w:r>
      <w:sdt>
        <w:sdtPr>
          <w:placeholder>
            <w:docPart w:val="E4502C676B5A99418CAE7C3A3E1130F6"/>
          </w:placeholder>
          <w:tag w:val="MENDELEY_CITATION_v3_eyJjaXRhdGlvbklEIjoiTUVOREVMRVlfQ0lUQVRJT05fNzQ3MGM1MDAtNTExYS00YjhmLWFiZGMtNDIxMzRkNGMzY2NiIiwicHJvcGVydGllcyI6eyJub3RlSW5kZXgiOjB9LCJpc0VkaXRlZCI6ZmFsc2UsIm1hbnVhbE92ZXJyaWRlIjp7ImlzTWFudWFsbHlPdmVycmlkZGVuIjpmYWxzZSwiY2l0ZXByb2NUZXh0IjoiKDgpIiwibWFudWFsT3ZlcnJpZGVUZXh0IjoiIn0sImNpdGF0aW9uSXRlbXMiOlt7ImlkIjoiMDNhOGU4MGUtODU2YS0zNGM1LTk1MzQtYjU1MzljMGQxNzBiIiwiaXRlbURhdGEiOnsidHlwZSI6ImFydGljbGUtam91cm5hbCIsImlkIjoiMDNhOGU4MGUtODU2YS0zNGM1LTk1MzQtYjU1MzljMGQxNzBiIiwidGl0bGUiOiJUaGUgQ2hpY2FnbyBDb25zZW5zdXMgb24gUGVyaXRvbmVhbCBTdXJmYWNlIE1hbGlnbmFuY2llczogTWFuYWdlbWVudCBvZiBBcHBlbmRpY2VhbCBOZW9wbGFzbXMiLCJhdXRob3IiOlt7ImZhbWlseSI6IlNjaHVpdGV2b2VyZGVyIiwiZ2l2ZW4iOiJEYXJyeWwiLCJwYXJzZS1uYW1lcyI6ZmFsc2UsImRyb3BwaW5nLXBhcnRpY2xlIjoiIiwibm9uLWRyb3BwaW5nLXBhcnRpY2xlIjoiIn0seyJmYW1pbHkiOiJQbGFuYSIsImdpdmVuIjoiQWxlamFuZHJvIiwicGFyc2UtbmFtZXMiOmZhbHNlLCJkcm9wcGluZy1wYXJ0aWNsZSI6IiIsIm5vbi1kcm9wcGluZy1wYXJ0aWNsZSI6IiJ9LHsiZmFtaWx5IjoiSXpxdWllcmRvIiwiZ2l2ZW4iOiJGcmFuY2lzY28gSi4iLCJwYXJzZS1uYW1lcyI6ZmFsc2UsImRyb3BwaW5nLXBhcnRpY2xlIjoiIiwibm9uLWRyb3BwaW5nLXBhcnRpY2xlIjoiIn0seyJmYW1pbHkiOiJWb3Rhbm9wb3Vsb3MiLCJnaXZlbiI6IktvbnN0YW50aW5vcyBJLiIsInBhcnNlLW5hbWVzIjpmYWxzZSwiZHJvcHBpbmctcGFydGljbGUiOiIiLCJub24tZHJvcHBpbmctcGFydGljbGUiOiIifSx7ImZhbWlseSI6IkN1c2FjayIsImdpdmVuIjoiSmFtZXMgQy4iLCJwYXJzZS1uYW1lcyI6ZmFsc2UsImRyb3BwaW5nLXBhcnRpY2xlIjoiIiwibm9uLWRyb3BwaW5nLXBhcnRpY2xlIjoiIn0seyJmYW1pbHkiOiJCaWplbGljIiwiZ2l2ZW4iOiJMYW5hIiwicGFyc2UtbmFtZXMiOmZhbHNlLCJkcm9wcGluZy1wYXJ0aWNsZSI6IiIsIm5vbi1kcm9wcGluZy1wYXJ0aWNsZSI6IiJ9LHsiZmFtaWx5IjoiQ2hvIiwiZ2l2ZW4iOiJDbGlmZm9yZCBTLiIsInBhcnNlLW5hbWVzIjpmYWxzZSwiZHJvcHBpbmctcGFydGljbGUiOiIiLCJub24tZHJvcHBpbmctcGFydGljbGUiOiIifSx7ImZhbWlseSI6IkdhbmdpIiwiZ2l2ZW4iOiJBbGV4YW5kcmEiLCJwYXJzZS1uYW1lcyI6ZmFsc2UsImRyb3BwaW5nLXBhcnRpY2xlIjoiIiwibm9uLWRyb3BwaW5nLXBhcnRpY2xlIjoiIn0seyJmYW1pbHkiOiJHaWxiZXJ0IiwiZ2l2ZW4iOiJFcmluIFcuIiwicGFyc2UtbmFtZXMiOmZhbHNlLCJkcm9wcGluZy1wYXJ0aWNsZSI6IiIsIm5vbi1kcm9wcGluZy1wYXJ0aWNsZSI6IiJ9LHsiZmFtaWx5IjoiR29vZG1hbiIsImdpdmVuIjoiTWFydGluIEQuIiwicGFyc2UtbmFtZXMiOmZhbHNlLCJkcm9wcGluZy1wYXJ0aWNsZSI6IiIsIm5vbi1kcm9wcGluZy1wYXJ0aWNsZSI6IiJ9LHsiZmFtaWx5IjoiR292aW5kYXJhamFuIiwiZ2l2ZW4iOiJBbmFuZCIsInBhcnNlLW5hbWVzIjpmYWxzZSwiZHJvcHBpbmctcGFydGljbGUiOiIiLCJub24tZHJvcHBpbmctcGFydGljbGUiOiIifSx7ImZhbWlseSI6Ikd1c2hjaGluIiwiZ2l2ZW4iOiJWYWRpbSIsInBhcnNlLW5hbWVzIjpmYWxzZSwiZHJvcHBpbmctcGFydGljbGUiOiIiLCJub24tZHJvcHBpbmctcGFydGljbGUiOiIifSx7ImZhbWlseSI6IkloZW1lbGFuZHUiLCJnaXZlbiI6IkNodWt3dWVtZWthIiwicGFyc2UtbmFtZXMiOmZhbHNlLCJkcm9wcGluZy1wYXJ0aWNsZSI6IiIsIm5vbi1kcm9wcGluZy1wYXJ0aWNsZSI6IiJ9LHsiZmFtaWx5IjoiS2VsbHkiLCJnaXZlbiI6IkthaXRseW4gSi4iLCJwYXJzZS1uYW1lcyI6ZmFsc2UsImRyb3BwaW5nLXBhcnRpY2xlIjoiIiwibm9uLWRyb3BwaW5nLXBhcnRpY2xlIjoiIn0seyJmYW1pbHkiOiJNZXJrb3ciLCJnaXZlbiI6IlJ5YW4gUC4iLCJwYXJzZS1uYW1lcyI6ZmFsc2UsImRyb3BwaW5nLXBhcnRpY2xlIjoiIiwibm9uLWRyb3BwaW5nLXBhcnRpY2xlIjoiIn0seyJmYW1pbHkiOiJQYXBwYXMiLCJnaXZlbiI6IlNhbSBHLiIsInBhcnNlLW5hbWVzIjpmYWxzZSwiZHJvcHBpbmctcGFydGljbGUiOiIiLCJub24tZHJvcHBpbmctcGFydGljbGUiOiIifSx7ImZhbWlseSI6IkFiYm90dCIsImdpdmVuIjoiRGFuaWVsIEUuIiwicGFyc2UtbmFtZXMiOmZhbHNlLCJkcm9wcGluZy1wYXJ0aWNsZSI6IiIsIm5vbi1kcm9wcGluZy1wYXJ0aWNsZSI6IiJ9LHsiZmFtaWx5IjoiQWhyZW5kdCIsImdpdmVuIjoiU3RldmVuIEEuIiwicGFyc2UtbmFtZXMiOmZhbHNlLCJkcm9wcGluZy1wYXJ0aWNsZSI6IiIsIm5vbi1kcm9wcGluZy1wYXJ0aWNsZSI6IiJ9LHsiZmFtaWx5IjoiQWwta2Fzc3Bvb2xlcyIsImdpdmVuIjoiTWF6aW4iLCJwYXJzZS1uYW1lcyI6ZmFsc2UsImRyb3BwaW5nLXBhcnRpY2xlIjoiIiwibm9uLWRyb3BwaW5nLXBhcnRpY2xlIjoiIn0seyJmYW1pbHkiOiJBbHBlcnQiLCJnaXZlbiI6IkxpbmRzYXkiLCJwYXJzZS1uYW1lcyI6ZmFsc2UsImRyb3BwaW5nLXBhcnRpY2xlIjoiIiwibm9uLWRyb3BwaW5nLXBhcnRpY2xlIjoiIn0seyJmYW1pbHkiOiJBbWVyc2kiLCJnaXZlbiI6IkZhcmluIiwicGFyc2UtbmFtZXMiOmZhbHNlLCJkcm9wcGluZy1wYXJ0aWNsZSI6IiIsIm5vbi1kcm9wcGluZy1wYXJ0aWNsZSI6IiJ9LHsiZmFtaWx5IjoiQXJyaW5ndG9uIiwiZ2l2ZW4iOiJBbWFuZGEgSy4iLCJwYXJzZS1uYW1lcyI6ZmFsc2UsImRyb3BwaW5nLXBhcnRpY2xlIjoiIiwibm9uLWRyb3BwaW5nLXBhcnRpY2xlIjoiIn0seyJmYW1pbHkiOiJCYWRnd2VsbCIsImdpdmVuIjoiQnJpYW4iLCJwYXJzZS1uYW1lcyI6ZmFsc2UsImRyb3BwaW5nLXBhcnRpY2xlIjoiIiwibm9uLWRyb3BwaW5nLXBhcnRpY2xlIjoiIn0seyJmYW1pbHkiOiJCYXJvbmUiLCJnaXZlbiI6IlJvYmVydCBNLiIsInBhcnNlLW5hbWVzIjpmYWxzZSwiZHJvcHBpbmctcGFydGljbGUiOiIiLCJub24tZHJvcHBpbmctcGFydGljbGUiOiIifSx7ImZhbWlseSI6IkJhdW1nYXJ0bmVyIiwiZ2l2ZW4iOiJKb2VsIE0uIiwicGFyc2UtbmFtZXMiOmZhbHNlLCJkcm9wcGluZy1wYXJ0aWNsZSI6IiIsIm5vbi1kcm9wcGluZy1wYXJ0aWNsZSI6IiJ9LHsiZmFtaWx5IjoiQmxhemVyIiwiZ2l2ZW4iOiJEYW4gRy4iLCJwYXJzZS1uYW1lcyI6ZmFsc2UsImRyb3BwaW5nLXBhcnRpY2xlIjoiIiwibm9uLWRyb3BwaW5nLXBhcnRpY2xlIjoiIn0seyJmYW1pbHkiOiJCZXJyaSIsImdpdmVuIjoiUmljaGFyZCBOLiIsInBhcnNlLW5hbWVzIjpmYWxzZSwiZHJvcHBpbmctcGFydGljbGUiOiIiLCJub24tZHJvcHBpbmctcGFydGljbGUiOiIifSx7ImZhbWlseSI6IkJyb3duIiwiZ2l2ZW4iOiJDaGFybGVzIEtvbWVuIiwicGFyc2UtbmFtZXMiOmZhbHNlLCJkcm9wcGluZy1wYXJ0aWNsZSI6IiIsIm5vbi1kcm9wcGluZy1wYXJ0aWNsZSI6IiJ9LHsiZmFtaWx5IjoiQ2F0ZW5hY2NpIiwiZ2l2ZW4iOiJEYW5pZWwiLCJwYXJzZS1uYW1lcyI6ZmFsc2UsImRyb3BwaW5nLXBhcnRpY2xlIjoiVi4iLCJub24tZHJvcHBpbmctcGFydGljbGUiOiIifSx7ImZhbWlseSI6IkNoYW4iLCJnaXZlbiI6IkNhcmxvcyBILkYuIiwicGFyc2UtbmFtZXMiOmZhbHNlLCJkcm9wcGluZy1wYXJ0aWNsZSI6IiIsIm5vbi1kcm9wcGluZy1wYXJ0aWNsZSI6IiJ9LHsiZmFtaWx5IjoiQ2hvdWRyeSIsImdpdmVuIjoiTS4gSGFyb29uIEEuIiwicGFyc2UtbmFtZXMiOmZhbHNlLCJkcm9wcGluZy1wYXJ0aWNsZSI6IiIsIm5vbi1kcm9wcGluZy1wYXJ0aWNsZSI6IiJ9LHsiZmFtaWx5IjoiQ2xhcmtlIiwiZ2l2ZW4iOiJDYWxsaXNpYSBOLiIsInBhcnNlLW5hbWVzIjpmYWxzZSwiZHJvcHBpbmctcGFydGljbGUiOiIiLCJub24tZHJvcHBpbmctcGFydGljbGUiOiIifSx7ImZhbWlseSI6IkNsb3lkIiwiZ2l2ZW4iOiJKb3JkYW4gTS4iLCJwYXJzZS1uYW1lcyI6ZmFsc2UsImRyb3BwaW5nLXBhcnRpY2xlIjoiIiwibm9uLWRyb3BwaW5nLXBhcnRpY2xlIjoiIn0seyJmYW1pbHkiOiJEYWNobWFuIiwiZ2l2ZW4iOiJBYnJhaGFtIEguIiwicGFyc2UtbmFtZXMiOmZhbHNlLCJkcm9wcGluZy1wYXJ0aWNsZSI6IiIsIm5vbi1kcm9wcGluZy1wYXJ0aWNsZSI6IiJ9LHsiZmFtaWx5IjoiRGVuZXZlIiwiZ2l2ZW4iOiJKZXJlbWlhaCBMLiIsInBhcnNlLW5hbWVzIjpmYWxzZSwiZHJvcHBpbmctcGFydGljbGUiOiIiLCJub24tZHJvcHBpbmctcGFydGljbGUiOiIifSx7ImZhbWlseSI6IkRpbmVlbiIsImdpdmVuIjoiU2VhbiBQLiIsInBhcnNlLW5hbWVzIjpmYWxzZSwiZHJvcHBpbmctcGFydGljbGUiOiIiLCJub24tZHJvcHBpbmctcGFydGljbGUiOiIifSx7ImZhbWlseSI6IkZlcm5hbmRleiIsImdpdmVuIjoiTGVvcG9sZG8gSi4iLCJwYXJzZS1uYW1lcyI6ZmFsc2UsImRyb3BwaW5nLXBhcnRpY2xlIjoiIiwibm9uLWRyb3BwaW5nLXBhcnRpY2xlIjoiIn0seyJmYW1pbHkiOiJFbmciLCJnaXZlbiI6Ik9saXZlciBTLiIsInBhcnNlLW5hbWVzIjpmYWxzZSwiZHJvcHBpbmctcGFydGljbGUiOiIiLCJub24tZHJvcHBpbmctcGFydGljbGUiOiIifSx7ImZhbWlseSI6IkZsZXNobWFuIiwiZ2l2ZW4iOiJKYW1lcyBXLiIsInBhcnNlLW5hbWVzIjpmYWxzZSwiZHJvcHBpbmctcGFydGljbGUiOiIiLCJub24tZHJvcHBpbmctcGFydGljbGUiOiIifSx7ImZhbWlseSI6IkNsYXJrIEdhbWJsaW4iLCJnaXZlbiI6IlQuIiwicGFyc2UtbmFtZXMiOmZhbHNlLCJkcm9wcGluZy1wYXJ0aWNsZSI6IiIsIm5vbi1kcm9wcGluZy1wYXJ0aWNsZSI6IiJ9LHsiZmFtaWx5IjoiR2Vvcmdha2lzIiwiZ2l2ZW4iOiJHZW9yZ2lvcyIsInBhcnNlLW5hbWVzIjpmYWxzZSwiZHJvcHBpbmctcGFydGljbGUiOiJWLiIsIm5vbi1kcm9wcGluZy1wYXJ0aWNsZSI6IiJ9LHsiZmFtaWx5IjoiR3JvdHoiLCJnaXZlbiI6IlRyYXZpcyBFLiIsInBhcnNlLW5hbWVzIjpmYWxzZSwiZHJvcHBpbmctcGFydGljbGUiOiIiLCJub24tZHJvcHBpbmctcGFydGljbGUiOiIifSx7ImZhbWlseSI6Ikhhbm5hIiwiZ2l2ZW4iOiJOYWRlciIsInBhcnNlLW5hbWVzIjpmYWxzZSwiZHJvcHBpbmctcGFydGljbGUiOiIiLCJub24tZHJvcHBpbmctcGFydGljbGUiOiIifSx7ImZhbWlseSI6Ikhhcm1hdGgiLCJnaXZlbiI6IkNhcmxhIiwicGFyc2UtbmFtZXMiOmZhbHNlLCJkcm9wcGluZy1wYXJ0aWNsZSI6IiIsIm5vbi1kcm9wcGluZy1wYXJ0aWNsZSI6IiJ9LHsiZmFtaWx5IjoiSGFydCIsImdpdmVuIjoiSm9obiIsInBhcnNlLW5hbWVzIjpmYWxzZSwiZHJvcHBpbmctcGFydGljbGUiOiIiLCJub24tZHJvcHBpbmctcGFydGljbGUiOiIifSx7ImZhbWlseSI6IkhheWVzLUpvcmRhbiIsImdpdmVuIjoiQW5kcmVhIiwicGFyc2UtbmFtZXMiOmZhbHNlLCJkcm9wcGluZy1wYXJ0aWNsZSI6IiIsIm5vbi1kcm9wcGluZy1wYXJ0aWNsZSI6IiJ9LHsiZmFtaWx5IjoiSHVzYWluIiwiZ2l2ZW4iOiJBbGl5YSBOLiIsInBhcnNlLW5hbWVzIjpmYWxzZSwiZHJvcHBpbmctcGFydGljbGUiOiIiLCJub24tZHJvcHBpbmctcGFydGljbGUiOiIifSx7ImZhbWlseSI6IklkcmVlcyIsImdpdmVuIjoiS2FtcmFuIiwicGFyc2UtbmFtZXMiOmZhbHNlLCJkcm9wcGluZy1wYXJ0aWNsZSI6IiIsIm5vbi1kcm9wcGluZy1wYXJ0aWNsZSI6IiJ9LHsiZmFtaWx5IjoiSW4iLCJnaXZlbiI6IkhhZWppbiIsInBhcnNlLW5hbWVzIjpmYWxzZSwiZHJvcHBpbmctcGFydGljbGUiOiIiLCJub24tZHJvcHBpbmctcGFydGljbGUiOiIifSx7ImZhbWlseSI6IkppYW5nIiwiZ2l2ZW4iOiJEYXZpZCIsInBhcnNlLW5hbWVzIjpmYWxzZSwiZHJvcHBpbmctcGFydGljbGUiOiIiLCJub24tZHJvcHBpbmctcGFydGljbGUiOiIifSx7ImZhbWlseSI6IkthbmUiLCJnaXZlbiI6IkpvaG4gTS4iLCJwYXJzZS1uYW1lcyI6ZmFsc2UsImRyb3BwaW5nLXBhcnRpY2xlIjoiIiwibm9uLWRyb3BwaW5nLXBhcnRpY2xlIjoiIn0seyJmYW1pbHkiOiJLZW5uZWR5IiwiZ2l2ZW4iOiJUaW1vdGh5IEouIiwicGFyc2UtbmFtZXMiOmZhbHNlLCJkcm9wcGluZy1wYXJ0aWNsZSI6IiIsIm5vbi1kcm9wcGluZy1wYXJ0aWNsZSI6IiJ9LHsiZmFtaWx5IjoiS2V1dGdlbiIsImdpdmVuIjoiWGF2aWVyIE0uIiwicGFyc2UtbmFtZXMiOmZhbHNlLCJkcm9wcGluZy1wYXJ0aWNsZSI6IiIsIm5vbi1kcm9wcGluZy1wYXJ0aWNsZSI6IiJ9LHsiZmFtaWx5IjoiS2luZGxlciIsImdpdmVuIjoiSGVkeSBMZWUiLCJwYXJzZS1uYW1lcyI6ZmFsc2UsImRyb3BwaW5nLXBhcnRpY2xlIjoiIiwibm9uLWRyb3BwaW5nLXBhcnRpY2xlIjoiIn0seyJmYW1pbHkiOiJMZWUiLCJnaXZlbiI6IkJ5cm5lIiwicGFyc2UtbmFtZXMiOmZhbHNlLCJkcm9wcGluZy1wYXJ0aWNsZSI6IiIsIm5vbi1kcm9wcGluZy1wYXJ0aWNsZSI6IiJ9LHsiZmFtaWx5IjoiTGlhbyIsImdpdmVuIjoiQ2hpaCBZaSIsInBhcnNlLW5hbWVzIjpmYWxzZSwiZHJvcHBpbmctcGFydGljbGUiOiIiLCJub24tZHJvcHBpbmctcGFydGljbGUiOiIifSx7ImZhbWlseSI6Ik1hZHVla3dlIiwiZ2l2ZW4iOiJVZ3d1amkgTi4iLCJwYXJzZS1uYW1lcyI6ZmFsc2UsImRyb3BwaW5nLXBhcnRpY2xlIjoiIiwibm9uLWRyb3BwaW5nLXBhcnRpY2xlIjoiIn0seyJmYW1pbHkiOiJNYWsiLCJnaXZlbiI6IkdyYWNlIFouIiwicGFyc2UtbmFtZXMiOmZhbHNlLCJkcm9wcGluZy1wYXJ0aWNsZSI6IiIsIm5vbi1kcm9wcGluZy1wYXJ0aWNsZSI6IiJ9LHsiZmFtaWx5IjoiTWFjayIsImdpdmVuIjoiTGxveWQgQS4iLCJwYXJzZS1uYW1lcyI6ZmFsc2UsImRyb3BwaW5nLXBhcnRpY2xlIjoiIiwibm9uLWRyb3BwaW5nLXBhcnRpY2xlIjoiIn0seyJmYW1pbHkiOiJNYXRoZXciLCJnaXZlbiI6Ik1lbHZ5IFNhcmFoIiwicGFyc2UtbmFtZXMiOmZhbHNlLCJkcm9wcGluZy1wYXJ0aWNsZSI6IiIsIm5vbi1kcm9wcGluZy1wYXJ0aWNsZSI6IiJ9LHsiZmFtaWx5IjoiTWVsaXMiLCJnaXZlbiI6Ik1hcmNvdmFsZXJpbyIsInBhcnNlLW5hbWVzIjpmYWxzZSwiZHJvcHBpbmctcGFydGljbGUiOiIiLCJub24tZHJvcHBpbmctcGFydGljbGUiOiIifSx7ImZhbWlseSI6Ik1lbG5pdGNob3VrIiwiZ2l2ZW4iOiJOZWx5YSIsInBhcnNlLW5hbWVzIjpmYWxzZSwiZHJvcHBpbmctcGFydGljbGUiOiIiLCJub24tZHJvcHBpbmctcGFydGljbGUiOiIifSx7ImZhbWlseSI6Ik1pc2RyYWppIiwiZ2l2ZW4iOiJKb3NlcGgiLCJwYXJzZS1uYW1lcyI6ZmFsc2UsImRyb3BwaW5nLXBhcnRpY2xlIjoiIiwibm9uLWRyb3BwaW5nLXBhcnRpY2xlIjoiIn0seyJmYW1pbHkiOiJNb2dhbCIsImdpdmVuIjoiSGFydmVzaHAiLCJwYXJzZS1uYW1lcyI6ZmFsc2UsImRyb3BwaW5nLXBhcnRpY2xlIjoiIiwibm9uLWRyb3BwaW5nLXBhcnRpY2xlIjoiIn0seyJmYW1pbHkiOiJNw7ZsbGVyIiwiZ2l2ZW4iOiJNZWNrZXIgRy4iLCJwYXJzZS1uYW1lcyI6ZmFsc2UsImRyb3BwaW5nLXBhcnRpY2xlIjoiIiwibm9uLWRyb3BwaW5nLXBhcnRpY2xlIjoiIn0seyJmYW1pbHkiOiJOYXNoIiwiZ2l2ZW4iOiJHYXJyZXR0IE0uIiwicGFyc2UtbmFtZXMiOmZhbHNlLCJkcm9wcGluZy1wYXJ0aWNsZSI6IiIsIm5vbi1kcm9wcGluZy1wYXJ0aWNsZSI6IiJ9LHsiZmFtaWx5IjoiT3RvIiwiZ2l2ZW4iOiJBeXRla2luIiwicGFyc2UtbmFtZXMiOmZhbHNlLCJkcm9wcGluZy1wYXJ0aWNsZSI6IiIsIm5vbi1kcm9wcGluZy1wYXJ0aWNsZSI6IiJ9LHsiZmFtaWx5IjoiUGFpIiwiZ2l2ZW4iOiJSZWV0ZXNoIEsuIiwicGFyc2UtbmFtZXMiOmZhbHNlLCJkcm9wcGluZy1wYXJ0aWNsZSI6IiIsIm5vbi1kcm9wcGluZy1wYXJ0aWNsZSI6IiJ9LHsiZmFtaWx5IjoiUGFtZWlqZXIiLCJnaXZlbiI6IkNvbGV0dGUgUi4iLCJwYXJzZS1uYW1lcyI6ZmFsc2UsImRyb3BwaW5nLXBhcnRpY2xlIjoiIiwibm9uLWRyb3BwaW5nLXBhcnRpY2xlIjoiIn0seyJmYW1pbHkiOiJQb2xhbmNvIiwiZ2l2ZW4iOiJQYXRyaWNpbyBNLiIsInBhcnNlLW5hbWVzIjpmYWxzZSwiZHJvcHBpbmctcGFydGljbGUiOiIiLCJub24tZHJvcHBpbmctcGFydGljbGUiOiIifSx7ImZhbWlseSI6IlBvbGl0ZSIsImdpdmVuIjoiQmxhc2UgTi4iLCJwYXJzZS1uYW1lcyI6ZmFsc2UsImRyb3BwaW5nLXBhcnRpY2xlIjoiIiwibm9uLWRyb3BwaW5nLXBhcnRpY2xlIjoiIn0seyJmYW1pbHkiOiJSZWRkeSIsImdpdmVuIjoiU2FuamF5IFMuIiwicGFyc2UtbmFtZXMiOmZhbHNlLCJkcm9wcGluZy1wYXJ0aWNsZSI6IiIsIm5vbi1kcm9wcGluZy1wYXJ0aWNsZSI6IiJ9LHsiZmFtaWx5IjoiUm95YWwiLCJnaXZlbiI6IlJpY2hhcmQiLCJwYXJzZS1uYW1lcyI6ZmFsc2UsImRyb3BwaW5nLXBhcnRpY2xlIjoiIiwibm9uLWRyb3BwaW5nLXBhcnRpY2xlIjoiIn0seyJmYW1pbHkiOiJSeWFuIiwiZ2l2ZW4iOiJEYXZpZCBQLiIsInBhcnNlLW5hbWVzIjpmYWxzZSwiZHJvcHBpbmctcGFydGljbGUiOiIiLCJub24tZHJvcHBpbmctcGFydGljbGUiOiIifSx7ImZhbWlseSI6IlNhbHRpIiwiZ2l2ZW4iOiJHZW9yZ2UiLCJwYXJzZS1uYW1lcyI6ZmFsc2UsImRyb3BwaW5nLXBhcnRpY2xlIjoiIiwibm9uLWRyb3BwaW5nLXBhcnRpY2xlIjoiIn0seyJmYW1pbHkiOiJTYXJkaSIsImdpdmVuIjoiQXJtYW5kbyIsInBhcnNlLW5hbWVzIjpmYWxzZSwiZHJvcHBpbmctcGFydGljbGUiOiIiLCJub24tZHJvcHBpbmctcGFydGljbGUiOiIifSx7ImZhbWlseSI6IlNlbnRoaWwiLCJnaXZlbiI6Ik1haGVzd2FyaSIsInBhcnNlLW5hbWVzIjpmYWxzZSwiZHJvcHBpbmctcGFydGljbGUiOiIiLCJub24tZHJvcHBpbmctcGFydGljbGUiOiIifSx7ImZhbWlseSI6IlNldGlhIiwiZ2l2ZW4iOiJOYW1yYXRhIiwicGFyc2UtbmFtZXMiOmZhbHNlLCJkcm9wcGluZy1wYXJ0aWNsZSI6IiIsIm5vbi1kcm9wcGluZy1wYXJ0aWNsZSI6IiJ9LHsiZmFtaWx5IjoiU2hlcm1hbiIsImdpdmVuIjoiU2NvdHQgSy4iLCJwYXJzZS1uYW1lcyI6ZmFsc2UsImRyb3BwaW5nLXBhcnRpY2xlIjoiIiwibm9uLWRyb3BwaW5nLXBhcnRpY2xlIjoiIn0seyJmYW1pbHkiOiJTaWRlcmlzIiwiZ2l2ZW4iOiJMdWNhcyIsInBhcnNlLW5hbWVzIjpmYWxzZSwiZHJvcHBpbmctcGFydGljbGUiOiIiLCJub24tZHJvcHBpbmctcGFydGljbGUiOiIifSx7ImZhbWlseSI6IlNraXR6a2kiLCJnaXZlbiI6Ikpvc2VwaCIsInBhcnNlLW5hbWVzIjpmYWxzZSwiZHJvcHBpbmctcGFydGljbGUiOiIiLCJub24tZHJvcHBpbmctcGFydGljbGUiOiIifSx7ImZhbWlseSI6IlZlZXJhcG9uZyIsImdpdmVuIjoiSnVsYSIsInBhcnNlLW5hbWVzIjpmYWxzZSwiZHJvcHBpbmctcGFydGljbGUiOiIiLCJub24tZHJvcHBpbmctcGFydGljbGUiOiIifSx7ImZhbWlseSI6IldoaXRlIiwiZ2l2ZW4iOiJNaWNoYWVsIEcuIiwicGFyc2UtbmFtZXMiOmZhbHNlLCJkcm9wcGluZy1wYXJ0aWNsZSI6IiIsIm5vbi1kcm9wcGluZy1wYXJ0aWNsZSI6IiJ9LHsiZmFtaWx5IjoiV2luZXIiLCJnaXZlbiI6Ikpvc2h1YSBILiIsInBhcnNlLW5hbWVzIjpmYWxzZSwiZHJvcHBpbmctcGFydGljbGUiOiIiLCJub24tZHJvcHBpbmctcGFydGljbGUiOiIifSx7ImZhbWlseSI6IlhpYW8iLCJnaXZlbiI6IlNodSBZdWFuIiwicGFyc2UtbmFtZXMiOmZhbHNlLCJkcm9wcGluZy1wYXJ0aWNsZSI6IiIsIm5vbi1kcm9wcGluZy1wYXJ0aWNsZSI6IiJ9LHsiZmFtaWx5IjoiWWFudGlzcyIsImdpdmVuIjoiUmhvbmRhIEsuIiwicGFyc2UtbmFtZXMiOmZhbHNlLCJkcm9wcGluZy1wYXJ0aWNsZSI6IiIsIm5vbi1kcm9wcGluZy1wYXJ0aWNsZSI6IiJ9LHsiZmFtaWx5IjoiQWh1amEiLCJnaXZlbiI6Ik5pdGEiLCJwYXJzZS1uYW1lcyI6ZmFsc2UsImRyb3BwaW5nLXBhcnRpY2xlIjoiIiwibm9uLWRyb3BwaW5nLXBhcnRpY2xlIjoiIn0seyJmYW1pbHkiOiJCb3duZSIsImdpdmVuIjoiV2lsYnVyIiwicGFyc2UtbmFtZXMiOmZhbHNlLCJkcm9wcGluZy1wYXJ0aWNsZSI6IiIsIm5vbi1kcm9wcGluZy1wYXJ0aWNsZSI6IiJ9LHsiZmFtaWx5IjoiTG93eSIsImdpdmVuIjoiQW5kcmV3IE0uIiwicGFyc2UtbmFtZXMiOmZhbHNlLCJkcm9wcGluZy1wYXJ0aWNsZSI6IiIsIm5vbi1kcm9wcGluZy1wYXJ0aWNsZSI6IiJ9LHsiZmFtaWx5IjoiUmljaGFyZCBBbGV4YW5kZXIiLCJnaXZlbiI6IkguIiwicGFyc2UtbmFtZXMiOmZhbHNlLCJkcm9wcGluZy1wYXJ0aWNsZSI6IiIsIm5vbi1kcm9wcGluZy1wYXJ0aWNsZSI6IiJ9LHsiZmFtaWx5IjoiRXNxdWl2ZWwiLCJnaXZlbiI6Ikplc3VzIiwicGFyc2UtbmFtZXMiOmZhbHNlLCJkcm9wcGluZy1wYXJ0aWNsZSI6IiIsIm5vbi1kcm9wcGluZy1wYXJ0aWNsZSI6IiJ9LHsiZmFtaWx5IjoiRm9zdGVyIiwiZ2l2ZW4iOiJKYXNvbiBNLiIsInBhcnNlLW5hbWVzIjpmYWxzZSwiZHJvcHBpbmctcGFydGljbGUiOiIiLCJub24tZHJvcHBpbmctcGFydGljbGUiOiIifSx7ImZhbWlseSI6IkxhYm93IiwiZ2l2ZW4iOiJEYW5pZWwgTS4iLCJwYXJzZS1uYW1lcyI6ZmFsc2UsImRyb3BwaW5nLXBhcnRpY2xlIjoiIiwibm9uLWRyb3BwaW5nLXBhcnRpY2xlIjoiIn0seyJmYW1pbHkiOiJMYW1iZXJ0IiwiZ2l2ZW4iOiJMYXVyYSBBLiIsInBhcnNlLW5hbWVzIjpmYWxzZSwiZHJvcHBpbmctcGFydGljbGUiOiIiLCJub24tZHJvcHBpbmctcGFydGljbGUiOiIifSx7ImZhbWlseSI6IkxldmluZSIsImdpdmVuIjoiRWR3YXJkIEEuIiwicGFyc2UtbmFtZXMiOmZhbHNlLCJkcm9wcGluZy1wYXJ0aWNsZSI6IiIsIm5vbi1kcm9wcGluZy1wYXJ0aWNsZSI6IiJ9LHsiZmFtaWx5IjoiU3RhbGV5IiwiZ2l2ZW4iOiJDaGFybGVzIiwicGFyc2UtbmFtZXMiOmZhbHNlLCJkcm9wcGluZy1wYXJ0aWNsZSI6IiIsIm5vbi1kcm9wcGluZy1wYXJ0aWNsZSI6IiJ9LHsiZmFtaWx5IjoiU3VnYXJiYWtlciIsImdpdmVuIjoiUGF1bCBILiIsInBhcnNlLW5hbWVzIjpmYWxzZSwiZHJvcHBpbmctcGFydGljbGUiOiIiLCJub24tZHJvcHBpbmctcGFydGljbGUiOiIifSx7ImZhbWlseSI6IkJhcnRsZXR0IiwiZ2l2ZW4iOiJEYXZpZCBMLiIsInBhcnNlLW5hbWVzIjpmYWxzZSwiZHJvcHBpbmctcGFydGljbGUiOiIiLCJub24tZHJvcHBpbmctcGFydGljbGUiOiIifSx7ImZhbWlseSI6IlR1cmFnYSIsImdpdmVuIjoiS2lyYW4iLCJwYXJzZS1uYW1lcyI6ZmFsc2UsImRyb3BwaW5nLXBhcnRpY2xlIjoiIiwibm9uLWRyb3BwaW5nLXBhcnRpY2xlIjoiIn1dLCJjb250YWluZXItdGl0bGUiOiJBbm5hbHMgb2Ygc3VyZ2ljYWwgb25jb2xvZ3kiLCJjb250YWluZXItdGl0bGUtc2hvcnQiOiJBbm4gU3VyZyBPbmNvbCIsIkRPSSI6IjEwLjEyNDUvUzEwNDM0LTAyMC0wODMxNi1XIiwiSVNTTiI6IjE1MzQtNDY4MSIsIlBNSUQiOiIzMjI4NTI3NSIsImlzc3VlZCI6eyJkYXRlLXBhcnRzIjpbWzIwMjBdXX0sInBhZ2UiOiIxNzUzLTE3NjAiLCJhYnN0cmFjdCI6IlRoZSBDaGljYWdvIENvbnNlbnN1cyBXb3JraW5nIEdyb3VwIHByb3ZpZGVzIG11bHRpZGlzY2lwbGluYXJ5IHJlY29tbWVuZGF0aW9ucyBmb3IgdGhlIG1hbmFnZW1lbnQgb2YgYXBwZW5kaWNlYWwgbmVvcGxhc21zIHNwZWNpZmljYWxseSByZWxhdGVkIHRvIHRoZSBtYW5hZ2VtZW50IG9mIHBlcml0b25lYWwgc3VyZmFjZSBtYWxpZ25hbmNpZXMuIFRoZXNlIGd1aWRlbGluZXMgYXJlIGRldmVsb3BlZCB3aXRoIGlucHV0IGZyb20gbGVhZGluZyBleHBlcnRzIGluY2x1ZGluZyBzdXJnaWNhbCBvbmNvbG9naXN0cywgbWVkaWNhbCBvbmNvbG9naXN0cywgcGF0aG9sb2dpc3RzLCByYWRpb2xvZ2lzdHMsIHBhbGxpYXRpdmUgY2FyZSBwaHlzaWNpYW5zLCBhbmQgcGhhcm1hY2lzdHMuIFRoZXNlIGd1aWRlbGluZXMgcmVjb2duaXplIGFuZCBhZGRyZXNzIHRoZSBlbWVyZ2luZyBuZWVkIGZvciBpbmNyZWFzZWQgYXdhcmVuZXNzIGluIHRoZSBhcHByb3ByaWF0ZSBtYW5hZ2VtZW50IG9mIHBlcml0b25lYWwgc3VyZmFjZSBkaXNlYXNlLiBUaGV5IGFyZSBub3QgaW50ZW5kZWQgdG8gcmVwbGFjZSB0aGUgcXVlc3QgZm9yIGhpZ2hlciBsZXZlbHMgb2YgZXZpZGVuY2UuIiwicHVibGlzaGVyIjoiQW5uIFN1cmcgT25jb2wiLCJpc3N1ZSI6IjYiLCJ2b2x1bWUiOiIyNyJ9LCJpc1RlbXBvcmFyeSI6ZmFsc2V9XX0="/>
          <w:id w:val="1875121267"/>
        </w:sdtPr>
        <w:sdtContent>
          <w:r>
            <w:rPr/>
          </w:r>
          <w:r>
            <w:rPr>
              <w:rFonts w:eastAsia="MS Mincho"/>
              <w:color w:val="000000"/>
            </w:rPr>
            <w:t>(8)</w:t>
          </w:r>
        </w:sdtContent>
      </w:sdt>
      <w:r>
        <w:rPr/>
        <w:t>.</w:t>
      </w:r>
    </w:p>
    <w:p>
      <w:pPr>
        <w:pStyle w:val="p3"/>
        <w:spacing w:lineRule="auto" w:line="360" w:before="280" w:after="280"/>
        <w:jc w:val="both"/>
        <w:rPr/>
      </w:pPr>
      <w:r>
        <w:rPr/>
        <w:t>La gran mayoría de los casos de PMP se originan a partir de neoplasias mucinosas del apéndice, particularmente LAMN y HAMN. Ocasionalmente, otros órganos como el ovario, el colon o el páncreas pueden ser la fuente primaria, aunque estos casos son menos comunes</w:t>
      </w:r>
      <w:sdt>
        <w:sdtPr>
          <w:placeholder>
            <w:docPart w:val="E4502C676B5A99418CAE7C3A3E1130F6"/>
          </w:placeholder>
          <w:tag w:val="MENDELEY_CITATION_v3_eyJjaXRhdGlvbklEIjoiTUVOREVMRVlfQ0lUQVRJT05fNDcwYmNiNjAtNjJhZC00ZTcwLWIxNTMtNDMyYTdkZDk3MDg1IiwicHJvcGVydGllcyI6eyJub3RlSW5kZXgiOjB9LCJpc0VkaXRlZCI6ZmFsc2UsIm1hbnVhbE92ZXJyaWRlIjp7ImlzTWFudWFsbHlPdmVycmlkZGVuIjpmYWxzZSwiY2l0ZXByb2NUZXh0IjoiKDYpIiwibWFudWFsT3ZlcnJpZGVUZXh0IjoiIn0sImNpdGF0aW9uSXRlbXMiOlt7ImlkIjoiYmZmZWMwZDYtMWE5ZS0zMjI1LWFlOWYtMTFlZjdjMmJlYzFhIiwiaXRlbURhdGEiOnsidHlwZSI6ImFydGljbGUtam91cm5hbCIsImlkIjoiYmZmZWMwZDYtMWE5ZS0zMjI1LWFlOWYtMTFlZjdjMmJlYzFhIiwidGl0bGUiOiJBcHBlbmRpY2VhbCBuZW9wbGFzbXMt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zdXJnaWNhbCBvbmNvbG9neSIsImNvbnRhaW5lci10aXRsZS1zaG9ydCI6IkogU3VyZyBPbmNvbCIsImFjY2Vzc2VkIjp7ImRhdGUtcGFydHMiOltbMjAyNSwzLDI5XV19LCJET0kiOiIxMC4xMDAyL0pTTy4yNzMwNCIsIklTU04iOiIxMDk2LTkwOTgiLCJQTUlEIjoiMzcyMjI2OTIiLCJVUkwiOiJodHRwczovL3B1Ym1lZC5uY2JpLm5sbS5uaWguZ292LzM3MjIyNjkyLyIsImlzc3VlZCI6eyJkYXRlLXBhcnRzIjpbWzIwMjMsNiwxNV1dfSwicGFnZSI6IjEzMDAtMTMwNSIsImFic3RyYWN0IjoiQXBwZW5kaWNlYWwgbmVvcGxhc21zIChBTnMpIGFyZSBhIGRpdmVyc2UgZ3JvdXAgb2YgcGF0aG9sb2dpZXMgdGhhdCByYW5nZSBmcm9tIGJlbmlnbiB0byBtYWxpZ25hbnQgd2l0aCB3aWRlbHkgdmFyeWluZyBwcm9nbm9zZXMuIFRoaXMgYXJ0aWNsZSBzZXJ2ZXMgYXMgYW4gb3ZlcnZpZXcgb2YgdGhlIHByYWN0aWNhbCBhcHByb2FjaCB0byBldmFsdWF0aW5nIGFuZCBtYW5hZ2luZyBhIHBhdGllbnQgd2l0aCBBTiBieSByZXZpZXdpbmcgdGhlIGN1cnJlbnQgbGl0ZXJhdHVyZSBhbmQgZ3VpZGVsaW5lcyB0byBwcm92aWRlIGEgZnJhbWV3b3JrIGZvciB0aGUgbWFuYWdlbWVudCBvZiB0aGVzZSBudWFuY2VkIHBhdGhvbG9naWVzLiIsInB1Ymxpc2hlciI6IkogU3VyZyBPbmNvbCIsImlzc3VlIjoiOCIsInZvbHVtZSI6IjEyNyJ9LCJpc1RlbXBvcmFyeSI6ZmFsc2V9XX0="/>
          <w:id w:val="1615479693"/>
        </w:sdtPr>
        <w:sdtContent>
          <w:r>
            <w:rPr/>
          </w:r>
          <w:r>
            <w:rPr>
              <w:rFonts w:eastAsia="MS Mincho" w:cs="MS Mincho" w:ascii="MS Mincho" w:hAnsi="MS Mincho"/>
              <w:color w:val="000000"/>
            </w:rPr>
            <w:t>(6)</w:t>
          </w:r>
        </w:sdtContent>
      </w:sdt>
      <w:r>
        <w:rPr/>
        <w:t>.</w:t>
      </w:r>
    </w:p>
    <w:p>
      <w:pPr>
        <w:pStyle w:val="Caption"/>
        <w:keepNext w:val="true"/>
        <w:rPr>
          <w:i w:val="false"/>
          <w:i w:val="false"/>
          <w:color w:themeColor="text1" w:val="000000"/>
          <w:sz w:val="24"/>
        </w:rPr>
      </w:pPr>
      <w:bookmarkStart w:id="79" w:name="_Toc199964149"/>
      <w:bookmarkStart w:id="80" w:name="_Toc199961084"/>
      <w:bookmarkStart w:id="81" w:name="_Toc199964086"/>
      <w:r>
        <w:rPr>
          <w:b/>
          <w:i w:val="false"/>
          <w:color w:themeColor="text1" w:val="000000"/>
          <w:sz w:val="24"/>
        </w:rPr>
        <w:t xml:space="preserve">Tabla </w:t>
      </w:r>
      <w:r>
        <w:rPr>
          <w:b/>
          <w:i w:val="false"/>
          <w:color w:themeColor="text1" w:val="000000"/>
          <w:sz w:val="24"/>
        </w:rPr>
        <w:fldChar w:fldCharType="begin"/>
      </w:r>
      <w:r>
        <w:rPr>
          <w:sz w:val="24"/>
          <w:i w:val="false"/>
          <w:b/>
          <w:color w:themeColor="text1" w:val="000000"/>
        </w:rPr>
        <w:instrText xml:space="preserve"> SEQ Tabla \* ARABIC </w:instrText>
      </w:r>
      <w:r>
        <w:rPr>
          <w:sz w:val="24"/>
          <w:i w:val="false"/>
          <w:b/>
          <w:color w:themeColor="text1" w:val="000000"/>
        </w:rPr>
        <w:fldChar w:fldCharType="separate"/>
      </w:r>
      <w:r>
        <w:rPr>
          <w:sz w:val="24"/>
          <w:i w:val="false"/>
          <w:b/>
          <w:color w:themeColor="text1" w:val="000000"/>
        </w:rPr>
        <w:t>3</w:t>
      </w:r>
      <w:r>
        <w:rPr>
          <w:sz w:val="24"/>
          <w:i w:val="false"/>
          <w:b/>
          <w:color w:themeColor="text1" w:val="000000"/>
        </w:rPr>
        <w:fldChar w:fldCharType="end"/>
      </w:r>
      <w:r>
        <w:rPr>
          <w:b/>
          <w:i w:val="false"/>
          <w:color w:themeColor="text1" w:val="000000"/>
          <w:sz w:val="24"/>
        </w:rPr>
        <w:t xml:space="preserve">. </w:t>
      </w:r>
      <w:r>
        <w:rPr>
          <w:i w:val="false"/>
          <w:color w:themeColor="text1" w:val="000000"/>
          <w:sz w:val="24"/>
        </w:rPr>
        <w:t>Características histológicas del PMP</w:t>
      </w:r>
      <w:bookmarkEnd w:id="79"/>
      <w:bookmarkEnd w:id="80"/>
      <w:bookmarkEnd w:id="81"/>
    </w:p>
    <w:tbl>
      <w:tblPr>
        <w:tblStyle w:val="PlainTable4"/>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3"/>
              </w:numPr>
              <w:spacing w:lineRule="auto" w:line="360" w:before="0" w:afterAutospacing="0" w:after="0"/>
              <w:jc w:val="both"/>
              <w:rPr>
                <w:b/>
                <w:bCs/>
                <w:kern w:val="0"/>
                <w:lang w:val="es-CR" w:bidi="ar-SA"/>
              </w:rPr>
            </w:pPr>
            <w:r>
              <w:rPr>
                <w:b/>
                <w:bCs/>
                <w:kern w:val="0"/>
                <w:lang w:val="es-CR" w:bidi="ar-SA"/>
              </w:rPr>
              <w:t>Acúmulo de mucina extracelular abundante en la cavidad peritoneal</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1"/>
              <w:widowControl/>
              <w:numPr>
                <w:ilvl w:val="0"/>
                <w:numId w:val="3"/>
              </w:numPr>
              <w:spacing w:lineRule="auto" w:line="360" w:before="0" w:afterAutospacing="0" w:after="0"/>
              <w:jc w:val="both"/>
              <w:rPr>
                <w:b/>
                <w:bCs/>
                <w:kern w:val="0"/>
                <w:lang w:val="es-CR" w:bidi="ar-SA"/>
              </w:rPr>
            </w:pPr>
            <w:r>
              <w:rPr>
                <w:b/>
                <w:bCs/>
                <w:kern w:val="0"/>
                <w:lang w:val="es-CR" w:bidi="ar-SA"/>
              </w:rPr>
              <w:t>Presencia variable de células epiteliales neoplásicas mucinosas</w:t>
            </w:r>
            <w:r>
              <w:rPr>
                <w:rStyle w:val="s1"/>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3"/>
              </w:numPr>
              <w:spacing w:lineRule="auto" w:line="360" w:before="0" w:afterAutospacing="0" w:after="0"/>
              <w:jc w:val="both"/>
              <w:rPr>
                <w:b/>
                <w:bCs/>
                <w:kern w:val="0"/>
                <w:lang w:val="es-CR" w:bidi="ar-SA"/>
              </w:rPr>
            </w:pPr>
            <w:r>
              <w:rPr>
                <w:b/>
                <w:bCs/>
                <w:kern w:val="0"/>
                <w:lang w:val="es-CR" w:bidi="ar-SA"/>
              </w:rPr>
              <w:t>Implantes peritoneales de bajo o alto grado, dependiendo del origen y comportamiento de la neoplasia primaria</w:t>
            </w:r>
            <w:r>
              <w:rPr>
                <w:rStyle w:val="s1"/>
                <w:b/>
                <w:bCs/>
                <w:kern w:val="0"/>
                <w:lang w:val="es-CR" w:bidi="ar-SA"/>
              </w:rPr>
              <w:t>.</w:t>
            </w:r>
          </w:p>
        </w:tc>
      </w:tr>
    </w:tbl>
    <w:p>
      <w:pPr>
        <w:pStyle w:val="p3"/>
        <w:spacing w:lineRule="auto" w:line="360" w:before="280" w:after="280"/>
        <w:jc w:val="both"/>
        <w:rPr/>
      </w:pPr>
      <w:r>
        <w:rPr/>
        <w:t>El comportamiento clínico del PMP puede variar enormemente dependiendo de la agresividad histológica del tumor de origen. Para estandarizar la descripción y el pronóstico de la enfermedad, se han propuesto distintas clasificaciones, entre ellas:</w:t>
      </w:r>
    </w:p>
    <w:p>
      <w:pPr>
        <w:pStyle w:val="p1"/>
        <w:spacing w:lineRule="auto" w:line="360" w:before="280" w:after="280"/>
        <w:jc w:val="both"/>
        <w:rPr/>
      </w:pPr>
      <w:r>
        <w:rPr>
          <w:rStyle w:val="s1"/>
          <w:u w:val="single"/>
        </w:rPr>
        <w:t>PMP de bajo grado</w:t>
      </w:r>
      <w:r>
        <w:rPr/>
        <w:t xml:space="preserve"> (asociado a LAMN), el cual se caracteriza por ser una enfermedad de crecimiento lento, con baja celularidad en el material mucinoso.</w:t>
      </w:r>
    </w:p>
    <w:p>
      <w:pPr>
        <w:pStyle w:val="p1"/>
        <w:spacing w:lineRule="auto" w:line="360" w:before="280" w:after="280"/>
        <w:jc w:val="both"/>
        <w:rPr/>
      </w:pPr>
      <w:r>
        <w:rPr>
          <w:rStyle w:val="s1"/>
          <w:u w:val="single"/>
        </w:rPr>
        <w:t>PMP de alto grado</w:t>
      </w:r>
      <w:r>
        <w:rPr/>
        <w:t xml:space="preserve"> (asociado a HAMN o adenocarcinoma mucinoso): enfermedad más agresiva, con mayor celularidad, pleomorfismo y proliferación epitelial.</w:t>
      </w:r>
    </w:p>
    <w:p>
      <w:pPr>
        <w:pStyle w:val="p3"/>
        <w:spacing w:lineRule="auto" w:line="360" w:before="280" w:after="280"/>
        <w:jc w:val="both"/>
        <w:rPr/>
      </w:pPr>
      <w:r>
        <w:rPr/>
        <w:t xml:space="preserve">Clínicamente, el PMP suele manifestarse de forma insidiosa, con síntomas que incluyen: </w:t>
      </w:r>
      <w:r>
        <w:rPr>
          <w:rStyle w:val="s1"/>
        </w:rPr>
        <w:t>distensión abdominal progresiva</w:t>
      </w:r>
      <w:r>
        <w:rPr/>
        <w:t xml:space="preserve"> (debido al acúmulo de mucina), dolor abdominal inespecífico</w:t>
      </w:r>
      <w:r>
        <w:rPr>
          <w:rStyle w:val="s1"/>
        </w:rPr>
        <w:t>, c</w:t>
      </w:r>
      <w:r>
        <w:rPr/>
        <w:t>ambios en el tránsito intestinal o síntomas de obstrucción</w:t>
      </w:r>
      <w:r>
        <w:rPr>
          <w:rStyle w:val="s1"/>
        </w:rPr>
        <w:t>, p</w:t>
      </w:r>
      <w:r>
        <w:rPr/>
        <w:t>érdida de peso y deterioro del estado general</w:t>
      </w:r>
      <w:r>
        <w:rPr>
          <w:rStyle w:val="s1"/>
        </w:rPr>
        <w:t xml:space="preserve"> en fases avanzadas.</w:t>
      </w:r>
    </w:p>
    <w:p>
      <w:pPr>
        <w:pStyle w:val="Caption"/>
        <w:keepNext w:val="true"/>
        <w:rPr>
          <w:i w:val="false"/>
          <w:i w:val="false"/>
          <w:iCs w:val="false"/>
          <w:color w:themeColor="text1" w:val="000000"/>
        </w:rPr>
      </w:pPr>
      <w:bookmarkStart w:id="82" w:name="_Toc199964150"/>
      <w:bookmarkStart w:id="83" w:name="_Toc199961085"/>
      <w:bookmarkStart w:id="84" w:name="_Toc199964087"/>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4</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Factores pronóstico relevantes en el PMP</w:t>
      </w:r>
      <w:bookmarkEnd w:id="82"/>
      <w:bookmarkEnd w:id="83"/>
      <w:bookmarkEnd w:id="84"/>
    </w:p>
    <w:tbl>
      <w:tblPr>
        <w:tblStyle w:val="PlainTable4"/>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4"/>
              </w:numPr>
              <w:spacing w:lineRule="auto" w:line="360" w:before="0" w:afterAutospacing="0" w:after="0"/>
              <w:jc w:val="both"/>
              <w:rPr>
                <w:b/>
                <w:bCs/>
                <w:kern w:val="0"/>
                <w:lang w:val="es-CR" w:bidi="ar-SA"/>
              </w:rPr>
            </w:pPr>
            <w:r>
              <w:rPr>
                <w:b/>
                <w:bCs/>
                <w:kern w:val="0"/>
                <w:lang w:val="es-CR" w:bidi="ar-SA"/>
              </w:rPr>
              <w:t>Grado histológico del tumor primario y de los implantes</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1"/>
              <w:widowControl/>
              <w:numPr>
                <w:ilvl w:val="0"/>
                <w:numId w:val="4"/>
              </w:numPr>
              <w:spacing w:lineRule="auto" w:line="360" w:before="0" w:afterAutospacing="0" w:after="0"/>
              <w:jc w:val="both"/>
              <w:rPr>
                <w:b/>
                <w:bCs/>
                <w:kern w:val="0"/>
                <w:lang w:val="es-CR" w:bidi="ar-SA"/>
              </w:rPr>
            </w:pPr>
            <w:r>
              <w:rPr>
                <w:rStyle w:val="s1"/>
                <w:b/>
                <w:bCs/>
                <w:kern w:val="0"/>
                <w:lang w:val="es-CR" w:bidi="ar-SA"/>
              </w:rPr>
              <w:t>Índice de carga peritoneal</w:t>
            </w:r>
            <w:r>
              <w:rPr>
                <w:b/>
                <w:bCs/>
                <w:kern w:val="0"/>
                <w:lang w:val="es-CR" w:bidi="ar-SA"/>
              </w:rPr>
              <w:t xml:space="preserve"> (PCI, por sus siglas en inglés).</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4"/>
              </w:numPr>
              <w:spacing w:lineRule="auto" w:line="360" w:before="0" w:afterAutospacing="0" w:after="0"/>
              <w:jc w:val="both"/>
              <w:rPr>
                <w:b/>
                <w:bCs/>
                <w:kern w:val="0"/>
                <w:lang w:val="es-CR" w:bidi="ar-SA"/>
              </w:rPr>
            </w:pPr>
            <w:r>
              <w:rPr>
                <w:b/>
                <w:bCs/>
                <w:kern w:val="0"/>
                <w:lang w:val="es-CR" w:bidi="ar-SA"/>
              </w:rPr>
              <w:t>Completitud de la citorreducción quirúrgica (CC score)</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p>
            <w:pPr>
              <w:pStyle w:val="p1"/>
              <w:widowControl/>
              <w:numPr>
                <w:ilvl w:val="0"/>
                <w:numId w:val="4"/>
              </w:numPr>
              <w:spacing w:lineRule="auto" w:line="360" w:before="0" w:afterAutospacing="0" w:after="0"/>
              <w:jc w:val="both"/>
              <w:rPr>
                <w:rStyle w:val="s1"/>
              </w:rPr>
            </w:pPr>
            <w:r>
              <w:rPr>
                <w:b/>
                <w:bCs/>
                <w:kern w:val="0"/>
                <w:lang w:val="es-CR" w:bidi="ar-SA"/>
              </w:rPr>
              <w:t>Estado funcional del paciente al momento del tratamiento</w:t>
            </w:r>
            <w:r>
              <w:rPr>
                <w:rStyle w:val="s1"/>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spacing w:lineRule="auto" w:line="360" w:before="0" w:afterAutospacing="0" w:after="0"/>
              <w:ind w:left="360"/>
              <w:jc w:val="both"/>
              <w:rPr>
                <w:b/>
                <w:bCs/>
                <w:kern w:val="0"/>
                <w:lang w:val="es-CR" w:bidi="ar-SA"/>
              </w:rPr>
            </w:pPr>
            <w:r>
              <w:rPr>
                <w:b/>
                <w:bCs/>
                <w:kern w:val="0"/>
                <w:lang w:val="es-CR" w:bidi="ar-SA"/>
              </w:rPr>
            </w:r>
          </w:p>
        </w:tc>
      </w:tr>
    </w:tbl>
    <w:p>
      <w:pPr>
        <w:pStyle w:val="Heading4"/>
        <w:spacing w:before="0" w:after="0"/>
        <w:ind w:firstLine="709" w:left="0"/>
        <w:rPr>
          <w:vanish/>
          <w:specVanish/>
        </w:rPr>
      </w:pPr>
      <w:r>
        <w:rPr/>
        <w:t>Adenocarcinoma con células en anillo de sello.</w:t>
      </w:r>
    </w:p>
    <w:p>
      <w:pPr>
        <w:pStyle w:val="p1"/>
        <w:spacing w:lineRule="auto" w:line="360" w:before="280" w:after="280"/>
        <w:jc w:val="both"/>
        <w:rPr/>
      </w:pPr>
      <w:r>
        <w:rPr/>
      </w:r>
      <w:r>
        <w:rPr/>
        <w:t xml:space="preserve"> </w:t>
      </w:r>
      <w:r>
        <w:rPr/>
        <w:t>Son neoplasias de alto grado que se distinguen por la presencia de células neoplásicas con citoplasma claro y desplazamiento periférico del núcleo, habitualmente asociado a un pronóstico reservado y comportamiento infiltrativo.</w:t>
      </w:r>
    </w:p>
    <w:p>
      <w:pPr>
        <w:pStyle w:val="Heading4"/>
        <w:spacing w:before="0" w:after="0"/>
        <w:ind w:firstLine="709" w:left="0"/>
        <w:rPr>
          <w:vanish/>
          <w:specVanish/>
        </w:rPr>
      </w:pPr>
      <w:bookmarkStart w:id="85" w:name="_Toc199584579"/>
      <w:r>
        <w:rPr/>
        <w:t>Adenocarcinoma de Células Caliciformes (Goblet Cell Adenocarcinoma</w:t>
      </w:r>
      <w:bookmarkEnd w:id="85"/>
      <w:r>
        <w:rPr/>
        <w:t>).</w:t>
      </w:r>
    </w:p>
    <w:p>
      <w:pPr>
        <w:pStyle w:val="p3"/>
        <w:spacing w:lineRule="auto" w:line="360" w:before="280" w:after="280"/>
        <w:jc w:val="both"/>
        <w:rPr/>
      </w:pPr>
      <w:r>
        <w:rPr/>
      </w:r>
      <w:bookmarkStart w:id="86" w:name="_Toc199584580"/>
      <w:bookmarkStart w:id="87" w:name="_Toc199583945"/>
      <w:r>
        <w:rPr/>
        <w:t xml:space="preserve"> </w:t>
      </w:r>
      <w:r>
        <w:rPr/>
        <w:t>Es una neoplasia apendicular rara y distintiva, que presenta características tanto de tumores neuroendocrinos como de adenocarcinomas epiteliales</w:t>
      </w:r>
      <w:sdt>
        <w:sdtPr>
          <w:placeholder>
            <w:docPart w:val="DefaultPlaceholder_-1854013440"/>
          </w:placeholder>
          <w:tag w:val="MENDELEY_CITATION_v3_eyJjaXRhdGlvbklEIjoiTUVOREVMRVlfQ0lUQVRJT05fYjNhODI4Y2YtNWQyNi00NWM1LWE2OGEtMzAxMDQ1ODk2MjZmIiwicHJvcGVydGllcyI6eyJub3RlSW5kZXgiOjB9LCJpc0VkaXRlZCI6ZmFsc2UsIm1hbnVhbE92ZXJyaWRlIjp7ImlzTWFudWFsbHlPdmVycmlkZGVuIjpmYWxzZSwiY2l0ZXByb2NUZXh0IjoiKDMyKSIsIm1hbnVhbE92ZXJyaWRlVGV4dCI6IiJ9LCJjaXRhdGlvbkl0ZW1zIjpbeyJpZCI6ImM4MTQxMzdmLWM1NTgtM2MxOS05NDIyLTg2ZWU5Njk0ZTc2ZiIsIml0ZW1EYXRhIjp7InR5cGUiOiJhcnRpY2xlLWpvdXJuYWwiLCJpZCI6ImM4MTQxMzdmLWM1NTgtM2MxOS05NDIyLTg2ZWU5Njk0ZTc2ZiIsInRpdGxlIjoiQW4gSW50ZXJuYXRpb25hbCBSZWdpc3RyeSBvZiBQZXJpdG9uZWFsIENhcmNpbm9tYXRvc2lzIGZyb20gQXBwZW5kaWNlYWwgR29ibGV0IENlbGwgQ2FyY2lub21hIFRyZWF0ZWQgd2l0aCBDeXRvcmVkdWN0aXZlIFN1cmdlcnkgYW5kIEh5cGVydGhlcm1pYyBJbnRyYXBlcml0b25lYWwgQ2hlbW90aGVyYXB5IiwiYXV0aG9yIjpbeyJmYW1pbHkiOiJNZXJjaWVyIiwiZ2l2ZW4iOiJGcmVkZXJpYyIsInBhcnNlLW5hbWVzIjpmYWxzZSwiZHJvcHBpbmctcGFydGljbGUiOiIiLCJub24tZHJvcHBpbmctcGFydGljbGUiOiIifSx7ImZhbWlseSI6IlBhc3NvdCIsImdpdmVuIjoiR3VpbGxhdW1lIiwicGFyc2UtbmFtZXMiOmZhbHNlLCJkcm9wcGluZy1wYXJ0aWNsZSI6IiIsIm5vbi1kcm9wcGluZy1wYXJ0aWNsZSI6IiJ9LHsiZmFtaWx5IjoiQm9ubm90IiwiZ2l2ZW4iOiJQaWVycmUgRW1tYW51ZWwiLCJwYXJzZS1uYW1lcyI6ZmFsc2UsImRyb3BwaW5nLXBhcnRpY2xlIjoiIiwibm9uLWRyb3BwaW5nLXBhcnRpY2xlIjoiIn0seyJmYW1pbHkiOiJDYXNoaW4iLCJnaXZlbiI6IlBldGVyIiwicGFyc2UtbmFtZXMiOmZhbHNlLCJkcm9wcGluZy1wYXJ0aWNsZSI6IiIsIm5vbi1kcm9wcGluZy1wYXJ0aWNsZSI6IiJ9LHsiZmFtaWx5IjoiQ2VlbGVuIiwiZ2l2ZW4iOiJXaW0iLCJwYXJzZS1uYW1lcyI6ZmFsc2UsImRyb3BwaW5nLXBhcnRpY2xlIjoiIiwibm9uLWRyb3BwaW5nLXBhcnRpY2xlIjoiIn0seyJmYW1pbHkiOiJEZWN1bGxpZXIiLCJnaXZlbiI6IkV2ZWx5bmUiLCJwYXJzZS1uYW1lcyI6ZmFsc2UsImRyb3BwaW5nLXBhcnRpY2xlIjoiIiwibm9uLWRyb3BwaW5nLXBhcnRpY2xlIjoiIn0seyJmYW1pbHkiOiJWaWxsZW5ldXZlIiwiZ2l2ZW4iOiJMYXVyZW50IiwicGFyc2UtbmFtZXMiOmZhbHNlLCJkcm9wcGluZy1wYXJ0aWNsZSI6IiIsIm5vbi1kcm9wcGluZy1wYXJ0aWNsZSI6IiJ9LHsiZmFtaWx5IjoiV2FsdGVyIiwiZ2l2ZW4iOiJUaG9tYXMiLCJwYXJzZS1uYW1lcyI6ZmFsc2UsImRyb3BwaW5nLXBhcnRpY2xlIjoiIiwibm9uLWRyb3BwaW5nLXBhcnRpY2xlIjoiIn0seyJmYW1pbHkiOiJMZXZpbmUiLCJnaXZlbiI6IkVkd2FyZCBBLiIsInBhcnNlLW5hbWVzIjpmYWxzZSwiZHJvcHBpbmctcGFydGljbGUiOiIiLCJub24tZHJvcHBpbmctcGFydGljbGUiOiIifSx7ImZhbWlseSI6IkdsZWhlbiIsImdpdmVuIjoiT2xpdmllciIsInBhcnNlLW5hbWVzIjpmYWxzZSwiZHJvcHBpbmctcGFydGljbGUiOiIiLCJub24tZHJvcHBpbmctcGFydGljbGUiOiIifSx7ImZhbWlseSI6IkFocmVuZHQiLCJnaXZlbiI6IlMuIEEuIiwicGFyc2UtbmFtZXMiOmZhbHNlLCJkcm9wcGluZy1wYXJ0aWNsZSI6IiIsIm5vbi1kcm9wcGluZy1wYXJ0aWNsZSI6IiJ9LHsiZmFtaWx5IjoiQWthaXNoaSIsImdpdmVuIjoiRS4iLCJwYXJzZS1uYW1lcyI6ZmFsc2UsImRyb3BwaW5nLXBhcnRpY2xlIjoiIiwibm9uLWRyb3BwaW5nLXBhcnRpY2xlIjoiIn0seyJmYW1pbHkiOiJCYWlrIiwiZ2l2ZW4iOiJTLiBILiIsInBhcnNlLW5hbWVzIjpmYWxzZSwiZHJvcHBpbmctcGFydGljbGUiOiIiLCJub24tZHJvcHBpbmctcGFydGljbGUiOiIifSx7ImZhbWlseSI6IkJhcmF0dGkiLCJnaXZlbiI6IkQuIiwicGFyc2UtbmFtZXMiOmZhbHNlLCJkcm9wcGluZy1wYXJ0aWNsZSI6IiIsIm5vbi1kcm9wcGluZy1wYXJ0aWNsZSI6IiJ9LHsiZmFtaWx5IjoiQmhhdHQiLCJnaXZlbiI6IkEuIiwicGFyc2UtbmFtZXMiOmZhbHNlLCJkcm9wcGluZy1wYXJ0aWNsZSI6IiIsIm5vbi1kcm9wcGluZy1wYXJ0aWNsZSI6IiJ9LHsiZmFtaWx5IjoiSGluZ2giLCJnaXZlbiI6IkkuIiwicGFyc2UtbmFtZXMiOmZhbHNlLCJkcm9wcGluZy1wYXJ0aWNsZSI6IiIsIm5vbi1kcm9wcGluZy1wYXJ0aWNsZSI6IkRlIn0seyJmYW1pbHkiOiJTaW1vbmUiLCJnaXZlbiI6Ik0uIiwicGFyc2UtbmFtZXMiOmZhbHNlLCJkcm9wcGluZy1wYXJ0aWNsZSI6IiIsIm5vbi1kcm9wcGluZy1wYXJ0aWNsZSI6IkRlIn0seyJmYW1pbHkiOiJEdWLDqSIsImdpdmVuIjoiUC4iLCJwYXJzZS1uYW1lcyI6ZmFsc2UsImRyb3BwaW5nLXBhcnRpY2xlIjoiIiwibm9uLWRyb3BwaW5nLXBhcnRpY2xlIjoiIn0seyJmYW1pbHkiOiJFZHdhcmRzIiwiZ2l2ZW4iOiJSLiBQLiIsInBhcnNlLW5hbWVzIjpmYWxzZSwiZHJvcHBpbmctcGFydGljbGUiOiIiLCJub24tZHJvcHBpbmctcGFydGljbGUiOiIifSx7ImZhbWlseSI6IkZyYW5rbyIsImdpdmVuIjoiSi4iLCJwYXJzZS1uYW1lcyI6ZmFsc2UsImRyb3BwaW5nLXBhcnRpY2xlIjoiIiwibm9uLWRyb3BwaW5nLXBhcnRpY2xlIjoiIn0seyJmYW1pbHkiOiJHb256YWxlei1CYXlvbiIsImdpdmVuIjoiTC4iLCJwYXJzZS1uYW1lcyI6ZmFsc2UsImRyb3BwaW5nLXBhcnRpY2xlIjoiIiwibm9uLWRyb3BwaW5nLXBhcnRpY2xlIjoiIn0seyJmYW1pbHkiOiJHdXNoY2hpbiIsImdpdmVuIjoiVi4iLCJwYXJzZS1uYW1lcyI6ZmFsc2UsImRyb3BwaW5nLXBhcnRpY2xlIjoiIiwibm9uLWRyb3BwaW5nLXBhcnRpY2xlIjoiIn0seyJmYW1pbHkiOiJIb2x0em1hbiIsImdpdmVuIjoiTS4gUC4iLCJwYXJzZS1uYW1lcyI6ZmFsc2UsImRyb3BwaW5nLXBhcnRpY2xlIjoiIiwibm9uLWRyb3BwaW5nLXBhcnRpY2xlIjoiIn0seyJmYW1pbHkiOiJIc2llaCIsImdpdmVuIjoiTS4gQy4iLCJwYXJzZS1uYW1lcyI6ZmFsc2UsImRyb3BwaW5nLXBhcnRpY2xlIjoiIiwibm9uLWRyb3BwaW5nLXBhcnRpY2xlIjoiIn0seyJmYW1pbHkiOiJLZWNtYW5vdmljIiwiZ2l2ZW4iOiJELiIsInBhcnNlLW5hbWVzIjpmYWxzZSwiZHJvcHBpbmctcGFydGljbGUiOiIiLCJub24tZHJvcHBpbmctcGFydGljbGUiOiIifSx7ImZhbWlseSI6IkxlZSIsImdpdmVuIjoiSy4gVy4iLCJwYXJzZS1uYW1lcyI6ZmFsc2UsImRyb3BwaW5nLXBhcnRpY2xlIjoiIiwibm9uLWRyb3BwaW5nLXBhcnRpY2xlIjoiIn0seyJmYW1pbHkiOiJMZWhtYW5uIiwiZ2l2ZW4iOiJLLiIsInBhcnNlLW5hbWVzIjpmYWxzZSwiZHJvcHBpbmctcGFydGljbGUiOiIiLCJub24tZHJvcHBpbmctcGFydGljbGUiOiIifSx7ImZhbWlseSI6IkxpdSIsImdpdmVuIjoiWS4iLCJwYXJzZS1uYW1lcyI6ZmFsc2UsImRyb3BwaW5nLXBhcnRpY2xlIjoiIiwibm9uLWRyb3BwaW5nLXBhcnRpY2xlIjoiIn0seyJmYW1pbHkiOiJNZWh0YSIsImdpdmVuIjoiUy4iLCJwYXJzZS1uYW1lcyI6ZmFsc2UsImRyb3BwaW5nLXBhcnRpY2xlIjoiIiwibm9uLWRyb3BwaW5nLXBhcnRpY2xlIjoiIn0seyJmYW1pbHkiOiJNb3JyaXMiLCJnaXZlbiI6IkQuIEwuIiwicGFyc2UtbmFtZXMiOmZhbHNlLCJkcm9wcGluZy1wYXJ0aWNsZSI6IiIsIm5vbi1kcm9wcGluZy1wYXJ0aWNsZSI6IiJ9LHsiZmFtaWx5IjoiT+KAmUR3eWVyIiwiZ2l2ZW4iOiJTLiIsInBhcnNlLW5hbWVzIjpmYWxzZSwiZHJvcHBpbmctcGFydGljbGUiOiIiLCJub24tZHJvcHBpbmctcGFydGljbGUiOiIifSx7ImZhbWlseSI6Ik9yc2VuaWdvIiwiZ2l2ZW4iOiJFLiIsInBhcnNlLW5hbWVzIjpmYWxzZSwiZHJvcHBpbmctcGFydGljbGUiOiIiLCJub24tZHJvcHBpbmctcGFydGljbGUiOiIifSx7ImZhbWlseSI6IlBhbmRlIiwiZ2l2ZW4iOiJQLiBLLiIsInBhcnNlLW5hbWVzIjpmYWxzZSwiZHJvcHBpbmctcGFydGljbGUiOiIiLCJub24tZHJvcHBpbmctcGFydGljbGUiOiIifSx7ImZhbWlseSI6IlBhcmsiLCJnaXZlbiI6IkUuIEouIiwicGFyc2UtbmFtZXMiOmZhbHNlLCJkcm9wcGluZy1wYXJ0aWNsZSI6IiIsIm5vbi1kcm9wcGluZy1wYXJ0aWNsZSI6IiJ9LHsiZmFtaWx5IjoiUGluZ3BhbmsiLCJnaXZlbiI6IkouIEYuIiwicGFyc2UtbmFtZXMiOmZhbHNlLCJkcm9wcGluZy1wYXJ0aWNsZSI6IiIsIm5vbi1kcm9wcGluZy1wYXJ0aWNsZSI6IiJ9LHsiZmFtaWx5IjoiUGlzbyIsImdpdmVuIjoiUC4iLCJwYXJzZS1uYW1lcyI6ZmFsc2UsImRyb3BwaW5nLXBhcnRpY2xlIjoiIiwibm9uLWRyb3BwaW5nLXBhcnRpY2xlIjoiIn0seyJmYW1pbHkiOiJSYWphbiIsImdpdmVuIjoiRi4iLCJwYXJzZS1uYW1lcyI6ZmFsc2UsImRyb3BwaW5nLXBhcnRpY2xlIjoiIiwibm9uLWRyb3BwaW5nLXBhcnRpY2xlIjoiIn0seyJmYW1pbHkiOiJSYXUiLCJnaXZlbiI6IkIuIiwicGFyc2UtbmFtZXMiOmZhbHNlLCJkcm9wcGluZy1wYXJ0aWNsZSI6IiIsIm5vbi1kcm9wcGluZy1wYXJ0aWNsZSI6IiJ9LHsiZmFtaWx5IjoiU2FyZGkiLCJnaXZlbiI6IkEuIiwicGFyc2UtbmFtZXMiOmZhbHNlLCJkcm9wcGluZy1wYXJ0aWNsZSI6IiIsIm5vbi1kcm9wcGluZy1wYXJ0aWNsZSI6IiJ9LHsiZmFtaWx5IjoiU2lkZXJpcyIsImdpdmVuIjoiTC4iLCJwYXJzZS1uYW1lcyI6ZmFsc2UsImRyb3BwaW5nLXBhcnRpY2xlIjoiIiwibm9uLWRyb3BwaW5nLXBhcnRpY2xlIjoiIn0seyJmYW1pbHkiOiJTb21tYXJpdmEiLCJnaXZlbiI6IkEuIiwicGFyc2UtbmFtZXMiOmZhbHNlLCJkcm9wcGluZy1wYXJ0aWNsZSI6IiIsIm5vbi1kcm9wcGluZy1wYXJ0aWNsZSI6IiJ9LHsiZmFtaWx5IjoiU3BpbGlvdGlzIiwiZ2l2ZW4iOiJKLiIsInBhcnNlLW5hbWVzIjpmYWxzZSwiZHJvcHBpbmctcGFydGljbGUiOiIiLCJub24tZHJvcHBpbmctcGFydGljbGUiOiIifSx7ImZhbWlseSI6IlRlbnRlcyIsImdpdmVuIjoiQS4gQS5LLiIsInBhcnNlLW5hbWVzIjpmYWxzZSwiZHJvcHBpbmctcGFydGljbGUiOiIiLCJub24tZHJvcHBpbmctcGFydGljbGUiOiIifSx7ImZhbWlseSI6IlRlbyIsImdpdmVuIjoiTS4iLCJwYXJzZS1uYW1lcyI6ZmFsc2UsImRyb3BwaW5nLXBhcnRpY2xlIjoiIiwibm9uLWRyb3BwaW5nLXBhcnRpY2xlIjoiIn0seyJmYW1pbHkiOiJZYXJlbWEiLCJnaXZlbiI6IlIuIiwicGFyc2UtbmFtZXMiOmZhbHNlLCJkcm9wcGluZy1wYXJ0aWNsZSI6IiIsIm5vbi1kcm9wcGluZy1wYXJ0aWNsZSI6IiJ9LHsiZmFtaWx5IjoiWW91bmFuIiwiZ2l2ZW4iOiJSLiIsInBhcnNlLW5hbWVzIjpmYWxzZSwiZHJvcHBpbmctcGFydGljbGUiOiIiLCJub24tZHJvcHBpbmctcGFydGljbGUiOiIifSx7ImZhbWlseSI6IlphdmVyaSIsImdpdmVuIjoiUy4gUy4iLCJwYXJzZS1uYW1lcyI6ZmFsc2UsImRyb3BwaW5nLXBhcnRpY2xlIjoiIiwibm9uLWRyb3BwaW5nLXBhcnRpY2xlIjoiIn0seyJmYW1pbHkiOiJaZWgiLCJnaXZlbiI6IkguIEouIiwicGFyc2UtbmFtZXMiOmZhbHNlLCJkcm9wcGluZy1wYXJ0aWNsZSI6IiIsIm5vbi1kcm9wcGluZy1wYXJ0aWNsZSI6IiJ9LHsiZmFtaWx5IjoiQWJiYSIsImdpdmVuIjoiSi4iLCJwYXJzZS1uYW1lcyI6ZmFsc2UsImRyb3BwaW5nLXBhcnRpY2xlIjoiIiwibm9uLWRyb3BwaW5nLXBhcnRpY2xlIjoiIn0seyJmYW1pbHkiOiJBYmJvdWQiLCJnaXZlbiI6IksuIiwicGFyc2UtbmFtZXMiOmZhbHNlLCJkcm9wcGluZy1wYXJ0aWNsZSI6IiIsIm5vbi1kcm9wcGluZy1wYXJ0aWNsZSI6IiJ9LHsiZmFtaWx5IjoiQWx5YW1pIiwiZ2l2ZW4iOiJNLiIsInBhcnNlLW5hbWVzIjpmYWxzZSwiZHJvcHBpbmctcGFydGljbGUiOiIiLCJub24tZHJvcHBpbmctcGFydGljbGUiOiIifSx7ImZhbWlseSI6IkFydmlldXgiLCJnaXZlbiI6IkMuIiwicGFyc2UtbmFtZXMiOmZhbHNlLCJkcm9wcGluZy1wYXJ0aWNsZSI6IiIsIm5vbi1kcm9wcGluZy1wYXJ0aWNsZSI6IiJ9LHsiZmFtaWx5IjoiQmFrcmluIiwiZ2l2ZW4iOiJOLiIsInBhcnNlLW5hbWVzIjpmYWxzZSwiZHJvcHBpbmctcGFydGljbGUiOiIiLCJub24tZHJvcHBpbmctcGFydGljbGUiOiIifSx7ImZhbWlseSI6IkJlcmVkZXIiLCJnaXZlbiI6IkouIE0uIiwicGFyc2UtbmFtZXMiOmZhbHNlLCJkcm9wcGluZy1wYXJ0aWNsZSI6IiIsIm5vbi1kcm9wcGluZy1wYXJ0aWNsZSI6IiJ9LHsiZmFtaWx5IjoiQm91emFyZCIsImdpdmVuIjoiRC4iLCJwYXJzZS1uYW1lcyI6ZmFsc2UsImRyb3BwaW5nLXBhcnRpY2xlIjoiIiwibm9uLWRyb3BwaW5nLXBhcnRpY2xlIjoiIn0seyJmYW1pbHkiOiJCcmlnYW5kIiwiZ2l2ZW4iOiJDLiIsInBhcnNlLW5hbWVzIjpmYWxzZSwiZHJvcHBpbmctcGFydGljbGUiOiIiLCJub24tZHJvcHBpbmctcGFydGljbGUiOiIifSx7ImZhbWlseSI6IkNhcnLDqHJlIiwiZ2l2ZW4iOiJTLiIsInBhcnNlLW5hbWVzIjpmYWxzZSwiZHJvcHBpbmctcGFydGljbGUiOiIiLCJub24tZHJvcHBpbmctcGFydGljbGUiOiIifSx7ImZhbWlseSI6IkRlbHJvZXV4IiwiZ2l2ZW4iOiJELiIsInBhcnNlLW5hbWVzIjpmYWxzZSwiZHJvcHBpbmctcGFydGljbGUiOiIiLCJub24tZHJvcHBpbmctcGFydGljbGUiOiIifSx7ImZhbWlseSI6IkR1bW9udCIsImdpdmVuIjoiRi4iLCJwYXJzZS1uYW1lcyI6ZmFsc2UsImRyb3BwaW5nLXBhcnRpY2xlIjoiIiwibm9uLWRyb3BwaW5nLXBhcnRpY2xlIjoiIn0seyJmYW1pbHkiOiJFdmVubyIsImdpdmVuIjoiQy4iLCJwYXJzZS1uYW1lcyI6ZmFsc2UsImRyb3BwaW5nLXBhcnRpY2xlIjoiIiwibm9uLWRyb3BwaW5nLXBhcnRpY2xlIjoiIn0seyJmYW1pbHkiOiJGYWN5IiwiZ2l2ZW4iOiJPLiIsInBhcnNlLW5hbWVzIjpmYWxzZSwiZHJvcHBpbmctcGFydGljbGUiOiIiLCJub24tZHJvcHBpbmctcGFydGljbGUiOiIifSx7ImZhbWlseSI6Ikd1eW9uIiwiZ2l2ZW4iOiJGLiIsInBhcnNlLW5hbWVzIjpmYWxzZSwiZHJvcHBpbmctcGFydGljbGUiOiIiLCJub24tZHJvcHBpbmctcGFydGljbGUiOiIifSx7ImZhbWlseSI6IkZlcnJvbiIsImdpdmVuIjoiRy4iLCJwYXJzZS1uYW1lcyI6ZmFsc2UsImRyb3BwaW5nLXBhcnRpY2xlIjoiIiwibm9uLWRyb3BwaW5nLXBhcnRpY2xlIjoiIn0seyJmYW1pbHkiOiJLaWFubWFuZXNoIiwiZ2l2ZW4iOiJSLiIsInBhcnNlLW5hbWVzIjpmYWxzZSwiZHJvcHBpbmctcGFydGljbGUiOiIiLCJub24tZHJvcHBpbmctcGFydGljbGUiOiIifSx7ImZhbWlseSI6IkRpY28iLCJnaXZlbiI6IlIuIiwicGFyc2UtbmFtZXMiOmZhbHNlLCJkcm9wcGluZy1wYXJ0aWNsZSI6IkxvIiwibm9uLWRyb3BwaW5nLXBhcnRpY2xlIjoiIn0seyJmYW1pbHkiOiJMb3JpbWllciIsImdpdmVuIjoiRy4iLCJwYXJzZS1uYW1lcyI6ZmFsc2UsImRyb3BwaW5nLXBhcnRpY2xlIjoiIiwibm9uLWRyb3BwaW5nLXBhcnRpY2xlIjoiIn0seyJmYW1pbHkiOiJNYXJjaGFsIiwiZ2l2ZW4iOiJGLiIsInBhcnNlLW5hbWVzIjpmYWxzZSwiZHJvcHBpbmctcGFydGljbGUiOiIiLCJub24tZHJvcHBpbmctcGFydGljbGUiOiIifSx7ImZhbWlseSI6Ik1hcmlhbmkiLCJnaXZlbiI6IlAuIiwicGFyc2UtbmFtZXMiOmZhbHNlLCJkcm9wcGluZy1wYXJ0aWNsZSI6IiIsIm5vbi1kcm9wcGluZy1wYXJ0aWNsZSI6IiJ9LHsiZmFtaWx5IjoiTWVldXMiLCJnaXZlbiI6IlAuIiwicGFyc2UtbmFtZXMiOmZhbHNlLCJkcm9wcGluZy1wYXJ0aWNsZSI6IiIsIm5vbi1kcm9wcGluZy1wYXJ0aWNsZSI6IiJ9LHsiZmFtaWx5IjoiTXNpa2EiLCJnaXZlbiI6IlMuIiwicGFyc2UtbmFtZXMiOmZhbHNlLCJkcm9wcGluZy1wYXJ0aWNsZSI6IiIsIm5vbi1kcm9wcGluZy1wYXJ0aWNsZSI6IiJ9LHsiZmFtaWx5IjoiT3J0ZWdhLURlYmFsbG9uIiwiZ2l2ZW4iOiJQLiIsInBhcnNlLW5hbWVzIjpmYWxzZSwiZHJvcHBpbmctcGFydGljbGUiOiIiLCJub24tZHJvcHBpbmctcGFydGljbGUiOiIifSx7ImZhbWlseSI6IlBhcXVldHRlIiwiZ2l2ZW4iOiJCLiIsInBhcnNlLW5hbWVzIjpmYWxzZSwiZHJvcHBpbmctcGFydGljbGUiOiIiLCJub24tZHJvcHBpbmctcGFydGljbGUiOiIifSx7ImZhbWlseSI6IlBleXJhdCIsImdpdmVuIjoiUC4iLCJwYXJzZS1uYW1lcyI6ZmFsc2UsImRyb3BwaW5nLXBhcnRpY2xlIjoiIiwibm9uLWRyb3BwaW5nLXBhcnRpY2xlIjoiIn0seyJmYW1pbHkiOiJQaXJybyIsImdpdmVuIjoiTi4iLCJwYXJzZS1uYW1lcyI6ZmFsc2UsImRyb3BwaW5nLXBhcnRpY2xlIjoiIiwibm9uLWRyb3BwaW5nLXBhcnRpY2xlIjoiIn0seyJmYW1pbHkiOiJQb2NhcmQiLCJnaXZlbiI6Ik0uIiwicGFyc2UtbmFtZXMiOmZhbHNlLCJkcm9wcGluZy1wYXJ0aWNsZSI6IiIsIm5vbi1kcm9wcGluZy1wYXJ0aWNsZSI6IiJ9LHsiZmFtaWx5IjoiUG9yY2hlcm9uIiwiZ2l2ZW4iOiJKLiIsInBhcnNlLW5hbWVzIjpmYWxzZSwiZHJvcHBpbmctcGFydGljbGUiOiIiLCJub24tZHJvcHBpbmctcGFydGljbGUiOiIifSx7ImZhbWlseSI6IlF1ZW5ldCIsImdpdmVuIjoiRi4iLCJwYXJzZS1uYW1lcyI6ZmFsc2UsImRyb3BwaW5nLXBhcnRpY2xlIjoiIiwibm9uLWRyb3BwaW5nLXBhcnRpY2xlIjoiIn0seyJmYW1pbHkiOiJSYXQiLCJnaXZlbiI6IlAuIiwicGFyc2UtbmFtZXMiOmZhbHNlLCJkcm9wcGluZy1wYXJ0aWNsZSI6IiIsIm5vbi1kcm9wcGluZy1wYXJ0aWNsZSI6IiJ9LHsiZmFtaWx5IjoiU2dhcmJ1cmEiLCJnaXZlbiI6Ik8uIiwicGFyc2UtbmFtZXMiOmZhbHNlLCJkcm9wcGluZy1wYXJ0aWNsZSI6IiIsIm5vbi1kcm9wcGluZy1wYXJ0aWNsZSI6IiJ9LHsiZmFtaWx5IjoiVGhpYmF1ZGVhdSIsImdpdmVuIjoiRS4iLCJwYXJzZS1uYW1lcyI6ZmFsc2UsImRyb3BwaW5nLXBhcnRpY2xlIjoiIiwibm9uLWRyb3BwaW5nLXBhcnRpY2xlIjoiIn0seyJmYW1pbHkiOiJUdWVjaCIsImdpdmVuIjoiSi4gSi4iLCJwYXJzZS1uYW1lcyI6ZmFsc2UsImRyb3BwaW5nLXBhcnRpY2xlIjoiIiwibm9uLWRyb3BwaW5nLXBhcnRpY2xlIjoiIn0seyJmYW1pbHkiOiJaaW56aW5kb2hvdWUiLCJnaXZlbiI6IkYuIiwicGFyc2UtbmFtZXMiOmZhbHNlLCJkcm9wcGluZy1wYXJ0aWNsZSI6IiIsIm5vbi1kcm9wcGluZy1wYXJ0aWNsZSI6IiJ9XSwiY29udGFpbmVyLXRpdGxlIjoiV29ybGQgam91cm5hbCBvZiBzdXJnZXJ5IiwiY29udGFpbmVyLXRpdGxlLXNob3J0IjoiV29ybGQgSiBTdXJnIiwiRE9JIjoiMTAuMTAwNy9TMDAyNjgtMDIyLTA2NDk4LVciLCJJU1NOIjoiMTQzMi0yMzIzIiwiUE1JRCI6IjM1Mjg2NDE4IiwiaXNzdWVkIjp7ImRhdGUtcGFydHMiOltbMjAyMl1dfSwicGFnZSI6IjEzMzYtMTM0MyIsImFic3RyYWN0IjoiUHVycG9zZTogUGVyaXRvbmVhbCBjYXJjaW5vbWF0b3NpcyBmcm9tIGFwcGVuZGljZWFsIGdvYmxldCBjZWxsIGNhcmNpbm9tYSAoQS1HQ0MpIGlzIGEgcmFyZSBhbmQgYWdncmVzc2l2ZSBmb3JtIG9mIGFwcGVuZGljZWFsIHR1bW9yLiBDeXRvcmVkdWN0aXZlIHN1cmdlcnkgKENSUykgYW5kIGh5cGVydGhlcm1pYyBpbnRyYSBwZXJpdG9uZWFsIGNoZW1vdGhlcmFweSAoSElQRUMpIHdhcyByZXBvcnRlZCBhcyBhbiBpbnRlcmVzdGluZyBhbHRlcm5hdGl2ZSByZWdhcmRpbmcgc3Vydml2YWwgY29tcGFyZWQgdG8gc3VyZ2VyeSB3aXRob3V0IEhJUEVDIGFuZC9vciBzeXN0ZW1pYyBjaGVtb3RoZXJhcHkuIE91ciBhaW0gd2FzIHRvIGV2YWx1YXRlIHRoZSBpbXBhY3Qgb2YgQ1JTIGFuZCBISVBFQyBmb3IgcGF0aWVudHMgcHJlc2VudGluZyBBLUdDQyB0aHJvdWdoIGFuIGludGVybmF0aW9uYWwgcmVnaXN0cnkuIE1ldGhvZHM6IEEgcHJvc3BlY3RpdmUgbXVsdGljZW50ZXIgaW50ZXJuYXRpb25hbCBkYXRhYmFzZSB3YXMgcmV0cm9zcGVjdGl2ZWx5IHNlYXJjaGVkIHRvIGlkZW50aWZ5IGFsbCBwYXRpZW50cyB3aXRoIEEtR0NDIHR1bW9yIGFuZCBwZXJpdG9uZWFsIG1ldGFzdGFzZXMgd2hvIHVuZGVyd2VudCBDUlMgYW5kIEhJUEVDIHRocm91Z2ggdGhlIFBlcml0b25lYWwgU3VyZmFjZSBPbmNvbG9neSBHcm91cCBJbnRlcm5hdGlvbmFsIChQU09HSSkuIFRoZSBwb3N0LW9wZXJhdGl2ZSBjb21wbGljYXRpb25zLCBsb25nLXRlcm0gcmVzdWx0cywgYW5kIHByaW5jaXBhbCBwcm9nbm9zdGljIGZhY3RvcnMgd2VyZSBhbmFseXplZC4gUmVzdWx0czogVGhlIGFuYWx5c2lzIGluY2x1ZGVkIDgzIHBhdGllbnRzLiBBZnRlciBhIG1lZGlhbiBmb2xsb3ctdXAgb2YgNDfCoG1vbnRocywgdGhlIG1lZGlhbiBvdmVyYWxsIHN1cnZpdmFsIChPUykgd2FzIDM0LjbCoG1vbnRocy4gVGhlIDMtIGFuZCA1LXllYXIgT1Mgd2FzIDQ4LjUlIGFuZCAzNS43JSwgcmVzcGVjdGl2ZWx5LiBQYXRpZW50cyB3aG8gdW5kZXJ3ZW50IGNvbXBsZXRlIG1hY3Jvc2NvcGljIENSUyBoYWQgYSBzaWduaWZpY2FudGx5IGJldHRlciBzdXJ2aXZhbCB0aGFuIHRob3NlIHRyZWF0ZWQgd2l0aCBpbmNvbXBsZXRlIENSUy4gVGhlIDUteWVhciBPUyB3YXMgNDQlIGFuZCAwJSBmb3IgcGF0aWVudHMgd2hvIHVuZGVyd2VudCBjb21wbGV0ZSwgYW5kIGluY29tcGxldGUgQ1JTLCByZXNwZWN0aXZlbHkgKEhSIDkuNjUsIHAgPCAwLjAwMSkuIEx5bXBoIG5vZGUgaW52b2x2ZW1lbnQgYW5kIHByZW9wZXJhdGl2ZSBjaGVtb3RoZXJhcHkgd2VyZSBhbHNvIHByZWRpY3RpdmUgb2YgYSB3b3JzZSBwcm9nbm9zaXMuIFRoZXJlIHdlcmUgMyBwb3N0b3BlcmF0aXZlIGRlYXRocywgYW5kIDMwJSBvZiB0aGUgcGF0aWVudHMgaGFkIG1ham9yIGNvbXBsaWNhdGlvbnMuIENvbmNsdXNpb246IENSUyBhbmQgSElQRUMgbWF5IGluY3JlYXNlIGxvbmctdGVybSBzdXJ2aXZhbCBpbiBzZWxlY3RlZCBwYXRpZW50cyB3aXRoIHBlcml0b25lYWwgbWV0YXN0YXNlcyBvZiBBLUdDQyBvcmlnaW4sIGVzcGVjaWFsbHkgd2hlbiBjb21wbGV0ZSBDUlMgaXMgYWNoaWV2ZWQuIElkZWFsbHksIHJhbmRvbWl6ZWQgY29udHJvbCB0cmlhbHMgb3IgbW9yZSByZXRyb3NwZWN0aXZlIGRhdGEgYXJlIG5lZWRlZMKgdG8gY29uZmlybSBDUlMgYW5kIEhJUEVDIGFzIHRoZSBnb2xkIHN0YW5kYXJkIGluIHRoaXMgcGF0aG9sb2d5LiIsInB1Ymxpc2hlciI6IldvcmxkIEogU3VyZyIsImlzc3VlIjoiNiIsInZvbHVtZSI6IjQ2In0sImlzVGVtcG9yYXJ5IjpmYWxzZX1dfQ=="/>
          <w:id w:val="1352767080"/>
        </w:sdtPr>
        <w:sdtContent>
          <w:r>
            <w:rPr/>
          </w:r>
          <w:r>
            <w:rPr>
              <w:color w:val="000000"/>
            </w:rPr>
            <w:t>(32)</w:t>
          </w:r>
        </w:sdtContent>
      </w:sdt>
      <w:r>
        <w:rPr/>
        <w:t xml:space="preserve">. </w:t>
      </w:r>
      <w:r>
        <w:rPr/>
        <w:t>Esta dualidad histológica le confiere un comportamiento biológico único, que combina un patrón de diseminación similar al de los carcinomas con un grado variable de diferenciación neuroendocrina.</w:t>
      </w:r>
      <w:bookmarkEnd w:id="86"/>
      <w:bookmarkEnd w:id="87"/>
    </w:p>
    <w:p>
      <w:pPr>
        <w:pStyle w:val="p3"/>
        <w:spacing w:lineRule="auto" w:line="360" w:before="280" w:after="280"/>
        <w:jc w:val="both"/>
        <w:rPr/>
      </w:pPr>
      <w:r>
        <w:rPr/>
        <w:t xml:space="preserve">El Goblet Cell Adenocarcinoma representa aproximadamente entre el 5 % y el 14 % de todos los tumores apendiculares </w:t>
      </w:r>
      <w:sdt>
        <w:sdtPr>
          <w:placeholder>
            <w:docPart w:val="DefaultPlaceholder_-1854013440"/>
          </w:placeholder>
          <w:tag w:val="MENDELEY_CITATION_v3_eyJjaXRhdGlvbklEIjoiTUVOREVMRVlfQ0lUQVRJT05fNGNiMDIzNjgtYTVhZS00Nzk0LWIzMWEtNWM5M2EzYzA0ZDFj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1020699994"/>
        </w:sdtPr>
        <w:sdtContent>
          <w:r>
            <w:rPr/>
          </w:r>
          <w:r>
            <w:rPr>
              <w:rFonts w:eastAsia="MS Mincho"/>
              <w:color w:val="000000"/>
            </w:rPr>
            <w:t>(13)</w:t>
          </w:r>
        </w:sdtContent>
      </w:sdt>
      <w:r>
        <w:rPr/>
        <w:t>.</w:t>
      </w:r>
      <w:r>
        <w:rPr/>
        <w:t xml:space="preserve"> Se diagnostica más comúnmente en adultos de mediana edad, entre los 50 y 60 años, con una ligera predilección por el sexo femenino.</w:t>
      </w:r>
    </w:p>
    <w:p>
      <w:pPr>
        <w:pStyle w:val="Caption"/>
        <w:keepNext w:val="true"/>
        <w:rPr>
          <w:b/>
          <w:bCs/>
          <w:i w:val="false"/>
          <w:i w:val="false"/>
          <w:iCs w:val="false"/>
          <w:color w:themeColor="text1" w:val="000000"/>
        </w:rPr>
      </w:pPr>
      <w:bookmarkStart w:id="88" w:name="_Toc199964088"/>
      <w:bookmarkStart w:id="89" w:name="_Toc199964151"/>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5</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Características histológicas del cáncer de células caliciformes</w:t>
      </w:r>
      <w:bookmarkEnd w:id="88"/>
      <w:bookmarkEnd w:id="89"/>
    </w:p>
    <w:tbl>
      <w:tblPr>
        <w:tblStyle w:val="ListTable1Light"/>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bottom w:val="single" w:sz="4" w:space="0" w:color="666666"/>
            </w:tcBorders>
          </w:tcPr>
          <w:p>
            <w:pPr>
              <w:pStyle w:val="p1"/>
              <w:widowControl/>
              <w:numPr>
                <w:ilvl w:val="0"/>
                <w:numId w:val="5"/>
              </w:numPr>
              <w:spacing w:lineRule="auto" w:line="360" w:before="0" w:afterAutospacing="0" w:after="0"/>
              <w:jc w:val="both"/>
              <w:rPr>
                <w:b/>
                <w:bCs/>
                <w:kern w:val="0"/>
                <w:lang w:val="es-CR" w:bidi="ar-SA"/>
              </w:rPr>
            </w:pPr>
            <w:r>
              <w:rPr>
                <w:b/>
                <w:bCs/>
                <w:kern w:val="0"/>
                <w:lang w:val="es-CR" w:bidi="ar-SA"/>
              </w:rPr>
              <w:t>Proliferación de células mucosecretoras organizadas en nidos o cordones</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5"/>
              </w:numPr>
              <w:spacing w:lineRule="auto" w:line="360" w:before="0" w:afterAutospacing="0" w:after="0"/>
              <w:jc w:val="both"/>
              <w:rPr>
                <w:b/>
                <w:bCs/>
                <w:kern w:val="0"/>
                <w:lang w:val="es-CR" w:bidi="ar-SA"/>
              </w:rPr>
            </w:pPr>
            <w:r>
              <w:rPr>
                <w:b/>
                <w:bCs/>
                <w:kern w:val="0"/>
                <w:lang w:val="es-CR" w:bidi="ar-SA"/>
              </w:rPr>
              <w:t>Presencia simultánea de elementos de diferenciación neuroendocrina (cromogranina A, sinaptofisina positivos)</w:t>
            </w:r>
            <w:r>
              <w:rPr>
                <w:rStyle w:val="s1"/>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5"/>
              </w:numPr>
              <w:spacing w:lineRule="auto" w:line="360" w:before="0" w:afterAutospacing="0" w:after="0"/>
              <w:jc w:val="both"/>
              <w:rPr>
                <w:b/>
                <w:bCs/>
                <w:kern w:val="0"/>
                <w:lang w:val="es-CR" w:bidi="ar-SA"/>
              </w:rPr>
            </w:pPr>
            <w:r>
              <w:rPr>
                <w:b/>
                <w:bCs/>
                <w:kern w:val="0"/>
                <w:lang w:val="es-CR" w:bidi="ar-SA"/>
              </w:rPr>
              <w:t>Actividad mitótica variable, dependiendo del grado tumoral</w:t>
            </w:r>
            <w:r>
              <w:rPr>
                <w:rStyle w:val="s1"/>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5"/>
              </w:numPr>
              <w:spacing w:lineRule="auto" w:line="360" w:before="0" w:afterAutospacing="0" w:after="0"/>
              <w:jc w:val="both"/>
              <w:rPr>
                <w:b/>
                <w:bCs/>
                <w:kern w:val="0"/>
                <w:lang w:val="es-CR" w:bidi="ar-SA"/>
              </w:rPr>
            </w:pPr>
            <w:r>
              <w:rPr>
                <w:b/>
                <w:bCs/>
                <w:kern w:val="0"/>
                <w:lang w:val="es-CR" w:bidi="ar-SA"/>
              </w:rPr>
              <w:t>Producción intracelular e intercelular de mucina</w:t>
            </w:r>
            <w:r>
              <w:rPr>
                <w:rStyle w:val="s1"/>
                <w:b/>
                <w:bCs/>
                <w:kern w:val="0"/>
                <w:lang w:val="es-CR" w:bidi="ar-SA"/>
              </w:rPr>
              <w:t>.</w:t>
            </w:r>
          </w:p>
        </w:tc>
      </w:tr>
    </w:tbl>
    <w:p>
      <w:pPr>
        <w:pStyle w:val="p3"/>
        <w:spacing w:lineRule="auto" w:line="360" w:before="280" w:after="280"/>
        <w:jc w:val="both"/>
        <w:rPr/>
      </w:pPr>
      <w:r>
        <w:rPr/>
        <w:t>Debido a su naturaleza híbrida, el GCA fue históricamente clasificado como “tumor carcinoide” de células caliciformes. Sin embargo, las actualizaciones recientes de la Organización Mundial de la Salud (OMS, 2019) recomiendan su denominación como “Goblet Cell Adenocarcinoma”, reflejando su comportamiento más agresivo</w:t>
      </w:r>
      <w:sdt>
        <w:sdtPr>
          <w:placeholder>
            <w:docPart w:val="DefaultPlaceholder_-1854013440"/>
          </w:placeholder>
          <w:tag w:val="MENDELEY_CITATION_v3_eyJjaXRhdGlvbklEIjoiTUVOREVMRVlfQ0lUQVRJT05fNTUxZWExNGItYWQ4Yi00YzQ4LThjNzEtNjlmYjE3ZmU0MDIyIiwicHJvcGVydGllcyI6eyJub3RlSW5kZXgiOjB9LCJpc0VkaXRlZCI6ZmFsc2UsIm1hbnVhbE92ZXJyaWRlIjp7ImlzTWFudWFsbHlPdmVycmlkZGVuIjpmYWxzZSwiY2l0ZXByb2NUZXh0IjoiKDI0KSIsIm1hbnVhbE92ZXJyaWRlVGV4dCI6IiJ9LCJjaXRhdGlvbkl0ZW1zIjpbeyJpZCI6ImNiZDNiMDEyLWJlMzAtMzdkNS1iYjM0LWU0ODZhNDcyMWE1NCIsIml0ZW1EYXRhIjp7InR5cGUiOiJhcnRpY2xlLWpvdXJuYWwiLCJpZCI6ImNiZDNiMDEyLWJlMzAtMzdkNS1iYjM0LWU0ODZhNDcyMWE1NCIsInRpdGxlIjoiVGhlIDIwMTkgV0hPIGNsYXNzaWZpY2F0aW9uIG9mIHR1bW91cnMgb2YgdGhlIGRpZ2VzdGl2ZSBzeXN0ZW0iLCJhdXRob3IiOlt7ImZhbWlseSI6Ik5hZ3RlZ2FhbCIsImdpdmVuIjoiSXJpcyBELiIsInBhcnNlLW5hbWVzIjpmYWxzZSwiZHJvcHBpbmctcGFydGljbGUiOiIiLCJub24tZHJvcHBpbmctcGFydGljbGUiOiIifSx7ImZhbWlseSI6Ik9kemUiLCJnaXZlbiI6IlJvYmVydCBELiIsInBhcnNlLW5hbWVzIjpmYWxzZSwiZHJvcHBpbmctcGFydGljbGUiOiIiLCJub24tZHJvcHBpbmctcGFydGljbGUiOiIifSx7ImZhbWlseSI6IktsaW1zdHJhIiwiZ2l2ZW4iOiJEYXZpZCIsInBhcnNlLW5hbWVzIjpmYWxzZSwiZHJvcHBpbmctcGFydGljbGUiOiIiLCJub24tZHJvcHBpbmctcGFydGljbGUiOiIifSx7ImZhbWlseSI6IlBhcmFkaXMiLCJnaXZlbiI6IlZhbGVyaWUiLCJwYXJzZS1uYW1lcyI6ZmFsc2UsImRyb3BwaW5nLXBhcnRpY2xlIjoiIiwibm9uLWRyb3BwaW5nLXBhcnRpY2xlIjoiIn0seyJmYW1pbHkiOiJSdWdnZSIsImdpdmVuIjoiTWFzc2ltbyIsInBhcnNlLW5hbWVzIjpmYWxzZSwiZHJvcHBpbmctcGFydGljbGUiOiIiLCJub24tZHJvcHBpbmctcGFydGljbGUiOiIifSx7ImZhbWlseSI6IlNjaGlybWFjaGVyIiwiZ2l2ZW4iOiJQZXRlciIsInBhcnNlLW5hbWVzIjpmYWxzZSwiZHJvcHBpbmctcGFydGljbGUiOiIiLCJub24tZHJvcHBpbmctcGFydGljbGUiOiIifSx7ImZhbWlseSI6Ildhc2hpbmd0b24iLCJnaXZlbiI6IktheSBNLiIsInBhcnNlLW5hbWVzIjpmYWxzZSwiZHJvcHBpbmctcGFydGljbGUiOiIiLCJub24tZHJvcHBpbmctcGFydGljbGUiOiIifSx7ImZhbWlseSI6IkNhcm5laXJvIiwiZ2l2ZW4iOiJGYXRpbWEiLCJwYXJzZS1uYW1lcyI6ZmFsc2UsImRyb3BwaW5nLXBhcnRpY2xlIjoiIiwibm9uLWRyb3BwaW5nLXBhcnRpY2xlIjoiIn0seyJmYW1pbHkiOiJDcmVlIiwiZ2l2ZW4iOiJJYW4gQS4iLCJwYXJzZS1uYW1lcyI6ZmFsc2UsImRyb3BwaW5nLXBhcnRpY2xlIjoiIiwibm9uLWRyb3BwaW5nLXBhcnRpY2xlIjoiIn1dLCJjb250YWluZXItdGl0bGUiOiJIaXN0b3BhdGhvbG9neSIsImNvbnRhaW5lci10aXRsZS1zaG9ydCI6Ikhpc3RvcGF0aG9sb2d5IiwiRE9JIjoiMTAuMTExMS9ISVMuMTM5NzUiLCJJU1NOIjoiMTM2NTI1NTkiLCJQTUlEIjoiMzE0MzM1MTUiLCJpc3N1ZWQiOnsiZGF0ZS1wYXJ0cyI6W1syMDE5XV19LCJwYWdlIjoiMTgyIiwicHVibGlzaGVyIjoiQmxhY2t3ZWxsIFB1Ymxpc2hpbmcgTHRkIiwiaXNzdWUiOiIyIiwidm9sdW1lIjoiNzYifSwiaXNUZW1wb3JhcnkiOmZhbHNlfV19"/>
          <w:id w:val="1661654318"/>
        </w:sdtPr>
        <w:sdtContent>
          <w:r>
            <w:rPr/>
          </w:r>
          <w:r>
            <w:rPr>
              <w:rFonts w:eastAsia="MS Mincho" w:cs="MS Mincho" w:ascii="MS Mincho" w:hAnsi="MS Mincho"/>
              <w:color w:val="000000"/>
            </w:rPr>
            <w:t>(24)</w:t>
          </w:r>
        </w:sdtContent>
      </w:sdt>
      <w:r>
        <w:rPr/>
        <w:t>.</w:t>
      </w:r>
    </w:p>
    <w:p>
      <w:pPr>
        <w:pStyle w:val="p3"/>
        <w:spacing w:lineRule="auto" w:line="360" w:before="280" w:after="280"/>
        <w:jc w:val="both"/>
        <w:rPr/>
      </w:pPr>
      <w:r>
        <w:rPr/>
        <w:t>La sobrevida del GCA varía considerablemente según el grado histológico. Para tumores bien diferenciados confinados al apéndice, la sobrevida a cinco años puede alcanzar hasta un 76%, mientras que en casos de enfermedad diseminada o de alto grado, la sobrevida disminuye significativamente</w:t>
      </w:r>
      <w:sdt>
        <w:sdtPr>
          <w:placeholder>
            <w:docPart w:val="DefaultPlaceholder_-1854013440"/>
          </w:placeholder>
          <w:tag w:val="MENDELEY_CITATION_v3_eyJjaXRhdGlvbklEIjoiTUVOREVMRVlfQ0lUQVRJT05fYzFmYWQ2NGYtNzdhNC00ZmNiLWEwNzQtNDdiZjI1YTNkYWU0IiwicHJvcGVydGllcyI6eyJub3RlSW5kZXgiOjB9LCJpc0VkaXRlZCI6ZmFsc2UsIm1hbnVhbE92ZXJyaWRlIjp7ImlzTWFudWFsbHlPdmVycmlkZGVuIjpmYWxzZSwiY2l0ZXByb2NUZXh0IjoiKDMyKSIsIm1hbnVhbE92ZXJyaWRlVGV4dCI6IiJ9LCJjaXRhdGlvbkl0ZW1zIjpbeyJpZCI6ImM4MTQxMzdmLWM1NTgtM2MxOS05NDIyLTg2ZWU5Njk0ZTc2ZiIsIml0ZW1EYXRhIjp7InR5cGUiOiJhcnRpY2xlLWpvdXJuYWwiLCJpZCI6ImM4MTQxMzdmLWM1NTgtM2MxOS05NDIyLTg2ZWU5Njk0ZTc2ZiIsInRpdGxlIjoiQW4gSW50ZXJuYXRpb25hbCBSZWdpc3RyeSBvZiBQZXJpdG9uZWFsIENhcmNpbm9tYXRvc2lzIGZyb20gQXBwZW5kaWNlYWwgR29ibGV0IENlbGwgQ2FyY2lub21hIFRyZWF0ZWQgd2l0aCBDeXRvcmVkdWN0aXZlIFN1cmdlcnkgYW5kIEh5cGVydGhlcm1pYyBJbnRyYXBlcml0b25lYWwgQ2hlbW90aGVyYXB5IiwiYXV0aG9yIjpbeyJmYW1pbHkiOiJNZXJjaWVyIiwiZ2l2ZW4iOiJGcmVkZXJpYyIsInBhcnNlLW5hbWVzIjpmYWxzZSwiZHJvcHBpbmctcGFydGljbGUiOiIiLCJub24tZHJvcHBpbmctcGFydGljbGUiOiIifSx7ImZhbWlseSI6IlBhc3NvdCIsImdpdmVuIjoiR3VpbGxhdW1lIiwicGFyc2UtbmFtZXMiOmZhbHNlLCJkcm9wcGluZy1wYXJ0aWNsZSI6IiIsIm5vbi1kcm9wcGluZy1wYXJ0aWNsZSI6IiJ9LHsiZmFtaWx5IjoiQm9ubm90IiwiZ2l2ZW4iOiJQaWVycmUgRW1tYW51ZWwiLCJwYXJzZS1uYW1lcyI6ZmFsc2UsImRyb3BwaW5nLXBhcnRpY2xlIjoiIiwibm9uLWRyb3BwaW5nLXBhcnRpY2xlIjoiIn0seyJmYW1pbHkiOiJDYXNoaW4iLCJnaXZlbiI6IlBldGVyIiwicGFyc2UtbmFtZXMiOmZhbHNlLCJkcm9wcGluZy1wYXJ0aWNsZSI6IiIsIm5vbi1kcm9wcGluZy1wYXJ0aWNsZSI6IiJ9LHsiZmFtaWx5IjoiQ2VlbGVuIiwiZ2l2ZW4iOiJXaW0iLCJwYXJzZS1uYW1lcyI6ZmFsc2UsImRyb3BwaW5nLXBhcnRpY2xlIjoiIiwibm9uLWRyb3BwaW5nLXBhcnRpY2xlIjoiIn0seyJmYW1pbHkiOiJEZWN1bGxpZXIiLCJnaXZlbiI6IkV2ZWx5bmUiLCJwYXJzZS1uYW1lcyI6ZmFsc2UsImRyb3BwaW5nLXBhcnRpY2xlIjoiIiwibm9uLWRyb3BwaW5nLXBhcnRpY2xlIjoiIn0seyJmYW1pbHkiOiJWaWxsZW5ldXZlIiwiZ2l2ZW4iOiJMYXVyZW50IiwicGFyc2UtbmFtZXMiOmZhbHNlLCJkcm9wcGluZy1wYXJ0aWNsZSI6IiIsIm5vbi1kcm9wcGluZy1wYXJ0aWNsZSI6IiJ9LHsiZmFtaWx5IjoiV2FsdGVyIiwiZ2l2ZW4iOiJUaG9tYXMiLCJwYXJzZS1uYW1lcyI6ZmFsc2UsImRyb3BwaW5nLXBhcnRpY2xlIjoiIiwibm9uLWRyb3BwaW5nLXBhcnRpY2xlIjoiIn0seyJmYW1pbHkiOiJMZXZpbmUiLCJnaXZlbiI6IkVkd2FyZCBBLiIsInBhcnNlLW5hbWVzIjpmYWxzZSwiZHJvcHBpbmctcGFydGljbGUiOiIiLCJub24tZHJvcHBpbmctcGFydGljbGUiOiIifSx7ImZhbWlseSI6IkdsZWhlbiIsImdpdmVuIjoiT2xpdmllciIsInBhcnNlLW5hbWVzIjpmYWxzZSwiZHJvcHBpbmctcGFydGljbGUiOiIiLCJub24tZHJvcHBpbmctcGFydGljbGUiOiIifSx7ImZhbWlseSI6IkFocmVuZHQiLCJnaXZlbiI6IlMuIEEuIiwicGFyc2UtbmFtZXMiOmZhbHNlLCJkcm9wcGluZy1wYXJ0aWNsZSI6IiIsIm5vbi1kcm9wcGluZy1wYXJ0aWNsZSI6IiJ9LHsiZmFtaWx5IjoiQWthaXNoaSIsImdpdmVuIjoiRS4iLCJwYXJzZS1uYW1lcyI6ZmFsc2UsImRyb3BwaW5nLXBhcnRpY2xlIjoiIiwibm9uLWRyb3BwaW5nLXBhcnRpY2xlIjoiIn0seyJmYW1pbHkiOiJCYWlrIiwiZ2l2ZW4iOiJTLiBILiIsInBhcnNlLW5hbWVzIjpmYWxzZSwiZHJvcHBpbmctcGFydGljbGUiOiIiLCJub24tZHJvcHBpbmctcGFydGljbGUiOiIifSx7ImZhbWlseSI6IkJhcmF0dGkiLCJnaXZlbiI6IkQuIiwicGFyc2UtbmFtZXMiOmZhbHNlLCJkcm9wcGluZy1wYXJ0aWNsZSI6IiIsIm5vbi1kcm9wcGluZy1wYXJ0aWNsZSI6IiJ9LHsiZmFtaWx5IjoiQmhhdHQiLCJnaXZlbiI6IkEuIiwicGFyc2UtbmFtZXMiOmZhbHNlLCJkcm9wcGluZy1wYXJ0aWNsZSI6IiIsIm5vbi1kcm9wcGluZy1wYXJ0aWNsZSI6IiJ9LHsiZmFtaWx5IjoiSGluZ2giLCJnaXZlbiI6IkkuIiwicGFyc2UtbmFtZXMiOmZhbHNlLCJkcm9wcGluZy1wYXJ0aWNsZSI6IiIsIm5vbi1kcm9wcGluZy1wYXJ0aWNsZSI6IkRlIn0seyJmYW1pbHkiOiJTaW1vbmUiLCJnaXZlbiI6Ik0uIiwicGFyc2UtbmFtZXMiOmZhbHNlLCJkcm9wcGluZy1wYXJ0aWNsZSI6IiIsIm5vbi1kcm9wcGluZy1wYXJ0aWNsZSI6IkRlIn0seyJmYW1pbHkiOiJEdWLDqSIsImdpdmVuIjoiUC4iLCJwYXJzZS1uYW1lcyI6ZmFsc2UsImRyb3BwaW5nLXBhcnRpY2xlIjoiIiwibm9uLWRyb3BwaW5nLXBhcnRpY2xlIjoiIn0seyJmYW1pbHkiOiJFZHdhcmRzIiwiZ2l2ZW4iOiJSLiBQLiIsInBhcnNlLW5hbWVzIjpmYWxzZSwiZHJvcHBpbmctcGFydGljbGUiOiIiLCJub24tZHJvcHBpbmctcGFydGljbGUiOiIifSx7ImZhbWlseSI6IkZyYW5rbyIsImdpdmVuIjoiSi4iLCJwYXJzZS1uYW1lcyI6ZmFsc2UsImRyb3BwaW5nLXBhcnRpY2xlIjoiIiwibm9uLWRyb3BwaW5nLXBhcnRpY2xlIjoiIn0seyJmYW1pbHkiOiJHb256YWxlei1CYXlvbiIsImdpdmVuIjoiTC4iLCJwYXJzZS1uYW1lcyI6ZmFsc2UsImRyb3BwaW5nLXBhcnRpY2xlIjoiIiwibm9uLWRyb3BwaW5nLXBhcnRpY2xlIjoiIn0seyJmYW1pbHkiOiJHdXNoY2hpbiIsImdpdmVuIjoiVi4iLCJwYXJzZS1uYW1lcyI6ZmFsc2UsImRyb3BwaW5nLXBhcnRpY2xlIjoiIiwibm9uLWRyb3BwaW5nLXBhcnRpY2xlIjoiIn0seyJmYW1pbHkiOiJIb2x0em1hbiIsImdpdmVuIjoiTS4gUC4iLCJwYXJzZS1uYW1lcyI6ZmFsc2UsImRyb3BwaW5nLXBhcnRpY2xlIjoiIiwibm9uLWRyb3BwaW5nLXBhcnRpY2xlIjoiIn0seyJmYW1pbHkiOiJIc2llaCIsImdpdmVuIjoiTS4gQy4iLCJwYXJzZS1uYW1lcyI6ZmFsc2UsImRyb3BwaW5nLXBhcnRpY2xlIjoiIiwibm9uLWRyb3BwaW5nLXBhcnRpY2xlIjoiIn0seyJmYW1pbHkiOiJLZWNtYW5vdmljIiwiZ2l2ZW4iOiJELiIsInBhcnNlLW5hbWVzIjpmYWxzZSwiZHJvcHBpbmctcGFydGljbGUiOiIiLCJub24tZHJvcHBpbmctcGFydGljbGUiOiIifSx7ImZhbWlseSI6IkxlZSIsImdpdmVuIjoiSy4gVy4iLCJwYXJzZS1uYW1lcyI6ZmFsc2UsImRyb3BwaW5nLXBhcnRpY2xlIjoiIiwibm9uLWRyb3BwaW5nLXBhcnRpY2xlIjoiIn0seyJmYW1pbHkiOiJMZWhtYW5uIiwiZ2l2ZW4iOiJLLiIsInBhcnNlLW5hbWVzIjpmYWxzZSwiZHJvcHBpbmctcGFydGljbGUiOiIiLCJub24tZHJvcHBpbmctcGFydGljbGUiOiIifSx7ImZhbWlseSI6IkxpdSIsImdpdmVuIjoiWS4iLCJwYXJzZS1uYW1lcyI6ZmFsc2UsImRyb3BwaW5nLXBhcnRpY2xlIjoiIiwibm9uLWRyb3BwaW5nLXBhcnRpY2xlIjoiIn0seyJmYW1pbHkiOiJNZWh0YSIsImdpdmVuIjoiUy4iLCJwYXJzZS1uYW1lcyI6ZmFsc2UsImRyb3BwaW5nLXBhcnRpY2xlIjoiIiwibm9uLWRyb3BwaW5nLXBhcnRpY2xlIjoiIn0seyJmYW1pbHkiOiJNb3JyaXMiLCJnaXZlbiI6IkQuIEwuIiwicGFyc2UtbmFtZXMiOmZhbHNlLCJkcm9wcGluZy1wYXJ0aWNsZSI6IiIsIm5vbi1kcm9wcGluZy1wYXJ0aWNsZSI6IiJ9LHsiZmFtaWx5IjoiT+KAmUR3eWVyIiwiZ2l2ZW4iOiJTLiIsInBhcnNlLW5hbWVzIjpmYWxzZSwiZHJvcHBpbmctcGFydGljbGUiOiIiLCJub24tZHJvcHBpbmctcGFydGljbGUiOiIifSx7ImZhbWlseSI6Ik9yc2VuaWdvIiwiZ2l2ZW4iOiJFLiIsInBhcnNlLW5hbWVzIjpmYWxzZSwiZHJvcHBpbmctcGFydGljbGUiOiIiLCJub24tZHJvcHBpbmctcGFydGljbGUiOiIifSx7ImZhbWlseSI6IlBhbmRlIiwiZ2l2ZW4iOiJQLiBLLiIsInBhcnNlLW5hbWVzIjpmYWxzZSwiZHJvcHBpbmctcGFydGljbGUiOiIiLCJub24tZHJvcHBpbmctcGFydGljbGUiOiIifSx7ImZhbWlseSI6IlBhcmsiLCJnaXZlbiI6IkUuIEouIiwicGFyc2UtbmFtZXMiOmZhbHNlLCJkcm9wcGluZy1wYXJ0aWNsZSI6IiIsIm5vbi1kcm9wcGluZy1wYXJ0aWNsZSI6IiJ9LHsiZmFtaWx5IjoiUGluZ3BhbmsiLCJnaXZlbiI6IkouIEYuIiwicGFyc2UtbmFtZXMiOmZhbHNlLCJkcm9wcGluZy1wYXJ0aWNsZSI6IiIsIm5vbi1kcm9wcGluZy1wYXJ0aWNsZSI6IiJ9LHsiZmFtaWx5IjoiUGlzbyIsImdpdmVuIjoiUC4iLCJwYXJzZS1uYW1lcyI6ZmFsc2UsImRyb3BwaW5nLXBhcnRpY2xlIjoiIiwibm9uLWRyb3BwaW5nLXBhcnRpY2xlIjoiIn0seyJmYW1pbHkiOiJSYWphbiIsImdpdmVuIjoiRi4iLCJwYXJzZS1uYW1lcyI6ZmFsc2UsImRyb3BwaW5nLXBhcnRpY2xlIjoiIiwibm9uLWRyb3BwaW5nLXBhcnRpY2xlIjoiIn0seyJmYW1pbHkiOiJSYXUiLCJnaXZlbiI6IkIuIiwicGFyc2UtbmFtZXMiOmZhbHNlLCJkcm9wcGluZy1wYXJ0aWNsZSI6IiIsIm5vbi1kcm9wcGluZy1wYXJ0aWNsZSI6IiJ9LHsiZmFtaWx5IjoiU2FyZGkiLCJnaXZlbiI6IkEuIiwicGFyc2UtbmFtZXMiOmZhbHNlLCJkcm9wcGluZy1wYXJ0aWNsZSI6IiIsIm5vbi1kcm9wcGluZy1wYXJ0aWNsZSI6IiJ9LHsiZmFtaWx5IjoiU2lkZXJpcyIsImdpdmVuIjoiTC4iLCJwYXJzZS1uYW1lcyI6ZmFsc2UsImRyb3BwaW5nLXBhcnRpY2xlIjoiIiwibm9uLWRyb3BwaW5nLXBhcnRpY2xlIjoiIn0seyJmYW1pbHkiOiJTb21tYXJpdmEiLCJnaXZlbiI6IkEuIiwicGFyc2UtbmFtZXMiOmZhbHNlLCJkcm9wcGluZy1wYXJ0aWNsZSI6IiIsIm5vbi1kcm9wcGluZy1wYXJ0aWNsZSI6IiJ9LHsiZmFtaWx5IjoiU3BpbGlvdGlzIiwiZ2l2ZW4iOiJKLiIsInBhcnNlLW5hbWVzIjpmYWxzZSwiZHJvcHBpbmctcGFydGljbGUiOiIiLCJub24tZHJvcHBpbmctcGFydGljbGUiOiIifSx7ImZhbWlseSI6IlRlbnRlcyIsImdpdmVuIjoiQS4gQS5LLiIsInBhcnNlLW5hbWVzIjpmYWxzZSwiZHJvcHBpbmctcGFydGljbGUiOiIiLCJub24tZHJvcHBpbmctcGFydGljbGUiOiIifSx7ImZhbWlseSI6IlRlbyIsImdpdmVuIjoiTS4iLCJwYXJzZS1uYW1lcyI6ZmFsc2UsImRyb3BwaW5nLXBhcnRpY2xlIjoiIiwibm9uLWRyb3BwaW5nLXBhcnRpY2xlIjoiIn0seyJmYW1pbHkiOiJZYXJlbWEiLCJnaXZlbiI6IlIuIiwicGFyc2UtbmFtZXMiOmZhbHNlLCJkcm9wcGluZy1wYXJ0aWNsZSI6IiIsIm5vbi1kcm9wcGluZy1wYXJ0aWNsZSI6IiJ9LHsiZmFtaWx5IjoiWW91bmFuIiwiZ2l2ZW4iOiJSLiIsInBhcnNlLW5hbWVzIjpmYWxzZSwiZHJvcHBpbmctcGFydGljbGUiOiIiLCJub24tZHJvcHBpbmctcGFydGljbGUiOiIifSx7ImZhbWlseSI6IlphdmVyaSIsImdpdmVuIjoiUy4gUy4iLCJwYXJzZS1uYW1lcyI6ZmFsc2UsImRyb3BwaW5nLXBhcnRpY2xlIjoiIiwibm9uLWRyb3BwaW5nLXBhcnRpY2xlIjoiIn0seyJmYW1pbHkiOiJaZWgiLCJnaXZlbiI6IkguIEouIiwicGFyc2UtbmFtZXMiOmZhbHNlLCJkcm9wcGluZy1wYXJ0aWNsZSI6IiIsIm5vbi1kcm9wcGluZy1wYXJ0aWNsZSI6IiJ9LHsiZmFtaWx5IjoiQWJiYSIsImdpdmVuIjoiSi4iLCJwYXJzZS1uYW1lcyI6ZmFsc2UsImRyb3BwaW5nLXBhcnRpY2xlIjoiIiwibm9uLWRyb3BwaW5nLXBhcnRpY2xlIjoiIn0seyJmYW1pbHkiOiJBYmJvdWQiLCJnaXZlbiI6IksuIiwicGFyc2UtbmFtZXMiOmZhbHNlLCJkcm9wcGluZy1wYXJ0aWNsZSI6IiIsIm5vbi1kcm9wcGluZy1wYXJ0aWNsZSI6IiJ9LHsiZmFtaWx5IjoiQWx5YW1pIiwiZ2l2ZW4iOiJNLiIsInBhcnNlLW5hbWVzIjpmYWxzZSwiZHJvcHBpbmctcGFydGljbGUiOiIiLCJub24tZHJvcHBpbmctcGFydGljbGUiOiIifSx7ImZhbWlseSI6IkFydmlldXgiLCJnaXZlbiI6IkMuIiwicGFyc2UtbmFtZXMiOmZhbHNlLCJkcm9wcGluZy1wYXJ0aWNsZSI6IiIsIm5vbi1kcm9wcGluZy1wYXJ0aWNsZSI6IiJ9LHsiZmFtaWx5IjoiQmFrcmluIiwiZ2l2ZW4iOiJOLiIsInBhcnNlLW5hbWVzIjpmYWxzZSwiZHJvcHBpbmctcGFydGljbGUiOiIiLCJub24tZHJvcHBpbmctcGFydGljbGUiOiIifSx7ImZhbWlseSI6IkJlcmVkZXIiLCJnaXZlbiI6IkouIE0uIiwicGFyc2UtbmFtZXMiOmZhbHNlLCJkcm9wcGluZy1wYXJ0aWNsZSI6IiIsIm5vbi1kcm9wcGluZy1wYXJ0aWNsZSI6IiJ9LHsiZmFtaWx5IjoiQm91emFyZCIsImdpdmVuIjoiRC4iLCJwYXJzZS1uYW1lcyI6ZmFsc2UsImRyb3BwaW5nLXBhcnRpY2xlIjoiIiwibm9uLWRyb3BwaW5nLXBhcnRpY2xlIjoiIn0seyJmYW1pbHkiOiJCcmlnYW5kIiwiZ2l2ZW4iOiJDLiIsInBhcnNlLW5hbWVzIjpmYWxzZSwiZHJvcHBpbmctcGFydGljbGUiOiIiLCJub24tZHJvcHBpbmctcGFydGljbGUiOiIifSx7ImZhbWlseSI6IkNhcnLDqHJlIiwiZ2l2ZW4iOiJTLiIsInBhcnNlLW5hbWVzIjpmYWxzZSwiZHJvcHBpbmctcGFydGljbGUiOiIiLCJub24tZHJvcHBpbmctcGFydGljbGUiOiIifSx7ImZhbWlseSI6IkRlbHJvZXV4IiwiZ2l2ZW4iOiJELiIsInBhcnNlLW5hbWVzIjpmYWxzZSwiZHJvcHBpbmctcGFydGljbGUiOiIiLCJub24tZHJvcHBpbmctcGFydGljbGUiOiIifSx7ImZhbWlseSI6IkR1bW9udCIsImdpdmVuIjoiRi4iLCJwYXJzZS1uYW1lcyI6ZmFsc2UsImRyb3BwaW5nLXBhcnRpY2xlIjoiIiwibm9uLWRyb3BwaW5nLXBhcnRpY2xlIjoiIn0seyJmYW1pbHkiOiJFdmVubyIsImdpdmVuIjoiQy4iLCJwYXJzZS1uYW1lcyI6ZmFsc2UsImRyb3BwaW5nLXBhcnRpY2xlIjoiIiwibm9uLWRyb3BwaW5nLXBhcnRpY2xlIjoiIn0seyJmYW1pbHkiOiJGYWN5IiwiZ2l2ZW4iOiJPLiIsInBhcnNlLW5hbWVzIjpmYWxzZSwiZHJvcHBpbmctcGFydGljbGUiOiIiLCJub24tZHJvcHBpbmctcGFydGljbGUiOiIifSx7ImZhbWlseSI6Ikd1eW9uIiwiZ2l2ZW4iOiJGLiIsInBhcnNlLW5hbWVzIjpmYWxzZSwiZHJvcHBpbmctcGFydGljbGUiOiIiLCJub24tZHJvcHBpbmctcGFydGljbGUiOiIifSx7ImZhbWlseSI6IkZlcnJvbiIsImdpdmVuIjoiRy4iLCJwYXJzZS1uYW1lcyI6ZmFsc2UsImRyb3BwaW5nLXBhcnRpY2xlIjoiIiwibm9uLWRyb3BwaW5nLXBhcnRpY2xlIjoiIn0seyJmYW1pbHkiOiJLaWFubWFuZXNoIiwiZ2l2ZW4iOiJSLiIsInBhcnNlLW5hbWVzIjpmYWxzZSwiZHJvcHBpbmctcGFydGljbGUiOiIiLCJub24tZHJvcHBpbmctcGFydGljbGUiOiIifSx7ImZhbWlseSI6IkRpY28iLCJnaXZlbiI6IlIuIiwicGFyc2UtbmFtZXMiOmZhbHNlLCJkcm9wcGluZy1wYXJ0aWNsZSI6IkxvIiwibm9uLWRyb3BwaW5nLXBhcnRpY2xlIjoiIn0seyJmYW1pbHkiOiJMb3JpbWllciIsImdpdmVuIjoiRy4iLCJwYXJzZS1uYW1lcyI6ZmFsc2UsImRyb3BwaW5nLXBhcnRpY2xlIjoiIiwibm9uLWRyb3BwaW5nLXBhcnRpY2xlIjoiIn0seyJmYW1pbHkiOiJNYXJjaGFsIiwiZ2l2ZW4iOiJGLiIsInBhcnNlLW5hbWVzIjpmYWxzZSwiZHJvcHBpbmctcGFydGljbGUiOiIiLCJub24tZHJvcHBpbmctcGFydGljbGUiOiIifSx7ImZhbWlseSI6Ik1hcmlhbmkiLCJnaXZlbiI6IlAuIiwicGFyc2UtbmFtZXMiOmZhbHNlLCJkcm9wcGluZy1wYXJ0aWNsZSI6IiIsIm5vbi1kcm9wcGluZy1wYXJ0aWNsZSI6IiJ9LHsiZmFtaWx5IjoiTWVldXMiLCJnaXZlbiI6IlAuIiwicGFyc2UtbmFtZXMiOmZhbHNlLCJkcm9wcGluZy1wYXJ0aWNsZSI6IiIsIm5vbi1kcm9wcGluZy1wYXJ0aWNsZSI6IiJ9LHsiZmFtaWx5IjoiTXNpa2EiLCJnaXZlbiI6IlMuIiwicGFyc2UtbmFtZXMiOmZhbHNlLCJkcm9wcGluZy1wYXJ0aWNsZSI6IiIsIm5vbi1kcm9wcGluZy1wYXJ0aWNsZSI6IiJ9LHsiZmFtaWx5IjoiT3J0ZWdhLURlYmFsbG9uIiwiZ2l2ZW4iOiJQLiIsInBhcnNlLW5hbWVzIjpmYWxzZSwiZHJvcHBpbmctcGFydGljbGUiOiIiLCJub24tZHJvcHBpbmctcGFydGljbGUiOiIifSx7ImZhbWlseSI6IlBhcXVldHRlIiwiZ2l2ZW4iOiJCLiIsInBhcnNlLW5hbWVzIjpmYWxzZSwiZHJvcHBpbmctcGFydGljbGUiOiIiLCJub24tZHJvcHBpbmctcGFydGljbGUiOiIifSx7ImZhbWlseSI6IlBleXJhdCIsImdpdmVuIjoiUC4iLCJwYXJzZS1uYW1lcyI6ZmFsc2UsImRyb3BwaW5nLXBhcnRpY2xlIjoiIiwibm9uLWRyb3BwaW5nLXBhcnRpY2xlIjoiIn0seyJmYW1pbHkiOiJQaXJybyIsImdpdmVuIjoiTi4iLCJwYXJzZS1uYW1lcyI6ZmFsc2UsImRyb3BwaW5nLXBhcnRpY2xlIjoiIiwibm9uLWRyb3BwaW5nLXBhcnRpY2xlIjoiIn0seyJmYW1pbHkiOiJQb2NhcmQiLCJnaXZlbiI6Ik0uIiwicGFyc2UtbmFtZXMiOmZhbHNlLCJkcm9wcGluZy1wYXJ0aWNsZSI6IiIsIm5vbi1kcm9wcGluZy1wYXJ0aWNsZSI6IiJ9LHsiZmFtaWx5IjoiUG9yY2hlcm9uIiwiZ2l2ZW4iOiJKLiIsInBhcnNlLW5hbWVzIjpmYWxzZSwiZHJvcHBpbmctcGFydGljbGUiOiIiLCJub24tZHJvcHBpbmctcGFydGljbGUiOiIifSx7ImZhbWlseSI6IlF1ZW5ldCIsImdpdmVuIjoiRi4iLCJwYXJzZS1uYW1lcyI6ZmFsc2UsImRyb3BwaW5nLXBhcnRpY2xlIjoiIiwibm9uLWRyb3BwaW5nLXBhcnRpY2xlIjoiIn0seyJmYW1pbHkiOiJSYXQiLCJnaXZlbiI6IlAuIiwicGFyc2UtbmFtZXMiOmZhbHNlLCJkcm9wcGluZy1wYXJ0aWNsZSI6IiIsIm5vbi1kcm9wcGluZy1wYXJ0aWNsZSI6IiJ9LHsiZmFtaWx5IjoiU2dhcmJ1cmEiLCJnaXZlbiI6Ik8uIiwicGFyc2UtbmFtZXMiOmZhbHNlLCJkcm9wcGluZy1wYXJ0aWNsZSI6IiIsIm5vbi1kcm9wcGluZy1wYXJ0aWNsZSI6IiJ9LHsiZmFtaWx5IjoiVGhpYmF1ZGVhdSIsImdpdmVuIjoiRS4iLCJwYXJzZS1uYW1lcyI6ZmFsc2UsImRyb3BwaW5nLXBhcnRpY2xlIjoiIiwibm9uLWRyb3BwaW5nLXBhcnRpY2xlIjoiIn0seyJmYW1pbHkiOiJUdWVjaCIsImdpdmVuIjoiSi4gSi4iLCJwYXJzZS1uYW1lcyI6ZmFsc2UsImRyb3BwaW5nLXBhcnRpY2xlIjoiIiwibm9uLWRyb3BwaW5nLXBhcnRpY2xlIjoiIn0seyJmYW1pbHkiOiJaaW56aW5kb2hvdWUiLCJnaXZlbiI6IkYuIiwicGFyc2UtbmFtZXMiOmZhbHNlLCJkcm9wcGluZy1wYXJ0aWNsZSI6IiIsIm5vbi1kcm9wcGluZy1wYXJ0aWNsZSI6IiJ9XSwiY29udGFpbmVyLXRpdGxlIjoiV29ybGQgam91cm5hbCBvZiBzdXJnZXJ5IiwiY29udGFpbmVyLXRpdGxlLXNob3J0IjoiV29ybGQgSiBTdXJnIiwiRE9JIjoiMTAuMTAwNy9TMDAyNjgtMDIyLTA2NDk4LVciLCJJU1NOIjoiMTQzMi0yMzIzIiwiUE1JRCI6IjM1Mjg2NDE4IiwiaXNzdWVkIjp7ImRhdGUtcGFydHMiOltbMjAyMl1dfSwicGFnZSI6IjEzMzYtMTM0MyIsImFic3RyYWN0IjoiUHVycG9zZTogUGVyaXRvbmVhbCBjYXJjaW5vbWF0b3NpcyBmcm9tIGFwcGVuZGljZWFsIGdvYmxldCBjZWxsIGNhcmNpbm9tYSAoQS1HQ0MpIGlzIGEgcmFyZSBhbmQgYWdncmVzc2l2ZSBmb3JtIG9mIGFwcGVuZGljZWFsIHR1bW9yLiBDeXRvcmVkdWN0aXZlIHN1cmdlcnkgKENSUykgYW5kIGh5cGVydGhlcm1pYyBpbnRyYSBwZXJpdG9uZWFsIGNoZW1vdGhlcmFweSAoSElQRUMpIHdhcyByZXBvcnRlZCBhcyBhbiBpbnRlcmVzdGluZyBhbHRlcm5hdGl2ZSByZWdhcmRpbmcgc3Vydml2YWwgY29tcGFyZWQgdG8gc3VyZ2VyeSB3aXRob3V0IEhJUEVDIGFuZC9vciBzeXN0ZW1pYyBjaGVtb3RoZXJhcHkuIE91ciBhaW0gd2FzIHRvIGV2YWx1YXRlIHRoZSBpbXBhY3Qgb2YgQ1JTIGFuZCBISVBFQyBmb3IgcGF0aWVudHMgcHJlc2VudGluZyBBLUdDQyB0aHJvdWdoIGFuIGludGVybmF0aW9uYWwgcmVnaXN0cnkuIE1ldGhvZHM6IEEgcHJvc3BlY3RpdmUgbXVsdGljZW50ZXIgaW50ZXJuYXRpb25hbCBkYXRhYmFzZSB3YXMgcmV0cm9zcGVjdGl2ZWx5IHNlYXJjaGVkIHRvIGlkZW50aWZ5IGFsbCBwYXRpZW50cyB3aXRoIEEtR0NDIHR1bW9yIGFuZCBwZXJpdG9uZWFsIG1ldGFzdGFzZXMgd2hvIHVuZGVyd2VudCBDUlMgYW5kIEhJUEVDIHRocm91Z2ggdGhlIFBlcml0b25lYWwgU3VyZmFjZSBPbmNvbG9neSBHcm91cCBJbnRlcm5hdGlvbmFsIChQU09HSSkuIFRoZSBwb3N0LW9wZXJhdGl2ZSBjb21wbGljYXRpb25zLCBsb25nLXRlcm0gcmVzdWx0cywgYW5kIHByaW5jaXBhbCBwcm9nbm9zdGljIGZhY3RvcnMgd2VyZSBhbmFseXplZC4gUmVzdWx0czogVGhlIGFuYWx5c2lzIGluY2x1ZGVkIDgzIHBhdGllbnRzLiBBZnRlciBhIG1lZGlhbiBmb2xsb3ctdXAgb2YgNDfCoG1vbnRocywgdGhlIG1lZGlhbiBvdmVyYWxsIHN1cnZpdmFsIChPUykgd2FzIDM0LjbCoG1vbnRocy4gVGhlIDMtIGFuZCA1LXllYXIgT1Mgd2FzIDQ4LjUlIGFuZCAzNS43JSwgcmVzcGVjdGl2ZWx5LiBQYXRpZW50cyB3aG8gdW5kZXJ3ZW50IGNvbXBsZXRlIG1hY3Jvc2NvcGljIENSUyBoYWQgYSBzaWduaWZpY2FudGx5IGJldHRlciBzdXJ2aXZhbCB0aGFuIHRob3NlIHRyZWF0ZWQgd2l0aCBpbmNvbXBsZXRlIENSUy4gVGhlIDUteWVhciBPUyB3YXMgNDQlIGFuZCAwJSBmb3IgcGF0aWVudHMgd2hvIHVuZGVyd2VudCBjb21wbGV0ZSwgYW5kIGluY29tcGxldGUgQ1JTLCByZXNwZWN0aXZlbHkgKEhSIDkuNjUsIHAgPCAwLjAwMSkuIEx5bXBoIG5vZGUgaW52b2x2ZW1lbnQgYW5kIHByZW9wZXJhdGl2ZSBjaGVtb3RoZXJhcHkgd2VyZSBhbHNvIHByZWRpY3RpdmUgb2YgYSB3b3JzZSBwcm9nbm9zaXMuIFRoZXJlIHdlcmUgMyBwb3N0b3BlcmF0aXZlIGRlYXRocywgYW5kIDMwJSBvZiB0aGUgcGF0aWVudHMgaGFkIG1ham9yIGNvbXBsaWNhdGlvbnMuIENvbmNsdXNpb246IENSUyBhbmQgSElQRUMgbWF5IGluY3JlYXNlIGxvbmctdGVybSBzdXJ2aXZhbCBpbiBzZWxlY3RlZCBwYXRpZW50cyB3aXRoIHBlcml0b25lYWwgbWV0YXN0YXNlcyBvZiBBLUdDQyBvcmlnaW4sIGVzcGVjaWFsbHkgd2hlbiBjb21wbGV0ZSBDUlMgaXMgYWNoaWV2ZWQuIElkZWFsbHksIHJhbmRvbWl6ZWQgY29udHJvbCB0cmlhbHMgb3IgbW9yZSByZXRyb3NwZWN0aXZlIGRhdGEgYXJlIG5lZWRlZMKgdG8gY29uZmlybSBDUlMgYW5kIEhJUEVDIGFzIHRoZSBnb2xkIHN0YW5kYXJkIGluIHRoaXMgcGF0aG9sb2d5LiIsInB1Ymxpc2hlciI6IldvcmxkIEogU3VyZyIsImlzc3VlIjoiNiIsInZvbHVtZSI6IjQ2In0sImlzVGVtcG9yYXJ5IjpmYWxzZX1dfQ=="/>
          <w:id w:val="-1413769560"/>
        </w:sdtPr>
        <w:sdtContent>
          <w:r>
            <w:rPr/>
          </w:r>
          <w:r>
            <w:rPr>
              <w:rFonts w:eastAsia="MS Mincho" w:cs="MS Mincho" w:ascii="MS Mincho" w:hAnsi="MS Mincho"/>
              <w:color w:val="000000"/>
            </w:rPr>
            <w:t>(32)</w:t>
          </w:r>
        </w:sdtContent>
      </w:sdt>
      <w:r>
        <w:rPr/>
        <w:t>.</w:t>
      </w:r>
    </w:p>
    <w:p>
      <w:pPr>
        <w:pStyle w:val="Heading4"/>
        <w:spacing w:before="0" w:after="0"/>
        <w:ind w:firstLine="709" w:left="0"/>
        <w:rPr>
          <w:vanish/>
          <w:specVanish/>
        </w:rPr>
      </w:pPr>
      <w:bookmarkStart w:id="90" w:name="_Toc199584581"/>
      <w:r>
        <w:rPr/>
        <w:t>Carcinomas indiferenciados y mixtos epiteliales</w:t>
      </w:r>
      <w:bookmarkEnd w:id="90"/>
      <w:r>
        <w:rPr/>
        <w:t>.</w:t>
      </w:r>
    </w:p>
    <w:p>
      <w:pPr>
        <w:pStyle w:val="p1"/>
        <w:spacing w:lineRule="auto" w:line="360" w:before="280" w:after="280"/>
        <w:jc w:val="both"/>
        <w:rPr/>
      </w:pPr>
      <w:r>
        <w:rPr/>
      </w:r>
      <w:bookmarkStart w:id="91" w:name="_Toc199583947"/>
      <w:bookmarkStart w:id="92" w:name="_Toc199584582"/>
      <w:r>
        <w:rPr/>
        <w:t xml:space="preserve"> </w:t>
      </w:r>
      <w:r>
        <w:rPr/>
        <w:t>Dentro del espectro de neoplasias epiteliales apendiculares, existen subtipos infrecuentes pero clínicamente relevantes que se agrupan bajo la categoría de carcinomas indiferenciados y mixtos epiteliales. Estos tumores se caracterizan por una alta agresividad biológica, rápida diseminación y escaso grado de diferenciación histológica, lo que dificulta tanto su diagnóstico como su manejo clínico. Carecen de diferenciación glandular, mucinosa o neuroendocrina evidente, y presentan una morfología anaplásica o pleomórfica. Son poco frecuentes y, por lo general, se manifiestan en etapas avanzadas, con diseminación regional o peritoneal desde el momento del diagnóstico</w:t>
      </w:r>
      <w:sdt>
        <w:sdtPr>
          <w:placeholder>
            <w:docPart w:val="13D5783366895E4E91DA5595CCD5A367"/>
          </w:placeholder>
          <w:tag w:val="MENDELEY_CITATION_v3_eyJjaXRhdGlvbklEIjoiTUVOREVMRVlfQ0lUQVRJT05fMGY4YjNiZGItNDc0Zi00OGQ4LTkzYTktY2ExYjVjZmRlZTY3IiwicHJvcGVydGllcyI6eyJub3RlSW5kZXgiOjB9LCJpc0VkaXRlZCI6ZmFsc2UsIm1hbnVhbE92ZXJyaWRlIjp7ImlzTWFudWFsbHlPdmVycmlkZGVuIjpmYWxzZSwiY2l0ZXByb2NUZXh0IjoiKDI2KSIsIm1hbnVhbE92ZXJyaWRlVGV4dCI6IiJ9LCJjaXRhdGlvbkl0ZW1zIjpbeyJpZCI6ImUxNmY5YmFiLWM3YmEtM2NhNS05ZTNmLTM2MzMwYzBkYjQ2NyIsIml0ZW1EYXRhIjp7InR5cGUiOiJhcnRpY2xlLWpvdXJuYWwiLCJpZCI6ImUxNmY5YmFiLWM3YmEtM2NhNS05ZTNmLTM2MzMwYzBkYjQ2NyIsInRpdGxlIjoiQXBwZW5kaWNlYWwgYWRlbm9jYXJjaW5vbWE6IEN1cnJlbnQgY29uY2VwdHMgJiBjaGFsbGVuZ2VzIiwiYXV0aG9yIjpbeyJmYW1pbHkiOiJCZWxsIiwiZ2l2ZW4iOiJQaG9lbml4IEQuIiwicGFyc2UtbmFtZXMiOmZhbHNlLCJkcm9wcGluZy1wYXJ0aWNsZSI6IiIsIm5vbi1kcm9wcGluZy1wYXJ0aWNsZSI6IiJ9XSwiY29udGFpbmVyLXRpdGxlIjoiU2VtaW5hcnMgaW4gZGlhZ25vc3RpYyBwYXRob2xvZ3kiLCJjb250YWluZXItdGl0bGUtc2hvcnQiOiJTZW1pbiBEaWFnbiBQYXRob2wiLCJET0kiOiIxMC4xMDUzL0ouU0VNRFAuMjAyNC4wOC4wMDUiLCJJU1NOIjoiMDc0MC0yNTcwIiwiUE1JRCI6IjM5MjE0NzI1IiwiaXNzdWVkIjp7ImRhdGUtcGFydHMiOltbMjAyNF1dfSwicGFnZSI6IjIxMy0yMjEiLCJhYnN0cmFjdCI6IkFwcGVuZGljZWFsIGFkZW5vY2FyY2lub21hIChBcEFDKSBpcyBhIHJhcmUgbWFsaWduYW5jeSwgY29tcHJpc2luZyBsZXNzIHRoYW4gMSAlIG9mIGFsbCBnYXN0cm9pbnRlc3RpbmFsIHR1bW9ycy4gVGhlIGN1cnJlbnQgV29ybGQgSGVhbHRoIE9yZ2FuaXphdGlvbiBjbGFzc2lmaWVzIEFwQUMgYXMgbXVjaW5vdXMgb3Igbm9ubXVjaW5vdXMuIE11Y2lub3VzIEFwQUMgYXJlIGNvbXBvc2VkIG9mIHBvb2xzIG9mIG11Y2luIGxpbmVkIGJ5IGNlbGxzIHdpdGggbG93LSBhbmQgaGlnaC1ncmFkZSBjeXRvbG9neSBhbmQgYXJlYXMgb2YgaW5maWx0cmF0aXZlIGludmFzaW9uLiBOb25tdWNpbm91cyBBcEFDIGhpc3RvbG9naWNhbGx5IHJlc2VtYmxlIGNvbnZlbnRpb25hbCBjb2xvcmVjdGFsIGFkZW5vY2FyY2lub21hcyBhbmQgaGF2ZSBhIHdvcnNlIHByb2dub3NpcyB0aGFuIHRoZWlyIG11Y2lub3VzIGNvdW50ZXJwYXJ0LiBVbmZvcnR1bmF0ZWx5LCB0aGUgbm9tZW5jbGF0dXJlIGFuZCBoaXN0b2xvZ2ljIGNsYXNzaWZpY2F0aW9uIG9mIEFwQUMsIHNwZWNpZmljYWxseSB0aGUgbXVjaW5vdXMgc3VidHlwZSwgaGFzIGNoYW5nZWQgc2V2ZXJhbCB0aW1lcyB0aHJvdWdob3V0IHRoZSB5ZWFycywgY29udHJpYnV0aW5nIHRvIGRpYWdub3N0aWMgY29uZnVzaW9uIGZvciBwYXRob2xvZ2lzdHMuIFRoZSB0cmVhdG1lbnQgZm9yIG11Y2lub3VzIEFwQUMgZGlmZmVycyBmcm9tIHRoYXQgb2Ygb3RoZXIgYXBwZW5kaWNlYWwgbXVjaW5vdXMgbmVvcGxhc21zLCB0aHVzIGFjY3VyYXRlIGRpYWdub3NpcyBpcyBrZXkgdG8gcGF0aWVudCBtYW5hZ2VtZW50IGFuZCBvdXRjb21lLiBUaGlzIHJldmlldyBkaXNjdXNzZXMgdGhlIGN1cnJlbnQgY2xhc3NpZmljYXRpb24gYW5kIHN0YWdpbmcgb2YgQXBBQyB3aXRoIGEgcGFydGljdWxhciBlbXBoYXNpcyBvbiB0aGUgbXVjaW5vdXMgc3VidHlwZSBhbmQgcGVyaXRvbmVhbCBkaXNlYXNlLCBhcyB0aGVzZSBhcmVhcyBhcmUgdGhlIG1vc3QgY2hhbGxlbmdpbmcgZm9yIHByYWN0aWNpbmcgc3VyZ2ljYWwgcGF0aG9sb2dpc3RzLiIsInB1Ymxpc2hlciI6IlNlbWluIERpYWduIFBhdGhvbCIsImlzc3VlIjoiNSIsInZvbHVtZSI6IjQxIn0sImlzVGVtcG9yYXJ5IjpmYWxzZX1dfQ=="/>
          <w:id w:val="-1687436689"/>
        </w:sdtPr>
        <w:sdtContent>
          <w:r>
            <w:rPr/>
          </w:r>
          <w:r>
            <w:rPr>
              <w:color w:val="000000"/>
            </w:rPr>
            <w:t>(26)</w:t>
          </w:r>
        </w:sdtContent>
      </w:sdt>
      <w:r>
        <w:rPr/>
        <w:t>.</w:t>
      </w:r>
      <w:bookmarkEnd w:id="91"/>
      <w:bookmarkEnd w:id="92"/>
    </w:p>
    <w:p>
      <w:pPr>
        <w:pStyle w:val="p3"/>
        <w:spacing w:lineRule="auto" w:line="360" w:before="280" w:after="280"/>
        <w:jc w:val="both"/>
        <w:rPr/>
      </w:pPr>
      <w:r>
        <w:rPr/>
        <w:t>Por otro lado, los carcinomas mixtos epiteliales, también denominados mixtos no neuroendocrinos o carcinomas con múltiples patrones de diferenciación epitelial, incluyen combinaciones histológicas como adenocarcinoma con componentes en anillo de sello o áreas de carcinoma indiferenciado. Estos patrones mixtos reflejan una notable heterogeneidad tumoral, con implicaciones pronósticas desfavorables. En particular, el subtipo con células en anillo de sello se asocia con una elevada tasa de diseminación peritoneal y ganglionar, y con una supervivencia global significativamente menor</w:t>
      </w:r>
      <w:sdt>
        <w:sdtPr>
          <w:placeholder>
            <w:docPart w:val="13D5783366895E4E91DA5595CCD5A367"/>
          </w:placeholder>
          <w:tag w:val="MENDELEY_CITATION_v3_eyJjaXRhdGlvbklEIjoiTUVOREVMRVlfQ0lUQVRJT05fZjYxNTJiNjUtMjg4My00NDA2LTkxMzUtNTBkYTM3NmYxYzAxIiwicHJvcGVydGllcyI6eyJub3RlSW5kZXgiOjB9LCJpc0VkaXRlZCI6ZmFsc2UsIm1hbnVhbE92ZXJyaWRlIjp7ImlzTWFudWFsbHlPdmVycmlkZGVuIjpmYWxzZSwiY2l0ZXByb2NUZXh0IjoiKDMzKSIsIm1hbnVhbE92ZXJyaWRlVGV4dCI6IiJ9LCJjaXRhdGlvbkl0ZW1zIjpbeyJpZCI6IjJkNTlmZTJhLWUzZDctMzFmOC05MzhjLWNkNTY0MGU2N2I2NiIsIml0ZW1EYXRhIjp7InR5cGUiOiJhcnRpY2xlLWpvdXJuYWwiLCJpZCI6IjJkNTlmZTJhLWUzZDctMzFmOC05MzhjLWNkNTY0MGU2N2I2NiIsInRpdGxlIjoiQXBwZW5kaWNlYWwgdHVtb3JzIGFuZCBwc2V1ZG9teXhvbWEgcGVyaXRvbmVpOiBGcmVuY2ggSW50ZXJncm91cCBDbGluaWNhbCBQcmFjdGljZSBHdWlkZWxpbmVzIGZvciBkaWFnbm9zaXMsIHRyZWF0bWVudHMgYW5kIGZvbGxvdy11cCAoUkVOQVBFLCBSRU5BUEFUSCwgU05GR0UsIEZGQ0QsIEdFUkNPUiwgVU5JQ0FOQ0VSLCBTRkNELCBTRkVELCBTRlJPLCBBQ0hCVCwgU0ZSKSIsImF1dGhvciI6W3siZmFtaWx5IjoiRGVsaG9ybWUiLCJnaXZlbiI6IkplYW4gQmFwdGlzdGUiLCJwYXJzZS1uYW1lcyI6ZmFsc2UsImRyb3BwaW5nLXBhcnRpY2xlIjoiIiwibm9uLWRyb3BwaW5nLXBhcnRpY2xlIjoiIn0seyJmYW1pbHkiOiJWaWxsZW5ldXZlIiwiZ2l2ZW4iOiJMYXVyZW50IiwicGFyc2UtbmFtZXMiOmZhbHNlLCJkcm9wcGluZy1wYXJ0aWNsZSI6IiIsIm5vbi1kcm9wcGluZy1wYXJ0aWNsZSI6IiJ9LHsiZmFtaWx5IjoiQm91Y2jDqSIsImdpdmVuIjoiT2xpdmllciIsInBhcnNlLW5hbWVzIjpmYWxzZSwiZHJvcHBpbmctcGFydGljbGUiOiIiLCJub24tZHJvcHBpbmctcGFydGljbGUiOiIifSx7ImZhbWlseSI6IkF2ZXJvdXMiLCJnaXZlbiI6IkdlcmxpbmRlIiwicGFyc2UtbmFtZXMiOmZhbHNlLCJkcm9wcGluZy1wYXJ0aWNsZSI6IiIsIm5vbi1kcm9wcGluZy1wYXJ0aWNsZSI6IiJ9LHsiZmFtaWx5IjoiRG9oYW4iLCJnaXZlbiI6IkFudGhvbnkiLCJwYXJzZS1uYW1lcyI6ZmFsc2UsImRyb3BwaW5nLXBhcnRpY2xlIjoiIiwibm9uLWRyb3BwaW5nLXBhcnRpY2xlIjoiIn0seyJmYW1pbHkiOiJHb3JuZXQiLCJnaXZlbiI6IkplYW4gTWFyYyIsInBhcnNlLW5hbWVzIjpmYWxzZSwiZHJvcHBpbmctcGFydGljbGUiOiIiLCJub24tZHJvcHBpbmctcGFydGljbGUiOiIifSx7ImZhbWlseSI6IllvdSIsImdpdmVuIjoiQmVub2l0IiwicGFyc2UtbmFtZXMiOmZhbHNlLCJkcm9wcGluZy1wYXJ0aWNsZSI6IiIsIm5vbi1kcm9wcGluZy1wYXJ0aWNsZSI6IiJ9LHsiZmFtaWx5IjoiQmliZWF1IiwiZ2l2ZW4iOiJGcsOpZMOpcmljIiwicGFyc2UtbmFtZXMiOmZhbHNlLCJkcm9wcGluZy1wYXJ0aWNsZSI6IiIsIm5vbi1kcm9wcGluZy1wYXJ0aWNsZSI6IiJ9LHsiZmFtaWx5IjoiRGFydGlndWVzIiwiZ2l2ZW4iOiJQZWdneSIsInBhcnNlLW5hbWVzIjpmYWxzZSwiZHJvcHBpbmctcGFydGljbGUiOiIiLCJub24tZHJvcHBpbmctcGFydGljbGUiOiIifSx7ImZhbWlseSI6IkV2ZW5vIiwiZ2l2ZW4iOiJDbGFyaXNzZSIsInBhcnNlLW5hbWVzIjpmYWxzZSwiZHJvcHBpbmctcGFydGljbGUiOiIiLCJub24tZHJvcHBpbmctcGFydGljbGUiOiIifSx7ImZhbWlseSI6IkZvbnRhaW5lIiwiZ2l2ZW4iOiJKdWxpZXR0ZSIsInBhcnNlLW5hbWVzIjpmYWxzZSwiZHJvcHBpbmctcGFydGljbGUiOiIiLCJub24tZHJvcHBpbmctcGFydGljbGUiOiIifSx7ImZhbWlseSI6IktlcGVuZWtpYW4iLCJnaXZlbiI6IlZhaGFuIiwicGFyc2UtbmFtZXMiOmZhbHNlLCJkcm9wcGluZy1wYXJ0aWNsZSI6IiIsIm5vbi1kcm9wcGluZy1wYXJ0aWNsZSI6IiJ9LHsiZmFtaWx5IjoiUG9jYXJkIiwiZ2l2ZW4iOiJNYXJjIiwicGFyc2UtbmFtZXMiOmZhbHNlLCJkcm9wcGluZy1wYXJ0aWNsZSI6IiIsIm5vbi1kcm9wcGluZy1wYXJ0aWNsZSI6IiJ9LHsiZmFtaWx5IjoiUm91c3NldCIsImdpdmVuIjoiUGFzY2FsIiwicGFyc2UtbmFtZXMiOmZhbHNlLCJkcm9wcGluZy1wYXJ0aWNsZSI6IiIsIm5vbi1kcm9wcGluZy1wYXJ0aWNsZSI6IiJ9LHsiZmFtaWx5IjoiUXVlbmV0IiwiZ2l2ZW4iOiJGcmFuY29pcyIsInBhcnNlLW5hbWVzIjpmYWxzZSwiZHJvcHBpbmctcGFydGljbGUiOiIiLCJub24tZHJvcHBpbmctcGFydGljbGUiOiIifSx7ImZhbWlseSI6Ik1hcmlhbmkiLCJnaXZlbiI6IlBhc2NhbGUiLCJwYXJzZS1uYW1lcyI6ZmFsc2UsImRyb3BwaW5nLXBhcnRpY2xlIjoiIiwibm9uLWRyb3BwaW5nLXBhcnRpY2xlIjoiIn0seyJmYW1pbHkiOiJHbGVoZW4iLCJnaXZlbiI6Ik9saXZpZXIiLCJwYXJzZS1uYW1lcyI6ZmFsc2UsImRyb3BwaW5nLXBhcnRpY2xlIjoiIiwibm9uLWRyb3BwaW5nLXBhcnRpY2xlIjoiIn0seyJmYW1pbHkiOiJHb8OpcsOpIiwiZ2l2ZW4iOiJEaWFuZSIsInBhcnNlLW5hbWVzIjpmYWxzZSwiZHJvcHBpbmctcGFydGljbGUiOiIiLCJub24tZHJvcHBpbmctcGFydGljbGUiOiIifV0sImNvbnRhaW5lci10aXRsZSI6IkRpZ2VzdGl2ZSBhbmQgbGl2ZXIgZGlzZWFzZSA6IG9mZmljaWFsIGpvdXJuYWwgb2YgdGhlIEl0YWxpYW4gU29jaWV0eSBvZiBHYXN0cm9lbnRlcm9sb2d5IGFuZCB0aGUgSXRhbGlhbiBBc3NvY2lhdGlvbiBmb3IgdGhlIFN0dWR5IG9mIHRoZSBMaXZlciIsImNvbnRhaW5lci10aXRsZS1zaG9ydCI6IkRpZyBMaXZlciBEaXMiLCJET0kiOiIxMC4xMDE2L0ouRExELjIwMjEuMTAuMDA1IiwiSVNTTiI6IjE4NzgtMzU2MiIsIlBNSUQiOiIzNDgxNTE5NCIsImlzc3VlZCI6eyJkYXRlLXBhcnRzIjpbWzIwMjJdXX0sInBhZ2UiOiIzMC0zOSIsImFic3RyYWN0IjoiSW50cm9kdWN0aW9uOiBUaGlzIGRvY3VtZW50IGlzIGEgc3VtbWFyeSBvZiB0aGUgRnJlbmNoIEludGVyZ3JvdXAgZ3VpZGVsaW5lcyByZWdhcmRpbmcgdGhlIG1hbmFnZW1lbnQgb2YgYXBwZW5kaWN1bGFyIGVwaXRoZWxpYWwgdHVtb3JzIChBVCkgYW5kIHBzZXVkb215eG9tYSBwZXJpdG9uZWkgKFBNUCkgcHVibGlzaGVkIGluIE1hcmNoIDIwMjAsIGF2YWlsYWJsZSBvbiB0aGUgd2Vic2l0ZSBvZiB0aGUgRnJlbmNoIFNvY2lldHkgb2YgR2FzdHJvZW50ZXJvbG9neSAoU05GR0UpICh3d3cudG5jZC5vcmcpLiBNZXRob2RzOiBBbGwgRnJlbmNoIG1lZGljYWwgc29jaWV0aWVzIHNwZWNpYWxpemVkIGluIHRoZSBtYW5hZ2VtZW50IG9mIEFUIGFuZCBQTVAgY29sbGFib3JhdGl2ZWx5IGVzdGFibGlzaGVkIHRoZXNlIHJlY29tbWVuZGF0aW9ucyBiYXNlZCBvbiBsaXRlcmF0dXJlIHVudGlsIERlY2VtYmVyIDIwMTkgYW5kIHRoZSByZXN1bHRzIG9mIGEgRGVscGhpIHZvdGUgY2FycmllZCBvdXQgYnkgdGhlIFBlcml0b25lYWwgU3VyZmFjZSBPbmNvbG9neSBHcm91cCBJbnRlcm5hdGlvbmFsIGV4cGVydHMsIGFuZCBncmFkZWQgaW50byA0IGNhdGVnb3JpZXMgKEEsIEIsIEMsIEV4cGVydCBBZ3JlZW1lbnQpIGFjY29yZGluZyB0byB0aGVpciBsZXZlbCBvZiBldmlkZW5jZS4gUmVzdWx0czogQVQgYW5kIFBNUCBhcmUgcmFyZSBidXQgcmVwcmVzZW50IGEgd2lkZSByYW5nZSBvZiBjbGluaWNvLXBhdGhvbG9naWNhbCBlbnRpdGllcyB3aXRoIHNldmVyYWwgcGF0aG9sb2dpY2FsIGNsYXNzaWZpY2F0aW9uIHN5c3RlbXMgYW5kIGRpZmZlcmVudCBiaW9sb2dpY2FsIGJlaGF2aW9ycy4gVGhlaXIgdHJlYXRtZW50IG1vZGFsaXRpZXMgbWF5IHZhcnkgYWNjb3JkaW5nbHkgYW5kIHJhbmdlIGZyb20gc2ltcGxlIHN1cnZlaWxsYW5jZSBvciBsYXBhcm9zY29waWMgYXBwZW5kZWN0b215IHRvIGNvbXBsZXRlIGN5dG9yZWR1Y3RpdmUgc3VyZ2VyeSAoQ1JTKSB3aXRoIGh5cGVydGhlcm1pYyBpbnRyYXBlcml0b25lYWwgY2hlbW90aGVyYXB5IChISVBFQykgYW5kIC8gb3Igc3lzdGVtaWMgY2hlbW90aGVyYXB5LiBUaGUgcHJvZ25vc2lzIG9mIHRoZXNlIG5lb3BsYXNtcyBtYXkgYWxzbyBsYXJnZWx5IHZhcnkgYWNjb3JkaW5nIHRvIHRoZWlyIHBhdGhvbG9naWNhbCBncmFkZSBhbmQgc3ByZWFkaW5nIGF0IGRpYWdub3NpcyBvciBkdXJpbmcgdGhlIGZvbGxvdy11cC4gR2l2ZW4gdGhlIHJhcml0eSBvZiBjZXJ0YWluIHNpdHVhdGlvbnMsIHRoZSB0aGVyYXBldXRpYyBzdHJhdGVneSBhZGFwdGVkIHRvIGVhY2ggcGF0aWVudCwgbXVzdCBiZSBkaXNjdXNzZWQgaW4gYSBzcGVjaWFsaXplZCBtdWx0aWRpc2NpcGxpbmFyeSBtZWV0aW5nIGFmdGVyIGEgc3BlY2lhbGl6ZWQgcGF0aG9sb2dpY2FsIGFuZCByYWRpb2xvZ2ljYWwgcHJlLXRoZXJhcGV1dGljIGFzc2Vzc21lbnQgYW5kIGEgY2xpbmljYWwgZXhhbWluYXRpb24gYnkgYSBzdXJnZW9uIHNwZWNpYWxpemluZyBpbiB0aGUgbWFuYWdlbWVudCBvZiByYXJlIHBlcml0b25lYWwgbWFsaWduYW5jaWVzLiBDb25jbHVzaW9uOiBUaGVzZSByZWNvbW1lbmRhdGlvbnMgYXJlIHByb3Bvc2VkIHRvIGFjaGlldmUgdGhlIG1vc3QgYmVuZWZpY2lhbCBzdHJhdGVneSBpbiBhIGRhaWx5IHByYWN0aWNlIGFzIHRoZSB3aWRlIHJhbmdlIGFuZCB0aGUgcmFyZW5lc3Mgb2YgdGhlc2UgZW50aXRpZXMgcmVuZGVycyB0aGVpciBtYW5hZ2VtZW50IGNoYWxsZW5naW5nLiBUaGVzZSBndWlkZWxpbmVzIGFyZSBwZXJtYW5lbnRseSBiZWluZyByZXZpZXdlZC4iLCJwdWJsaXNoZXIiOiJEaWcgTGl2ZXIgRGlzIiwiaXNzdWUiOiIxIiwidm9sdW1lIjoiNTQifSwiaXNUZW1wb3JhcnkiOmZhbHNlfV19"/>
          <w:id w:val="1323394483"/>
        </w:sdtPr>
        <w:sdtContent>
          <w:r>
            <w:rPr/>
          </w:r>
          <w:r>
            <w:rPr>
              <w:rStyle w:val="s2"/>
              <w:color w:val="000000"/>
            </w:rPr>
            <w:t>(33)</w:t>
          </w:r>
        </w:sdtContent>
      </w:sdt>
      <w:r>
        <w:rPr/>
        <w:t>.</w:t>
      </w:r>
    </w:p>
    <w:p>
      <w:pPr>
        <w:pStyle w:val="p1"/>
        <w:spacing w:lineRule="auto" w:line="360" w:before="280" w:after="280"/>
        <w:jc w:val="both"/>
        <w:rPr/>
      </w:pPr>
      <w:r>
        <w:rPr/>
        <w:t>El diagnóstico histopatológico de estos tumores requiere un análisis minucioso por parte del patólogo, con el apoyo de técnicas de inmunohistoquímica que permitan descartar una diferenciación neuroendocrina o mucinosa definida. Pueden presentar una proliferación epitelial pleomórfica y desorganizada, con alta actividad mitótica y escasa diferenciación glandular, especialmente en los casos indiferenciados. Los subtipos mixtos muestran una combinación de patrones celulares, que incluye focos de carcinoma en anillo de sello o componentes sólidos mal diferenciados.</w:t>
      </w:r>
    </w:p>
    <w:p>
      <w:pPr>
        <w:pStyle w:val="p3"/>
        <w:spacing w:lineRule="auto" w:line="360" w:before="280" w:after="280"/>
        <w:jc w:val="both"/>
        <w:rPr/>
      </w:pPr>
      <w:r>
        <w:rPr/>
        <w:t>El diagnóstico diferencial incluye tumores colónicos mal diferenciados que infiltran el apéndice, linfomas apendiculares y neoplasias neuroendocrinas de alto grado.</w:t>
      </w:r>
    </w:p>
    <w:p>
      <w:pPr>
        <w:pStyle w:val="Heading2"/>
        <w:numPr>
          <w:ilvl w:val="1"/>
          <w:numId w:val="61"/>
        </w:numPr>
        <w:rPr/>
      </w:pPr>
      <w:bookmarkStart w:id="93" w:name="_Toc199584583"/>
      <w:bookmarkStart w:id="94" w:name="_Toc200580222"/>
      <w:r>
        <w:rPr/>
        <w:t>Factores de riesgo para el cáncer apendicular</w:t>
      </w:r>
      <w:bookmarkEnd w:id="93"/>
      <w:bookmarkEnd w:id="94"/>
    </w:p>
    <w:p>
      <w:pPr>
        <w:pStyle w:val="p3"/>
        <w:spacing w:lineRule="auto" w:line="360" w:before="280" w:after="280"/>
        <w:jc w:val="both"/>
        <w:rPr/>
      </w:pPr>
      <w:r>
        <w:rPr/>
        <w:t>El cáncer apendicular, dada su rareza, ha sido históricamente una entidad poco estudiada en términos de factores de riesgo. No obstante, el análisis de grandes series de casos y estudios poblacionales recientes ha permitido identificar una serie de condiciones y características clínicas asociadas a un mayor riesgo de desarrollar neoplasias en el apéndice vermiforme</w:t>
      </w:r>
      <w:sdt>
        <w:sdtPr>
          <w:placeholder>
            <w:docPart w:val="8791429B75A07D49B181E5EF00238717"/>
          </w:placeholder>
          <w:tag w:val="MENDELEY_CITATION_v3_eyJjaXRhdGlvbklEIjoiTUVOREVMRVlfQ0lUQVRJT05fZWYxNDVhMTktYjE3Ny00YjI1LTgxZmEtYmU2ZjU0MjhhNjU3IiwicHJvcGVydGllcyI6eyJub3RlSW5kZXgiOjB9LCJpc0VkaXRlZCI6ZmFsc2UsIm1hbnVhbE92ZXJyaWRlIjp7ImlzTWFudWFsbHlPdmVycmlkZGVuIjpmYWxzZSwiY2l0ZXByb2NUZXh0IjoiKDMpIiwibWFudWFsT3ZlcnJpZGVUZXh0IjoiIn0sImNpdGF0aW9uSXRlbXMiOlt7ImlkIjoiMTY3NzkzYzgtNjAwYy0zOGMzLWFlMzgtNWNlNTQ3MGIxYjY0IiwiaXRlbURhdGEiOnsidHlwZSI6ImFydGljbGUtam91cm5hbCIsImlkIjoiMTY3NzkzYzgtNjAwYy0zOGMzLWFlMzgtNWNlNTQ3MGIxYjY0IiwidGl0bGUiOiJDb250aW51ZWQgaW5jcmVhc2luZyBpbmNpZGVuY2Ugb2YgbWFsaWduYW50IGFwcGVuZGljZWFsIHR1bW9ycyBpbiBDYW5hZGEgYW5kIHRoZSBVbml0ZWQgU3RhdGVzOiBBIHBvcHVsYXRpb24tYmFzZWQgc3R1ZHkiLCJhdXRob3IiOlt7ImZhbWlseSI6IlNpbmdoIiwiZ2l2ZW4iOiJIYXJtaW5kZXIiLCJwYXJzZS1uYW1lcyI6ZmFsc2UsImRyb3BwaW5nLXBhcnRpY2xlIjoiIiwibm9uLWRyb3BwaW5nLXBhcnRpY2xlIjoiIn0seyJmYW1pbHkiOiJLb29tc29uIiwiZ2l2ZW4iOiJBbmFuZGEgUy4iLCJwYXJzZS1uYW1lcyI6ZmFsc2UsImRyb3BwaW5nLXBhcnRpY2xlIjoiIiwibm9uLWRyb3BwaW5nLXBhcnRpY2xlIjoiIn0seyJmYW1pbHkiOiJEZWNrZXIiLCJnaXZlbiI6IkthdGhsZWVuIE0uIiwicGFyc2UtbmFtZXMiOmZhbHNlLCJkcm9wcGluZy1wYXJ0aWNsZSI6IiIsIm5vbi1kcm9wcGluZy1wYXJ0aWNsZSI6IiJ9LHsiZmFtaWx5IjoiUGFyayIsImdpdmVuIjoiSmFzb24iLCJwYXJzZS1uYW1lcyI6ZmFsc2UsImRyb3BwaW5nLXBhcnRpY2xlIjoiIiwibm9uLWRyb3BwaW5nLXBhcnRpY2xlIjoiIn0seyJmYW1pbHkiOiJEZW1lcnMiLCJnaXZlbiI6IkFsYWluIEEuIiwicGFyc2UtbmFtZXMiOmZhbHNlLCJkcm9wcGluZy1wYXJ0aWNsZSI6IiIsIm5vbi1kcm9wcGluZy1wYXJ0aWNsZSI6IiJ9XSwiY29udGFpbmVyLXRpdGxlIjoiQ2FuY2VyIiwiY29udGFpbmVyLXRpdGxlLXNob3J0IjoiQ2FuY2VyIiwiRE9JIjoiMTAuMTAwMi9DTkNSLjMyNzkzIiwiSVNTTiI6IjEwOTctMDE0MiIsIlBNSUQiOiIzMjEwMTY0MyIsImlzc3VlZCI6eyJkYXRlLXBhcnRzIjpbWzIwMjBdXX0sInBhZ2UiOiIyMjA2LTIyMTYiLCJhYnN0cmFjdCI6IkJhY2tncm91bmQ6IFRvIHRoZSBhdXRob3JzJyBrbm93bGVkZ2UsIHRoZXJlIGFyZSBsaW1pdGVkIGRhdGEgcmVnYXJkaW5nIHRoZSBlcGlkZW1pb2xvZ3kgb2YgbWFsaWduYW50IGFwcGVuZGljZWFsIHR1bW9ycy4gSXQgcmVtYWlucyB1bmtub3duIHdoZXRoZXIgdGhlIHByZXZpb3VzbHkgcmVwb3J0ZWQgdHJlbmRzIGFyZSBvY2N1cnJpbmcgaW4gZGlmZmVyZW50IGNvdW50cmllcyBhbmQvb3IgY29udGludWluZyBpbiByZWNlbnQgeWVhcnMgYW5kL29yIHdoZXRoZXIgdGhleSBhcmUgcG9zc2libHkgZHVlIHRvIGluY3JlYXNpbmcgcmF0ZXMgb2YgYXBwZW5kZWN0b21pZXMuIEluIHRoZSBjdXJyZW50IHN0dWR5LCB0aGUgYXV0aG9ycyBpbnZlc3RpZ2F0ZWQgdGhlIHBhdHRlcm5zIGFuZCB0aW1lIHRyZW5kcyBvZiBtYWxpZ25hbnQgYXBwZW5kaWNlYWwgdHVtb3IgZGlhZ25vc2lzIGJ5IGFnZSBncm91cCwgc2V4LCBzdGFnZSBvZiBkaXNlYXNlLCBhbmQgaGlzdG9sb2d5IGluIENhbmFkYSBhbmQgdGhlIFVuaXRlZCBTdGF0ZXMgYW5kIGNvbmNvbWl0YW50IHJhdGVzIG9mIGFwcGVuZGVjdG9taWVzIGluIENhbmFkYS4gTWV0aG9kczogVGhlIENhbmFkaWFuIENhbmNlciBSZWdpc3RyeSBhbmQgdGhlIFVTIFN1cnZlaWxsYW5jZSwgRXBpZGVtaW9sb2d5LCBhbmQgRW5kIFJlc3VsdHMgaW5jaWRlbmNlIGRhdGFiYXNlcyB3ZXJlIHVzZWQgdG8gaWRlbnRpZnkgaW5jaWRlbnQgcGF0aWVudHMgb2YgbWFsaWduYW50IGFwcGVuZGljZWFsIHR1bW9ycyBpbiB0aGUgMiBjb3VudHJpZXMgYmV0d2VlbiAxOTkyIGFuZCAyMDE2LiBUaGUgQ2FuYWRpYW4gbmF0aW9uYWwgaG9zcGl0YWxzIERpc2NoYXJnZSBBYnN0cmFjdCBEYXRhYmFzZSB3YXMgdXNlZCB0byBpZGVudGlmeSBhcHBlbmRlY3RvbWllcyBwZXJmb3JtZWQgYmV0d2VlbiAyMDA0IGFuZCAyMDE1LiBKb2lucG9pbnQgcmVncmVzc2lvbiBhbmFseXNlcyB3ZXJlIHBlcmZvcm1lZCB0byBkZXRlcm1pbmUgdGltZSB0cmVuZHMuIFJlc3VsdHM6IFRoZXJlIHdhcyBhbiBvdmVyYWxsIGluY3JlYXNlIGluIHRoZSBpbmNpZGVuY2Ugb2YgbWFsaWduYW50IGFwcGVuZGljZWFsIHR1bW9ycyBvZiAyMzIlIGluIHRoZSBVbml0ZWQgU3RhdGVzIGFuZCAyOTIlIGluIENhbmFkYSBiZXR3ZWVuIDIwMDAgYW5kIDIwMTYuIFRoZSBpbmNyZWFzZSB3YXMgbm90ZWQgZm9yIG1hbGlnbmFudCBhZGVub2NhcmNpbm9tYXMgYW5kIG5ldXJvZW5kb2NyaW5lIGFwcGVuZGljZWFsIHR1bW9ycyBpbiBib3RoIGNvdW50cmllcy4gVGhlIGluY3JlYXNlIG9jY3VycmVkIGFjcm9zcyBhbGwgYWdlIGdyb3Vwcywgc2V4ZXMsIGFuZCBzdGFnZXMgb2YgZGlzZWFzZS4gVGhlIGhpZ2hlc3QgcmF0ZSBvZiBpbmNyZWFzZSB3YXMgbm90ZWQgZm9yIGFwcGVuZGljZWFsIG5ldXJvZW5kb2NyaW5lIG1hbGlnbmFudCB0dW1vcnMgZGlhZ25vc2VkIGFtb25nIHRoZSB5b3VuZ2VzdCBhZ2UgZ3JvdXBzLiBUaGUgcmF0ZSBvZiBhcHBlbmRlY3RvbWllcyB3YXMgc3RhYmxlIGluIHRoZSByZWNlbnQgdGltZSBwZXJpb2RzLCByZXN1bHRpbmcgaW4gYSBkZWNyZWFzaW5nIHJhdGUgb2YgYXBwZW5kZWN0b21pZXMgcGVyIG1hbGlnbmFudCBhcHBlbmRpY2VhbCB0dW1vciBkaWFnbm9zaXMuIENvbmNsdXNpb25zOiBUaGUgaW5jaWRlbmNlIG9mIG1hbGlnbmFudCBhcHBlbmRpY2VhbCB0dW1vciBpcyBjb250aW51aW5nIHRvIGluY3JlYXNlLCB3aGljaCBpcyBub3QgbGlrZWx5IGR1ZSB0byB0aGUgaW5jcmVhc2luZyBkaWFnbm9zaXMgb2YgYXN5bXB0b21hdGljIHR1bW9ycyBhdCB0aGUgdGltZSBvZiBhcHBlbmRlY3RvbWllcy4iLCJwdWJsaXNoZXIiOiJDYW5jZXIiLCJpc3N1ZSI6IjEwIiwidm9sdW1lIjoiMTI2In0sImlzVGVtcG9yYXJ5IjpmYWxzZX1dfQ=="/>
          <w:id w:val="1566366891"/>
        </w:sdtPr>
        <w:sdtContent>
          <w:r>
            <w:rPr/>
          </w:r>
          <w:r>
            <w:rPr>
              <w:color w:val="000000"/>
            </w:rPr>
            <w:t>(3)</w:t>
          </w:r>
        </w:sdtContent>
      </w:sdt>
      <w:sdt>
        <w:sdtPr>
          <w:placeholder>
            <w:docPart w:val="8791429B75A07D49B181E5EF00238717"/>
          </w:placeholder>
          <w:tag w:val="MENDELEY_CITATION_v3_eyJjaXRhdGlvbklEIjoiTUVOREVMRVlfQ0lUQVRJT05fYTYxMzFhYWYtOThiYS00ODFiLWE2ZmItYzQ2ZGMxYTMwY2Yw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2062680724"/>
        </w:sdtPr>
        <w:sdtContent>
          <w:r>
            <w:rPr>
              <w:color w:val="000000"/>
            </w:rPr>
          </w:r>
          <w:r>
            <w:rPr>
              <w:color w:val="000000"/>
            </w:rPr>
            <w:t>(13)</w:t>
          </w:r>
        </w:sdtContent>
      </w:sdt>
      <w:r>
        <w:rPr/>
        <w:t xml:space="preserve">. </w:t>
      </w:r>
      <w:r>
        <w:rPr/>
        <w:t xml:space="preserve">Entre los factores potencialmente implicados se encuentran: </w:t>
      </w:r>
    </w:p>
    <w:p>
      <w:pPr>
        <w:pStyle w:val="p3"/>
        <w:numPr>
          <w:ilvl w:val="0"/>
          <w:numId w:val="39"/>
        </w:numPr>
        <w:spacing w:lineRule="auto" w:line="360" w:before="280" w:after="0"/>
        <w:jc w:val="both"/>
        <w:rPr/>
      </w:pPr>
      <w:r>
        <w:rPr>
          <w:b/>
          <w:bCs/>
        </w:rPr>
        <w:t>Edad avanzada</w:t>
      </w:r>
      <w:r>
        <w:rPr>
          <w:rStyle w:val="s1"/>
        </w:rPr>
        <w:t xml:space="preserve">: </w:t>
      </w:r>
      <w:r>
        <w:rPr/>
        <w:t xml:space="preserve">El riesgo aumenta de forma significativa a partir de los 50 años. La evidencia muestra que la mediana de edad al momento del diagnóstico oscila entre los 55 y los 60 años </w:t>
      </w:r>
      <w:sdt>
        <w:sdtPr>
          <w:placeholder>
            <w:docPart w:val="8791429B75A07D49B181E5EF00238717"/>
          </w:placeholder>
          <w:tag w:val="MENDELEY_CITATION_v3_eyJjaXRhdGlvbklEIjoiTUVOREVMRVlfQ0lUQVRJT05fNWMyNGE5OWQtN2FjYi00YzM3LWJiYzgtMTQyZWMyYmFiOTEzIiwicHJvcGVydGllcyI6eyJub3RlSW5kZXgiOjB9LCJpc0VkaXRlZCI6ZmFsc2UsIm1hbnVhbE92ZXJyaWRlIjp7ImlzTWFudWFsbHlPdmVycmlkZGVuIjpmYWxzZSwiY2l0ZXByb2NUZXh0IjoiKDM0KSIsIm1hbnVhbE92ZXJyaWRlVGV4dCI6IiJ9LCJjaXRhdGlvbkl0ZW1zIjpbeyJpZCI6IjNmOTc4MWU4LTI2NjQtMzlhZS04NDU5LTZhMjA1NjIxNjBkMSIsIml0ZW1EYXRhIjp7InR5cGUiOiJhcnRpY2xlLWpvdXJuYWwiLCJpZCI6IjNmOTc4MWU4LTI2NjQtMzlhZS04NDU5LTZhMjA1NjIxNjBkMSIsInRpdGxlIjoiQXBwZW5kaWNlYWwgYWRlbm9jYXJjaW5vbWEgZm91bmQgYnkgc3VyZ2VyeSBmb3IgYWN1dGUgYXBwZW5kaWNpdGlzIGlzIGFzc29jaWF0ZWQgd2l0aCBvbGRlciBhZ2UiLCJhdXRob3IiOlt7ImZhbWlseSI6IlNrZW5kZWxhcyIsImdpdmVuIjoiSm9obiBQLiIsInBhcnNlLW5hbWVzIjpmYWxzZSwiZHJvcHBpbmctcGFydGljbGUiOiIiLCJub24tZHJvcHBpbmctcGFydGljbGUiOiIifSx7ImZhbWlseSI6IkFsZW1hbnkiLCJnaXZlbiI6IlZpY3RvciBTLiIsInBhcnNlLW5hbWVzIjpmYWxzZSwiZHJvcHBpbmctcGFydGljbGUiOiIiLCJub24tZHJvcHBpbmctcGFydGljbGUiOiIifSx7ImZhbWlseSI6IkF1IiwiZ2l2ZW4iOiJWaW5jZW50IiwicGFyc2UtbmFtZXMiOmZhbHNlLCJkcm9wcGluZy1wYXJ0aWNsZSI6IiIsIm5vbi1kcm9wcGluZy1wYXJ0aWNsZSI6IiJ9LHsiZmFtaWx5IjoiUmFvIiwiZ2l2ZW4iOiJEZXZpa2EiLCJwYXJzZS1uYW1lcyI6ZmFsc2UsImRyb3BwaW5nLXBhcnRpY2xlIjoiIiwibm9uLWRyb3BwaW5nLXBhcnRpY2xlIjoiIn0seyJmYW1pbHkiOiJNY05lbGlzIiwiZ2l2ZW4iOiJKb2huIiwicGFyc2UtbmFtZXMiOmZhbHNlLCJkcm9wcGluZy1wYXJ0aWNsZSI6IiIsIm5vbi1kcm9wcGluZy1wYXJ0aWNsZSI6IiJ9LHsiZmFtaWx5IjoiS2ltIiwiZ2l2ZW4iOiJQZXRlciBLLiIsInBhcnNlLW5hbWVzIjpmYWxzZSwiZHJvcHBpbmctcGFydGljbGUiOiIiLCJub24tZHJvcHBpbmctcGFydGljbGUiOiIifV0sImNvbnRhaW5lci10aXRsZSI6IkJNQyBzdXJnZXJ5IiwiY29udGFpbmVyLXRpdGxlLXNob3J0IjoiQk1DIFN1cmciLCJET0kiOiIxMC4xMTg2L1MxMjg5My0wMjEtMDEyMjQtMCIsIklTU04iOiIxNDcxLTI0ODIiLCJQTUlEIjoiMzM5MzQ2OTciLCJpc3N1ZWQiOnsiZGF0ZS1wYXJ0cyI6W1syMDIxXV19LCJhYnN0cmFjdCI6IkJhY2tncm91bmQ6IEFwcGVuZGVjdG9teSBmb3IgYWN1dGUgYXBwZW5kaWNpdGlzIGlzIHRoZSBtb3N0IGNvbW1vbiBwcm9jZWR1cmUgcGVyZm9ybWVkIGVtZXJnZW50bHkgYnkgZ2VuZXJhbCBzdXJnZW9ucyBpbiB0aGUgVW5pdGVkIFN0YXRlcy4gVGhlIGN1cnJlbnQgbWFuYWdlbWVudCBvZiBhY3V0ZSBhcHBlbmRpY2l0aXMgaXMgaW5jcmVhc2luZ2x5IGNvbnRyb3ZlcnNpYWwgYXMgbm9uLW9wZXJhdGl2ZSBtYW5hZ2VtZW50IGdhaW5zIGZhdm9yLiBBbHRob3VnaCByYXJlLCBhcHBlbmRpY2VhbCBuZW9wbGFzbXMgYXJlIG9mdGVuIGZvdW5kIGFzIGFuIGluY2lkZW50YWwgZmluZGluZyBpbiB0aGUgc2V0dGluZyBvZiBhcHBlbmRlY3RvbXkuIENyaXRlcmlhIGFuZCBzY3JlZW5pbmcgZm9yIGFwcGVuZGljZWFsIG5lb3BsYXNtcyBhcmUgbm90IHN0YW5kYXJkaXplZCBhbW9uZyBzdXJnaWNhbCBzb2NpZXRpZXMuIE1ldGhvZHM6IFRoZSBOYXRpb25hbCBTdXJnaWNhbCBRdWFsaXR5IEltcHJvdmVtZW50IFByb2dyYW0gKE5TUUlQKSBkYXRhYmFzZSB3YXMgcXVlcmllZCBmb3IgYWxsIHBhdGllbnRzIHdobyB1bmRlcndlbnQgYXBwZW5kZWN0b215IG92ZXIgYSA5LXllYXIgcGVyaW9kICgyMDEw4oCTMjAxOCkuIE92ZXIgdGhlIHNhbWUgdGltZSBwZXJpb2QsIHBhdGllbnRzIHdobyB1bmRlcndlbnQgYXBwZW5kZWN0b215IGluIHR3byBtdW5pY2lwYWwgaG9zcGl0YWxzIGluIFRoZSBCcm9ueCwgTmV3IFlvcmsgQ2l0eSwgVVNBIHdlcmUgcmV2aWV3ZWQuIFJlc3VsdHM6IFdlIGZvdW5kIGEgMS43JSBpbmNpZGVuY2Ugb2YgYXBwZW5kaWNlYWwgbmVvcGxhc21zIGxvY2FsbHkgYW5kIGEgMC41MyUgaW5jaWRlbmNlIG9mIGFwcGVuZGljZWFsIHR1bW9ycyBpbiBhIG5hdGlvbmFsIHBvcHVsYXRpb24gc2FtcGxlLiBCb3RoIGdyb3VwcyBkZW1vbnN0cmF0ZWQgYW4gaW5jcmVhc2VkIGluY2lkZW5jZSBvZiBhcHBlbmRpY2VhbCBjYXJjaW5vbWEgYnkgYWdlLiBUaGlzIGZpbmRpbmcgd2FzIG1vc3QgcHJvbm91bmNlZCBhZnRlciB0aGUgYWdlIG9mIDQwIGluIGJvdGggbG9jYWwgYW5kIG5hdGlvbmFsIHBvcHVsYXRpb25zLiBJbiBvdXIgc3R1ZHksIHRoZSBpbmNpZGVuY2Ugb2YgYXBwZW5kaWNlYWwgdHVtb3JzIGluY3JlYXNlZCB3aXRoIGVhY2ggZGVjYWRlIGludGVydmFsIHVwIHRvIHRoZSBhZ2Ugb2YgODAgYW5kIHBlYWtlZCBhdCAyLjElIGluIHBhdGllbnRzIGJldHdlZW4gNzAgYW5kIDc5wqB5ZWFycy4gQ29uY2x1c2lvbnM6IEFwcGVuZGljZWFsIGFkZW5vY2FyY2lub21hcyB3ZXJlIGlkZW50aWZpZWQgaW4gcGF0aWVudHMgd2l0aCBhY3V0ZSBhcHBlbmRpY2l0aXMgdGhhdCBzZWVtIHRvIGJlIGFzc29jaWF0ZWQgd2l0aCBpbmNyZWFzaW5nIGFnZS4gVGhlIHByZXNlbmNlIG9mIGFuIGFwcGVuZGljZWFsIG1hbGlnbmFuY3kgc2hvdWxkIGJlIGNvbnNpZGVyZWQgaW4gdGhlIG1hbmFnZW1lbnQgb2Ygb2xkZXIgcGF0aWVudHMgd2l0aCBhY3V0ZSBhcHBlbmRpY2l0aXMgYmVmb3JlIGEgZGVjaXNpb24gdG8gZW1iYXJrIG9uIG5vbi1vcGVyYXRpdmUgdGhlcmFweS4iLCJwdWJsaXNoZXIiOiJCTUMgU3VyZyIsImlzc3VlIjoiMSIsInZvbHVtZSI6IjIxIn0sImlzVGVtcG9yYXJ5IjpmYWxzZX1dfQ=="/>
          <w:id w:val="-1919005020"/>
        </w:sdtPr>
        <w:sdtContent>
          <w:r>
            <w:rPr/>
          </w:r>
          <w:r>
            <w:rPr>
              <w:rFonts w:eastAsia="MS Mincho"/>
              <w:color w:val="000000"/>
            </w:rPr>
            <w:t>(34)</w:t>
          </w:r>
        </w:sdtContent>
      </w:sdt>
      <w:r>
        <w:rPr/>
        <w:t xml:space="preserve">. </w:t>
      </w:r>
      <w:r>
        <w:rPr/>
        <w:t>Este fenómeno probablemente se relaciona con la acumulación progresiva de alteraciones genéticas y epigenéticas asociadas al envejecimiento.</w:t>
      </w:r>
    </w:p>
    <w:p>
      <w:pPr>
        <w:pStyle w:val="p3"/>
        <w:numPr>
          <w:ilvl w:val="0"/>
          <w:numId w:val="39"/>
        </w:numPr>
        <w:spacing w:lineRule="auto" w:line="360" w:before="0" w:after="0"/>
        <w:jc w:val="both"/>
        <w:rPr/>
      </w:pPr>
      <w:r>
        <w:rPr>
          <w:b/>
          <w:bCs/>
        </w:rPr>
        <w:t>Sexo</w:t>
      </w:r>
      <w:r>
        <w:rPr>
          <w:rStyle w:val="s1"/>
        </w:rPr>
        <w:t xml:space="preserve">: </w:t>
      </w:r>
      <w:r>
        <w:rPr/>
        <w:t xml:space="preserve">Existe una ligera predilección por el sexo femenino en ciertos subtipos histológicos, especialmente en las neoplasias mucinosas y en los tumores vinculados al pseudomixoma peritonei </w:t>
      </w:r>
      <w:r>
        <w:rPr>
          <w:rFonts w:eastAsia="MS Mincho"/>
          <w:color w:val="000000"/>
        </w:rPr>
        <w:t>(32)</w:t>
      </w:r>
      <w:r>
        <w:rPr/>
        <w:t>. Sin embargo, esta diferencia no se observa de manera uniforme en todos los tipos de cáncer apendicular.</w:t>
      </w:r>
    </w:p>
    <w:p>
      <w:pPr>
        <w:pStyle w:val="p3"/>
        <w:numPr>
          <w:ilvl w:val="0"/>
          <w:numId w:val="39"/>
        </w:numPr>
        <w:spacing w:lineRule="auto" w:line="360" w:before="0" w:after="0"/>
        <w:jc w:val="both"/>
        <w:rPr/>
      </w:pPr>
      <w:r>
        <w:rPr>
          <w:b/>
          <w:bCs/>
        </w:rPr>
        <w:t>Enfermedades inflamatorias crónicas del apéndice</w:t>
      </w:r>
      <w:r>
        <w:rPr>
          <w:rStyle w:val="s1"/>
        </w:rPr>
        <w:t xml:space="preserve">: </w:t>
      </w:r>
      <w:r>
        <w:rPr/>
        <w:t xml:space="preserve">Se ha propuesto que la inflamación crónica, como ocurre en episodios recurrentes de apendicitis o en apendicitis no resueltas, podría favorecer un microambiente propicio para la transformación neoplásica </w:t>
      </w:r>
      <w:r>
        <w:rPr>
          <w:rFonts w:eastAsia="MS Mincho"/>
          <w:color w:val="000000"/>
        </w:rPr>
        <w:t>(16)</w:t>
      </w:r>
      <w:r>
        <w:rPr/>
        <w:t>. Aunque esta relación no está tan claramente establecida como en el caso de la enfermedad inflamatoria intestinal y el cáncer colorrectal, merece consideración.</w:t>
      </w:r>
    </w:p>
    <w:p>
      <w:pPr>
        <w:pStyle w:val="p3"/>
        <w:numPr>
          <w:ilvl w:val="0"/>
          <w:numId w:val="39"/>
        </w:numPr>
        <w:spacing w:lineRule="auto" w:line="360" w:before="0" w:after="0"/>
        <w:jc w:val="both"/>
        <w:rPr/>
      </w:pPr>
      <w:r>
        <w:rPr>
          <w:b/>
          <w:bCs/>
        </w:rPr>
        <w:t>Apendicitis complicada</w:t>
      </w:r>
      <w:r>
        <w:rPr>
          <w:rStyle w:val="s1"/>
        </w:rPr>
        <w:t xml:space="preserve">: </w:t>
      </w:r>
      <w:r>
        <w:rPr/>
        <w:t xml:space="preserve">Estudios recientes han sugerido una mayor incidencia de tumores apendiculares en pacientes sometidos a apendicectomías diferidas tras episodios de apendicitis complicada (por absceso o perforación), en comparación con aquellos tratados quirúrgicamente de forma temprana </w:t>
      </w:r>
      <w:sdt>
        <w:sdtPr>
          <w:placeholder>
            <w:docPart w:val="8791429B75A07D49B181E5EF00238717"/>
          </w:placeholder>
          <w:tag w:val="MENDELEY_CITATION_v3_eyJjaXRhdGlvbklEIjoiTUVOREVMRVlfQ0lUQVRJT05fNmMxZmUwMmYtYWI0Ny00ZDhhLTgzMGItMzZjZTZiYTcxNmVjIiwicHJvcGVydGllcyI6eyJub3RlSW5kZXgiOjB9LCJpc0VkaXRlZCI6ZmFsc2UsIm1hbnVhbE92ZXJyaWRlIjp7ImlzTWFudWFsbHlPdmVycmlkZGVuIjpmYWxzZSwiY2l0ZXByb2NUZXh0IjoiKDM1KSIsIm1hbnVhbE92ZXJyaWRlVGV4dCI6IiJ9LCJjaXRhdGlvbkl0ZW1zIjpbeyJpZCI6ImQyZDRkZjg1LTAzZDctM2FlNC04M2FkLTYzNTNiNDlkMzdjZiIsIml0ZW1EYXRhIjp7InR5cGUiOiJhcnRpY2xlLWpvdXJuYWwiLCJpZCI6ImQyZDRkZjg1LTAzZDctM2FlNC04M2FkLTYzNTNiNDlkMzdjZiIsInRpdGxlIjoiUmlzayBvZiBhcHBlbmRpY2VhbCBuZW9wbGFzbSBhZnRlciBpbnRlcnZhbCBhcHBlbmRlY3RvbXkgZm9yIGNvbXBsaWNhdGVkIGFwcGVuZGljaXRpczogQSBzeXN0ZW1hdGljIHJldmlldyBhbmQgbWV0YS1hbmFseXNpcyIsImF1dGhvciI6W3siZmFtaWx5IjoiUGVsdHJpbmkiLCJnaXZlbiI6IlJvYmVydG8iLCJwYXJzZS1uYW1lcyI6ZmFsc2UsImRyb3BwaW5nLXBhcnRpY2xlIjoiIiwibm9uLWRyb3BwaW5nLXBhcnRpY2xlIjoiIn0seyJmYW1pbHkiOiJDYW50b25pIiwiZ2l2ZW4iOiJWYWxlcmlhIiwicGFyc2UtbmFtZXMiOmZhbHNlLCJkcm9wcGluZy1wYXJ0aWNsZSI6IiIsIm5vbi1kcm9wcGluZy1wYXJ0aWNsZSI6IiJ9LHsiZmFtaWx5IjoiR3JlZW4iLCJnaXZlbiI6IlJvYmVydGEiLCJwYXJzZS1uYW1lcyI6ZmFsc2UsImRyb3BwaW5nLXBhcnRpY2xlIjoiIiwibm9uLWRyb3BwaW5nLXBhcnRpY2xlIjoiIn0seyJmYW1pbHkiOiJMaW9uZXR0aSIsImdpdmVuIjoiUnVnZ2VybyIsInBhcnNlLW5hbWVzIjpmYWxzZSwiZHJvcHBpbmctcGFydGljbGUiOiIiLCJub24tZHJvcHBpbmctcGFydGljbGUiOiIifSx7ImZhbWlseSI6IkQnQW1icmEiLCJnaXZlbiI6Ik1pY2hlbGUiLCJwYXJzZS1uYW1lcyI6ZmFsc2UsImRyb3BwaW5nLXBhcnRpY2xlIjoiIiwibm9uLWRyb3BwaW5nLXBhcnRpY2xlIjoiIn0seyJmYW1pbHkiOiJCYXJ0b2xpbmkiLCJnaXZlbiI6IkNhcm9saW5hIiwicGFyc2UtbmFtZXMiOmZhbHNlLCJkcm9wcGluZy1wYXJ0aWNsZSI6IiIsIm5vbi1kcm9wcGluZy1wYXJ0aWNsZSI6IiJ9LHsiZmFtaWx5IjoiTHVjYSIsImdpdmVuIjoiTWFyY2VsbG8iLCJwYXJzZS1uYW1lcyI6ZmFsc2UsImRyb3BwaW5nLXBhcnRpY2xlIjoiIiwibm9uLWRyb3BwaW5nLXBhcnRpY2xlIjoiRGUifSx7ImZhbWlseSI6IkJyYWNhbGUiLCJnaXZlbiI6IlVtYmVydG8iLCJwYXJzZS1uYW1lcyI6ZmFsc2UsImRyb3BwaW5nLXBhcnRpY2xlIjoiIiwibm9uLWRyb3BwaW5nLXBhcnRpY2xlIjoiIn0seyJmYW1pbHkiOiJDdW9jb2xvIiwiZ2l2ZW4iOiJBbGJlcnRvIiwicGFyc2UtbmFtZXMiOmZhbHNlLCJkcm9wcGluZy1wYXJ0aWNsZSI6IiIsIm5vbi1kcm9wcGluZy1wYXJ0aWNsZSI6IiJ9LHsiZmFtaWx5IjoiQ29yY2lvbmUiLCJnaXZlbiI6IkZyYW5jZXNjbyIsInBhcnNlLW5hbWVzIjpmYWxzZSwiZHJvcHBpbmctcGFydGljbGUiOiIiLCJub24tZHJvcHBpbmctcGFydGljbGUiOiIifV0sImNvbnRhaW5lci10aXRsZSI6IlRoZSBzdXJnZW9uIDogam91cm5hbCBvZiB0aGUgUm95YWwgQ29sbGVnZXMgb2YgU3VyZ2VvbnMgb2YgRWRpbmJ1cmdoIGFuZCBJcmVsYW5kIiwiY29udGFpbmVyLXRpdGxlLXNob3J0IjoiU3VyZ2VvbiIsIkRPSSI6IjEwLjEwMTYvSi5TVVJHRS4yMDIxLjAxLjAxMCIsIklTU04iOiIxNDc5LTY2NlgiLCJQTUlEIjoiMzM2NDAyODIiLCJpc3N1ZWQiOnsiZGF0ZS1wYXJ0cyI6W1syMDIxXV19LCJwYWdlIjoiZTU0OS1lNTU4IiwiYWJzdHJhY3QiOiJCYWNrZ3JvdW5kOiBOb24tb3BlcmF0aXZlIG1hbmFnZW1lbnQgaXMgb2Z0ZW4gdGhlIHRyZWF0bWVudCBvZiBjaG9pY2UgaW4gY2FzZXMgb2YgY29tcGxpY2F0ZWQgYXBwZW5kaWNpdGlzIGFuZCByb3V0aW5lIGludGVydmFsIGFwcGVuZGVjdG9teSBpcyBub3QgdXN1YWxseSByZWNvbW1lbmRlZC4gQWN0dWFsbHksIHJlY2VudCBzdHVkaWVzIHNob3cgYW4gYWxhcm1pbmcgbnVtYmVyIG9mIGFwcGVuZGljZWFsIG5lb3BsYXNtcyBmb2xsb3dpbmcgaW50ZXJ2YWwgYXBwZW5kZWN0b215LiBUaGUgYWltIG9mIHRoaXMgc3R1ZHkgaXMgdG8gZXZhbHVhdGUgdGhlIHByZXZhbGVuY2Ugb2YgYXBwZW5kaWNlYWwgbmVvcGxhc21zIGFuZCB0aGVpciBoaXN0b2xvZ2ljYWwgdHlwZXMgYWZ0ZXIgaW50ZXJ2YWwgYXBwZW5kZWN0b215IGZvciBjb21wbGljYXRlZCBhcHBlbmRpY2l0aXMgaW4gYWR1bHRzLiBNZXRob2RzOiBBIGNvbXByZWhlbnNpdmUgbGl0ZXJhdHVyZSBzZWFyY2ggb2YgdGhlIFB1Yk1lZCwgU2NvcHVzIGFuZCBXZWIgb2YgU2NpZW5jZSBkYXRhYmFzZXMgd2FzIGNvbmR1Y3RlZCBhY2NvcmRpbmcgdG8gdGhlIFBSSVNNQSBzdGF0ZW1lbnQuIFN0dWRpZXMgcmVwb3J0aW5nIGFwcGVuZGljZWFsIG5lb3BsYXNtIHJhdGVzIGFmdGVyIGludGVydmFsIGFwcGVuZGVjdG9teSBhbmQgaGlzdG9wYXRob2xvZ2ljYWwgY2hhcmFjdGVyaXN0aWNzIHdlcmUgaW5jbHVkZWQuIFRoZSBtb3N0IHJlY2VudCBXb3JsZCBIZWFsdGggT3JnYW5pemF0aW9uIChXSE8pIGNsYXNzaWZpY2F0aW9uIG9mIG1hbGlnbmFudCB0dW1vdXJzIHdhcyBjb25zaWRlcmVkLiBBIHBvb2xlZCBwcmV2YWxlbmNlIGFuYWx5c2lzIGZvciBib3RoIHByZXZhbGVuY2UgYW5kIHBhdGhvbG9neSB3YXMgcGVyZm9ybWVkLiBSZXN1bHRzOiBBIHRvdGFsIG9mIGVpZ2h0IHN0dWRpZXMgd2FzIGluY2x1ZGVkOiBzZXZlbiByZXRyb3NwZWN0aXZlIHNlcmllcyBhbmQgb25lIHJhbmRvbWl6ZWQgY29udHJvbGxlZCB0cmlhbC4gVGhlIHBvb2xlZCBwcmV2YWxlbmNlIG9mIG5lb3BsYXNtcyBhZnRlciBpbnRlcnZhbCBhcHBlbmRlY3RvbXkgd2FzIDExJSAoOTUlIENJIDfigJMxNTsgSTIgPSAzNy41JSwgcCA9IDAuMTMpLiBBcHBlbmRpY2VhbCBtdWNpbm91cyBuZW9wbGFzbXMgb2NjdXJyZWQgaW4gNDMlICg5NSUgQ0kgMTnigJM2OCksIGFkZW5vY2FyY2lub21hIGluIDI5JSAoOTUlIENJIDbigJM1MSksIGFwcGVuZGljZWFsIG5ldXJvZW5kb2NyaW5lIG5lb3BsYXNtIGluIDIxJSAoOTUlIENJIDbigJMzNiksIGdsb2JldCBjZWxsIGNhcmNpbm9tYSBpbiAxMyUgKDk1JSBDSSAtMi0yOCksIGFkZW5vbWEgb3Igc2VycmF0ZWQgbGVzaW9ucyBpbiAyMCUgKDk1JSBDSSAtMC00MSkgb2YgY2FzZXMuIENvbmNsdXNpb246IFRoZSByaXNrIG9mIGFwcGVuZGljZWFsIG5lb3BsYXNtIGluIHBhdGllbnRzIHRyZWF0ZWQgd2l0aCBpbnRlcnZhbCBhcHBlbmRlY3RvbXkgZm9yIGNvbXBsaWNhdGVkIGFwcGVuZGljaXRpcyBpcyAxMSU7IG11Y2lub3VzIG5lb3BsYXNtIGlzIHRoZSBtb3N0IGNvbW1vbiBoaXN0b3BhdGhvbG9naWNhbCB0eXBlLiBGdXJ0aGVyIHN0dWRpZXMgc2hvdWxkIGludmVzdGlnYXRlIHRoaXMgYXNzb2NpYXRpb24gaW4gb3JkZXIgdG8gY2xhcmlmeSB0aGUgYmlvbG9naWNhbCBwYXRod2F5IGFuZCBjbGluaWNhbCBpbXBsaWNhdGlvbnMuIiwicHVibGlzaGVyIjoiU3VyZ2VvbiIsImlzc3VlIjoiNiIsInZvbHVtZSI6IjE5In0sImlzVGVtcG9yYXJ5IjpmYWxzZX1dfQ=="/>
          <w:id w:val="1472868895"/>
        </w:sdtPr>
        <w:sdtContent>
          <w:r>
            <w:rPr/>
          </w:r>
          <w:r>
            <w:rPr>
              <w:rFonts w:eastAsia="MS Mincho"/>
              <w:color w:val="000000"/>
            </w:rPr>
            <w:t>(35)</w:t>
          </w:r>
        </w:sdtContent>
      </w:sdt>
      <w:r>
        <w:rPr/>
        <w:t>.</w:t>
      </w:r>
    </w:p>
    <w:p>
      <w:pPr>
        <w:pStyle w:val="p3"/>
        <w:numPr>
          <w:ilvl w:val="0"/>
          <w:numId w:val="39"/>
        </w:numPr>
        <w:spacing w:lineRule="auto" w:line="360" w:before="0" w:after="0"/>
        <w:jc w:val="both"/>
        <w:rPr/>
      </w:pPr>
      <w:r>
        <w:rPr>
          <w:b/>
          <w:bCs/>
        </w:rPr>
        <w:t>Síndromes hereditarios de predisposición al cáncer</w:t>
      </w:r>
      <w:r>
        <w:rPr>
          <w:rStyle w:val="s1"/>
        </w:rPr>
        <w:t xml:space="preserve">: </w:t>
      </w:r>
      <w:r>
        <w:rPr/>
        <w:t xml:space="preserve">Aunque infrecuentes, algunos síndromes hereditarios, como la neoplasia endocrina múltiple tipo 1 (MEN1) o el síndrome de Lynch, han sido ocasionalmente asociados con tumores neuroendocrinos apendiculares y adenocarcinomas </w:t>
      </w:r>
      <w:sdt>
        <w:sdtPr>
          <w:placeholder>
            <w:docPart w:val="8791429B75A07D49B181E5EF00238717"/>
          </w:placeholder>
          <w:tag w:val="MENDELEY_CITATION_v3_eyJjaXRhdGlvbklEIjoiTUVOREVMRVlfQ0lUQVRJT05fNTU3ZWUxODktOGVkYi00YTQ1LTk0MmYtMmNhMjRiZjczMDE0IiwicHJvcGVydGllcyI6eyJub3RlSW5kZXgiOjB9LCJpc0VkaXRlZCI6ZmFsc2UsIm1hbnVhbE92ZXJyaWRlIjp7ImlzTWFudWFsbHlPdmVycmlkZGVuIjpmYWxzZSwiY2l0ZXByb2NUZXh0IjoiKDM2KSIsIm1hbnVhbE92ZXJyaWRlVGV4dCI6IiJ9LCJjaXRhdGlvbkl0ZW1zIjpbeyJpZCI6ImMxZTgwYjlmLTcyN2ItMzlmZi1iMzAyLTEwNmEyNDcxNmZmMSIsIml0ZW1EYXRhIjp7InR5cGUiOiJhcnRpY2xlLWpvdXJuYWwiLCJpZCI6ImMxZTgwYjlmLTcyN2ItMzlmZi1iMzAyLTEwNmEyNDcxNmZmMSIsInRpdGxlIjoiQ2xpbmljYWwgSW50cmljYWNpZXMgYW5kIEFkdmFuY2VzIGluIE5ldXJvZW5kb2NyaW5lIFR1bW9yczogQW4gT3JnYW4tQmFzZWQgTXVsdGlkaXNjaXBsaW5hcnkgQXBwcm9hY2giLCJhdXRob3IiOlt7ImZhbWlseSI6IkFzbXVuZG8iLCJnaXZlbiI6Ikx1aWdpIiwicGFyc2UtbmFtZXMiOmZhbHNlLCJkcm9wcGluZy1wYXJ0aWNsZSI6IiIsIm5vbi1kcm9wcGluZy1wYXJ0aWNsZSI6IiJ9LHsiZmFtaWx5IjoiQW1icm9zaW5pIiwiZ2l2ZW4iOiJWYWxlbnRpbmEiLCJwYXJzZS1uYW1lcyI6ZmFsc2UsImRyb3BwaW5nLXBhcnRpY2xlIjoiIiwibm9uLWRyb3BwaW5nLXBhcnRpY2xlIjoiIn0seyJmYW1pbHkiOiJBbmRlcnNvbiIsImdpdmVuIjoiTWFyayBBLiIsInBhcnNlLW5hbWVzIjpmYWxzZSwiZHJvcHBpbmctcGFydGljbGUiOiIiLCJub24tZHJvcHBpbmctcGFydGljbGUiOiIifSx7ImZhbWlseSI6IkZhbnRpIiwiZ2l2ZW4iOiJTdGVmYW5vIiwicGFyc2UtbmFtZXMiOmZhbHNlLCJkcm9wcGluZy1wYXJ0aWNsZSI6IiIsIm5vbi1kcm9wcGluZy1wYXJ0aWNsZSI6IiJ9LHsiZmFtaWx5IjoiQnJhZGxleSIsImdpdmVuIjoiV2lsbGlhbSBSLiIsInBhcnNlLW5hbWVzIjpmYWxzZSwiZHJvcHBpbmctcGFydGljbGUiOiIiLCJub24tZHJvcHBpbmctcGFydGljbGUiOiIifSx7ImZhbWlseSI6IkNhbXBhbmEiLCJnaXZlbiI6IkRhdmlkZSIsInBhcnNlLW5hbWVzIjpmYWxzZSwiZHJvcHBpbmctcGFydGljbGUiOiIiLCJub24tZHJvcHBpbmctcGFydGljbGUiOiIifSx7ImZhbWlseSI6Ik1vanRhaGVkIiwiZ2l2ZW4iOiJBbWlya2FzcmEiLCJwYXJzZS1uYW1lcyI6ZmFsc2UsImRyb3BwaW5nLXBhcnRpY2xlIjoiIiwibm9uLWRyb3BwaW5nLXBhcnRpY2xlIjoiIn0seyJmYW1pbHkiOiJDaHVuZyIsImdpdmVuIjoiUnlhbiIsInBhcnNlLW5hbWVzIjpmYWxzZSwiZHJvcHBpbmctcGFydGljbGUiOiIiLCJub24tZHJvcHBpbmctcGFydGljbGUiOiIifSx7ImZhbWlseSI6Ik1jRGVybW90dCIsImdpdmVuIjoiU2hhdW5hZ2giLCJwYXJzZS1uYW1lcyI6ZmFsc2UsImRyb3BwaW5nLXBhcnRpY2xlIjoiIiwibm9uLWRyb3BwaW5nLXBhcnRpY2xlIjoiIn0seyJmYW1pbHkiOiJEaWd1bWFydGh5IiwiZ2l2ZW4iOiJTdWJiYSIsInBhcnNlLW5hbWVzIjpmYWxzZSwiZHJvcHBpbmctcGFydGljbGUiOiIiLCJub24tZHJvcHBpbmctcGFydGljbGUiOiIifSx7ImZhbWlseSI6IlVyc3BydW5nIiwiZ2l2ZW4iOiJTdGVwaGFuIiwicGFyc2UtbmFtZXMiOmZhbHNlLCJkcm9wcGluZy1wYXJ0aWNsZSI6IiIsIm5vbi1kcm9wcGluZy1wYXJ0aWNsZSI6IiJ9LHsiZmFtaWx5IjoiTmlrb2xhdSIsImdpdmVuIjoiS29uc3RhbnRpbiIsInBhcnNlLW5hbWVzIjpmYWxzZSwiZHJvcHBpbmctcGFydGljbGUiOiIiLCJub24tZHJvcHBpbmctcGFydGljbGUiOiIifSx7ImZhbWlseSI6IkZpbnRlbG1hbm4iLCJnaXZlbiI6IkZsb3JpYW4gSi4iLCJwYXJzZS1uYW1lcyI6ZmFsc2UsImRyb3BwaW5nLXBhcnRpY2xlIjoiIiwibm9uLWRyb3BwaW5nLXBhcnRpY2xlIjoiIn0seyJmYW1pbHkiOiJCbGFrZSIsImdpdmVuIjoiTWljaGFlbCIsInBhcnNlLW5hbWVzIjpmYWxzZSwiZHJvcHBpbmctcGFydGljbGUiOiIiLCJub24tZHJvcHBpbmctcGFydGljbGUiOiIifSx7ImZhbWlseSI6IkZlcm5hbmRlei1EZWwgQ2FzdGlsbG8iLCJnaXZlbiI6IkNhcmxvcyIsInBhcnNlLW5hbWVzIjpmYWxzZSwiZHJvcHBpbmctcGFydGljbGUiOiIiLCJub24tZHJvcHBpbmctcGFydGljbGUiOiIifSx7ImZhbWlseSI6IlFhZGFuIiwiZ2l2ZW4iOiJNb3RheiIsInBhcnNlLW5hbWVzIjpmYWxzZSwiZHJvcHBpbmctcGFydGljbGUiOiIiLCJub24tZHJvcHBpbmctcGFydGljbGUiOiIifSx7ImZhbWlseSI6IlBhbmRleSIsImdpdmVuIjoiQW5rdXIiLCJwYXJzZS1uYW1lcyI6ZmFsc2UsImRyb3BwaW5nLXBhcnRpY2xlIjoiIiwibm9uLWRyb3BwaW5nLXBhcnRpY2xlIjoiIn0seyJmYW1pbHkiOiJDbGFyayIsImdpdmVuIjoiSmVmZnJleSBXLiIsInBhcnNlLW5hbWVzIjpmYWxzZSwiZHJvcHBpbmctcGFydGljbGUiOiIiLCJub24tZHJvcHBpbmctcGFydGljbGUiOiIifSx7ImZhbWlseSI6IkNhdGFsYW5vIiwiZ2l2ZW4iOiJPbm9mcmlvIEEuIiwicGFyc2UtbmFtZXMiOmZhbHNlLCJkcm9wcGluZy1wYXJ0aWNsZSI6IiIsIm5vbi1kcm9wcGluZy1wYXJ0aWNsZSI6IiJ9XSwiY29udGFpbmVyLXRpdGxlIjoiSm91cm5hbCBvZiBjb21wdXRlciBhc3Npc3RlZCB0b21vZ3JhcGh5IiwiY29udGFpbmVyLXRpdGxlLXNob3J0IjoiSiBDb21wdXQgQXNzaXN0IFRvbW9nciIsIkRPSSI6IjEwLjEwOTcvUkNULjAwMDAwMDAwMDAwMDE1OTYiLCJJU1NOIjoiMTUzMi0zMTQ1IiwiUE1JRCI6IjM4NjI2NzU2IiwiaXNzdWVkIjp7ImRhdGUtcGFydHMiOltbMjAyNF1dfSwicGFnZSI6IjYxNC02MjciLCJhYnN0cmFjdCI6Ik5ldXJvZW5kb2NyaW5lIG5lb3BsYXNtcyAoTkVOcykgYXJlIHJhcmUgbmVvcGxhc21zIG9yaWdpbmF0aW5nIGZyb20gbmV1cm9lbmRvY3JpbmUgY2VsbHMsIHdpdGggaW5jcmVhc2luZyBpbmNpZGVuY2UgZHVlIHRvIGVuaGFuY2VkIGRldGVjdGlvbiBtZXRob2RzLiBUaGVzZSB0dW1vcnMgZGlzcGxheSBjb25zaWRlcmFibGUgaGV0ZXJvZ2VuZWl0eSwgbmVjZXNzaXRhdGluZyBkaXZlcnNlIG1hbmFnZW1lbnQgc3RyYXRlZ2llcyBiYXNlZCBvbiBmYWN0b3JzIGxpa2Ugb3JnYW4gb2Ygb3JpZ2luIGFuZCB0dW1vciBzaXplLiBUaGlzIGFydGljbGUgcHJvdmlkZXMgYSBjb21wcmVoZW5zaXZlIG92ZXJ2aWV3IG9mIHRoZXJhcGV1dGljIGFwcHJvYWNoZXMgZm9yIE5FTnMsIGVtcGhhc2l6aW5nIHRoZSByb2xlIG9mIGltYWdpbmcgaW4gdHJlYXRtZW50IGRlY2lzaW9ucy4gSXQgY2F0ZWdvcml6ZXMgdHVtb3JzIGJhc2VkIG9uIHRoZWlyIGxvY2F0aW9uczogZ2FzdHJpYywgZHVvZGVuYWwsIHBhbmNyZWF0aWMsIHNtYWxsIGJvd2VsLCBjb2xvbmljLCByZWN0YWwsIGFwcGVuZGljZWFsLCBnYWxsYmxhZGRlciwgcHJvc3RhdGUsIGx1bmcsIGd5bmVjb2xvZ2ljYWwsIGFuZCBvdGhlcnMuIFRoZSBwaWVjZSBhbHNvIGVsdWNpZGF0ZXMgdGhlIGNoYWxsZW5nZXMgaW4gbWFuYWdpbmcgbWV0YXN0YXRpYyBkaXNlYXNlIGFuZCBjb250cm92ZXJzaWVzIHN1cnJvdW5kaW5nIE1FTjEtbmV1cm9lbmRvY3JpbmUgdHVtb3IgbWFuYWdlbWVudC4gVGhlIGFydGljbGUgdW5kZXJzY29yZXMgdGhlIHNpZ25pZmljYW5jZSBvZiBpbmRpdmlkdWFsaXplZCB0cmVhdG1lbnQgcGxhbnMsIHVuZGVyc2NvcmluZyB0aGUgbmVlZCBmb3IgYSBtdWx0aWRpc2NpcGxpbmFyeSBhcHByb2FjaCB0byBlbnN1cmUgb3B0aW1hbCBwYXRpZW50IG91dGNvbWVzLiIsInB1Ymxpc2hlciI6IkogQ29tcHV0IEFzc2lzdCBUb21vZ3IiLCJpc3N1ZSI6IjQiLCJ2b2x1bWUiOiI0OCJ9LCJpc1RlbXBvcmFyeSI6ZmFsc2V9XX0="/>
          <w:id w:val="622348368"/>
        </w:sdtPr>
        <w:sdtContent>
          <w:r>
            <w:rPr/>
          </w:r>
          <w:r>
            <w:rPr>
              <w:rFonts w:eastAsia="MS Mincho"/>
              <w:color w:val="000000"/>
            </w:rPr>
            <w:t>(36)</w:t>
          </w:r>
        </w:sdtContent>
      </w:sdt>
      <w:r>
        <w:rPr/>
        <w:t xml:space="preserve">. Sin embargo, </w:t>
      </w:r>
      <w:r>
        <w:rPr/>
        <w:t>esta asociación no es sistemática ni suficiente para justificar programas de tamizaje específicos.</w:t>
      </w:r>
    </w:p>
    <w:p>
      <w:pPr>
        <w:pStyle w:val="p3"/>
        <w:numPr>
          <w:ilvl w:val="0"/>
          <w:numId w:val="39"/>
        </w:numPr>
        <w:spacing w:lineRule="auto" w:line="360" w:before="0" w:after="0"/>
        <w:jc w:val="both"/>
        <w:rPr/>
      </w:pPr>
      <w:r>
        <w:rPr>
          <w:b/>
          <w:bCs/>
        </w:rPr>
        <w:t>Factores moleculares y genéticos</w:t>
      </w:r>
      <w:r>
        <w:rPr>
          <w:rStyle w:val="s1"/>
        </w:rPr>
        <w:t xml:space="preserve">: </w:t>
      </w:r>
      <w:r>
        <w:rPr/>
        <w:t xml:space="preserve">Se ha propuesto que alteraciones genéticas acumulativas desempeñan un papel relevante en la carcinogénesis, aunque no se han identificado mutaciones germinales específicas que confieran un riesgo aumentado </w:t>
      </w:r>
      <w:sdt>
        <w:sdtPr>
          <w:placeholder>
            <w:docPart w:val="8791429B75A07D49B181E5EF00238717"/>
          </w:placeholder>
          <w:tag w:val="MENDELEY_CITATION_v3_eyJjaXRhdGlvbklEIjoiTUVOREVMRVlfQ0lUQVRJT05fOWU3MzI1NTItZjYyYy00ZjI3LWE4ZjgtNGNkYzM1MWFkZjg3IiwicHJvcGVydGllcyI6eyJub3RlSW5kZXgiOjB9LCJpc0VkaXRlZCI6ZmFsc2UsIm1hbnVhbE92ZXJyaWRlIjp7ImlzTWFudWFsbHlPdmVycmlkZGVuIjpmYWxzZSwiY2l0ZXByb2NUZXh0IjoiKDE5KSIsIm1hbnVhbE92ZXJyaWRlVGV4dCI6IiJ9LCJjaXRhdGlvbkl0ZW1zIjpbeyJpZCI6IjI2YzQyM2JlLWRmMDUtMzM5YS1iYmI4LTlmY2E4OWQ5MjU5ZiIsIml0ZW1EYXRhIjp7InR5cGUiOiJhcnRpY2xlLWpvdXJuYWwiLCJpZCI6IjI2YzQyM2JlLWRmMDUtMzM5YS1iYmI4LTlmY2E4OWQ5MjU5ZiIsInRpdGxlIjoiRXhwbG9yaW5nIHRoZSBwcm9nbm9zdGljIGFuZCB0aGVyYXBldXRpYyB1dGlsaXR5IG9mIGV4cGFuZGVkIG11dGF0aW9uIHByb2ZpbGluZyBpbiBhcHBlbmRpeCBwZXJpdG9uZWFsIG1ldGFzdGFzaXMgbWFuYWdlZCB3aXRoIENSUy9ISVBFQyIsImF1dGhvciI6W3siZmFtaWx5IjoiWmhhbmciLCJnaXZlbiI6IkNodW5tZW5nIiwicGFyc2UtbmFtZXMiOmZhbHNlLCJkcm9wcGluZy1wYXJ0aWNsZSI6IiIsIm5vbi1kcm9wcGluZy1wYXJ0aWNsZSI6IiJ9LHsiZmFtaWx5IjoiUGxhbWJlY2siLCJnaXZlbiI6IkJlbmphbWluIEQuIiwicGFyc2UtbmFtZXMiOmZhbHNlLCJkcm9wcGluZy1wYXJ0aWNsZSI6IiIsIm5vbi1kcm9wcGluZy1wYXJ0aWNsZSI6IiJ9LHsiZmFtaWx5IjoiQ3JhaWciLCJnaXZlbiI6Ik1hcmdhcmV0IEUuIiwicGFyc2UtbmFtZXMiOmZhbHNlLCJkcm9wcGluZy1wYXJ0aWNsZSI6IiIsIm5vbi1kcm9wcGluZy1wYXJ0aWNsZSI6IiJ9LHsiZmFtaWx5IjoiVHUiLCJnaXZlbiI6IkFsZXhhbmRlciIsInBhcnNlLW5hbWVzIjpmYWxzZSwiZHJvcHBpbmctcGFydGljbGUiOiIiLCJub24tZHJvcHBpbmctcGFydGljbGUiOiIifSx7ImZhbWlseSI6Ik1pa3VzIiwiZ2l2ZW4iOiJSeWFuIEouIiwicGFyc2UtbmFtZXMiOmZhbHNlLCJkcm9wcGluZy1wYXJ0aWNsZSI6IiIsIm5vbi1kcm9wcGluZy1wYXJ0aWNsZSI6IiJ9LHsiZmFtaWx5IjoiU2hvc3Ryb20iLCJnaXZlbiI6IlZhbGVyaWUiLCJwYXJzZS1uYW1lcyI6ZmFsc2UsImRyb3BwaW5nLXBhcnRpY2xlIjoiIiwibm9uLWRyb3BwaW5nLXBhcnRpY2xlIjoiIn0seyJmYW1pbHkiOiJNY0Rlcm1vdHQiLCJnaXZlbiI6IlNlYW4gUC4iLCJwYXJzZS1uYW1lcyI6ZmFsc2UsImRyb3BwaW5nLXBhcnRpY2xlIjoiIiwibm9uLWRyb3BwaW5nLXBhcnRpY2xlIjoiIn0seyJmYW1pbHkiOiJJZ2JpbmlnaWUiLCJnaXZlbiI6IklrcG9ubXdvc2EiLCJwYXJzZS1uYW1lcyI6ZmFsc2UsImRyb3BwaW5nLXBhcnRpY2xlIjoiIiwibm9uLWRyb3BwaW5nLXBhcnRpY2xlIjoiIn0seyJmYW1pbHkiOiJCcm93biIsImdpdmVuIjoiS3Jpc3RhIiwicGFyc2UtbmFtZXMiOmZhbHNlLCJkcm9wcGluZy1wYXJ0aWNsZSI6IiIsIm5vbi1kcm9wcGluZy1wYXJ0aWNsZSI6IiJ9LHsiZmFtaWx5IjoiQ3VzaG1hbi1Wb2tvdW4iLCJnaXZlbiI6IkFsbGlzb24iLCJwYXJzZS1uYW1lcyI6ZmFsc2UsImRyb3BwaW5nLXBhcnRpY2xlIjoiIiwibm9uLWRyb3BwaW5nLXBhcnRpY2xlIjoiIn0seyJmYW1pbHkiOiJGb3N0ZXIiLCJnaXZlbiI6Ikphc29uIE0uIiwicGFyc2UtbmFtZXMiOmZhbHNlLCJkcm9wcGluZy1wYXJ0aWNsZSI6IiIsIm5vbi1kcm9wcGluZy1wYXJ0aWNsZSI6IiJ9XSwiY29udGFpbmVyLXRpdGxlIjoiSm91cm5hbCBvZiBzdXJnaWNhbCBvbmNvbG9neSIsImNvbnRhaW5lci10aXRsZS1zaG9ydCI6IkogU3VyZyBPbmNvbCIsIkRPSSI6IjEwLjEwMDIvSlNPLjI2NDM5IiwiSVNTTiI6IjEwOTYtOTA5OCIsIlBNSUQiOiIzMzY2NzMxNyIsImlzc3VlZCI6eyJkYXRlLXBhcnRzIjpbWzIwMjFdXX0sInBhZ2UiOiIxNTk5LTE2MDkiLCJhYnN0cmFjdCI6IkludHJvZHVjdGlvbjogSW50ZXJyb2dhdGlvbiBvZiBjYW5jZXJzIHdpdGggbmV4dC1nZW5lcmF0aW9uIHNlcXVlbmNpbmcgKE5HUykgbXV0YXRpb24gcGFuZWxzIGhhcyBiZWNvbWUgd2lkZWx5IHV0aWxpemVkLCBpZGVudGlmeWluZyBwcm9nbm9zdGljIGFuZCBhY3Rpb25hYmxlIG11dGF0aW9ucy4gVGhpcyBzdHVkeSBleHBsb3JlZCB0aGUgdmFsdWUgb2YgZXhwYW5kZWQgbXV0YXRpb24gYW5hbHlzaXMgaW4gYXBwZW5kaXggcGVyaXRvbmVhbCBtZXRhc3Rhc2VzIChBUE0pLiBNZXRob2RzOiBGb3J0eS1laWdodCBBUE0gcGF0aWVudHMgdHJlYXRlZCAyMDEz4oCTMjAxOCB3ZXJlIHJldHJvc3BlY3RpdmVseSBjb2xsZWN0ZWQgZnJvbSBhIHJlZ2lzdHJ5LiBGaWZ0eS1nZW5lIE5HUyBhbmFseXNpcyB3YXMgcGVyZm9ybWVkIGluIENMSUEgYXBwcm92ZWQgbGFiIHRvIG9idGFpbiBtdXRhdGlvbiBwcm9maWxlcy4gQWxsIHBhdGllbnRzIHVuZGVyd2VudCBjeXRvcmVkdWN0aXZlIHN1cmdlcnkgKENSUykvaHlwZXJ0aGVybWljIGludHJhcGVyaXRvbmVhbCBjaGVtb3RoZXJhcHkgKEhJUEVDKSB3aXRoIG1pdG9teWNpbiBDLiBQZXJpdG9uZWFsIGNhbmNlciBpbmRleCAoUENJKSwgb3B0aW1hbCBDUlMsIHN1cnZpdmFsIChvdmVyYWxsIHN1cnZpdmFsIFtPU10gYW5kIHByb2dyZXNzaW9uLWZyZWUgc3Vydml2YWwgW1BGU10pIGRhdGEgd2VyZSBjb2xsZWN0ZWQuIFN1cnZpdmFsIGFuYWx5c2VzIHdlcmUgcGVyZm9ybWVkIG9uIGFsbCBBUE0sIGhpZ2gtZ3JhZGUgKEhHKSwgYW5kIGxvdyBncmFkZSAoTEcpIHN1YnNldHMsIGV2YWx1YXRpbmcgdGhlIGltcGFjdCBvZiBzcGVjaWZpYyBtdXRhdGlvbnMgb24gdGhlIG91dGNvbWUuIFJlc3VsdHM6IEVpZ2h0eS10aHJlZSBwZXJjZW50IG9mIEFQTSBoYWQgYSBtdXRhdGlvbiBpZGVudGlmaWVkLiBLUkFTIHdhcyBtb3N0IGZyZXF1ZW50LCA2NSUgKDg4JSBMRyA0MiUgSEcpIHdpdGggR05BUyBpZGVudGlmaWVkIGluIDkyJSBvZiBMRy1BUE0uIFNNQUQ0IGFuZC9vciBUUDUzIG11dGF0aW9ucyBvY2N1cnJlZCBpbiAyNSUgb2YgQVBNIHdpdGggb2JzZXJ2ZWQgZGVjcmVhc2VkIE9TICg0NiB2cy4gODEgbW9udGhzIHAgPS4wMDI5KTsgd29yc2UgaW4gSEctQVBNICgyNiB2cy4gNDkgbW9udGhzIHAgPS4wNDUxKS4gU01BRDQgd2FzIGFzc29jaWF0ZWQgd2l0aCB0aGUgbW9zdCBzaWduaWZpY2FudCByZWR1Y3Rpb24gaW4gUEZTIGluIEFQTSAocCA9LjAwODUpLiBBY3Rpb25hYmxlIG11dGF0aW9ucyB3ZXJlIGlkZW50aWZpZWQgaW4gNzMlIG9mIEFQTSBwYXRpZW50cy4gQ29uY2x1c2lvbnM6IE1vc3QgZnJlcXVlbnQgbXV0YXRpb25zIHdlcmUgS1JBUywgVFA1MywgYW5kIFNNQUQ0LCBhbmQgYWN0aW9uYWJsZSBtdXRhdGlvbiBkZXRlY3Rpb24gd2FzIGNvbW1vbi4gU01BRDQgYW5kIFRQNTMgd2VyZSBhc3NvY2lhdGVkIHdpdGggZGVjcmVhc2VkIE9TLiBOR1MgbXV0YXRpb24gcHJvZmlsaW5nIGhhcyBwb3RlbnRpYWwgdXRpbGl0eSBpbiBBUE0uIiwicHVibGlzaGVyIjoiSiBTdXJnIE9uY29sIiwiaXNzdWUiOiI3Iiwidm9sdW1lIjoiMTIzIn0sImlzVGVtcG9yYXJ5IjpmYWxzZX1dfQ=="/>
          <w:id w:val="-1650673363"/>
        </w:sdtPr>
        <w:sdtContent>
          <w:r>
            <w:rPr/>
          </w:r>
          <w:r>
            <w:rPr>
              <w:rFonts w:eastAsia="MS Mincho"/>
              <w:color w:val="000000"/>
            </w:rPr>
            <w:t>(19)</w:t>
          </w:r>
        </w:sdtContent>
      </w:sdt>
      <w:r>
        <w:rPr/>
        <w:t>.</w:t>
      </w:r>
    </w:p>
    <w:p>
      <w:pPr>
        <w:pStyle w:val="p3"/>
        <w:numPr>
          <w:ilvl w:val="0"/>
          <w:numId w:val="39"/>
        </w:numPr>
        <w:spacing w:lineRule="auto" w:line="360" w:before="0" w:after="0"/>
        <w:jc w:val="both"/>
        <w:rPr/>
      </w:pPr>
      <w:r>
        <w:rPr>
          <w:b/>
          <w:bCs/>
        </w:rPr>
        <w:t>Diverticulosis apendicular</w:t>
      </w:r>
      <w:r>
        <w:rPr>
          <w:rStyle w:val="s1"/>
        </w:rPr>
        <w:t xml:space="preserve">: </w:t>
      </w:r>
      <w:r>
        <w:rPr/>
        <w:t xml:space="preserve">Se ha investigado si la presencia de divertículos en el apéndice podría incrementar el riesgo de neoplasia, dada la asociación entre la diverticulitis colónica y el cáncer colorrectal. No obstante, los resultados hasta el momento han sido inconsistentes </w:t>
      </w:r>
      <w:sdt>
        <w:sdtPr>
          <w:placeholder>
            <w:docPart w:val="8791429B75A07D49B181E5EF00238717"/>
          </w:placeholder>
          <w:tag w:val="MENDELEY_CITATION_v3_eyJjaXRhdGlvbklEIjoiTUVOREVMRVlfQ0lUQVRJT05fMmY5NTRmMzEtYWQyNy00MDk4LWFjYzQtYjY5YmFhOTllMzcxIiwicHJvcGVydGllcyI6eyJub3RlSW5kZXgiOjB9LCJpc0VkaXRlZCI6ZmFsc2UsIm1hbnVhbE92ZXJyaWRlIjp7ImlzTWFudWFsbHlPdmVycmlkZGVuIjpmYWxzZSwiY2l0ZXByb2NUZXh0IjoiKDM3KSIsIm1hbnVhbE92ZXJyaWRlVGV4dCI6IiJ9LCJjaXRhdGlvbkl0ZW1zIjpbeyJpZCI6ImQ1Y2MxYThjLTE3Y2MtMzk3Yi1hODNkLWFhYzkyM2NiNTRjOCIsIml0ZW1EYXRhIjp7InR5cGUiOiJhcnRpY2xlLWpvdXJuYWwiLCJpZCI6ImQ1Y2MxYThjLTE3Y2MtMzk3Yi1hODNkLWFhYzkyM2NiNTRjOCIsInRpdGxlIjoiU3lzdGVtYXRpYyByZXZpZXcgYW5kIG1ldGEtYW5hbHlzaXMgb2YgdGhlIGFzc29jaWF0aW9uIGJldHdlZW4gZGl2ZXJ0aWN1bG9zaXMgb2YgdGhlIGFwcGVuZGl4IGFuZCBuZW9wbGFzaWEiLCJhdXRob3IiOlt7ImZhbWlseSI6IkxpbSIsImdpdmVuIjoiQ2hyaXN0b3BoZXIgU2VuZyBIb25nIiwicGFyc2UtbmFtZXMiOmZhbHNlLCJkcm9wcGluZy1wYXJ0aWNsZSI6IiIsIm5vbi1kcm9wcGluZy1wYXJ0aWNsZSI6IiJ9LHsiZmFtaWx5IjoiQ2hlYWgiLCJnaXZlbiI6IlNhcmFoIFlpIExpbiIsInBhcnNlLW5hbWVzIjpmYWxzZSwiZHJvcHBpbmctcGFydGljbGUiOiIiLCJub24tZHJvcHBpbmctcGFydGljbGUiOiIifSx7ImZhbWlseSI6Ikt3b2siLCJnaXZlbiI6IkFsbGFuIE11biBGYWkiLCJwYXJzZS1uYW1lcyI6ZmFsc2UsImRyb3BwaW5nLXBhcnRpY2xlIjoiIiwibm9uLWRyb3BwaW5nLXBhcnRpY2xlIjoiIn0seyJmYW1pbHkiOiJSYXZpbmRyYW4iLCJnaXZlbiI6IlByYXZlZW4iLCJwYXJzZS1uYW1lcyI6ZmFsc2UsImRyb3BwaW5nLXBhcnRpY2xlIjoiIiwibm9uLWRyb3BwaW5nLXBhcnRpY2xlIjoiIn0seyJmYW1pbHkiOiJDaGFuIiwiZ2l2ZW4iOiJEYW5pZWwgTGVvbmFyZCIsInBhcnNlLW5hbWVzIjpmYWxzZSwiZHJvcHBpbmctcGFydGljbGUiOiIiLCJub24tZHJvcHBpbmctcGFydGljbGUiOiIifV0sImNvbnRhaW5lci10aXRsZSI6IkFOWiBqb3VybmFsIG9mIHN1cmdlcnkiLCJjb250YWluZXItdGl0bGUtc2hvcnQiOiJBTlogSiBTdXJnIiwiYWNjZXNzZWQiOnsiZGF0ZS1wYXJ0cyI6W1syMDI1LDQsMTJdXX0sIkRPSSI6IjEwLjExMTEvQU5TLjE1ODExIiwiSVNTTiI6IjE0NDUtMjE5NyIsIlBNSUQiOiIzMjIwNzg3MyIsIlVSTCI6Imh0dHBzOi8vcHVibWVkLm5jYmkubmxtLm5paC5nb3YvMzIyMDc4NzMvIiwiaXNzdWVkIjp7ImRhdGUtcGFydHMiOltbMjAyMF1dfSwicGFnZSI6IjE4NzEtMTg3NyIsImFic3RyYWN0IjoiQmFja2dyb3VuZDogRGl2ZXJ0aWN1bGEgb2YgdGhlIGFwcGVuZGl4IChEQSkgYXJlIGluZnJlcXVlbnQgYW5kIHRoZWlyIGNsaW5pY2FsIGltcGxpY2F0aW9ucyBhcmUgb2Z0ZW4gb3Zlcmxvb2tlZC4gU2V2ZXJhbCBzdHVkaWVzIGhhdmUgZm91bmQgYSBzaWduaWZpY2FudGx5IGluY3JlYXNlZCBwcmV2YWxlbmNlIG9mIG5lb3BsYXNtcyBpbiBhcHBlbmRpY2VhbCBzcGVjaW1lbnMgd2l0aCBkaXZlcnRpY3VsYS4gRGVzcGl0ZSB0aGUgcG90ZW50aWFsIGNsaW5pY2FsIGltcGxpY2F0aW9ucywgdGhlcmUgaXMgYSBwYXVjaXR5IG9mIGxpdGVyYXR1cmUuIEEgc3lzdGVtYXRpYyByZXZpZXcgYW5kIG1ldGEtYW5hbHlzaXMgd2FzIHBlcmZvcm1lZCB0byBldmFsdWF0ZSB0aGUgcHJldmFsZW5jZSBvZiBEQSBhbmQgaXRzIGFzc29jaWF0aW9uIHdpdGggbmVvcGxhc2lhLiBNZXRob2RzOiBBIHN5c3RlbWF0aWMgc2VhcmNoIG9mIGxpdGVyYXR1cmUgKENvY2hyYW5lLCBFTUJBU0UsIFB1Yk1lZCBhbmQgTWVkbGluZSkgcmVwb3J0aW5nIHRoZSBwcmV2YWxlbmNlIG9mIERBIGFuZCBhc3NvY2lhdGlvbiB3aXRoIG5lb3BsYXNpYSB3YXMgcGVyZm9ybWVkIGluIE5vdmVtYmVyIDIwMTkuIFJlbGV2YW50IGFydGljbGVzIHdlcmUgYXNzZXNzZWQgaW4gYWNjb3JkYW5jZSB3aXRoIHRoZSBQUklTTUEgZ3VpZGVsaW5lcy4gUmlzayBvZiBiaWFzIGFzc2Vzc21lbnQgd2FzIGNhcnJpZWQgb3V0IHVzaW5nIG1vZGlmaWVkIE5ld2Nhc3RsZeKAk090dGF3YSBzY2FsZS4gTWV0YS1hbmFseXNpcyB3aXRoIHJpc2sgcmF0aW8gYW5kIHJhbmRvbS1lZmZlY3RzIG1vZGVsIHdhcyBwZXJmb3JtZWQgdXNpbmcgUmV2TWFuLiBSZXN1bHRzOiBUaGUgaW5pdGlhbCBzZWFyY2ggaWRlbnRpZmllZCAxMTIyIHBvdGVudGlhbCBhcnRpY2xlcyBvZiB3aGljaCAxMSB3ZXJlIGFwcHJvcHJpYXRlIGZvciBxdWFudGl0YXRpdmUgYW5hbHlzaXMuIFRoZSBwcmV2YWxlbmNlIHJhdGUgb2YgREEgd2FzIDEuNzQlLiBUaGUgbWVhbiBhZ2Ugb2YgcGF0aWVudHMgd2l0aCBEQSBhbmQgdGhvc2Ugd2l0aG91dCBEQSB3YXMgNDEuMiBhbmQgMzMuOSB5ZWFycywgcmVzcGVjdGl2ZWx5LiBUaGUgcmF0aW8gb2YgbWFsZSB0byBmZW1hbGUgd2FzIDEuODoxLiBUaGUgcHJldmFsZW5jZSBvZiBuZW9wbGFzaWEgaW4gc3BlY2ltZW5zIHdpdGhvdXQgREEgdmVyc3VzIHRob3NlIHdpdGggREEgd2FzIDEuMjglIGFuZCAyNi45NCUsIHJlc3BlY3RpdmVseS4gT25seSBmb3VyIHN0dWRpZXMgYWRkcmVzc2VkIHRoZSBwcmV2YWxlbmNlIG9mIGxvY29yZWdpb25hbCBuZW9wbGFzaWEgaW4gdGhlIHNldHRpbmcgb2YgREEgY29tcGFyZWQgdG8gY29udHJvbC4gTWV0YS1hbmFseXNpcyB3aXRoIHJhbmRvbS1lZmZlY3RzIG1vZGVsIGRlbW9uc3RyYXRlZCB0aGF0IHBvb2xlZCByaXNrIHJhdGlvIHdhcyAyNS40NiAoOTUlIGNvbmZpZGVuY2UgaW50ZXJ2YWwgMTIuNzfigJM1MC43NSwgUCA8IDAuMDAwMDEpLiBDb25jbHVzaW9uOiBUaGUgc3Ryb25nIGFzc29jaWF0aW9uIHdpdGggbmVvcGxhc2lhIGluIHRoaXMgbWV0YS1hbmFseXNpcyByZWluZm9yY2VzIHRoZSBjbGluaWNhbCBzaWduaWZpY2FuY2Ugb2YgREEuIFN1cmdlb25zLCBwYXRob2xvZ2lzdHMgYW5kIHJhZGlvbG9naXN0cyBzaG91bGQgYmUgbWluZGZ1bCBvZiB0aGlzIHVuY29tbW9uIHBhdGhvbG9neSBhbmQgY29uc2lkZXIgaW5kaXZpZHVhbGl6ZWQgcGF0aWVudCBtYW5hZ2VtZW50LCB1bnRpbCBmdXJ0aGVyIGV2aWRlbmNlIGNhbiBkaXJlY3QgY2xpbmljYWwgZ3VpZGVsaW5lcyBmb3IgdGhlIG1hbmFnZW1lbnQgb2YgcGF0aWVudHMgd2l0aCBEQS4iLCJwdWJsaXNoZXIiOiJBTlogSiBTdXJnIiwiaXNzdWUiOiIxMCIsInZvbHVtZSI6IjkwIn0sImlzVGVtcG9yYXJ5IjpmYWxzZX1dfQ=="/>
          <w:id w:val="756938630"/>
        </w:sdtPr>
        <w:sdtContent>
          <w:r>
            <w:rPr/>
          </w:r>
          <w:r>
            <w:rPr>
              <w:rFonts w:eastAsia="MS Mincho"/>
              <w:color w:val="000000"/>
            </w:rPr>
            <w:t>(37)</w:t>
          </w:r>
        </w:sdtContent>
      </w:sdt>
      <w:r>
        <w:rPr/>
        <w:t>.</w:t>
      </w:r>
    </w:p>
    <w:p>
      <w:pPr>
        <w:pStyle w:val="p3"/>
        <w:numPr>
          <w:ilvl w:val="0"/>
          <w:numId w:val="39"/>
        </w:numPr>
        <w:spacing w:lineRule="auto" w:line="360" w:before="0" w:after="0"/>
        <w:jc w:val="both"/>
        <w:rPr/>
      </w:pPr>
      <w:r>
        <w:rPr>
          <w:b/>
          <w:bCs/>
        </w:rPr>
        <w:t>Historia de infecciones gastrointestinales</w:t>
      </w:r>
      <w:r>
        <w:rPr>
          <w:rStyle w:val="s1"/>
        </w:rPr>
        <w:t xml:space="preserve">: </w:t>
      </w:r>
      <w:r>
        <w:rPr/>
        <w:t>La hipótesis de que las infecciones crónicas pudieran predisponer a cambios displásicos es plausible, aunque aún carece de evidencia robusta específica para el cáncer apendicular.</w:t>
      </w:r>
    </w:p>
    <w:p>
      <w:pPr>
        <w:pStyle w:val="Heading2"/>
        <w:numPr>
          <w:ilvl w:val="1"/>
          <w:numId w:val="62"/>
        </w:numPr>
        <w:rPr/>
      </w:pPr>
      <w:bookmarkStart w:id="95" w:name="_Toc199584584"/>
      <w:bookmarkStart w:id="96" w:name="_Toc200580223"/>
      <w:r>
        <w:rPr/>
        <w:t>Factores protectores para el cáncer apendicular</w:t>
      </w:r>
      <w:bookmarkEnd w:id="95"/>
      <w:bookmarkEnd w:id="96"/>
    </w:p>
    <w:p>
      <w:pPr>
        <w:pStyle w:val="p3"/>
        <w:spacing w:lineRule="auto" w:line="360" w:before="280" w:after="280"/>
        <w:jc w:val="both"/>
        <w:rPr/>
      </w:pPr>
      <w:r>
        <w:rPr/>
        <w:t>Hasta el momento, no se han definido conductas ni intervenciones específicas que reduzcan de manera comprobada la incidencia del cáncer apendicular. Por tanto, no existen factores protectores clásicos formalmente reconocidos, como ocurre en otros tipos de cáncer gastrointestinal. Sin embargo, aunque no hay evidencia directa, algunos elementos han sido hipotéticamente propuestos como posibles factores protectores, basados en su impacto beneficioso en la carcinogénesis gastrointestinal en general:</w:t>
      </w:r>
    </w:p>
    <w:p>
      <w:pPr>
        <w:pStyle w:val="p1"/>
        <w:numPr>
          <w:ilvl w:val="0"/>
          <w:numId w:val="14"/>
        </w:numPr>
        <w:spacing w:lineRule="auto" w:line="360" w:before="280" w:after="0"/>
        <w:jc w:val="both"/>
        <w:rPr/>
      </w:pPr>
      <w:r>
        <w:rPr>
          <w:b/>
          <w:bCs/>
        </w:rPr>
        <w:t>Control de procesos inflamatorios</w:t>
      </w:r>
      <w:r>
        <w:rPr>
          <w:rStyle w:val="s1"/>
        </w:rPr>
        <w:t xml:space="preserve">: </w:t>
      </w:r>
      <w:r>
        <w:rPr/>
        <w:t>La inflamación crónica es un reconocido promotor de carcinogénesis en diversos órganos del tracto digestivo. Se ha planteado que el tratamiento oportuno de procesos inflamatorios apendiculares, como la apendicitis aguda, podría teóricamente disminuir el riesgo de transformación neoplásica, aunque esta relación no ha sido confirmada en estudios específicos</w:t>
      </w:r>
      <w:r>
        <w:rPr>
          <w:rFonts w:eastAsia="MS Mincho"/>
          <w:color w:val="000000"/>
        </w:rPr>
        <w:t>(16).</w:t>
      </w:r>
    </w:p>
    <w:p>
      <w:pPr>
        <w:pStyle w:val="p1"/>
        <w:numPr>
          <w:ilvl w:val="0"/>
          <w:numId w:val="14"/>
        </w:numPr>
        <w:spacing w:lineRule="auto" w:line="360" w:before="0" w:after="0"/>
        <w:jc w:val="both"/>
        <w:rPr/>
      </w:pPr>
      <w:r>
        <w:rPr>
          <w:b/>
          <w:bCs/>
        </w:rPr>
        <w:t>Resección apendicular incidental</w:t>
      </w:r>
      <w:r>
        <w:rPr>
          <w:rStyle w:val="s1"/>
        </w:rPr>
        <w:t xml:space="preserve">: </w:t>
      </w:r>
      <w:r>
        <w:rPr/>
        <w:t xml:space="preserve">La apendicectomía incidental, realizada durante procedimientos quirúrgicos abdominales no relacionados, ha sido sugerida como un posible factor que reduciría la probabilidad de desarrollar cáncer apendicular en el futuro </w:t>
      </w:r>
      <w:sdt>
        <w:sdtPr>
          <w:placeholder>
            <w:docPart w:val="DefaultPlaceholder_-1854013440"/>
          </w:placeholder>
          <w:tag w:val="MENDELEY_CITATION_v3_eyJjaXRhdGlvbklEIjoiTUVOREVMRVlfQ0lUQVRJT05fMjJmZWM1ODAtOGMwZi00YjllLThkYmItMzY4YjRiZjVkMTQ4IiwicHJvcGVydGllcyI6eyJub3RlSW5kZXgiOjB9LCJpc0VkaXRlZCI6ZmFsc2UsIm1hbnVhbE92ZXJyaWRlIjp7ImlzTWFudWFsbHlPdmVycmlkZGVuIjpmYWxzZSwiY2l0ZXByb2NUZXh0IjoiKDM4KSIsIm1hbnVhbE92ZXJyaWRlVGV4dCI6IiJ9LCJjaXRhdGlvbkl0ZW1zIjpbeyJpZCI6IjE5MzIxZWZjLTQ3YjYtM2MxOS05NzVjLWQ3YmY1YWNiOWY2MyIsIml0ZW1EYXRhIjp7InR5cGUiOiJhcnRpY2xlLWpvdXJuYWwiLCJpZCI6IjE5MzIxZWZjLTQ3YjYtM2MxOS05NzVjLWQ3YmY1YWNiOWY2MyIsInRpdGxlIjoiQXBwZW5kaXggcmVtb3ZhbCBhZmZlY3RzIHRoZSBzdWJzZXF1ZW50IGNhbmNlciByaXNrIGluIEFzaWFuIGFkdWx0czogQSB0ZXJyaXRvcnktd2lkZSBwb3B1bGF0aW9uLWJhc2VkIGNvaG9ydCBzdHVkeSIsImF1dGhvciI6W3siZmFtaWx5IjoiSHUiLCJnaXZlbiI6IkNoZW5oYW8iLCJwYXJzZS1uYW1lcyI6ZmFsc2UsImRyb3BwaW5nLXBhcnRpY2xlIjoiIiwibm9uLWRyb3BwaW5nLXBhcnRpY2xlIjoiIn0seyJmYW1pbHkiOiJHdW8iLCJnaXZlbiI6IkNvc21vcyBMaXV0YW8iLCJwYXJzZS1uYW1lcyI6ZmFsc2UsImRyb3BwaW5nLXBhcnRpY2xlIjoiIiwibm9uLWRyb3BwaW5nLXBhcnRpY2xlIjoiIn0seyJmYW1pbHkiOiJMYXUiLCJnaXZlbiI6IkhhcnJ5IENoZXVrIEhheSIsInBhcnNlLW5hbWVzIjpmYWxzZSwiZHJvcHBpbmctcGFydGljbGUiOiIiLCJub24tZHJvcHBpbmctcGFydGljbGUiOiIifSx7ImZhbWlseSI6IlNoaSIsImdpdmVuIjoiRmVpeXUiLCJwYXJzZS1uYW1lcyI6ZmFsc2UsImRyb3BwaW5nLXBhcnRpY2xlIjoiIiwibm9uLWRyb3BwaW5nLXBhcnRpY2xlIjoiIn0seyJmYW1pbHkiOiJaaGFuZyIsImdpdmVuIjoiWmhlIiwicGFyc2UtbmFtZXMiOmZhbHNlLCJkcm9wcGluZy1wYXJ0aWNsZSI6IiIsIm5vbi1kcm9wcGluZy1wYXJ0aWNsZSI6IiJ9LHsiZmFtaWx5IjoiR3VvIiwiZ2l2ZW4iOiJHYW5nIiwicGFyc2UtbmFtZXMiOmZhbHNlLCJkcm9wcGluZy1wYXJ0aWNsZSI6IiIsIm5vbi1kcm9wcGluZy1wYXJ0aWNsZSI6IiJ9LHsiZmFtaWx5IjoiTGl1IiwiZ2l2ZW4iOiJHYWl4aWEiLCJwYXJzZS1uYW1lcyI6ZmFsc2UsImRyb3BwaW5nLXBhcnRpY2xlIjoiIiwibm9uLWRyb3BwaW5nLXBhcnRpY2xlIjoiIn0seyJmYW1pbHkiOiJDaGVuIiwiZ2l2ZW4iOiJZaW5uYW4iLCJwYXJzZS1uYW1lcyI6ZmFsc2UsImRyb3BwaW5nLXBhcnRpY2xlIjoiIiwibm9uLWRyb3BwaW5nLXBhcnRpY2xlIjoiIn0seyJmYW1pbHkiOiJMYXUiLCJnaXZlbiI6IkxvdWlzIEhvIFNoaW5nIiwicGFyc2UtbmFtZXMiOmZhbHNlLCJkcm9wcGluZy1wYXJ0aWNsZSI6IiIsIm5vbi1kcm9wcGluZy1wYXJ0aWNsZSI6IiJ9LHsiZmFtaWx5IjoiWmhhbmciLCJnaXZlbiI6IkxlaSIsInBhcnNlLW5hbWVzIjpmYWxzZSwiZHJvcHBpbmctcGFydGljbGUiOiIiLCJub24tZHJvcHBpbmctcGFydGljbGUiOiIifSx7ImZhbWlseSI6IlN1biIsImdpdmVuIjoiWHVlanVuIiwicGFyc2UtbmFtZXMiOmZhbHNlLCJkcm9wcGluZy1wYXJ0aWNsZSI6IiIsIm5vbi1kcm9wcGluZy1wYXJ0aWNsZSI6IiJ9LHsiZmFtaWx5IjoiV29uZyIsImdpdmVuIjoiU3VubnkgSGVpIiwicGFyc2UtbmFtZXMiOmZhbHNlLCJkcm9wcGluZy1wYXJ0aWNsZSI6IiIsIm5vbi1kcm9wcGluZy1wYXJ0aWNsZSI6IiJ9LHsiZmFtaWx5IjoiU2hlIiwiZ2l2ZW4iOiJKdW5qdW4iLCJwYXJzZS1uYW1lcyI6ZmFsc2UsImRyb3BwaW5nLXBhcnRpY2xlIjoiIiwibm9uLWRyb3BwaW5nLXBhcnRpY2xlIjoiIn0seyJmYW1pbHkiOiJZdSIsImdpdmVuIjoiSnVuIiwicGFyc2UtbmFtZXMiOmZhbHNlLCJkcm9wcGluZy1wYXJ0aWNsZSI6IiIsIm5vbi1kcm9wcGluZy1wYXJ0aWNsZSI6IiJ9XSwiY29udGFpbmVyLXRpdGxlIjoiQ2FuY2VyIGxldHRlcnMiLCJjb250YWluZXItdGl0bGUtc2hvcnQiOiJDYW5jZXIgTGV0dCIsIkRPSSI6IjEwLjEwMTYvSi5DQU5MRVQuMjAyNC4yMTcwODciLCJJU1NOIjoiMTg3Mi03OTgwIiwiUE1JRCI6IjM4OTY0NzMyIiwiaXNzdWVkIjp7ImRhdGUtcGFydHMiOltbMjAyNF1dfSwiYWJzdHJhY3QiOiJIdW1hbiBhcHBlbmRpeCBpcyBjcml0aWNhbCBmb3IgdGhlIG1haW50ZW5hbmNlIG9mIGludGVzdGluYWwgaG9tZW9zdGFzaXMuIEFwcGVuZGljZWN0b215IGhhcyBiZWVuIHRoZSBvcHRpbWFsIHRyZWF0bWVudCBvZiBhY3V0ZSBhcHBlbmRpY2l0aXMsIHlldCB0aGUgY2FuY2VyIGluY2lkZW5jZSBhZnRlciBhcHBlbmRpeCByZW1vdmFsIHJlbWFpbnMgdW5jbGVhci4gSW4gdGhpcyB0ZXJyaXRvcnktd2lkZSByZXRyb3NwZWN0aXZlIGNvaG9ydCBzdHVkeSwgYWR1bHQgcGFydGljaXBhbnRzIHdobyB1bmRlcndlbnQgYXBwZW5kaWNlY3RvbXkgZnJvbSAyMDAwIHRvIDIwMTggd2VyZSByZXRyaWV2ZWQgZnJvbSBhIHBvcHVsYXRpb24gZGF0YWJhc2UgKG4gPSA0Myw5ODMpLCB3aGlsZSBtYXRjaGVkIHJlZmVyZW5jZSBwYXJ0aWNpcGFudHMgd2VyZSByZXRyaWV2ZWQgYXMgY29udHJvbHMgKG4gPSA4NSw4NTMpLiBBZnRlciBhcHBlbmRpY2VjdG9teSwgdGhlIG92ZXJhbGwgY2FuY2VyIHJpc2sgd2FzIHNpZ25pZmljYW50bHkgaW5jcmVhc2VkIChzdWJkaXN0cmlidXRpb24gaGF6YXJkIHJhdGlvIChTSFIpID0gMS4xMjQpIGNvbXBhcmVkIHRvIHRoZSBub24tYXBwZW5kaWNlY3RvbXkgZ3JvdXAuIEFwcGVuZGljZWN0b215LXRyZWF0ZWQgbWFsZXMgaGFkIGhpZ2hlciBjYW5jZXIgcmlzayB0aGFuIG1hbGVzIHdpdGhvdXQgYXBwZW5kaWNlY3RvbXkgKFNIUiA9IDEuMTk3KSwgd2hpbGUgc3VjaCBkaWZmZXJlbmNlIHdhcyBub3Qgb2JzZXJ2ZWQgaW4gZmVtYWxlIHBhcnRpY2lwYW50cy4gU2lnbmlmaWNhbnQgaW5jcmVhc2UgaW4gY2FuY2VyIHJpc2sgd2FzIGFsc28gb2JzZXJ2ZWQgaW4gZWxkZXIgcGFydGljaXBhbnRzIChhZ2UgPjYwKSB3aXRoIGFwcGVuZGljZWN0b215IChTSFIgPSAxLjM5MCkuIEFwcGVuZGljZWN0b215IHdhcyBwb3NpdGl2ZWx5IGNvcnJlbGF0ZWQgd2l0aCB0aGUgcmlzayBvZiBkaWdlc3RpdmUgdHJhY3QgYW5kIHJlc3BpcmF0b3J5IGNhbmNlcnMgaW5jbHVkaW5nIGNvbG9uIChTSFIgPSAxLjQ0MCksIHBhbmNyZWFzIChTSFIgPSAxLjkzMCksIGFuZCB0cmFjaGVhLCBicm9uY2h1cywgYW5kIGx1bmcgKFNIUiA9IDEuMzk0KS4gSW4gY29udHJhc3QsIHRoZSByaXNrIG9mIGxpdmVyIGNhbmNlciB3YXMgbWFya2VkbHkgZGVjcmVhc2VkIGFmdGVyIGFwcGVuZGljZWN0b215IChTSFIgPSAwLjcxMykuIEluIGNvbmNsdXNpb24sIHdlIHJlcG9ydGVkIHRoZSBhc3NvY2lhdGlvbiBvZiBhcHBlbmRpY2VjdG9teSB3aXRoIHN1YnNlcXVlbnQgY2FuY2VyIGluY2lkZW5jZS4gVGhlc2UgZmluZGluZ3MgaGlnaGxpZ2h0IHRoZSBwb3RlbnRpYWwgY29tcGxpY2F0aW9uIGFmdGVyIGFwcGVuZGl4IHJlbW92YWwgYW5kIHRoZSBuZWNlc3NpdHkgb2YgcG9zdC1vcGVyYXRpdmUgbWFuYWdlbWVudCB0byBtb25pdG9yIGFuZCBwcmV2ZW50IGxvbmctdGVybSBhZHZlcnNlIGV2ZW50cy4iLCJwdWJsaXNoZXIiOiJDYW5jZXIgTGV0dCIsInZvbHVtZSI6IjU5OCJ9LCJpc1RlbXBvcmFyeSI6ZmFsc2V9XX0="/>
          <w:id w:val="1508482889"/>
        </w:sdtPr>
        <w:sdtContent>
          <w:r>
            <w:rPr/>
          </w:r>
          <w:r>
            <w:rPr>
              <w:rFonts w:eastAsia="MS Mincho"/>
              <w:color w:val="000000"/>
            </w:rPr>
            <w:t>(38)</w:t>
          </w:r>
        </w:sdtContent>
      </w:sdt>
      <w:r>
        <w:rPr/>
        <w:t xml:space="preserve">. Sin embargo, </w:t>
      </w:r>
      <w:r>
        <w:rPr/>
        <w:t>los beneficios de esta práctica deben sopesarse frente a los riesgos inherentes a intervenciones adicionales. Actualmente, no existe una recomendación formal que respalde su indicación sistemática con fines preventivos.</w:t>
      </w:r>
    </w:p>
    <w:p>
      <w:pPr>
        <w:pStyle w:val="p1"/>
        <w:numPr>
          <w:ilvl w:val="0"/>
          <w:numId w:val="14"/>
        </w:numPr>
        <w:spacing w:lineRule="auto" w:line="360" w:before="0" w:after="280"/>
        <w:jc w:val="both"/>
        <w:rPr/>
      </w:pPr>
      <w:r>
        <w:rPr>
          <w:b/>
          <w:bCs/>
        </w:rPr>
        <w:t>Hábitos de vida saludables</w:t>
      </w:r>
      <w:r>
        <w:rPr>
          <w:rStyle w:val="s1"/>
        </w:rPr>
        <w:t xml:space="preserve">: </w:t>
      </w:r>
      <w:r>
        <w:rPr/>
        <w:t>Factores como una dieta rica en fibra, el mantenimiento de un peso corporal adecuado y la práctica regular de ejercicio físico han demostrado efectos protectores en otros tipos de cáncer digestivo, en particular el cáncer colorrectal. Aunque no existen estudios que evidencien su impacto específico en el cáncer apendicular, su adopción puede considerarse razonable como parte de estrategias generales de prevención oncológica</w:t>
      </w:r>
      <w:sdt>
        <w:sdtPr>
          <w:placeholder>
            <w:docPart w:val="8791429B75A07D49B181E5EF00238717"/>
          </w:placeholder>
          <w:tag w:val="MENDELEY_CITATION_v3_eyJjaXRhdGlvbklEIjoiTUVOREVMRVlfQ0lUQVRJT05fZGJmNWQ4YTktOWM3Yy00NzRhLWFiYTMtMzAxNjRmZWE5MDFkIiwicHJvcGVydGllcyI6eyJub3RlSW5kZXgiOjB9LCJpc0VkaXRlZCI6ZmFsc2UsIm1hbnVhbE92ZXJyaWRlIjp7ImlzTWFudWFsbHlPdmVycmlkZGVuIjpmYWxzZSwiY2l0ZXByb2NUZXh0IjoiKDM5KSIsIm1hbnVhbE92ZXJyaWRlVGV4dCI6IiJ9LCJjaXRhdGlvbkl0ZW1zIjpbeyJpZCI6IjY3YTcxOGU2LTMyNmYtMzRiNS1hZjdlLWYyNGFmMzUxMDM4NSIsIml0ZW1EYXRhIjp7InR5cGUiOiJhcnRpY2xlLWpvdXJuYWwiLCJpZCI6IjY3YTcxOGU2LTMyNmYtMzRiNS1hZjdlLWYyNGFmMzUxMDM4NSIsInRpdGxlIjoiQVNPIFByYWN0aWNlIEd1aWRlbGluZXMgU2VyaWVzOiBTdXJnaWNhbCBNYW5hZ2VtZW50IG9mIEdhc3Ryb2ludGVzdGluYWwgKE1pZGd1dCkgTmV1cm9lbmRvY3JpbmUgTmVvcGxhc21zIiwiYXV0aG9yIjpbeyJmYW1pbHkiOiJIYWxsZXQiLCJnaXZlbiI6Ikp1bGllIiwicGFyc2UtbmFtZXMiOmZhbHNlLCJkcm9wcGluZy1wYXJ0aWNsZSI6IiIsIm5vbi1kcm9wcGluZy1wYXJ0aWNsZSI6IiJ9LHsiZmFtaWx5IjoiQ2xhcmtlIiwiZ2l2ZW4iOiJDYWxsaXNpYSBOLiIsInBhcnNlLW5hbWVzIjpmYWxzZSwiZHJvcHBpbmctcGFydGljbGUiOiIiLCJub24tZHJvcHBpbmctcGFydGljbGUiOiIifV0sImNvbnRhaW5lci10aXRsZSI6IkFubmFscyBvZiBzdXJnaWNhbCBvbmNvbG9neSIsImNvbnRhaW5lci10aXRsZS1zaG9ydCI6IkFubiBTdXJnIE9uY29sIiwiYWNjZXNzZWQiOnsiZGF0ZS1wYXJ0cyI6W1syMDI1LDQsMTJdXX0sIkRPSSI6IjEwLjEyNDUvUzEwNDM0LTAyMy0xNDgwMi04IiwiSVNTTiI6IjE1MzQtNDY4MSIsIlBNSUQiOiIzODE2NzgxMyIsIlVSTCI6Imh0dHBzOi8vcHVibWVkLm5jYmkubmxtLm5paC5nb3YvMzgxNjc4MTMvIiwiaXNzdWVkIjp7ImRhdGUtcGFydHMiOltbMjAyNF1dfSwicGFnZSI6IjE3MDQtMTcxMyIsImFic3RyYWN0IjoiR2FzdHJvaW50ZXN0aW5hbCBtaWRndXQgbmV1cm9lbmRvY3JpbmUgbmVvcGxhc21zIChORU5zKSBhcmUgYSBoZXRlcm9nZW5lb3VzIGdyb3VwIG9mIHVuY29tbW9uIG1hbGlnbmFuY2llcy4gRm9yIHdlbGwtZGlmZmVyZW50aWF0ZWQgTkVOcywga25vd24gYXMgbmV1cm9lbmRvY3JpbmUgdHVtb3JzIChORVRzKSwgc3VyZ2VyeSBpcyBhIGNvcm5lcnN0b25lIG9mIG1hbmFnZW1lbnQgaW4gbG9jYWxpemVkIGFuZCBtZXRhc3RhdGljIGRpc2Vhc2UuIEJlY2F1c2Ugb2YgaGV0ZXJvZ2VuZW91cyB0dW1vciBiZWhhdmlvdXIsIGFzc29jaWF0aW9uIHdpdGggZW5kb2NyaW5lIHN5bmRyb21lLCBhbmQgcHJvZ25vc2lzLCB0aGUgbWFuYWdlbWVudCBvZiBORVRzIG11c3QgYmUgaW5kaXZpZHVhbGl6ZWQgdG8gYWxsIHRoZXNlIGZhY3RvcnMgaW4gYWRkaXRpb24gdG8gdGhlIHByaW1hcnkgc2l0ZS4gV2l0aCB0aGUgZmFzdCBwYWNlIG9mIGFkdmFuY2VtZW50IGluIHRoZSBmaWVsZCwgYm90aCBmb3IgdGhlcmFwaWVzIGFuZCB1bmRlcnN0YW5kaW5nIG9mIHR1bW9yYWwgZXRpb2xvZ3kgYW5kIGJlaGF2aW91ciwgaXQgaXMgaW1wb3J0YW50IGZvciBzdXJnaWNhbCBvbmNvbG9naXN0cyB0byByZW1haW4gdXBkYXRlZCBvbiBndWlkZWxpbmVzIHJlY29tbWVuZGF0aW9ucyBhbmQgc3VnZ2VzdGVkIHRyZWF0bWVudCBwYXRod2F5cy4gVGhvc2UgZ3VpZGVsaW5lcyBwcm92aWRlIGltcG9ydGFudCBndWlkYW5jZSBmb3IgbWFuYWdlbWVudCBvZiBORVRzIGJ1dCBhcmUgbGFyZ2VseSBiYXNlZCBvbiBleHBlcnQgb3BpbmlvbnMgYW5kIGludGVycHJldGF0aW9uIG9mIHJldHJvc3BlY3RpdmUgZXZpZGVuY2UuIFRoaXMgYXJ0aWNsZSByZXZpZXdzIGhpZ2hsaWdodHMgb2YgbW9zdCByZWNlbnQgcHJhY3RpY2UgZ3VpZGVsaW5lcyBmb3IgbWlkZ3V0IChnYXN0cmljLCBkdW9kZW5hbCwgc21hbGwgaW50ZXN0aW5hbCwgYW5kIGFwcGVuZGljZWFsKSBORVRzLiIsInB1Ymxpc2hlciI6IkFubiBTdXJnIE9uY29sIiwiaXNzdWUiOiIzIiwidm9sdW1lIjoiMzEifSwiaXNUZW1wb3JhcnkiOmZhbHNlfV19"/>
          <w:id w:val="1049505267"/>
        </w:sdtPr>
        <w:sdtContent>
          <w:r>
            <w:rPr/>
          </w:r>
          <w:r>
            <w:rPr>
              <w:rFonts w:eastAsia="MS Mincho"/>
              <w:color w:val="000000"/>
            </w:rPr>
            <w:t>(39)</w:t>
          </w:r>
        </w:sdtContent>
      </w:sdt>
      <w:r>
        <w:rPr>
          <w:rFonts w:eastAsia="MS Mincho"/>
          <w:color w:val="000000"/>
        </w:rPr>
        <w:t>.</w:t>
      </w:r>
    </w:p>
    <w:p>
      <w:pPr>
        <w:pStyle w:val="Normal"/>
        <w:rPr>
          <w:rStyle w:val="s1"/>
        </w:rPr>
      </w:pPr>
      <w:r>
        <w:rPr/>
      </w:r>
    </w:p>
    <w:p>
      <w:pPr>
        <w:pStyle w:val="Heading2"/>
        <w:numPr>
          <w:ilvl w:val="1"/>
          <w:numId w:val="63"/>
        </w:numPr>
        <w:rPr/>
      </w:pPr>
      <w:bookmarkStart w:id="97" w:name="_Toc200580224"/>
      <w:bookmarkStart w:id="98" w:name="_Toc199584585"/>
      <w:r>
        <w:rPr/>
        <w:t>Presentación clínica del cáncer apendicular</w:t>
      </w:r>
      <w:bookmarkEnd w:id="97"/>
      <w:bookmarkEnd w:id="98"/>
    </w:p>
    <w:p>
      <w:pPr>
        <w:pStyle w:val="p3"/>
        <w:spacing w:lineRule="auto" w:line="360" w:before="280" w:after="280"/>
        <w:jc w:val="both"/>
        <w:rPr/>
      </w:pPr>
      <w:r>
        <w:rPr/>
        <w:t xml:space="preserve">Una vez considerado el aumento en su incidencia, resulta vital el reconocimiento de signos y síntomas relativamente inespecíficos para la detección de esta patología. El cáncer apendicular, debido a su rareza y a su tendencia a simular enfermedades benignas, representa un desafío diagnóstico considerable. La baja frecuencia de su aparición implica que el equipo médico que evalúa al paciente no lo incluya comúnmente dentro del diagnóstico diferencial de un cuadro de apendicitis, a pesar de que esta pueda corresponder a una manifestación neoplásica. </w:t>
      </w:r>
    </w:p>
    <w:p>
      <w:pPr>
        <w:pStyle w:val="p3"/>
        <w:spacing w:lineRule="auto" w:line="360" w:before="280" w:after="280"/>
        <w:jc w:val="both"/>
        <w:rPr/>
      </w:pPr>
      <w:r>
        <w:rPr/>
        <w:t>La diferenciación clínica entre apendicitis aguda y neoplasia apendicular puede orientarse a partir de ciertos hallazgos que aumentan la probabilidad de malignidad, tales como una evolución clínica prolongada o atípica para apendicitis, la falta de respuesta al tratamiento antibiótico inicial, la presencia de una masa persistente tras la aparente resolución de una apendicitis (sospecha de absceso vs tumor subyacente), cambios en el hábito intestinal o pérdida de peso.</w:t>
      </w:r>
    </w:p>
    <w:p>
      <w:pPr>
        <w:pStyle w:val="p3"/>
        <w:spacing w:lineRule="auto" w:line="360" w:before="280" w:after="280"/>
        <w:jc w:val="both"/>
        <w:rPr/>
      </w:pPr>
      <w:r>
        <w:rPr/>
        <w:t>Cuando se plantea el diagnóstico clínico de una neoplasia, debe considerarse la posibilidad de una apendicitis aguda simulada, siendo esta la forma más frecuente de presentación. En tales casos, el paciente presenta dolor abdominal típico en la fosa ilíaca derecha, causado por la obstrucción tumoral, que provoca inflamación secundaria clínicamente indistinguible de una apendicitis clásica.</w:t>
      </w:r>
    </w:p>
    <w:p>
      <w:pPr>
        <w:pStyle w:val="p3"/>
        <w:spacing w:lineRule="auto" w:line="360" w:before="280" w:after="280"/>
        <w:jc w:val="both"/>
        <w:rPr/>
      </w:pPr>
      <w:r>
        <w:rPr/>
        <w:t xml:space="preserve">La sospecha también puede surgir a partir de la detección de una masa anexial o pélvica en mujeres, especialmente en el contexto de tumores mucinosos, los cuales pueden confundirse con patología ovárica </w:t>
      </w:r>
      <w:sdt>
        <w:sdtPr>
          <w:placeholder>
            <w:docPart w:val="DefaultPlaceholder_-1854013440"/>
          </w:placeholder>
          <w:tag w:val="MENDELEY_CITATION_v3_eyJjaXRhdGlvbklEIjoiTUVOREVMRVlfQ0lUQVRJT05fODQyMTY5NDEtMDg1MS00OTJhLTk5ZWItNDAwNzhlZTczNjQ2IiwicHJvcGVydGllcyI6eyJub3RlSW5kZXgiOjB9LCJpc0VkaXRlZCI6ZmFsc2UsIm1hbnVhbE92ZXJyaWRlIjp7ImlzTWFudWFsbHlPdmVycmlkZGVuIjpmYWxzZSwiY2l0ZXByb2NUZXh0IjoiKDE0KSIsIm1hbnVhbE92ZXJyaWRlVGV4dCI6IiJ9LCJjaXRhdGlvbkl0ZW1zIjpbeyJpZCI6Ijg4Mzk5ZTE1LWVlZDctMzkxYS05MDExLTA5OTQzN2JjZjRlZCIsIml0ZW1EYXRhIjp7InR5cGUiOiJhcnRpY2xlLWpvdXJuYWwiLCJpZCI6Ijg4Mzk5ZTE1LWVlZDctMzkxYS05MDExLTA5OTQzN2JjZjRlZCIsInRpdGxlIjoiUmV2aWV3IG9mIGFwcGVuZGljaXRpczogcm91dGluZSwgY29tcGxpY2F0ZWQsIGFuZCBtaW1pY3MiLCJhdXRob3IiOlt7ImZhbWlseSI6Ikh1bnNha2VyIiwiZ2l2ZW4iOiJKb3NodWEgQy4iLCJwYXJzZS1uYW1lcyI6ZmFsc2UsImRyb3BwaW5nLXBhcnRpY2xlIjoiIiwibm9uLWRyb3BwaW5nLXBhcnRpY2xlIjoiIn0seyJmYW1pbHkiOiJBcXVpbm8iLCJnaXZlbiI6IlJlYmVrYWgiLCJwYXJzZS1uYW1lcyI6ZmFsc2UsImRyb3BwaW5nLXBhcnRpY2xlIjoiIiwibm9uLWRyb3BwaW5nLXBhcnRpY2xlIjoiIn0seyJmYW1pbHkiOiJXcmlnaHQiLCJnaXZlbiI6IkJyYWQiLCJwYXJzZS1uYW1lcyI6ZmFsc2UsImRyb3BwaW5nLXBhcnRpY2xlIjoiIiwibm9uLWRyb3BwaW5nLXBhcnRpY2xlIjoiIn0seyJmYW1pbHkiOiJLb2JlcyIsImdpdmVuIjoiUGF0cmljayIsInBhcnNlLW5hbWVzIjpmYWxzZSwiZHJvcHBpbmctcGFydGljbGUiOiIiLCJub24tZHJvcHBpbmctcGFydGljbGUiOiIifSx7ImZhbWlseSI6Iktlbm5lZHkiLCJnaXZlbiI6IkFubmUiLCJwYXJzZS1uYW1lcyI6ZmFsc2UsImRyb3BwaW5nLXBhcnRpY2xlIjoiIiwibm9uLWRyb3BwaW5nLXBhcnRpY2xlIjoiIn0seyJmYW1pbHkiOiJEdW5uIiwiZ2l2ZW4iOiJEZWxsIiwicGFyc2UtbmFtZXMiOmZhbHNlLCJkcm9wcGluZy1wYXJ0aWNsZSI6IiIsIm5vbi1kcm9wcGluZy1wYXJ0aWNsZSI6IiJ9XSwiY29udGFpbmVyLXRpdGxlIjoiRW1lcmdlbmN5IHJhZGlvbG9neSIsImNvbnRhaW5lci10aXRsZS1zaG9ydCI6IkVtZXJnIFJhZGlvbCIsIkRPSSI6IjEwLjEwMDcvUzEwMTQwLTAyMi0wMjA5OC0yIiwiSVNTTiI6IjE0MzgtMTQzNSIsIlBNSUQiOiIzNjM3NjY0MyIsImlzc3VlZCI6eyJkYXRlLXBhcnRzIjpbWzIwMjNdXX0sInBhZ2UiOiIxMDctMTE3IiwiYWJzdHJhY3QiOiJBcHBlbmRpY2l0aXMgaXMgb25lIG9mIHRoZSBtb3N0IGNvbW1vbiBzb3VyY2VzIG9mIGFiZG9taW5hbCBwYWluIGluIHRoZSBlbWVyZ2VuY3kgc2V0dGluZyBhbmQgaXMgZ2VuZXJhbGx5IGNvbnNpZGVyZWQgYSBzdHJhaWdodGZvcndhcmQgZGlhZ25vc2lzLiBIb3dldmVyLCBhdHlwaWNhbCBhcHBlYXJhbmNlcywgbm9uLXZpc3VhbGl6YXRpb24sIGFuZCBpbmNvbmNsdXNpdmUgZmVhdHVyZXMgY2FuIG1ha2UgdGhlc2UgY2FzZXMgbW9yZSBjb21wbGljYXRlZC4gVGhlIG9iamVjdGl2ZXMgb2YgdGhpcyBhcnRpY2xlIGFyZSB0byByZXZpZXcgdGhlIGRpZmZlcmVudGlhbCBkaWFnbm9zZXMgZm9yIHJpZ2h0IGxvd2VyIHF1YWRyYW50IHBhaW4sIGRpc2N1c3MgdGhlIGltYWdpbmcgY2hhcmFjdGVyaXN0aWNzIG9mIHNpbXBsZSBhcHBlbmRpY2l0aXMgb24gY29tcHV0ZWQgdG9tb2dyYXBoeSAoQ1QpLCBhbmQgcHJvdmlkZSBndWlkYW5jZSBmb3IgZXF1aXZvY2FsIGNhc2VzLCBjb21wbGljYXRlZCBhcHBlbmRpY2l0aXMsIGFuZCBhcHBlbmRpY2l0aXMgbWltaWNzLiBUaGlzIHJldmlldyB3aWxsIGFsc28gZGlzY3VzcyB0aGUgaWRlbnRpZmljYXRpb24gYW5kIG1hbmFnZW1lbnQgb2YgbmVvcGxhc21zIG9mIHRoZSBhcHBlbmRpeC4iLCJwdWJsaXNoZXIiOiJFbWVyZyBSYWRpb2wiLCJpc3N1ZSI6IjEiLCJ2b2x1bWUiOiIzMCJ9LCJpc1RlbXBvcmFyeSI6ZmFsc2V9XX0="/>
          <w:id w:val="722252465"/>
        </w:sdtPr>
        <w:sdtContent>
          <w:r>
            <w:rPr/>
          </w:r>
          <w:r>
            <w:rPr>
              <w:rFonts w:eastAsia="MS Mincho"/>
              <w:color w:val="000000"/>
            </w:rPr>
            <w:t>(14)</w:t>
          </w:r>
        </w:sdtContent>
      </w:sdt>
      <w:r>
        <w:rPr>
          <w:color w:val="000000"/>
        </w:rPr>
        <w:t xml:space="preserve">. </w:t>
      </w:r>
    </w:p>
    <w:p>
      <w:pPr>
        <w:pStyle w:val="p3"/>
        <w:spacing w:lineRule="auto" w:line="360" w:before="280" w:after="280"/>
        <w:jc w:val="both"/>
        <w:rPr/>
      </w:pPr>
      <w:r>
        <w:rPr/>
        <w:t xml:space="preserve">En etapas más avanzadas, pueden presentarse síntomas característicos del pseudomixoma peritonei, tales como distensión abdominal progresiva, aumento del perímetro abdominal y dolor crónico, típicamente asociados a neoplasias mucinosas avanzadas </w:t>
      </w:r>
      <w:r>
        <w:rPr>
          <w:rFonts w:eastAsia="MS Mincho"/>
          <w:color w:val="000000"/>
        </w:rPr>
        <w:t>(32)</w:t>
      </w:r>
      <w:r>
        <w:rPr/>
        <w:t>.</w:t>
      </w:r>
    </w:p>
    <w:p>
      <w:pPr>
        <w:pStyle w:val="p3"/>
        <w:spacing w:lineRule="auto" w:line="360" w:before="280" w:after="280"/>
        <w:jc w:val="both"/>
        <w:rPr/>
      </w:pPr>
      <w:r>
        <w:rPr/>
        <w:t>Cabe destacar que un subgrupo minoritario de pacientes, en particular aquellos con tumores neuroendocrinos pequeños o LAMN confinados, puede permanecer asintomático durante largos períodos, siendo diagnosticado únicamente mediante apendicectomías incidentales</w:t>
      </w:r>
      <w:sdt>
        <w:sdtPr>
          <w:placeholder>
            <w:docPart w:val="DefaultPlaceholder_-1854013440"/>
          </w:placeholder>
          <w:tag w:val="MENDELEY_CITATION_v3_eyJjaXRhdGlvbklEIjoiTUVOREVMRVlfQ0lUQVRJT05fYmJjMjM2NDktMWVhYi00N2EwLTgzZjEtMTU3NjYzYzQyNDVlIiwicHJvcGVydGllcyI6eyJub3RlSW5kZXgiOjB9LCJpc0VkaXRlZCI6ZmFsc2UsIm1hbnVhbE92ZXJyaWRlIjp7ImlzTWFudWFsbHlPdmVycmlkZGVuIjpmYWxzZSwiY2l0ZXByb2NUZXh0IjoiKDIzKSIsIm1hbnVhbE92ZXJyaWRlVGV4dCI6IiJ9LCJjaXRhdGlvbkl0ZW1zIjpbeyJpZCI6ImJkN2RkYTk0LTNlMTEtMzIyMi1hNjI2LTcwY2VmZTQ5ZmU2ZSIsIml0ZW1EYXRhIjp7InR5cGUiOiJhcnRpY2xlLWpvdXJuYWwiLCJpZCI6ImJkN2RkYTk0LTNlMTEtMzIyMi1hNjI2LTcwY2VmZTQ5ZmU2ZSIsInRpdGxlIjoiQXBwZW5kaWNlYWwgTmV1cm9lbmRvY3JpbmUgTmVvcGxhc21zOiBBIENvbXByZWhlbnNpdmUgUmV2aWV3IiwiYXV0aG9yIjpbeyJmYW1pbHkiOiJQYWRtYW5hYmhhbiBOYWlyIFNvYmhhIiwiZ2l2ZW4iOiJSZW5qaXRoIiwicGFyc2UtbmFtZXMiOmZhbHNlLCJkcm9wcGluZy1wYXJ0aWNsZSI6IiIsIm5vbi1kcm9wcGluZy1wYXJ0aWNsZSI6IiJ9LHsiZmFtaWx5IjoiSmVuc2VuIiwiZ2l2ZW4iOiJDb3JleSBULiIsInBhcnNlLW5hbWVzIjpmYWxzZSwiZHJvcHBpbmctcGFydGljbGUiOiIiLCJub24tZHJvcHBpbmctcGFydGljbGUiOiIifSx7ImZhbWlseSI6IldhdGVycyIsImdpdmVuIjoiUmViZWNjYSIsInBhcnNlLW5hbWVzIjpmYWxzZSwiZHJvcHBpbmctcGFydGljbGUiOiIiLCJub24tZHJvcHBpbmctcGFydGljbGUiOiIifSx7ImZhbWlseSI6IkNhbGltYW5vLVJhbWlyZXoiLCJnaXZlbiI6Ikx1aXMgRmVybmFuZG8iLCJwYXJzZS1uYW1lcyI6ZmFsc2UsImRyb3BwaW5nLXBhcnRpY2xlIjoiIiwibm9uLWRyb3BwaW5nLXBhcnRpY2xlIjoiIn0seyJmYW1pbHkiOiJWaXJhcmthciIsImdpdmVuIjoiTWF5dXIgSy4iLCJwYXJzZS1uYW1lcyI6ZmFsc2UsImRyb3BwaW5nLXBhcnRpY2xlIjoiIiwibm9uLWRyb3BwaW5nLXBhcnRpY2xlIjoiIn1dLCJjb250YWluZXItdGl0bGUiOiJKb3VybmFsIG9mIGNvbXB1dGVyIGFzc2lzdGVkIHRvbW9ncmFwaHkiLCJjb250YWluZXItdGl0bGUtc2hvcnQiOiJKIENvbXB1dCBBc3Npc3QgVG9tb2dyIiwiRE9JIjoiMTAuMTA5Ny9SQ1QuMDAwMDAwMDAwMDAwMTUyOCIsIklTU04iOiIxNTMyLTMxNDUiLCJQTUlEIjoiMzc1NzQ2NTMiLCJpc3N1ZWQiOnsiZGF0ZS1wYXJ0cyI6W1syMDI0XV19LCJwYWdlIjoiNTQ1LTU2MiIsImFic3RyYWN0IjoiQXBwZW5kaWNlYWwgbmV1cm9lbmRvY3JpbmUgbmVvcGxhc20gKE5FTikgaXMgdGhlIG1vc3QgY29tbW9uIGFkdWx0IGFwcGVuZGljZWFsIG1hbGlnbmFudCB0dW1vciwgY29uc3RpdHV0aW5nIDE2JSBvZiBnYXN0cm9pbnRlc3RpbmFsIE5FTnMuIFRoZXkgYXJlIHZlcnNhdGlsZSB0dW1vcnMgd2l0aCB2YXJ5aW5nIG1vcnBob2xvZ3ksIGltbXVub2hpc3RvY2hlbWlzdHJ5LCBzZWNyZXRvcnkgcHJvcGVydGllcywgYW5kIGNhbmNlciBnZW5vbWljcy4gVGhleSBhcmUgc2xvdyBncm93aW5nIGFuZCBjbGluaWNhbGx5IHNpbGVudCwgdG8gYmVnaW4gd2l0aCwgb3IgcHJlc2VudCB3aXRoIGZlYXR1cmVzIG9mIG5vbnNwZWNpZmljIHZhZ3VlIGFiZG9taW5hbCBwYWluLiBNb3N0IGFjdXRlIHByZXNlbnRhdGlvbnMgYXJlIGF0dHJpYnV0ZWQgY2xpbmljYWxseSB0byBhcHBlbmRpY2l0aXMsIHdpdGggbW9zdCBjYXNlcyBkZXRlY3RlZCBpbmNpZGVudGFsbHkgb24gcGF0aG9sb2d5IGFmdGVyIGFuIGFwcGVuZGVjdG9teS4gQXBwcm94aW1hdGVseSA0MCUgb2YgdGhlbSBwcmVzZW50IGNsaW5pY2FsbHkgd2l0aCBmZWF0dXJlcyBvZiBob3Jtb25hbCBleGNlc3MsIHdoaWNoIGlzIGxpa2VuZWQgdG8gdGhlIGZ1bmN0aW9uYWwgc2VjcmV0b3J5IG5hdHVyZSBvZiB0aGVpciBwYXJlbnQgY2VsbCBvZiBvcmlnaW4uIFRoZSBzeW1wdG9tcyBvZiBjYXJjaW5vaWQgc3luZHJvbWUgcmVuZGVyIHRoZWlyIHByZXNlbmNlIGNsaW5pY2FsbHkgZXZpZGVudC4gSG93ZXZlciwgc2xvdyBncm93aW5nIGFuZCBzeW1wdG9tYXRpY2FsbHkgc2lsZW50IGluIGl0cyBpbml0aWFsIHN0YWdlcywgaGlnaC1ncmFkZSBuZXVyb2VuZG9jcmluZSB0dW1vcnMgYW5kIG5ldXJvZW5kb2NyaW5lIGNhcmNpbm9tYXMgb2YgdGhlIGFwcGVuZGl4IGFyZSBhZ2dyZXNzaXZlIGFuZCB1c3VhbGx5IGhhdmUgaGVwYXRpYyBhbmQgbHltcGggbm9kZSBtZXRhc3Rhc2lzIGF0IHByZXNlbnRhdGlvbi4gVGhpcyByZXZpZXcgYXJ0aWNsZSBmb2N1c2VzIG9uIGltYWdpbmcgY2hhcmFjdGVyaXN0aWNzLCBXb3JsZCBIZWFsdGggT3JnYW5pemF0aW9uIGhpc3RvcGF0aG9sb2dpY2FsIGNsYXNzaWZpY2F0aW9uIGFuZCBncmFkaW5nLCBBbWVyaWNhbiBKb2ludCBDb21taXR0ZWUgb24gQ2FuY2VyL1VuaW9uIG9yIEludGVybmF0aW9uYWwgQ2FuY2VyIENvbnRyb2wsIEV1cm9wZWFuIE5ldXJvZW5kb2NyaW5lIFR1bW9yIFNvY2lldHkgc3RhZ2luZywgRXVyb3BlYW4gTmV1cm9lbmRvY3JpbmUgVHVtb3IgU29jaWV0eSBzdGFuZGFyZGl6ZWQgZ3VpZGVsaW5lcyBmb3IgcmVwb3J0aW5nLCBkYXRhIGludGVycHJldGF0aW9uLCBlYXJseS1zdGFnZSBtYW5hZ2VtZW50IHByb3RvY29scywgYW5kIGFkdmFuY2VkLXN0YWdlIGFwcGVuZGljZWFsIE5FTnMuIEd1aWRlbGluZXMgYXJlIGFsc28gc2V0IGZvciB0aGUgZm9sbG93LXVwIGFuZCByZWFzc2Vzc21lbnQuIFRoZSByb2xlIG9mIHRhcmdldGVkIHJhZGlvdGhlcmFweSwgY2hlbW90aGVyYXB5LCBhbmQgaGlnaC1kb3NlIHNvbWF0b3N0YXRpbiBhbmFsb2dzIGluIHRyZWF0aW5nIGFkdmFuY2VkIGRpc2Vhc2UgYXJlIGRpc2N1c3NlZCwgYWxvbmcgd2l0aCB0eXBlcyBvZiBhYmxhdGl2ZSB0aGVyYXBpZXMgYW5kIGxpdmVyIHRyYW5zcGxhbnRhdGlvbiBmb3IgdHVtb3IgcmVjdXJyZW5jZS4gVGhlIHNlYXJjaCBmb3IgbmV3ZXIgbG9jYXRpb24tc3BlY2lmaWMgYmlvbWFya2VycyBpbiBORU4gaXMgYWxzbyBzdW1tYXJpemVkLiBSZWdhcmRpbmcgdGhlIHZhcnlpbmcgYWdncmVzc2l2ZW5lc3Mgb2YgdGhlIHR1bW9yLCB0aGVyZSBpcyBhIHNjb3BlIGZvciByZXNlYXJjaCBpbiB0aGUgZmllbGQsIHdpdGggcGxlbnR5IG9mIGRhdGEgeWV0IHRvIGJlIGRpc2NvdmVyZWQuIiwicHVibGlzaGVyIjoiSiBDb21wdXQgQXNzaXN0IFRvbW9nciIsImlzc3VlIjoiNCIsInZvbHVtZSI6IjQ4In0sImlzVGVtcG9yYXJ5IjpmYWxzZX1dfQ=="/>
          <w:id w:val="-535657786"/>
        </w:sdtPr>
        <w:sdtContent>
          <w:r>
            <w:rPr/>
          </w:r>
          <w:r>
            <w:rPr>
              <w:color w:val="000000"/>
            </w:rPr>
            <w:t>(23)</w:t>
          </w:r>
        </w:sdtContent>
      </w:sdt>
    </w:p>
    <w:p>
      <w:pPr>
        <w:pStyle w:val="p3"/>
        <w:spacing w:lineRule="auto" w:line="360" w:before="280" w:after="280"/>
        <w:jc w:val="both"/>
        <w:rPr/>
      </w:pPr>
      <w:r>
        <w:rPr/>
        <w:t>Aunque la clínica por sí sola difícilmente permite confirmar un cáncer apendicular, su adecuada interpretación puede ser decisiva para orientar el proceso diagnóstico, optimizar el manejo quirúrgico inicial y, en última instancia, mejorar el pronóstico del paciente.</w:t>
      </w:r>
    </w:p>
    <w:p>
      <w:pPr>
        <w:pStyle w:val="Heading2"/>
        <w:numPr>
          <w:ilvl w:val="1"/>
          <w:numId w:val="64"/>
        </w:numPr>
        <w:rPr/>
      </w:pPr>
      <w:bookmarkStart w:id="99" w:name="_Toc200580225"/>
      <w:bookmarkStart w:id="100" w:name="_Toc199584586"/>
      <w:r>
        <w:rPr/>
        <w:t>Modalidades diagnósticas</w:t>
      </w:r>
      <w:bookmarkEnd w:id="99"/>
      <w:bookmarkEnd w:id="100"/>
    </w:p>
    <w:p>
      <w:pPr>
        <w:pStyle w:val="Normal"/>
        <w:spacing w:lineRule="auto" w:line="360"/>
        <w:jc w:val="both"/>
        <w:rPr/>
      </w:pPr>
      <w:r>
        <w:rPr/>
      </w:r>
    </w:p>
    <w:p>
      <w:pPr>
        <w:pStyle w:val="Heading3"/>
        <w:numPr>
          <w:ilvl w:val="2"/>
          <w:numId w:val="65"/>
        </w:numPr>
        <w:rPr/>
      </w:pPr>
      <w:bookmarkStart w:id="101" w:name="_Toc200580226"/>
      <w:bookmarkStart w:id="102" w:name="_Toc199584587"/>
      <w:r>
        <w:rPr/>
        <w:t>Diagnóstico imagenológico</w:t>
      </w:r>
      <w:bookmarkEnd w:id="101"/>
      <w:bookmarkEnd w:id="102"/>
    </w:p>
    <w:p>
      <w:pPr>
        <w:pStyle w:val="p3"/>
        <w:spacing w:lineRule="auto" w:line="360" w:before="280" w:after="280"/>
        <w:jc w:val="both"/>
        <w:rPr/>
      </w:pPr>
      <w:bookmarkStart w:id="103" w:name="_Toc199584588"/>
      <w:bookmarkStart w:id="104" w:name="_Toc199583953"/>
      <w:r>
        <w:rPr/>
        <w:t>La evaluación imagenológica es un componente esencial en el proceso diagnóstico del cáncer apendicular, ya que permite no solo detectar anomalías sugestivas de neoplasia, sino también valorar la extensión local y la posible diseminación peritoneal o ganglionar</w:t>
      </w:r>
      <w:sdt>
        <w:sdtPr>
          <w:placeholder>
            <w:docPart w:val="DefaultPlaceholder_-1854013440"/>
          </w:placeholder>
          <w:tag w:val="MENDELEY_CITATION_v3_eyJjaXRhdGlvbklEIjoiTUVOREVMRVlfQ0lUQVRJT05fZmM1ZWM4OTUtZWQxOC00MWE3LWE5NjgtYzEzZjJkYzJiZTgx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508569262"/>
        </w:sdtPr>
        <w:sdtContent>
          <w:r>
            <w:rPr/>
          </w:r>
          <w:r>
            <w:rPr>
              <w:color w:val="000000"/>
            </w:rPr>
            <w:t>(13)</w:t>
          </w:r>
        </w:sdtContent>
      </w:sdt>
      <w:bookmarkEnd w:id="103"/>
      <w:bookmarkEnd w:id="104"/>
    </w:p>
    <w:p>
      <w:pPr>
        <w:pStyle w:val="p3"/>
        <w:spacing w:lineRule="auto" w:line="360" w:before="280" w:after="280"/>
        <w:jc w:val="both"/>
        <w:rPr/>
      </w:pPr>
      <w:bookmarkStart w:id="105" w:name="_Toc199584589"/>
      <w:bookmarkStart w:id="106" w:name="_Toc199583954"/>
      <w:r>
        <w:rPr/>
        <w:t>Entre las modalidades de diagnóstico por imágenes más comunes y utilizadas tanto a nivel mundial como en la realidad costarricense, se encuentran:</w:t>
      </w:r>
      <w:bookmarkEnd w:id="105"/>
      <w:bookmarkEnd w:id="106"/>
    </w:p>
    <w:p>
      <w:pPr>
        <w:pStyle w:val="p1"/>
        <w:spacing w:lineRule="auto" w:line="360" w:before="280" w:after="280"/>
        <w:jc w:val="both"/>
        <w:rPr/>
      </w:pPr>
      <w:r>
        <w:rPr>
          <w:b/>
          <w:bCs/>
        </w:rPr>
        <w:t>Ultrasonido abdominal:</w:t>
      </w:r>
      <w:r>
        <w:rPr>
          <w:rStyle w:val="s1"/>
        </w:rPr>
        <w:t xml:space="preserve"> </w:t>
      </w:r>
      <w:r>
        <w:rPr/>
        <w:t>suele ser el primer estudio solicitado en pacientes con sospecha de apendicitis aguda. Aunque su sensibilidad es limitada para diferenciar inflamación de neoplasias, ciertos hallazgos pueden levantar sospechas: un apéndice dilatado (&gt;1.5 cm de diámetro), contenido anecoico o hiperecoico compatible con mucina, o una masa sólida o heterogénea adyacente al ciego</w:t>
      </w:r>
      <w:sdt>
        <w:sdtPr>
          <w:placeholder>
            <w:docPart w:val="DefaultPlaceholder_-1854013440"/>
          </w:placeholder>
          <w:tag w:val="MENDELEY_CITATION_v3_eyJjaXRhdGlvbklEIjoiTUVOREVMRVlfQ0lUQVRJT05fOWIxMDM2MDYtNmIxNC00NGU0LWE3ZjYtZWVkZjc5MzgwZGZlIiwicHJvcGVydGllcyI6eyJub3RlSW5kZXgiOjB9LCJpc0VkaXRlZCI6ZmFsc2UsIm1hbnVhbE92ZXJyaWRlIjp7ImlzTWFudWFsbHlPdmVycmlkZGVuIjpmYWxzZSwiY2l0ZXByb2NUZXh0IjoiKDE0KSIsIm1hbnVhbE92ZXJyaWRlVGV4dCI6IiJ9LCJjaXRhdGlvbkl0ZW1zIjpbeyJpZCI6Ijg4Mzk5ZTE1LWVlZDctMzkxYS05MDExLTA5OTQzN2JjZjRlZCIsIml0ZW1EYXRhIjp7InR5cGUiOiJhcnRpY2xlLWpvdXJuYWwiLCJpZCI6Ijg4Mzk5ZTE1LWVlZDctMzkxYS05MDExLTA5OTQzN2JjZjRlZCIsInRpdGxlIjoiUmV2aWV3IG9mIGFwcGVuZGljaXRpczogcm91dGluZSwgY29tcGxpY2F0ZWQsIGFuZCBtaW1pY3MiLCJhdXRob3IiOlt7ImZhbWlseSI6Ikh1bnNha2VyIiwiZ2l2ZW4iOiJKb3NodWEgQy4iLCJwYXJzZS1uYW1lcyI6ZmFsc2UsImRyb3BwaW5nLXBhcnRpY2xlIjoiIiwibm9uLWRyb3BwaW5nLXBhcnRpY2xlIjoiIn0seyJmYW1pbHkiOiJBcXVpbm8iLCJnaXZlbiI6IlJlYmVrYWgiLCJwYXJzZS1uYW1lcyI6ZmFsc2UsImRyb3BwaW5nLXBhcnRpY2xlIjoiIiwibm9uLWRyb3BwaW5nLXBhcnRpY2xlIjoiIn0seyJmYW1pbHkiOiJXcmlnaHQiLCJnaXZlbiI6IkJyYWQiLCJwYXJzZS1uYW1lcyI6ZmFsc2UsImRyb3BwaW5nLXBhcnRpY2xlIjoiIiwibm9uLWRyb3BwaW5nLXBhcnRpY2xlIjoiIn0seyJmYW1pbHkiOiJLb2JlcyIsImdpdmVuIjoiUGF0cmljayIsInBhcnNlLW5hbWVzIjpmYWxzZSwiZHJvcHBpbmctcGFydGljbGUiOiIiLCJub24tZHJvcHBpbmctcGFydGljbGUiOiIifSx7ImZhbWlseSI6Iktlbm5lZHkiLCJnaXZlbiI6IkFubmUiLCJwYXJzZS1uYW1lcyI6ZmFsc2UsImRyb3BwaW5nLXBhcnRpY2xlIjoiIiwibm9uLWRyb3BwaW5nLXBhcnRpY2xlIjoiIn0seyJmYW1pbHkiOiJEdW5uIiwiZ2l2ZW4iOiJEZWxsIiwicGFyc2UtbmFtZXMiOmZhbHNlLCJkcm9wcGluZy1wYXJ0aWNsZSI6IiIsIm5vbi1kcm9wcGluZy1wYXJ0aWNsZSI6IiJ9XSwiY29udGFpbmVyLXRpdGxlIjoiRW1lcmdlbmN5IHJhZGlvbG9neSIsImNvbnRhaW5lci10aXRsZS1zaG9ydCI6IkVtZXJnIFJhZGlvbCIsIkRPSSI6IjEwLjEwMDcvUzEwMTQwLTAyMi0wMjA5OC0yIiwiSVNTTiI6IjE0MzgtMTQzNSIsIlBNSUQiOiIzNjM3NjY0MyIsImlzc3VlZCI6eyJkYXRlLXBhcnRzIjpbWzIwMjNdXX0sInBhZ2UiOiIxMDctMTE3IiwiYWJzdHJhY3QiOiJBcHBlbmRpY2l0aXMgaXMgb25lIG9mIHRoZSBtb3N0IGNvbW1vbiBzb3VyY2VzIG9mIGFiZG9taW5hbCBwYWluIGluIHRoZSBlbWVyZ2VuY3kgc2V0dGluZyBhbmQgaXMgZ2VuZXJhbGx5IGNvbnNpZGVyZWQgYSBzdHJhaWdodGZvcndhcmQgZGlhZ25vc2lzLiBIb3dldmVyLCBhdHlwaWNhbCBhcHBlYXJhbmNlcywgbm9uLXZpc3VhbGl6YXRpb24sIGFuZCBpbmNvbmNsdXNpdmUgZmVhdHVyZXMgY2FuIG1ha2UgdGhlc2UgY2FzZXMgbW9yZSBjb21wbGljYXRlZC4gVGhlIG9iamVjdGl2ZXMgb2YgdGhpcyBhcnRpY2xlIGFyZSB0byByZXZpZXcgdGhlIGRpZmZlcmVudGlhbCBkaWFnbm9zZXMgZm9yIHJpZ2h0IGxvd2VyIHF1YWRyYW50IHBhaW4sIGRpc2N1c3MgdGhlIGltYWdpbmcgY2hhcmFjdGVyaXN0aWNzIG9mIHNpbXBsZSBhcHBlbmRpY2l0aXMgb24gY29tcHV0ZWQgdG9tb2dyYXBoeSAoQ1QpLCBhbmQgcHJvdmlkZSBndWlkYW5jZSBmb3IgZXF1aXZvY2FsIGNhc2VzLCBjb21wbGljYXRlZCBhcHBlbmRpY2l0aXMsIGFuZCBhcHBlbmRpY2l0aXMgbWltaWNzLiBUaGlzIHJldmlldyB3aWxsIGFsc28gZGlzY3VzcyB0aGUgaWRlbnRpZmljYXRpb24gYW5kIG1hbmFnZW1lbnQgb2YgbmVvcGxhc21zIG9mIHRoZSBhcHBlbmRpeC4iLCJwdWJsaXNoZXIiOiJFbWVyZyBSYWRpb2wiLCJpc3N1ZSI6IjEiLCJ2b2x1bWUiOiIzMCJ9LCJpc1RlbXBvcmFyeSI6ZmFsc2V9XX0="/>
          <w:id w:val="2023581642"/>
        </w:sdtPr>
        <w:sdtContent>
          <w:r>
            <w:rPr/>
          </w:r>
          <w:r>
            <w:rPr>
              <w:rFonts w:eastAsia="MS Mincho" w:cs="MS Mincho" w:ascii="MS Mincho" w:hAnsi="MS Mincho"/>
              <w:color w:val="000000"/>
            </w:rPr>
            <w:t>(14)</w:t>
          </w:r>
        </w:sdtContent>
      </w:sdt>
      <w:r>
        <w:rPr/>
        <w:t>.</w:t>
      </w:r>
    </w:p>
    <w:p>
      <w:pPr>
        <w:pStyle w:val="p1"/>
        <w:spacing w:lineRule="auto" w:line="360" w:before="280" w:after="280"/>
        <w:jc w:val="both"/>
        <w:rPr/>
      </w:pPr>
      <w:r>
        <w:rPr>
          <w:b/>
          <w:bCs/>
        </w:rPr>
        <w:t>Tomografía computarizada (TC) de abdomen y pelvis</w:t>
      </w:r>
      <w:r>
        <w:rPr>
          <w:rStyle w:val="s1"/>
        </w:rPr>
        <w:t xml:space="preserve">: </w:t>
      </w:r>
      <w:r>
        <w:rPr/>
        <w:t>Es el estudio de elección ante la sospecha de patología apendicular complicada o masa apendicular. Los hallazgos más sugestivos de neoplasia incluyen: apéndice dilatado con contenido mucoso o material denso, engrosamiento de la pared apendicular, irregularidades en la superficie, calcificaciones intramurales o intraluminales (comunes en tumores mucinosos), presencia de líquido libre, colecciones periapendiculares e implantes peritoneales mucinosos, característicos del pseudomixoma peritonei</w:t>
      </w:r>
      <w:sdt>
        <w:sdtPr>
          <w:placeholder>
            <w:docPart w:val="DefaultPlaceholder_-1854013440"/>
          </w:placeholder>
          <w:tag w:val="MENDELEY_CITATION_v3_eyJjaXRhdGlvbklEIjoiTUVOREVMRVlfQ0lUQVRJT05fNmJjYTlkMGEtODg3YS00OWVkLWE3YzktZTAxZGIwM2RjMmNjIiwicHJvcGVydGllcyI6eyJub3RlSW5kZXgiOjB9LCJpc0VkaXRlZCI6ZmFsc2UsIm1hbnVhbE92ZXJyaWRlIjp7ImlzTWFudWFsbHlPdmVycmlkZGVuIjpmYWxzZSwiY2l0ZXByb2NUZXh0IjoiKDMzKSIsIm1hbnVhbE92ZXJyaWRlVGV4dCI6IiJ9LCJjaXRhdGlvbkl0ZW1zIjpbeyJpZCI6IjJkNTlmZTJhLWUzZDctMzFmOC05MzhjLWNkNTY0MGU2N2I2NiIsIml0ZW1EYXRhIjp7InR5cGUiOiJhcnRpY2xlLWpvdXJuYWwiLCJpZCI6IjJkNTlmZTJhLWUzZDctMzFmOC05MzhjLWNkNTY0MGU2N2I2NiIsInRpdGxlIjoiQXBwZW5kaWNlYWwgdHVtb3JzIGFuZCBwc2V1ZG9teXhvbWEgcGVyaXRvbmVpOiBGcmVuY2ggSW50ZXJncm91cCBDbGluaWNhbCBQcmFjdGljZSBHdWlkZWxpbmVzIGZvciBkaWFnbm9zaXMsIHRyZWF0bWVudHMgYW5kIGZvbGxvdy11cCAoUkVOQVBFLCBSRU5BUEFUSCwgU05GR0UsIEZGQ0QsIEdFUkNPUiwgVU5JQ0FOQ0VSLCBTRkNELCBTRkVELCBTRlJPLCBBQ0hCVCwgU0ZSKSIsImF1dGhvciI6W3siZmFtaWx5IjoiRGVsaG9ybWUiLCJnaXZlbiI6IkplYW4gQmFwdGlzdGUiLCJwYXJzZS1uYW1lcyI6ZmFsc2UsImRyb3BwaW5nLXBhcnRpY2xlIjoiIiwibm9uLWRyb3BwaW5nLXBhcnRpY2xlIjoiIn0seyJmYW1pbHkiOiJWaWxsZW5ldXZlIiwiZ2l2ZW4iOiJMYXVyZW50IiwicGFyc2UtbmFtZXMiOmZhbHNlLCJkcm9wcGluZy1wYXJ0aWNsZSI6IiIsIm5vbi1kcm9wcGluZy1wYXJ0aWNsZSI6IiJ9LHsiZmFtaWx5IjoiQm91Y2jDqSIsImdpdmVuIjoiT2xpdmllciIsInBhcnNlLW5hbWVzIjpmYWxzZSwiZHJvcHBpbmctcGFydGljbGUiOiIiLCJub24tZHJvcHBpbmctcGFydGljbGUiOiIifSx7ImZhbWlseSI6IkF2ZXJvdXMiLCJnaXZlbiI6IkdlcmxpbmRlIiwicGFyc2UtbmFtZXMiOmZhbHNlLCJkcm9wcGluZy1wYXJ0aWNsZSI6IiIsIm5vbi1kcm9wcGluZy1wYXJ0aWNsZSI6IiJ9LHsiZmFtaWx5IjoiRG9oYW4iLCJnaXZlbiI6IkFudGhvbnkiLCJwYXJzZS1uYW1lcyI6ZmFsc2UsImRyb3BwaW5nLXBhcnRpY2xlIjoiIiwibm9uLWRyb3BwaW5nLXBhcnRpY2xlIjoiIn0seyJmYW1pbHkiOiJHb3JuZXQiLCJnaXZlbiI6IkplYW4gTWFyYyIsInBhcnNlLW5hbWVzIjpmYWxzZSwiZHJvcHBpbmctcGFydGljbGUiOiIiLCJub24tZHJvcHBpbmctcGFydGljbGUiOiIifSx7ImZhbWlseSI6IllvdSIsImdpdmVuIjoiQmVub2l0IiwicGFyc2UtbmFtZXMiOmZhbHNlLCJkcm9wcGluZy1wYXJ0aWNsZSI6IiIsIm5vbi1kcm9wcGluZy1wYXJ0aWNsZSI6IiJ9LHsiZmFtaWx5IjoiQmliZWF1IiwiZ2l2ZW4iOiJGcsOpZMOpcmljIiwicGFyc2UtbmFtZXMiOmZhbHNlLCJkcm9wcGluZy1wYXJ0aWNsZSI6IiIsIm5vbi1kcm9wcGluZy1wYXJ0aWNsZSI6IiJ9LHsiZmFtaWx5IjoiRGFydGlndWVzIiwiZ2l2ZW4iOiJQZWdneSIsInBhcnNlLW5hbWVzIjpmYWxzZSwiZHJvcHBpbmctcGFydGljbGUiOiIiLCJub24tZHJvcHBpbmctcGFydGljbGUiOiIifSx7ImZhbWlseSI6IkV2ZW5vIiwiZ2l2ZW4iOiJDbGFyaXNzZSIsInBhcnNlLW5hbWVzIjpmYWxzZSwiZHJvcHBpbmctcGFydGljbGUiOiIiLCJub24tZHJvcHBpbmctcGFydGljbGUiOiIifSx7ImZhbWlseSI6IkZvbnRhaW5lIiwiZ2l2ZW4iOiJKdWxpZXR0ZSIsInBhcnNlLW5hbWVzIjpmYWxzZSwiZHJvcHBpbmctcGFydGljbGUiOiIiLCJub24tZHJvcHBpbmctcGFydGljbGUiOiIifSx7ImZhbWlseSI6IktlcGVuZWtpYW4iLCJnaXZlbiI6IlZhaGFuIiwicGFyc2UtbmFtZXMiOmZhbHNlLCJkcm9wcGluZy1wYXJ0aWNsZSI6IiIsIm5vbi1kcm9wcGluZy1wYXJ0aWNsZSI6IiJ9LHsiZmFtaWx5IjoiUG9jYXJkIiwiZ2l2ZW4iOiJNYXJjIiwicGFyc2UtbmFtZXMiOmZhbHNlLCJkcm9wcGluZy1wYXJ0aWNsZSI6IiIsIm5vbi1kcm9wcGluZy1wYXJ0aWNsZSI6IiJ9LHsiZmFtaWx5IjoiUm91c3NldCIsImdpdmVuIjoiUGFzY2FsIiwicGFyc2UtbmFtZXMiOmZhbHNlLCJkcm9wcGluZy1wYXJ0aWNsZSI6IiIsIm5vbi1kcm9wcGluZy1wYXJ0aWNsZSI6IiJ9LHsiZmFtaWx5IjoiUXVlbmV0IiwiZ2l2ZW4iOiJGcmFuY29pcyIsInBhcnNlLW5hbWVzIjpmYWxzZSwiZHJvcHBpbmctcGFydGljbGUiOiIiLCJub24tZHJvcHBpbmctcGFydGljbGUiOiIifSx7ImZhbWlseSI6Ik1hcmlhbmkiLCJnaXZlbiI6IlBhc2NhbGUiLCJwYXJzZS1uYW1lcyI6ZmFsc2UsImRyb3BwaW5nLXBhcnRpY2xlIjoiIiwibm9uLWRyb3BwaW5nLXBhcnRpY2xlIjoiIn0seyJmYW1pbHkiOiJHbGVoZW4iLCJnaXZlbiI6Ik9saXZpZXIiLCJwYXJzZS1uYW1lcyI6ZmFsc2UsImRyb3BwaW5nLXBhcnRpY2xlIjoiIiwibm9uLWRyb3BwaW5nLXBhcnRpY2xlIjoiIn0seyJmYW1pbHkiOiJHb8OpcsOpIiwiZ2l2ZW4iOiJEaWFuZSIsInBhcnNlLW5hbWVzIjpmYWxzZSwiZHJvcHBpbmctcGFydGljbGUiOiIiLCJub24tZHJvcHBpbmctcGFydGljbGUiOiIifV0sImNvbnRhaW5lci10aXRsZSI6IkRpZ2VzdGl2ZSBhbmQgbGl2ZXIgZGlzZWFzZSA6IG9mZmljaWFsIGpvdXJuYWwgb2YgdGhlIEl0YWxpYW4gU29jaWV0eSBvZiBHYXN0cm9lbnRlcm9sb2d5IGFuZCB0aGUgSXRhbGlhbiBBc3NvY2lhdGlvbiBmb3IgdGhlIFN0dWR5IG9mIHRoZSBMaXZlciIsImNvbnRhaW5lci10aXRsZS1zaG9ydCI6IkRpZyBMaXZlciBEaXMiLCJET0kiOiIxMC4xMDE2L0ouRExELjIwMjEuMTAuMDA1IiwiSVNTTiI6IjE4NzgtMzU2MiIsIlBNSUQiOiIzNDgxNTE5NCIsImlzc3VlZCI6eyJkYXRlLXBhcnRzIjpbWzIwMjJdXX0sInBhZ2UiOiIzMC0zOSIsImFic3RyYWN0IjoiSW50cm9kdWN0aW9uOiBUaGlzIGRvY3VtZW50IGlzIGEgc3VtbWFyeSBvZiB0aGUgRnJlbmNoIEludGVyZ3JvdXAgZ3VpZGVsaW5lcyByZWdhcmRpbmcgdGhlIG1hbmFnZW1lbnQgb2YgYXBwZW5kaWN1bGFyIGVwaXRoZWxpYWwgdHVtb3JzIChBVCkgYW5kIHBzZXVkb215eG9tYSBwZXJpdG9uZWkgKFBNUCkgcHVibGlzaGVkIGluIE1hcmNoIDIwMjAsIGF2YWlsYWJsZSBvbiB0aGUgd2Vic2l0ZSBvZiB0aGUgRnJlbmNoIFNvY2lldHkgb2YgR2FzdHJvZW50ZXJvbG9neSAoU05GR0UpICh3d3cudG5jZC5vcmcpLiBNZXRob2RzOiBBbGwgRnJlbmNoIG1lZGljYWwgc29jaWV0aWVzIHNwZWNpYWxpemVkIGluIHRoZSBtYW5hZ2VtZW50IG9mIEFUIGFuZCBQTVAgY29sbGFib3JhdGl2ZWx5IGVzdGFibGlzaGVkIHRoZXNlIHJlY29tbWVuZGF0aW9ucyBiYXNlZCBvbiBsaXRlcmF0dXJlIHVudGlsIERlY2VtYmVyIDIwMTkgYW5kIHRoZSByZXN1bHRzIG9mIGEgRGVscGhpIHZvdGUgY2FycmllZCBvdXQgYnkgdGhlIFBlcml0b25lYWwgU3VyZmFjZSBPbmNvbG9neSBHcm91cCBJbnRlcm5hdGlvbmFsIGV4cGVydHMsIGFuZCBncmFkZWQgaW50byA0IGNhdGVnb3JpZXMgKEEsIEIsIEMsIEV4cGVydCBBZ3JlZW1lbnQpIGFjY29yZGluZyB0byB0aGVpciBsZXZlbCBvZiBldmlkZW5jZS4gUmVzdWx0czogQVQgYW5kIFBNUCBhcmUgcmFyZSBidXQgcmVwcmVzZW50IGEgd2lkZSByYW5nZSBvZiBjbGluaWNvLXBhdGhvbG9naWNhbCBlbnRpdGllcyB3aXRoIHNldmVyYWwgcGF0aG9sb2dpY2FsIGNsYXNzaWZpY2F0aW9uIHN5c3RlbXMgYW5kIGRpZmZlcmVudCBiaW9sb2dpY2FsIGJlaGF2aW9ycy4gVGhlaXIgdHJlYXRtZW50IG1vZGFsaXRpZXMgbWF5IHZhcnkgYWNjb3JkaW5nbHkgYW5kIHJhbmdlIGZyb20gc2ltcGxlIHN1cnZlaWxsYW5jZSBvciBsYXBhcm9zY29waWMgYXBwZW5kZWN0b215IHRvIGNvbXBsZXRlIGN5dG9yZWR1Y3RpdmUgc3VyZ2VyeSAoQ1JTKSB3aXRoIGh5cGVydGhlcm1pYyBpbnRyYXBlcml0b25lYWwgY2hlbW90aGVyYXB5IChISVBFQykgYW5kIC8gb3Igc3lzdGVtaWMgY2hlbW90aGVyYXB5LiBUaGUgcHJvZ25vc2lzIG9mIHRoZXNlIG5lb3BsYXNtcyBtYXkgYWxzbyBsYXJnZWx5IHZhcnkgYWNjb3JkaW5nIHRvIHRoZWlyIHBhdGhvbG9naWNhbCBncmFkZSBhbmQgc3ByZWFkaW5nIGF0IGRpYWdub3NpcyBvciBkdXJpbmcgdGhlIGZvbGxvdy11cC4gR2l2ZW4gdGhlIHJhcml0eSBvZiBjZXJ0YWluIHNpdHVhdGlvbnMsIHRoZSB0aGVyYXBldXRpYyBzdHJhdGVneSBhZGFwdGVkIHRvIGVhY2ggcGF0aWVudCwgbXVzdCBiZSBkaXNjdXNzZWQgaW4gYSBzcGVjaWFsaXplZCBtdWx0aWRpc2NpcGxpbmFyeSBtZWV0aW5nIGFmdGVyIGEgc3BlY2lhbGl6ZWQgcGF0aG9sb2dpY2FsIGFuZCByYWRpb2xvZ2ljYWwgcHJlLXRoZXJhcGV1dGljIGFzc2Vzc21lbnQgYW5kIGEgY2xpbmljYWwgZXhhbWluYXRpb24gYnkgYSBzdXJnZW9uIHNwZWNpYWxpemluZyBpbiB0aGUgbWFuYWdlbWVudCBvZiByYXJlIHBlcml0b25lYWwgbWFsaWduYW5jaWVzLiBDb25jbHVzaW9uOiBUaGVzZSByZWNvbW1lbmRhdGlvbnMgYXJlIHByb3Bvc2VkIHRvIGFjaGlldmUgdGhlIG1vc3QgYmVuZWZpY2lhbCBzdHJhdGVneSBpbiBhIGRhaWx5IHByYWN0aWNlIGFzIHRoZSB3aWRlIHJhbmdlIGFuZCB0aGUgcmFyZW5lc3Mgb2YgdGhlc2UgZW50aXRpZXMgcmVuZGVycyB0aGVpciBtYW5hZ2VtZW50IGNoYWxsZW5naW5nLiBUaGVzZSBndWlkZWxpbmVzIGFyZSBwZXJtYW5lbnRseSBiZWluZyByZXZpZXdlZC4iLCJwdWJsaXNoZXIiOiJEaWcgTGl2ZXIgRGlzIiwiaXNzdWUiOiIxIiwidm9sdW1lIjoiNTQifSwiaXNUZW1wb3JhcnkiOmZhbHNlfV19"/>
          <w:id w:val="-1716114493"/>
        </w:sdtPr>
        <w:sdtContent>
          <w:r>
            <w:rPr/>
          </w:r>
          <w:r>
            <w:rPr>
              <w:color w:val="000000"/>
            </w:rPr>
            <w:t>(33)</w:t>
          </w:r>
        </w:sdtContent>
      </w:sdt>
      <w:r>
        <w:rPr/>
        <w:t>.</w:t>
      </w:r>
    </w:p>
    <w:p>
      <w:pPr>
        <w:pStyle w:val="Caption"/>
        <w:keepNext w:val="true"/>
        <w:rPr>
          <w:b/>
          <w:bCs/>
          <w:i w:val="false"/>
          <w:i w:val="false"/>
          <w:iCs w:val="false"/>
          <w:color w:themeColor="text1" w:val="000000"/>
        </w:rPr>
      </w:pPr>
      <w:bookmarkStart w:id="107" w:name="_Toc199964089"/>
      <w:bookmarkStart w:id="108" w:name="_Toc199964152"/>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6</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Hallazgos radiológicos sugestivos de malignidad apendicular</w:t>
      </w:r>
      <w:bookmarkEnd w:id="107"/>
      <w:bookmarkEnd w:id="108"/>
    </w:p>
    <w:tbl>
      <w:tblPr>
        <w:tblStyle w:val="ListTable1Light"/>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bottom w:val="single" w:sz="4" w:space="0" w:color="666666"/>
            </w:tcBorders>
          </w:tcPr>
          <w:p>
            <w:pPr>
              <w:pStyle w:val="p1"/>
              <w:widowControl/>
              <w:numPr>
                <w:ilvl w:val="0"/>
                <w:numId w:val="6"/>
              </w:numPr>
              <w:spacing w:lineRule="auto" w:line="360" w:before="0" w:afterAutospacing="0" w:after="0"/>
              <w:jc w:val="both"/>
              <w:rPr>
                <w:b/>
                <w:bCs/>
                <w:kern w:val="0"/>
                <w:lang w:val="es-CR" w:bidi="ar-SA"/>
              </w:rPr>
            </w:pPr>
            <w:r>
              <w:rPr>
                <w:b/>
                <w:bCs/>
                <w:kern w:val="0"/>
                <w:lang w:val="es-CR" w:bidi="ar-SA"/>
              </w:rPr>
              <w:t>Dilatación apendicular significativa (&gt;1.5 cm).</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6"/>
              </w:numPr>
              <w:spacing w:lineRule="auto" w:line="360" w:before="0" w:afterAutospacing="0" w:after="0"/>
              <w:jc w:val="both"/>
              <w:rPr>
                <w:b/>
                <w:bCs/>
                <w:kern w:val="0"/>
                <w:lang w:val="es-CR" w:bidi="ar-SA"/>
              </w:rPr>
            </w:pPr>
            <w:r>
              <w:rPr>
                <w:b/>
                <w:bCs/>
                <w:kern w:val="0"/>
                <w:lang w:val="es-CR" w:bidi="ar-SA"/>
              </w:rPr>
              <w:t>Engrosamiento mural irregular o nodular.</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6"/>
              </w:numPr>
              <w:spacing w:lineRule="auto" w:line="360" w:before="0" w:afterAutospacing="0" w:after="0"/>
              <w:jc w:val="both"/>
              <w:rPr>
                <w:b/>
                <w:bCs/>
                <w:kern w:val="0"/>
                <w:lang w:val="es-CR" w:bidi="ar-SA"/>
              </w:rPr>
            </w:pPr>
            <w:r>
              <w:rPr>
                <w:b/>
                <w:bCs/>
                <w:kern w:val="0"/>
                <w:lang w:val="es-CR" w:bidi="ar-SA"/>
              </w:rPr>
              <w:t>Presencia de mucina libre en la cavidad peritoneal.</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6"/>
              </w:numPr>
              <w:spacing w:lineRule="auto" w:line="360" w:before="0" w:afterAutospacing="0" w:after="0"/>
              <w:jc w:val="both"/>
              <w:rPr>
                <w:b/>
                <w:bCs/>
                <w:kern w:val="0"/>
                <w:lang w:val="es-CR" w:bidi="ar-SA"/>
              </w:rPr>
            </w:pPr>
            <w:r>
              <w:rPr>
                <w:b/>
                <w:bCs/>
                <w:kern w:val="0"/>
                <w:lang w:val="es-CR" w:bidi="ar-SA"/>
              </w:rPr>
              <w:t>Implantes peritoneales o ascitis gelatinosa.</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6"/>
              </w:numPr>
              <w:spacing w:lineRule="auto" w:line="360" w:before="0" w:afterAutospacing="0" w:after="0"/>
              <w:jc w:val="both"/>
              <w:rPr>
                <w:b/>
                <w:bCs/>
                <w:kern w:val="0"/>
                <w:lang w:val="es-CR" w:bidi="ar-SA"/>
              </w:rPr>
            </w:pPr>
            <w:r>
              <w:rPr>
                <w:b/>
                <w:bCs/>
                <w:kern w:val="0"/>
                <w:lang w:val="es-CR" w:bidi="ar-SA"/>
              </w:rPr>
              <w:t>Calcificaciones intratumorales.</w:t>
            </w:r>
          </w:p>
        </w:tc>
      </w:tr>
    </w:tbl>
    <w:p>
      <w:pPr>
        <w:pStyle w:val="p1"/>
        <w:spacing w:lineRule="auto" w:line="360" w:before="280" w:after="280"/>
        <w:jc w:val="both"/>
        <w:rPr/>
      </w:pPr>
      <w:r>
        <w:rPr/>
        <w:t>A continuación, se describen modalidades diagnósticas referidas en la literatura que, a pesar de presentar un alto índice de sensibilidad, no constituyen prácticas comunes en el contexto nacional.</w:t>
      </w:r>
    </w:p>
    <w:p>
      <w:pPr>
        <w:pStyle w:val="p1"/>
        <w:spacing w:lineRule="auto" w:line="360" w:before="280" w:after="280"/>
        <w:jc w:val="both"/>
        <w:rPr/>
      </w:pPr>
      <w:r>
        <w:rPr>
          <w:b/>
          <w:bCs/>
        </w:rPr>
        <w:t>Resonancia magnética (RM)</w:t>
      </w:r>
      <w:r>
        <w:rPr/>
        <w:t xml:space="preserve">: es una de las modalidades menos utilizadas de forma rutinaria, pero puede resultar útil en casos seleccionados con alta sospecha diagnóstica, para caracterizar mejor el contenido mucinoso y evaluar la extensión pélvica, particularmente en mujeres con sospecha de compromiso ovárico </w:t>
      </w:r>
      <w:sdt>
        <w:sdtPr>
          <w:placeholder>
            <w:docPart w:val="DefaultPlaceholder_-1854013440"/>
          </w:placeholder>
          <w:tag w:val="MENDELEY_CITATION_v3_eyJjaXRhdGlvbklEIjoiTUVOREVMRVlfQ0lUQVRJT05fYTI4MTYyMjAtZWYzMi00NGE5LTgyZTAtZTNkOGRjMWExYmI3IiwicHJvcGVydGllcyI6eyJub3RlSW5kZXgiOjB9LCJpc0VkaXRlZCI6ZmFsc2UsIm1hbnVhbE92ZXJyaWRlIjp7ImlzTWFudWFsbHlPdmVycmlkZGVuIjpmYWxzZSwiY2l0ZXByb2NUZXh0IjoiKDYpIiwibWFudWFsT3ZlcnJpZGVUZXh0IjoiIn0sImNpdGF0aW9uSXRlbXMiOlt7ImlkIjoiYmZmZWMwZDYtMWE5ZS0zMjI1LWFlOWYtMTFlZjdjMmJlYzFhIiwiaXRlbURhdGEiOnsidHlwZSI6ImFydGljbGUtam91cm5hbCIsImlkIjoiYmZmZWMwZDYtMWE5ZS0zMjI1LWFlOWYtMTFlZjdjMmJlYzFhIiwidGl0bGUiOiJBcHBlbmRpY2VhbCBuZW9wbGFzbXMt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zdXJnaWNhbCBvbmNvbG9neSIsImNvbnRhaW5lci10aXRsZS1zaG9ydCI6IkogU3VyZyBPbmNvbCIsImFjY2Vzc2VkIjp7ImRhdGUtcGFydHMiOltbMjAyNSwzLDI5XV19LCJET0kiOiIxMC4xMDAyL0pTTy4yNzMwNCIsIklTU04iOiIxMDk2LTkwOTgiLCJQTUlEIjoiMzcyMjI2OTIiLCJVUkwiOiJodHRwczovL3B1Ym1lZC5uY2JpLm5sbS5uaWguZ292LzM3MjIyNjkyLyIsImlzc3VlZCI6eyJkYXRlLXBhcnRzIjpbWzIwMjMsNiwxNV1dfSwicGFnZSI6IjEzMDAtMTMwNSIsImFic3RyYWN0IjoiQXBwZW5kaWNlYWwgbmVvcGxhc21zIChBTnMpIGFyZSBhIGRpdmVyc2UgZ3JvdXAgb2YgcGF0aG9sb2dpZXMgdGhhdCByYW5nZSBmcm9tIGJlbmlnbiB0byBtYWxpZ25hbnQgd2l0aCB3aWRlbHkgdmFyeWluZyBwcm9nbm9zZXMuIFRoaXMgYXJ0aWNsZSBzZXJ2ZXMgYXMgYW4gb3ZlcnZpZXcgb2YgdGhlIHByYWN0aWNhbCBhcHByb2FjaCB0byBldmFsdWF0aW5nIGFuZCBtYW5hZ2luZyBhIHBhdGllbnQgd2l0aCBBTiBieSByZXZpZXdpbmcgdGhlIGN1cnJlbnQgbGl0ZXJhdHVyZSBhbmQgZ3VpZGVsaW5lcyB0byBwcm92aWRlIGEgZnJhbWV3b3JrIGZvciB0aGUgbWFuYWdlbWVudCBvZiB0aGVzZSBudWFuY2VkIHBhdGhvbG9naWVzLiIsInB1Ymxpc2hlciI6IkogU3VyZyBPbmNvbCIsImlzc3VlIjoiOCIsInZvbHVtZSI6IjEyNyJ9LCJpc1RlbXBvcmFyeSI6ZmFsc2V9XX0="/>
          <w:id w:val="-803934738"/>
        </w:sdtPr>
        <w:sdtContent>
          <w:r>
            <w:rPr/>
          </w:r>
          <w:r>
            <w:rPr>
              <w:rFonts w:eastAsia="MS Mincho"/>
              <w:color w:val="000000"/>
            </w:rPr>
            <w:t>(6)</w:t>
          </w:r>
        </w:sdtContent>
      </w:sdt>
    </w:p>
    <w:p>
      <w:pPr>
        <w:pStyle w:val="p1"/>
        <w:spacing w:lineRule="auto" w:line="360" w:before="280" w:after="280"/>
        <w:jc w:val="both"/>
        <w:rPr/>
      </w:pPr>
      <w:r>
        <w:rPr>
          <w:b/>
          <w:bCs/>
        </w:rPr>
        <w:t>Tomografía por emisión de positrones (PET-CT):</w:t>
      </w:r>
      <w:r>
        <w:rPr>
          <w:rStyle w:val="s1"/>
        </w:rPr>
        <w:t xml:space="preserve"> </w:t>
      </w:r>
      <w:r>
        <w:rPr/>
        <w:t>tiene un papel limitado en el cáncer apendicular debido a la baja captación de FDG en tumores mucinosos de bajo grado. No obstante, puede ser de utilidad en neoplasias de alto grado o para la evaluación de enfermedad metastásica sistémica (9). Sin embargo, su uso no está ampliamente disponible en el contexto nacional</w:t>
      </w:r>
      <w:r>
        <w:rPr>
          <w:color w:val="000000"/>
        </w:rPr>
        <w:t xml:space="preserve">. </w:t>
      </w:r>
    </w:p>
    <w:p>
      <w:pPr>
        <w:pStyle w:val="p3"/>
        <w:spacing w:lineRule="auto" w:line="360" w:before="280" w:after="280"/>
        <w:jc w:val="both"/>
        <w:rPr/>
      </w:pPr>
      <w:r>
        <w:rPr/>
        <w:t xml:space="preserve">La interpretación cuidadosa de estos hallazgos permite no solo sospechar la presencia de una neoplasia, sino también estimar su tipo histológico probable (por ejemplo, neoplasias mucinosas vs. adenocarcinomas convencionales) </w:t>
      </w:r>
      <w:sdt>
        <w:sdtPr>
          <w:placeholder>
            <w:docPart w:val="DefaultPlaceholder_-1854013440"/>
          </w:placeholder>
          <w:tag w:val="MENDELEY_CITATION_v3_eyJjaXRhdGlvbklEIjoiTUVOREVMRVlfQ0lUQVRJT05fMzA5NWNhMjQtMTNkZi00ZGE5LTg5ZjQtNTE5ZGFiNzRlMzZhIiwicHJvcGVydGllcyI6eyJub3RlSW5kZXgiOjB9LCJpc0VkaXRlZCI6ZmFsc2UsIm1hbnVhbE92ZXJyaWRlIjp7ImlzTWFudWFsbHlPdmVycmlkZGVuIjpmYWxzZSwiY2l0ZXByb2NUZXh0IjoiKDcpIiwibWFudWFsT3ZlcnJpZGVUZXh0IjoiIn0sImNpdGF0aW9uSXRlbXMiOlt7ImlkIjoiOGY5NWQzNmEtMmJmYy0zNjRlLTgwMGYtYjVkM2I4NTgxMjA2IiwiaXRlbURhdGEiOnsidHlwZSI6ImFydGljbGUtam91cm5hbCIsImlkIjoiOGY5NWQzNmEtMmJmYy0zNjRlLTgwMGYtYjVkM2I4NTgxMjA2IiwidGl0bGUiOiJBcHBlbmRpY2VhbCB0dW1vdXJzIC0gQSBjb3JyZWxhdGlvbiBvZiBDVCBmZWF0dXJlcyBhbmQgaGlzdG9wYXRob2xvZ2ljYWwgZGlhZ25vc2lzIiwiYXV0aG9yIjpbeyJmYW1pbHkiOiJCcmFzc2lsIiwiZ2l2ZW4iOiJNaWNoYWVsIiwicGFyc2UtbmFtZXMiOmZhbHNlLCJkcm9wcGluZy1wYXJ0aWNsZSI6IiIsIm5vbi1kcm9wcGluZy1wYXJ0aWNsZSI6IiJ9LHsiZmFtaWx5IjoiTGVlIiwiZ2l2ZW4iOiJSb25hbiIsInBhcnNlLW5hbWVzIjpmYWxzZSwiZHJvcHBpbmctcGFydGljbGUiOiIiLCJub24tZHJvcHBpbmctcGFydGljbGUiOiIifSx7ImZhbWlseSI6Ik/igJlOZWlsbCIsImdpdmVuIjoiRGFtaWVuIiwicGFyc2UtbmFtZXMiOmZhbHNlLCJkcm9wcGluZy1wYXJ0aWNsZSI6IiIsIm5vbi1kcm9wcGluZy1wYXJ0aWNsZSI6IiJ9LHsiZmFtaWx5IjoiV29vZHMiLCJnaXZlbiI6IkdyYWhhbSIsInBhcnNlLW5hbWVzIjpmYWxzZSwiZHJvcHBpbmctcGFydGljbGUiOiIiLCJub24tZHJvcHBpbmctcGFydGljbGUiOiIifSx7ImZhbWlseSI6Ik1vbG9uZXkiLCJnaXZlbiI6IkJyaWFuIE0uIiwicGFyc2UtbmFtZXMiOmZhbHNlLCJkcm9wcGluZy1wYXJ0aWNsZSI6IiIsIm5vbi1kcm9wcGluZy1wYXJ0aWNsZSI6IiJ9LHsiZmFtaWx5IjoiRHVubmUiLCJnaXZlbiI6IlJ1dGgiLCJwYXJzZS1uYW1lcyI6ZmFsc2UsImRyb3BwaW5nLXBhcnRpY2xlIjoiIiwibm9uLWRyb3BwaW5nLXBhcnRpY2xlIjoiIn0seyJmYW1pbHkiOiJNb3JyaW4iLCJnaXZlbiI6Ik1hcnRpbmEiLCJwYXJzZS1uYW1lcyI6ZmFsc2UsImRyb3BwaW5nLXBhcnRpY2xlIjoiIiwibm9uLWRyb3BwaW5nLXBhcnRpY2xlIjoiIn0seyJmYW1pbHkiOiJMZWUiLCJnaXZlbiI6Ik1pY2hhZWwgSi4iLCJwYXJzZS1uYW1lcyI6ZmFsc2UsImRyb3BwaW5nLXBhcnRpY2xlIjoiIiwibm9uLWRyb3BwaW5nLXBhcnRpY2xlIjoiIn1dLCJjb250YWluZXItdGl0bGUiOiJKb3VybmFsIG9mIG1lZGljYWwgaW1hZ2luZyBhbmQgcmFkaWF0aW9uIG9uY29sb2d5IiwiY29udGFpbmVyLXRpdGxlLXNob3J0IjoiSiBNZWQgSW1hZ2luZyBSYWRpYXQgT25jb2wiLCJET0kiOiIxMC4xMTExLzE3NTQtOTQ4NS4xMzMyOSIsIklTU04iOiIxNzU0LTk0ODUiLCJQTUlEIjoiMzQ1MzU5ODAiLCJpc3N1ZWQiOnsiZGF0ZS1wYXJ0cyI6W1syMDIyXV19LCJwYWdlIjoiOTItMTAxIiwiYWJzdHJhY3QiOiJBcHBlbmRpY2VhbCB0dW1vdXJzIGFyZSB1bmNvbW1vbiBuZW9wbGFzbXMgb2YgdGhlIGdhc3Ryb2ludGVzdGluYWwgdHJhY3QuIEFuIHVuZGVyc3RhbmRpbmcgb2YgdGhlIGltYWdpbmcgYXBwZWFyYW5jZXMgZmFjaWxpdGF0ZXMgYW4gYWNjdXJhdGUgcmFkaW9sb2dpY2FsIGRlc2NyaXB0aW9uLCB3aGljaCBndWlkZXMgc3VyZ2ljYWwgYW5kIG9uY29sb2dpY2FsIG1hbmFnZW1lbnQuIEluIHRoaXMgc3R1ZHksIGEgcmV0cm9zcGVjdGl2ZSByZXZpZXcgb2YgdGhlIENUIGltYWdpbmcgYW5kIGhpc3RvcGF0aG9sb2d5IG9mIGFsbCBjYXNlcyBvZiBhcHBlbmRpY2VhbCB0dW1vdXJzIGRpc2N1c3NlZCBhdCB0aGUgb25jb2xvZ3kgbXVsdGlkaXNjaXBsaW5hcnkgbWVldGluZ3MgaW4gYSBzaW5nbGUgY2VudHJlLCBvdmVyIGFuIDgteWVhciBwZXJpb2QgKDIwMTLigJMyMDE5KSBpcyBwZXJmb3JtZWQuIFRoZSBhcnJheSBhbmQgaW5jaWRlbmNlIG9mIGJvdGggY29tbW9uIGFuZCByYXJlIHBhdGhvbG9naWVzIGFyZSBpbnZlc3RpZ2F0ZWQsIGFuZCBpbXBvcnRhbnQgY2hhcmFjdGVyaXN0aWMgaW1hZ2luZyBmaW5kaW5ncyBmb3IgcmFkaW9sb2dpc3RzIHRvIHJlY29nbml6ZSBhcmUgaGlnaGxpZ2h0ZWQuIiwicHVibGlzaGVyIjoiSiBNZWQgSW1hZ2luZyBSYWRpYXQgT25jb2wiLCJpc3N1ZSI6IjEiLCJ2b2x1bWUiOiI2NiJ9LCJpc1RlbXBvcmFyeSI6ZmFsc2V9XX0="/>
          <w:id w:val="1835496634"/>
        </w:sdtPr>
        <w:sdtContent>
          <w:r>
            <w:rPr/>
          </w:r>
          <w:r>
            <w:rPr>
              <w:color w:val="000000"/>
            </w:rPr>
            <w:t>(7)</w:t>
          </w:r>
        </w:sdtContent>
      </w:sdt>
      <w:r>
        <w:rPr>
          <w:color w:val="000000"/>
        </w:rPr>
        <w:t>.</w:t>
      </w:r>
    </w:p>
    <w:p>
      <w:pPr>
        <w:pStyle w:val="Heading3"/>
        <w:numPr>
          <w:ilvl w:val="2"/>
          <w:numId w:val="66"/>
        </w:numPr>
        <w:rPr>
          <w:sz w:val="36"/>
        </w:rPr>
      </w:pPr>
      <w:bookmarkStart w:id="109" w:name="_Toc200580227"/>
      <w:bookmarkStart w:id="110" w:name="_Toc199584591"/>
      <w:r>
        <w:rPr/>
        <w:t>Diagnóstico histopatológico e inmunohistomquímico</w:t>
      </w:r>
      <w:bookmarkEnd w:id="109"/>
      <w:bookmarkEnd w:id="110"/>
    </w:p>
    <w:p>
      <w:pPr>
        <w:pStyle w:val="p3"/>
        <w:spacing w:lineRule="auto" w:line="360" w:before="280" w:after="280"/>
        <w:jc w:val="both"/>
        <w:rPr/>
      </w:pPr>
      <w:r>
        <w:rPr/>
        <w:t xml:space="preserve">El diagnóstico histopatológico constituye el pilar fundamental para la confirmación de una neoplasia apendicular, la determinación de su tipo histológico, su grado de diferenciación y la evaluación de características pronósticas críticas </w:t>
      </w:r>
      <w:sdt>
        <w:sdtPr>
          <w:placeholder>
            <w:docPart w:val="DefaultPlaceholder_-1854013440"/>
          </w:placeholder>
          <w:tag w:val="MENDELEY_CITATION_v3_eyJjaXRhdGlvbklEIjoiTUVOREVMRVlfQ0lUQVRJT05fYTAxYzk1ZDAtMzQ3NS00ZWM4LWE1MmItNDYzZmUzNWM5MWIy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269710541"/>
        </w:sdtPr>
        <w:sdtContent>
          <w:r>
            <w:rPr/>
          </w:r>
          <w:r>
            <w:rPr>
              <w:color w:val="000000"/>
            </w:rPr>
            <w:t>(13)</w:t>
          </w:r>
        </w:sdtContent>
      </w:sdt>
      <w:r>
        <w:rPr/>
        <w:t xml:space="preserve">. </w:t>
      </w:r>
      <w:r>
        <w:rPr/>
        <w:t>Dado que las manifestaciones clínicas e imagenológicas son inespecíficas, el análisis microscópico del espécimen quirúrgico se convierte en el método definitivo para establecer el diagnóstico.</w:t>
      </w:r>
    </w:p>
    <w:p>
      <w:pPr>
        <w:pStyle w:val="p3"/>
        <w:spacing w:lineRule="auto" w:line="360" w:before="280" w:after="280"/>
        <w:jc w:val="both"/>
        <w:rPr/>
      </w:pPr>
      <w:bookmarkStart w:id="111" w:name="_Toc199584592"/>
      <w:bookmarkStart w:id="112" w:name="_Toc199583957"/>
      <w:r>
        <w:rPr/>
        <w:t>La inspección debe incluir una evaluación macroscópica detallada, en la que se documente el tamaño del apéndice, el estado de la serosa (especificando si hay o no presencia de perforación o mucina en la superficie), la dilatación luminal, las características del contenido y la identificación de masas, irregularidades o áreas de induración. Una vez completada la evaluación histopatológica con la minuciosidad requerida, la aplicación de técnicas inmunohistoquímicas suele ser necesaria para determinar con precisión la etiología del tumor apendicular y, con base en ello, definir su manejo posterior.</w:t>
      </w:r>
    </w:p>
    <w:p>
      <w:pPr>
        <w:pStyle w:val="p3"/>
        <w:spacing w:lineRule="auto" w:line="360" w:before="280" w:after="280"/>
        <w:jc w:val="both"/>
        <w:rPr/>
      </w:pPr>
      <w:bookmarkStart w:id="113" w:name="_Toc199584592"/>
      <w:bookmarkStart w:id="114" w:name="_Toc199583957"/>
      <w:r>
        <w:rPr/>
        <w:t>Dentro de las evaluaciones inmunohistoquímicas documentadas, se recomienda la diferenciación neuroendocrina mediante marcadores como cromogranina A, sinaptofisina y CD56; la evaluación de índices de proliferación celular (Ki-67), que permite determinar el grado de agresividad del tumor neuroendocrino; la detección de CK20, CDX2 y SATB2 para diferenciar adenocarcinomas apendiculares de lesiones metastásicas provenientes de otros órganos; y la identificación de expresión anómala de p53 en HAMN o adenocarcinomas de alto grado.</w:t>
      </w:r>
      <w:bookmarkEnd w:id="113"/>
      <w:bookmarkEnd w:id="114"/>
    </w:p>
    <w:p>
      <w:pPr>
        <w:pStyle w:val="Normal"/>
        <w:rPr/>
      </w:pPr>
      <w:r>
        <w:rPr/>
      </w:r>
    </w:p>
    <w:p>
      <w:pPr>
        <w:pStyle w:val="Heading3"/>
        <w:numPr>
          <w:ilvl w:val="2"/>
          <w:numId w:val="67"/>
        </w:numPr>
        <w:rPr>
          <w:sz w:val="36"/>
        </w:rPr>
      </w:pPr>
      <w:bookmarkStart w:id="115" w:name="_Toc199584593"/>
      <w:bookmarkStart w:id="116" w:name="_Toc200580228"/>
      <w:r>
        <w:rPr/>
        <w:t>Estadiaje del paciente con cáncer apendicular</w:t>
      </w:r>
      <w:bookmarkEnd w:id="115"/>
      <w:bookmarkEnd w:id="116"/>
    </w:p>
    <w:p>
      <w:pPr>
        <w:pStyle w:val="p1"/>
        <w:spacing w:lineRule="auto" w:line="360" w:before="280" w:after="280"/>
        <w:jc w:val="both"/>
        <w:rPr/>
      </w:pPr>
      <w:r>
        <w:rPr/>
        <w:t>El estadiaje del cáncer apendicular constituye un proceso fundamental tanto para la evaluación pronóstica como para la planificación terapéutica. A lo largo de esta tesis se ha descrito la particularidad del cáncer apendicular en lo que respecta a su estadiaje, así como las múltiples modificaciones que se han realizado en el curso del estudio de esta enfermedad.</w:t>
      </w:r>
    </w:p>
    <w:p>
      <w:pPr>
        <w:pStyle w:val="p1"/>
        <w:spacing w:lineRule="auto" w:line="360" w:before="280" w:after="280"/>
        <w:jc w:val="both"/>
        <w:rPr/>
      </w:pPr>
      <w:r>
        <w:rPr/>
        <w:t xml:space="preserve">Aunque tradicionalmente el apéndice cecal fue incluido dentro de las clasificaciones del cáncer de colon y recto, el sistema TNM del </w:t>
      </w:r>
      <w:r>
        <w:rPr>
          <w:i/>
        </w:rPr>
        <w:t>American Joint Committee on Cancer</w:t>
      </w:r>
      <w:r>
        <w:rPr/>
        <w:t xml:space="preserve"> (AJCC) introdujo por primera vez una clasificación independiente para los carcinomas primarios del apéndice en la 7.ª edición, publicada en 2010. Posteriormente, en la 8.ª edición de 2017, se incorporaron modificaciones relevantes, tales como la categoría Tis para los LAMN, la redefinición de la enfermedad T4, la inclusión de los depósitos tumorales como N1c y la subdivisión del estadio IV según el grado histológico y la diferenciación tumoral, especialmente en las neoplasias mucinosas diseminadas (11).</w:t>
      </w:r>
    </w:p>
    <w:p>
      <w:pPr>
        <w:pStyle w:val="p1"/>
        <w:spacing w:lineRule="auto" w:line="360" w:before="280" w:after="280"/>
        <w:jc w:val="both"/>
        <w:rPr/>
      </w:pPr>
      <w:r>
        <w:rPr/>
        <w:t xml:space="preserve">La versión más reciente del AJCC, la 9.ª edición publicada en 2022 y de uso obligatorio desde enero de 2023, incorpora ajustes adicionales fundamentados en la evidencia emergente y en la clasificación de la OMS de 2021. Esta edición reconoce de forma explícita la naturaleza maligna de las LAMN y HAMN, que anteriormente eran consideradas lesiones </w:t>
      </w:r>
      <w:r>
        <w:rPr>
          <w:i/>
        </w:rPr>
        <w:t>borderline</w:t>
      </w:r>
      <w:r>
        <w:rPr/>
        <w:t>, lo cual ha tenido un impacto directo en su inclusión obligatoria en los registros oncológicos internacionales.</w:t>
      </w:r>
    </w:p>
    <w:p>
      <w:pPr>
        <w:pStyle w:val="p1"/>
        <w:spacing w:lineRule="auto" w:line="360" w:before="280" w:after="280"/>
        <w:jc w:val="both"/>
        <w:rPr/>
      </w:pPr>
      <w:r>
        <w:rPr/>
        <w:t>En términos generales, la correcta asignación del estadio requiere una evaluación anatómica minuciosa que considere tres parámetros esenciales: la extensión del tumor primario (T), el compromiso ganglionar regional (N) y la presencia de metástasis a distancia (M). No obstante, debido a la heterogeneidad histológica del cáncer apendicular, el estadiaje debe interpretarse en el contexto del subtipo histológico predominante (8)</w:t>
      </w:r>
      <w:r>
        <w:rPr>
          <w:rFonts w:eastAsia="MS Mincho"/>
          <w:color w:val="000000"/>
        </w:rPr>
        <w:t>.</w:t>
      </w:r>
    </w:p>
    <w:p>
      <w:pPr>
        <w:pStyle w:val="Caption"/>
        <w:keepNext w:val="true"/>
        <w:rPr>
          <w:b/>
          <w:bCs/>
          <w:i w:val="false"/>
          <w:i w:val="false"/>
          <w:iCs w:val="false"/>
          <w:color w:themeColor="text1" w:val="000000"/>
        </w:rPr>
      </w:pPr>
      <w:bookmarkStart w:id="117" w:name="_Toc199964153"/>
      <w:bookmarkStart w:id="118" w:name="_Toc199964090"/>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7</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Criterios TNM para neoplasias epiteliales apendiculares</w:t>
      </w:r>
      <w:bookmarkEnd w:id="117"/>
      <w:bookmarkEnd w:id="118"/>
    </w:p>
    <w:tbl>
      <w:tblPr>
        <w:tblStyle w:val="GridTable2"/>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op w:val="nil"/>
              <w:bottom w:val="single" w:sz="12" w:space="0" w:color="666666"/>
            </w:tcBorders>
            <w:shd w:color="auto" w:fill="FFFFFF" w:themeFill="background1" w:val="clear"/>
          </w:tcPr>
          <w:p>
            <w:pPr>
              <w:pStyle w:val="p4"/>
              <w:widowControl/>
              <w:spacing w:lineRule="auto" w:line="360" w:before="0" w:after="0"/>
              <w:jc w:val="both"/>
              <w:rPr>
                <w:b/>
                <w:bCs/>
                <w:kern w:val="0"/>
                <w:lang w:val="es-CR" w:bidi="ar-SA"/>
              </w:rPr>
            </w:pPr>
            <w:r>
              <w:rPr>
                <w:b/>
                <w:bCs/>
                <w:kern w:val="0"/>
                <w:lang w:val="es-CR" w:bidi="ar-SA"/>
              </w:rPr>
              <w:t>Clasificación T (Tumor primario):</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40"/>
              </w:numPr>
              <w:spacing w:lineRule="auto" w:line="360" w:before="0" w:afterAutospacing="0" w:after="0"/>
              <w:jc w:val="both"/>
              <w:rPr>
                <w:b/>
                <w:bCs/>
                <w:kern w:val="0"/>
                <w:lang w:val="es-CR" w:bidi="ar-SA"/>
              </w:rPr>
            </w:pPr>
            <w:r>
              <w:rPr>
                <w:rStyle w:val="s1"/>
                <w:b/>
                <w:bCs/>
                <w:kern w:val="0"/>
                <w:lang w:val="es-CR" w:bidi="ar-SA"/>
              </w:rPr>
              <w:t>Tis</w:t>
            </w:r>
            <w:r>
              <w:rPr>
                <w:b/>
                <w:bCs/>
                <w:kern w:val="0"/>
                <w:lang w:val="es-CR" w:bidi="ar-SA"/>
              </w:rPr>
              <w:t xml:space="preserve">: </w:t>
            </w:r>
            <w:r>
              <w:rPr>
                <w:b w:val="false"/>
                <w:bCs w:val="false"/>
                <w:kern w:val="0"/>
                <w:lang w:val="es-CR" w:bidi="ar-SA"/>
              </w:rPr>
              <w:t>Carcinoma in situ; tumor confinado a la mucosa. Es aplicable únicamente para LAMN. No debe usarse para HAMN ni adenocarcinoma</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8"/>
              </w:numPr>
              <w:spacing w:lineRule="auto" w:line="360" w:before="0" w:afterAutospacing="0" w:after="0"/>
              <w:jc w:val="both"/>
              <w:rPr>
                <w:b/>
                <w:bCs/>
                <w:kern w:val="0"/>
                <w:lang w:val="es-CR" w:bidi="ar-SA"/>
              </w:rPr>
            </w:pPr>
            <w:r>
              <w:rPr>
                <w:rStyle w:val="s1"/>
                <w:b/>
                <w:bCs/>
                <w:kern w:val="0"/>
                <w:lang w:val="es-CR" w:bidi="ar-SA"/>
              </w:rPr>
              <w:t>T1</w:t>
            </w:r>
            <w:r>
              <w:rPr>
                <w:b/>
                <w:bCs/>
                <w:kern w:val="0"/>
                <w:lang w:val="es-CR" w:bidi="ar-SA"/>
              </w:rPr>
              <w:t xml:space="preserve">: </w:t>
            </w:r>
            <w:r>
              <w:rPr>
                <w:b w:val="false"/>
                <w:bCs w:val="false"/>
                <w:kern w:val="0"/>
                <w:lang w:val="es-CR" w:bidi="ar-SA"/>
              </w:rPr>
              <w:t>Invasión de la submucosa</w:t>
            </w:r>
            <w:r>
              <w:rPr>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8"/>
              </w:numPr>
              <w:spacing w:lineRule="auto" w:line="360" w:before="0" w:afterAutospacing="0" w:after="0"/>
              <w:jc w:val="both"/>
              <w:rPr>
                <w:b/>
                <w:bCs/>
                <w:kern w:val="0"/>
                <w:lang w:val="es-CR" w:bidi="ar-SA"/>
              </w:rPr>
            </w:pPr>
            <w:r>
              <w:rPr>
                <w:rStyle w:val="s1"/>
                <w:b/>
                <w:bCs/>
                <w:kern w:val="0"/>
                <w:lang w:val="es-CR" w:bidi="ar-SA"/>
              </w:rPr>
              <w:t>T2</w:t>
            </w:r>
            <w:r>
              <w:rPr>
                <w:b/>
                <w:bCs/>
                <w:kern w:val="0"/>
                <w:lang w:val="es-CR" w:bidi="ar-SA"/>
              </w:rPr>
              <w:t xml:space="preserve">: </w:t>
            </w:r>
            <w:r>
              <w:rPr>
                <w:b w:val="false"/>
                <w:bCs w:val="false"/>
                <w:kern w:val="0"/>
                <w:lang w:val="es-CR" w:bidi="ar-SA"/>
              </w:rPr>
              <w:t>Invasión de la muscular propia</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8"/>
              </w:numPr>
              <w:spacing w:lineRule="auto" w:line="360" w:before="0" w:afterAutospacing="0" w:after="0"/>
              <w:jc w:val="both"/>
              <w:rPr>
                <w:b/>
                <w:bCs/>
                <w:kern w:val="0"/>
                <w:lang w:val="es-CR" w:bidi="ar-SA"/>
              </w:rPr>
            </w:pPr>
            <w:r>
              <w:rPr>
                <w:rStyle w:val="s1"/>
                <w:b/>
                <w:bCs/>
                <w:kern w:val="0"/>
                <w:lang w:val="es-CR" w:bidi="ar-SA"/>
              </w:rPr>
              <w:t>T3</w:t>
            </w:r>
            <w:r>
              <w:rPr>
                <w:b/>
                <w:bCs/>
                <w:kern w:val="0"/>
                <w:lang w:val="es-CR" w:bidi="ar-SA"/>
              </w:rPr>
              <w:t xml:space="preserve">: </w:t>
            </w:r>
            <w:r>
              <w:rPr>
                <w:b w:val="false"/>
                <w:bCs w:val="false"/>
                <w:kern w:val="0"/>
                <w:lang w:val="es-CR" w:bidi="ar-SA"/>
              </w:rPr>
              <w:t>Extensión a la subserosa o al mesoapéndice</w:t>
            </w:r>
            <w:r>
              <w:rPr>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8"/>
              </w:numPr>
              <w:spacing w:lineRule="auto" w:line="360" w:before="0" w:afterAutospacing="0" w:after="0"/>
              <w:jc w:val="both"/>
              <w:rPr>
                <w:b/>
                <w:bCs/>
                <w:kern w:val="0"/>
                <w:lang w:val="es-CR" w:bidi="ar-SA"/>
              </w:rPr>
            </w:pPr>
            <w:r>
              <w:rPr>
                <w:rStyle w:val="s1"/>
                <w:b/>
                <w:bCs/>
                <w:kern w:val="0"/>
                <w:lang w:val="es-CR" w:bidi="ar-SA"/>
              </w:rPr>
              <w:t>T4a</w:t>
            </w:r>
            <w:r>
              <w:rPr>
                <w:b/>
                <w:bCs/>
                <w:kern w:val="0"/>
                <w:lang w:val="es-CR" w:bidi="ar-SA"/>
              </w:rPr>
              <w:t xml:space="preserve">: </w:t>
            </w:r>
            <w:r>
              <w:rPr>
                <w:b w:val="false"/>
                <w:bCs w:val="false"/>
                <w:kern w:val="0"/>
                <w:lang w:val="es-CR" w:bidi="ar-SA"/>
              </w:rPr>
              <w:t>Perforación del apéndice visceral o invasión del peritoneo visceral</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8"/>
              </w:numPr>
              <w:spacing w:lineRule="auto" w:line="360" w:before="0" w:afterAutospacing="0" w:after="0"/>
              <w:jc w:val="both"/>
              <w:rPr>
                <w:b/>
                <w:bCs/>
                <w:kern w:val="0"/>
                <w:lang w:val="es-CR" w:bidi="ar-SA"/>
              </w:rPr>
            </w:pPr>
            <w:r>
              <w:rPr>
                <w:rStyle w:val="s1"/>
                <w:b/>
                <w:bCs/>
                <w:kern w:val="0"/>
                <w:lang w:val="es-CR" w:bidi="ar-SA"/>
              </w:rPr>
              <w:t>T4b</w:t>
            </w:r>
            <w:r>
              <w:rPr>
                <w:b/>
                <w:bCs/>
                <w:kern w:val="0"/>
                <w:lang w:val="es-CR" w:bidi="ar-SA"/>
              </w:rPr>
              <w:t xml:space="preserve">: </w:t>
            </w:r>
            <w:r>
              <w:rPr>
                <w:b w:val="false"/>
                <w:bCs w:val="false"/>
                <w:kern w:val="0"/>
                <w:lang w:val="es-CR" w:bidi="ar-SA"/>
              </w:rPr>
              <w:t>Invasión directa de otros órganos o estructuras adyacentes</w:t>
            </w:r>
            <w:r>
              <w:rPr>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4"/>
              <w:widowControl/>
              <w:spacing w:lineRule="auto" w:line="360" w:before="0" w:afterAutospacing="0" w:after="0"/>
              <w:jc w:val="both"/>
              <w:rPr>
                <w:b/>
                <w:bCs/>
                <w:kern w:val="0"/>
                <w:lang w:val="es-CR" w:bidi="ar-SA"/>
              </w:rPr>
            </w:pPr>
            <w:r>
              <w:rPr>
                <w:b/>
                <w:bCs/>
                <w:kern w:val="0"/>
                <w:lang w:val="es-CR" w:bidi="ar-SA"/>
              </w:rPr>
              <w:t>Clasificación N (Ganglios linfáticos regionales):</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9"/>
              </w:numPr>
              <w:spacing w:lineRule="auto" w:line="360" w:before="0" w:afterAutospacing="0" w:after="0"/>
              <w:jc w:val="both"/>
              <w:rPr>
                <w:b/>
                <w:bCs/>
                <w:kern w:val="0"/>
                <w:lang w:val="es-CR" w:bidi="ar-SA"/>
              </w:rPr>
            </w:pPr>
            <w:r>
              <w:rPr>
                <w:rStyle w:val="s1"/>
                <w:b/>
                <w:bCs/>
                <w:kern w:val="0"/>
                <w:lang w:val="es-CR" w:bidi="ar-SA"/>
              </w:rPr>
              <w:t>N0</w:t>
            </w:r>
            <w:r>
              <w:rPr>
                <w:b/>
                <w:bCs/>
                <w:kern w:val="0"/>
                <w:lang w:val="es-CR" w:bidi="ar-SA"/>
              </w:rPr>
              <w:t xml:space="preserve">: </w:t>
            </w:r>
            <w:r>
              <w:rPr>
                <w:b w:val="false"/>
                <w:bCs w:val="false"/>
                <w:kern w:val="0"/>
                <w:lang w:val="es-CR" w:bidi="ar-SA"/>
              </w:rPr>
              <w:t>Sin metástasis en ganglios linfáticos regionales</w:t>
            </w:r>
            <w:r>
              <w:rPr>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9"/>
              </w:numPr>
              <w:spacing w:lineRule="auto" w:line="360" w:before="0" w:afterAutospacing="0" w:after="0"/>
              <w:jc w:val="both"/>
              <w:rPr>
                <w:b/>
                <w:bCs/>
                <w:kern w:val="0"/>
                <w:lang w:val="es-CR" w:bidi="ar-SA"/>
              </w:rPr>
            </w:pPr>
            <w:r>
              <w:rPr>
                <w:rStyle w:val="s1"/>
                <w:b/>
                <w:bCs/>
                <w:kern w:val="0"/>
                <w:lang w:val="es-CR" w:bidi="ar-SA"/>
              </w:rPr>
              <w:t>N1a/N1b</w:t>
            </w:r>
            <w:r>
              <w:rPr>
                <w:rStyle w:val="s1"/>
                <w:b w:val="false"/>
                <w:bCs w:val="false"/>
                <w:kern w:val="0"/>
                <w:lang w:val="es-CR" w:bidi="ar-SA"/>
              </w:rPr>
              <w:t>:</w:t>
            </w:r>
            <w:r>
              <w:rPr>
                <w:b/>
                <w:bCs/>
                <w:kern w:val="0"/>
                <w:lang w:val="es-CR" w:bidi="ar-SA"/>
              </w:rPr>
              <w:t xml:space="preserve"> </w:t>
            </w:r>
            <w:r>
              <w:rPr>
                <w:b w:val="false"/>
                <w:bCs w:val="false"/>
                <w:kern w:val="0"/>
                <w:lang w:val="es-CR" w:bidi="ar-SA"/>
              </w:rPr>
              <w:t>Uno a tres ganglios positivos</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9"/>
              </w:numPr>
              <w:spacing w:lineRule="auto" w:line="360" w:before="0" w:afterAutospacing="0" w:after="0"/>
              <w:jc w:val="both"/>
              <w:rPr>
                <w:rStyle w:val="s1"/>
              </w:rPr>
            </w:pPr>
            <w:r>
              <w:rPr>
                <w:rStyle w:val="s1"/>
                <w:b/>
                <w:bCs/>
                <w:kern w:val="0"/>
                <w:lang w:val="es-CR" w:bidi="ar-SA"/>
              </w:rPr>
              <w:t>N1c</w:t>
            </w:r>
            <w:r>
              <w:rPr>
                <w:rStyle w:val="s1"/>
                <w:b w:val="false"/>
                <w:bCs w:val="false"/>
                <w:kern w:val="0"/>
                <w:lang w:val="es-CR" w:bidi="ar-SA"/>
              </w:rPr>
              <w:t>:</w:t>
            </w:r>
            <w:r>
              <w:rPr>
                <w:b/>
                <w:bCs/>
                <w:kern w:val="0"/>
                <w:lang w:val="es-CR" w:bidi="ar-SA"/>
              </w:rPr>
              <w:t xml:space="preserve"> </w:t>
            </w:r>
            <w:r>
              <w:rPr>
                <w:b w:val="false"/>
                <w:bCs w:val="false"/>
                <w:kern w:val="0"/>
                <w:lang w:val="es-CR" w:bidi="ar-SA"/>
              </w:rPr>
              <w:t>Depósitos tumorales en ausencia de ganglios positivos. No aplicable a LAMN o HAMN</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9"/>
              </w:numPr>
              <w:spacing w:lineRule="auto" w:line="360" w:before="0" w:afterAutospacing="0" w:after="0"/>
              <w:jc w:val="both"/>
              <w:rPr>
                <w:b/>
                <w:bCs/>
                <w:kern w:val="0"/>
                <w:lang w:val="es-CR" w:bidi="ar-SA"/>
              </w:rPr>
            </w:pPr>
            <w:r>
              <w:rPr>
                <w:rStyle w:val="s1"/>
                <w:b/>
                <w:bCs/>
                <w:kern w:val="0"/>
                <w:lang w:val="es-CR" w:bidi="ar-SA"/>
              </w:rPr>
              <w:t>N2</w:t>
            </w:r>
            <w:r>
              <w:rPr>
                <w:b/>
                <w:bCs/>
                <w:kern w:val="0"/>
                <w:lang w:val="es-CR" w:bidi="ar-SA"/>
              </w:rPr>
              <w:t xml:space="preserve">: </w:t>
            </w:r>
            <w:r>
              <w:rPr>
                <w:b w:val="false"/>
                <w:bCs w:val="false"/>
                <w:kern w:val="0"/>
                <w:lang w:val="es-CR" w:bidi="ar-SA"/>
              </w:rPr>
              <w:t>Metástasis en 4 o más ganglios linfáticos regionales</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4"/>
              <w:widowControl/>
              <w:spacing w:lineRule="auto" w:line="360" w:before="0" w:afterAutospacing="0" w:after="0"/>
              <w:jc w:val="both"/>
              <w:rPr>
                <w:b/>
                <w:bCs/>
                <w:kern w:val="0"/>
                <w:lang w:val="es-CR" w:bidi="ar-SA"/>
              </w:rPr>
            </w:pPr>
            <w:r>
              <w:rPr>
                <w:b/>
                <w:bCs/>
                <w:kern w:val="0"/>
                <w:lang w:val="es-CR" w:bidi="ar-SA"/>
              </w:rPr>
              <w:t>Clasificación M (Metástasis a distancia):</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0"/>
              </w:numPr>
              <w:spacing w:lineRule="auto" w:line="360" w:before="0" w:afterAutospacing="0" w:after="0"/>
              <w:jc w:val="both"/>
              <w:rPr>
                <w:b/>
                <w:bCs/>
                <w:kern w:val="0"/>
                <w:lang w:val="es-CR" w:bidi="ar-SA"/>
              </w:rPr>
            </w:pPr>
            <w:r>
              <w:rPr>
                <w:rStyle w:val="s1"/>
                <w:b/>
                <w:bCs/>
                <w:kern w:val="0"/>
                <w:lang w:val="es-CR" w:bidi="ar-SA"/>
              </w:rPr>
              <w:t>M0</w:t>
            </w:r>
            <w:r>
              <w:rPr>
                <w:b/>
                <w:bCs/>
                <w:kern w:val="0"/>
                <w:lang w:val="es-CR" w:bidi="ar-SA"/>
              </w:rPr>
              <w:t xml:space="preserve">: </w:t>
            </w:r>
            <w:r>
              <w:rPr>
                <w:b w:val="false"/>
                <w:bCs w:val="false"/>
                <w:kern w:val="0"/>
                <w:lang w:val="es-CR" w:bidi="ar-SA"/>
              </w:rPr>
              <w:t>Sin metástasis a distancia</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10"/>
              </w:numPr>
              <w:spacing w:lineRule="auto" w:line="360" w:before="0" w:afterAutospacing="0" w:after="0"/>
              <w:jc w:val="both"/>
              <w:rPr>
                <w:b/>
                <w:bCs/>
                <w:kern w:val="0"/>
                <w:lang w:val="es-CR" w:bidi="ar-SA"/>
              </w:rPr>
            </w:pPr>
            <w:r>
              <w:rPr>
                <w:rStyle w:val="s1"/>
                <w:b/>
                <w:bCs/>
                <w:kern w:val="0"/>
                <w:lang w:val="es-CR" w:bidi="ar-SA"/>
              </w:rPr>
              <w:t>M1a</w:t>
            </w:r>
            <w:r>
              <w:rPr>
                <w:b/>
                <w:bCs/>
                <w:kern w:val="0"/>
                <w:lang w:val="es-CR" w:bidi="ar-SA"/>
              </w:rPr>
              <w:t xml:space="preserve">: </w:t>
            </w:r>
            <w:r>
              <w:rPr>
                <w:b w:val="false"/>
                <w:bCs w:val="false"/>
                <w:kern w:val="0"/>
                <w:lang w:val="es-CR" w:bidi="ar-SA"/>
              </w:rPr>
              <w:t>Diseminación peritoneal con mucina acelular</w:t>
            </w:r>
            <w:r>
              <w:rPr>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0"/>
              </w:numPr>
              <w:spacing w:lineRule="auto" w:line="360" w:before="0" w:afterAutospacing="0" w:after="0"/>
              <w:jc w:val="both"/>
              <w:rPr>
                <w:b/>
                <w:bCs/>
                <w:kern w:val="0"/>
                <w:lang w:val="es-CR" w:bidi="ar-SA"/>
              </w:rPr>
            </w:pPr>
            <w:r>
              <w:rPr>
                <w:rStyle w:val="s1"/>
                <w:b/>
                <w:bCs/>
                <w:kern w:val="0"/>
                <w:lang w:val="es-CR" w:bidi="ar-SA"/>
              </w:rPr>
              <w:t>M1b</w:t>
            </w:r>
            <w:r>
              <w:rPr>
                <w:b/>
                <w:bCs/>
                <w:kern w:val="0"/>
                <w:lang w:val="es-CR" w:bidi="ar-SA"/>
              </w:rPr>
              <w:t xml:space="preserve">: </w:t>
            </w:r>
            <w:r>
              <w:rPr>
                <w:b w:val="false"/>
                <w:bCs w:val="false"/>
                <w:kern w:val="0"/>
                <w:lang w:val="es-CR" w:bidi="ar-SA"/>
              </w:rPr>
              <w:t>Diseminación peritoneal con células tumorales</w:t>
            </w:r>
            <w:r>
              <w:rPr>
                <w:b/>
                <w:bCs/>
                <w:kern w:val="0"/>
                <w:lang w:val="es-CR" w:bidi="ar-SA"/>
              </w:rPr>
              <w:t>.</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10"/>
              </w:numPr>
              <w:spacing w:lineRule="auto" w:line="360" w:before="0" w:afterAutospacing="0" w:after="0"/>
              <w:jc w:val="both"/>
              <w:rPr>
                <w:b/>
                <w:bCs/>
                <w:kern w:val="0"/>
                <w:lang w:val="es-CR" w:bidi="ar-SA"/>
              </w:rPr>
            </w:pPr>
            <w:r>
              <w:rPr>
                <w:rStyle w:val="s1"/>
                <w:b/>
                <w:bCs/>
                <w:kern w:val="0"/>
                <w:lang w:val="es-CR" w:bidi="ar-SA"/>
              </w:rPr>
              <w:t>M1c</w:t>
            </w:r>
            <w:r>
              <w:rPr>
                <w:b/>
                <w:bCs/>
                <w:kern w:val="0"/>
                <w:lang w:val="es-CR" w:bidi="ar-SA"/>
              </w:rPr>
              <w:t xml:space="preserve">: </w:t>
            </w:r>
            <w:r>
              <w:rPr>
                <w:b w:val="false"/>
                <w:bCs w:val="false"/>
                <w:kern w:val="0"/>
                <w:lang w:val="es-CR" w:bidi="ar-SA"/>
              </w:rPr>
              <w:t>Metástasis a órganos extraperitoneales (ej., pulmón, hígado).</w:t>
            </w:r>
          </w:p>
        </w:tc>
      </w:tr>
    </w:tbl>
    <w:p>
      <w:pPr>
        <w:pStyle w:val="Normal"/>
        <w:rPr/>
      </w:pPr>
      <w:r>
        <w:rPr/>
      </w:r>
    </w:p>
    <w:p>
      <w:pPr>
        <w:pStyle w:val="p1"/>
        <w:spacing w:lineRule="auto" w:line="360" w:before="280" w:after="280"/>
        <w:jc w:val="both"/>
        <w:rPr/>
      </w:pPr>
      <w:r>
        <w:rPr/>
        <w:t xml:space="preserve">En el contexto del cáncer apendicular, la clasificación del tumor primario (T) según el sistema TNM del </w:t>
      </w:r>
      <w:r>
        <w:rPr>
          <w:rStyle w:val="Emphasis"/>
        </w:rPr>
        <w:t>American Joint Committee on Cancer</w:t>
      </w:r>
      <w:r>
        <w:rPr/>
        <w:t xml:space="preserve"> (AJCC), en su novena edición, requiere una consideración cuidadosa de las particularidades histológicas de las neoplasias mucinosas. En el caso de las neoplasias mucinosas apendiculares de bajo grado (LAMN), se reconoce que el patrón de invasión no es típicamente infiltrativo ni destructivo, sino que adopta una morfología expansiva o “empujante”, sin desmoplasia estromal. Esto ha motivado adaptaciones específicas en la asignación de la categoría T para este subtipo tumoral.</w:t>
      </w:r>
    </w:p>
    <w:p>
      <w:pPr>
        <w:pStyle w:val="p1"/>
        <w:spacing w:lineRule="auto" w:line="360" w:before="280" w:after="280"/>
        <w:jc w:val="both"/>
        <w:rPr/>
      </w:pPr>
      <w:r>
        <w:rPr/>
        <w:t>Cuando una LAMN está confinada a la muscular propia del apéndice y no presenta evidencia de extensión más allá de esta capa, se clasifica como Tis (LAMN). Es importante destacar que, en este contexto, no deben emplearse las categorías T1 o T2, ya que están reservadas para carcinomas invasivos que penetran la submucosa y la muscular propia con un patrón infiltrativo, típicamente observado en adenocarcinomas colónicos. Así, la categoría Tis se convierte en la designación específica para las LAMN limitadas a la pared apendicular, independientemente del grado de sustitución de las capas histológicas por fibrosis u obliteración epitelial.</w:t>
      </w:r>
    </w:p>
    <w:p>
      <w:pPr>
        <w:pStyle w:val="p1"/>
        <w:spacing w:lineRule="auto" w:line="360" w:before="280" w:after="280"/>
        <w:jc w:val="both"/>
        <w:rPr/>
      </w:pPr>
      <w:r>
        <w:rPr/>
        <w:t>La literatura ha documentado que esta categoría, incluso cuando se acompaña de focos microscópicos de mucina acelular en la subserosa o el mesoapéndice, no implica necesariamente un mayor riesgo de recurrencia, siempre que no exista perforación franca ni epitelio neoplásico en la superficie externa del apéndice.</w:t>
      </w:r>
    </w:p>
    <w:p>
      <w:pPr>
        <w:pStyle w:val="p1"/>
        <w:spacing w:lineRule="auto" w:line="360" w:before="280" w:after="280"/>
        <w:jc w:val="both"/>
        <w:rPr/>
      </w:pPr>
      <w:r>
        <w:rPr/>
        <w:t>Cuando se identifica mucina acelular o epitelio mucinoso extendiéndose más allá de la muscular propia hacia la subserosa o el mesoapéndice, el tumor se clasifica como T3. En los casos en que la mucina acelular o el epitelio se encuentran sobre la superficie serosa, es decir, en contacto con el peritoneo visceral, la categoría asignada es T4a. Si, en cambio, hay invasión directa o adherencia a órganos adyacentes, sin que medie continuidad luminal o diseminación mural, la clasificación corresponde a T4b.</w:t>
      </w:r>
    </w:p>
    <w:p>
      <w:pPr>
        <w:pStyle w:val="p1"/>
        <w:spacing w:lineRule="auto" w:line="360" w:before="280" w:after="280"/>
        <w:jc w:val="both"/>
        <w:rPr/>
      </w:pPr>
      <w:r>
        <w:rPr/>
        <w:t>En los tumores HAMN, la situación es más compleja. Aunque estos pueden mostrar un patrón de crecimiento similar al de las LAMN, su citología de alto grado justifica un enfoque distinto. Debido a su potencial biológico más agresivo, el AJCC no permite la clasificación Tis en estos casos. Así, si un HAMN muestra invasión hasta la muscular propia sin alcanzar el mesoapéndice, se debe asignar la categoría T2; si la invasión alcanza la subserosa o el mesoapéndice, la categoría correspondiente es T3, y así sucesivamente según la progresión anatómica de la invasión.</w:t>
      </w:r>
    </w:p>
    <w:p>
      <w:pPr>
        <w:pStyle w:val="p1"/>
        <w:spacing w:lineRule="auto" w:line="360" w:before="280" w:after="280"/>
        <w:jc w:val="both"/>
        <w:rPr/>
      </w:pPr>
      <w:r>
        <w:rPr/>
        <w:t>Cabe resaltar que, en ausencia de compromiso ganglionar, los tumores clasificados como T1 o T2 corresponden a estadios tempranos (estadio I), mientras que aquellos con clasificación T3 o T4, aun sin metástasis ganglionares o a distancia, se agrupan en estadios intermedios (estadio II). Sin embargo, diversos estudios han señalado que, en el caso específico de LAMN confinados al apéndice, el valor pronóstico de la categoría T puede ser limitado, especialmente cuando no hay evidencia de diseminación peritoneal o perforación tumoral. No obstante, en situaciones inusuales, tanto LAMN como HAMN pueden asociarse con diseminación peritoneal, incluso en ausencia de perforación macroscópica, presumiblemente por mecanismos como perforaciones selladas o por enfermedad invasiva no reconocida en la evaluación patológica inicial.</w:t>
      </w:r>
    </w:p>
    <w:p>
      <w:pPr>
        <w:pStyle w:val="p1"/>
        <w:spacing w:lineRule="auto" w:line="360" w:before="280" w:after="280"/>
        <w:jc w:val="both"/>
        <w:rPr/>
      </w:pPr>
      <w:r>
        <w:rPr/>
        <w:t>En el contexto del cáncer apendicular, el manejo de los depósitos tumorales difiere significativamente del adoptado para el cáncer colorrectal. Aunque la categoría N1c del sistema TNM se reserva para aquellos casos con depósitos tumorales en el mesenterio sin ganglios positivos ni estructuras vasculares o nerviosas adyacentes, su aplicación en tumores apendiculares, en particular en las neoplasias mucinosas de bajo y alto grado (LAMN y HAMN), ha sido explícitamente desaconsejada en las guías actualizadas del AJCC. En dichos subtipos, la presencia de depósitos tumorales no debe contabilizarse como metástasis ganglionares ni ser utilizada para modificar la categoría N. Este hallazgo, aunque relevante desde el punto de vista descriptivo y potencialmente pronóstico, carece en la actualidad de suficiente respaldo para integrarse al sistema de estadificación en estos contextos histológicos. Por tanto, su identificación debe ser reportada de forma separada en el análisis anatomopatológico, sin que ello implique necesariamente un cambio en el estadio nodal del paciente.</w:t>
      </w:r>
    </w:p>
    <w:p>
      <w:pPr>
        <w:pStyle w:val="p1"/>
        <w:spacing w:lineRule="auto" w:line="360" w:before="280" w:after="280"/>
        <w:jc w:val="both"/>
        <w:rPr/>
      </w:pPr>
      <w:r>
        <w:rPr/>
        <w:t>El grado histológico en las neoplasias apendiculares, particularmente en aquellas con diseminación peritoneal, se ha convertido en un elemento crítico para la estratificación del estadio clínico y para la selección del tratamiento más adecuado. A partir de la octava edición del AJCC, y consolidado en la novena, se incorporó el grado histológico del tumor primario o del implante peritoneal como un modificador esencial del estadio IV, especialmente en el contexto de neoplasias mucinosas diseminadas.</w:t>
      </w:r>
    </w:p>
    <w:p>
      <w:pPr>
        <w:pStyle w:val="p1"/>
        <w:spacing w:lineRule="auto" w:line="360" w:before="280" w:after="280"/>
        <w:jc w:val="both"/>
        <w:rPr/>
      </w:pPr>
      <w:r>
        <w:rPr/>
        <w:t>En términos generales, se adopta un sistema de tres grados, aplicable principalmente a las neoplasias mucinosas:</w:t>
      </w:r>
    </w:p>
    <w:p>
      <w:pPr>
        <w:pStyle w:val="p1"/>
        <w:numPr>
          <w:ilvl w:val="0"/>
          <w:numId w:val="41"/>
        </w:numPr>
        <w:spacing w:lineRule="auto" w:line="360" w:before="280" w:after="0"/>
        <w:jc w:val="both"/>
        <w:rPr/>
      </w:pPr>
      <w:r>
        <w:rPr>
          <w:rStyle w:val="s1"/>
          <w:b/>
          <w:bCs/>
        </w:rPr>
        <w:t>Grado 1 (G1):</w:t>
      </w:r>
      <w:r>
        <w:rPr/>
        <w:t xml:space="preserve"> Tumores bien diferenciados, con arquitectura simple, baja celularidad y atipia citológica mínima, típicamente observados en LAMN o en enfermedad peritoneal tipo “mucinous carcinoma peritonei – low grade” (MCP-L).</w:t>
      </w:r>
    </w:p>
    <w:p>
      <w:pPr>
        <w:pStyle w:val="p1"/>
        <w:numPr>
          <w:ilvl w:val="0"/>
          <w:numId w:val="41"/>
        </w:numPr>
        <w:spacing w:lineRule="auto" w:line="360" w:before="0" w:after="0"/>
        <w:jc w:val="both"/>
        <w:rPr/>
      </w:pPr>
      <w:r>
        <w:rPr>
          <w:rStyle w:val="s1"/>
          <w:b/>
          <w:bCs/>
        </w:rPr>
        <w:t>Grado 2 (G2):</w:t>
      </w:r>
      <w:r>
        <w:rPr/>
        <w:t xml:space="preserve"> Tumores moderadamente diferenciados, con mayor celularidad y atipia citológica moderada, sin criterios de alto grado, compatibles con HAMN o enfermedad peritoneal tipo MCP-H.</w:t>
      </w:r>
    </w:p>
    <w:p>
      <w:pPr>
        <w:pStyle w:val="p1"/>
        <w:numPr>
          <w:ilvl w:val="0"/>
          <w:numId w:val="41"/>
        </w:numPr>
        <w:spacing w:lineRule="auto" w:line="360" w:before="0" w:after="280"/>
        <w:jc w:val="both"/>
        <w:rPr/>
      </w:pPr>
      <w:r>
        <w:rPr>
          <w:rStyle w:val="s1"/>
          <w:b/>
          <w:bCs/>
        </w:rPr>
        <w:t>Grado 3 (G3):</w:t>
      </w:r>
      <w:r>
        <w:rPr/>
        <w:t xml:space="preserve"> Tumores pobremente diferenciados, con citología de alto grado, arquitectura compleja, frecuente presencia de células en anillo de sello y patrón de invasión infiltrativo; se asocian con la variante MCP-H-S.</w:t>
      </w:r>
    </w:p>
    <w:p>
      <w:pPr>
        <w:pStyle w:val="p1"/>
        <w:spacing w:lineRule="auto" w:line="360" w:before="280" w:after="280"/>
        <w:jc w:val="both"/>
        <w:rPr/>
      </w:pPr>
      <w:r>
        <w:rPr/>
        <w:t xml:space="preserve">La utilidad de esta gradación se manifiesta en la estratificación del estadio IV de la siguiente forma: los pacientes con diseminación peritoneal exclusivamente acelular (M1a) o con implantes peritoneales de bajo grado (M1b G1) son clasificados como </w:t>
      </w:r>
      <w:r>
        <w:rPr>
          <w:rStyle w:val="s1"/>
          <w:b/>
          <w:bCs/>
        </w:rPr>
        <w:t>estadio IVA</w:t>
      </w:r>
      <w:r>
        <w:rPr/>
        <w:t xml:space="preserve">, mientras que aquellos con enfermedad peritoneal de grado intermedio o alto (M1b G2 o G3) son catalogados como </w:t>
      </w:r>
      <w:r>
        <w:rPr>
          <w:rStyle w:val="s1"/>
          <w:b/>
          <w:bCs/>
        </w:rPr>
        <w:t>estadio IVB</w:t>
      </w:r>
      <w:r>
        <w:rPr/>
        <w:t xml:space="preserve">. Por otro lado, la presencia de metástasis extraperitoneales, como en pulmón o hígado, define el </w:t>
      </w:r>
      <w:r>
        <w:rPr>
          <w:rStyle w:val="s1"/>
          <w:b/>
          <w:bCs/>
        </w:rPr>
        <w:t>estadio IVC</w:t>
      </w:r>
      <w:r>
        <w:rPr/>
        <w:t>, independientemente del grado histológico.</w:t>
      </w:r>
    </w:p>
    <w:p>
      <w:pPr>
        <w:pStyle w:val="p1"/>
        <w:spacing w:lineRule="auto" w:line="360" w:before="280" w:after="280"/>
        <w:jc w:val="both"/>
        <w:rPr/>
      </w:pPr>
      <w:r>
        <w:rPr/>
        <w:t>Este enfoque reconoce que el comportamiento biológico de las neoplasias mucinosas apendiculares no está determinado únicamente por la extensión anatómica, sino por la diferenciación celular de los implantes peritoneales. La evidencia actual respalda que los pacientes con enfermedad G1 tienen una supervivencia significativamente mayor y mejores tasas de control local cuando son sometidos a cirugía citorreductora e HIPEC, en comparación con aquellos con enfermedad de alto grado, en quienes la quimioterapia sistémica adquiere un papel preponderante.</w:t>
      </w:r>
    </w:p>
    <w:p>
      <w:pPr>
        <w:pStyle w:val="p1"/>
        <w:spacing w:lineRule="auto" w:line="360" w:before="280" w:after="280"/>
        <w:jc w:val="both"/>
        <w:rPr/>
      </w:pPr>
      <w:r>
        <w:rPr/>
        <w:t>Asimismo, la actualización de la AJCC v9 establece que, en presencia de discordancia entre el grado histológico del tumor primario y el de los implantes peritoneales, debe priorizarse el grado del componente metastásico para la asignación del estadio clínico, debido a su mayor valor pronóstico. En este sentido, el grado histológico del componente peritoneal no solo condiciona el estadio IV específico, sino que también orienta de manera decisiva la elección terapéutica.</w:t>
      </w:r>
    </w:p>
    <w:p>
      <w:pPr>
        <w:pStyle w:val="p1"/>
        <w:spacing w:lineRule="auto" w:line="360" w:before="280" w:after="280"/>
        <w:jc w:val="both"/>
        <w:rPr/>
      </w:pPr>
      <w:r>
        <w:rPr/>
        <w:t>Con respecto al GCA (Goblet Cell Adenocarcinoma), se considera un adenocarcinoma agresivo y se clasifica según el sistema TNM para carcinomas epiteliales apendiculares mencionado anteriormente, no como TNE.</w:t>
      </w:r>
    </w:p>
    <w:p>
      <w:pPr>
        <w:pStyle w:val="p1"/>
        <w:spacing w:lineRule="auto" w:line="360" w:before="280" w:after="280"/>
        <w:jc w:val="both"/>
        <w:rPr>
          <w:color w:val="000000"/>
        </w:rPr>
      </w:pPr>
      <w:r>
        <w:rPr>
          <w:color w:val="000000"/>
        </w:rPr>
        <w:t>En los tumores neuroendocrinos, el tamaño tumoral, la profundidad de invasión en la pared apendicular y la presencia de metástasis ganglionares o a distancia son factores críticos que determinan el estadio y, por ende, el pronóstico. Un aspecto fundamental en la estadificación y manejo de los TNE apendiculares es la evaluación del grado histológico mediante el índice de proliferación Ki-67: G1, Ki-67 ≤ 2 %; G2, Ki-67 entre 3 % y 20 %; y G3, Ki-67 &gt; 20 %. Este parámetro complementa la estadificación TNM, proporcionando información adicional sobre la agresividad biológica del tumor.</w:t>
      </w:r>
    </w:p>
    <w:p>
      <w:pPr>
        <w:pStyle w:val="p1"/>
        <w:spacing w:lineRule="auto" w:line="360" w:before="280" w:after="280"/>
        <w:jc w:val="both"/>
        <w:rPr/>
      </w:pPr>
      <w:r>
        <w:rPr>
          <w:color w:val="000000"/>
        </w:rPr>
        <w:t>Según la AJCC, en sus 8.ª y 9.ª ediciones, el sistema TNM específico para tumores neuroendocrinos apendiculares se presenta en la Tabla 8</w:t>
      </w:r>
      <w:r>
        <w:rPr/>
        <w:t xml:space="preserve">. </w:t>
      </w:r>
    </w:p>
    <w:tbl>
      <w:tblPr>
        <w:tblStyle w:val="GridTable2"/>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op w:val="nil"/>
              <w:bottom w:val="single" w:sz="12" w:space="0" w:color="666666"/>
            </w:tcBorders>
            <w:shd w:color="auto" w:fill="FFFFFF" w:themeFill="background1" w:val="clear"/>
          </w:tcPr>
          <w:p>
            <w:pPr>
              <w:pStyle w:val="Caption"/>
              <w:keepNext w:val="true"/>
              <w:widowControl/>
              <w:spacing w:before="0" w:after="200"/>
              <w:jc w:val="left"/>
              <w:rPr>
                <w:i w:val="false"/>
                <w:i w:val="false"/>
                <w:iCs w:val="false"/>
                <w:color w:themeColor="text1" w:val="000000"/>
              </w:rPr>
            </w:pPr>
            <w:bookmarkStart w:id="119" w:name="_Toc199964091"/>
            <w:bookmarkStart w:id="120" w:name="_Toc199964154"/>
            <w:r>
              <w:rPr>
                <w:b/>
                <w:bCs/>
                <w:i w:val="false"/>
                <w:iCs w:val="false"/>
                <w:color w:themeColor="text1" w:val="000000"/>
                <w:kern w:val="0"/>
                <w:lang w:val="es-CR" w:bidi="ar-SA"/>
              </w:rPr>
              <w:t xml:space="preserve">Tabla </w:t>
            </w:r>
            <w:r>
              <w:rPr>
                <w:b/>
                <w:bCs/>
                <w:i w:val="false"/>
                <w:iCs w:val="false"/>
                <w:color w:themeColor="text1" w:val="000000"/>
                <w:kern w:val="0"/>
                <w:lang w:val="es-CR" w:bidi="ar-SA"/>
              </w:rPr>
              <w:fldChar w:fldCharType="begin"/>
            </w:r>
            <w:r>
              <w:rPr>
                <w:i w:val="false"/>
                <w:b/>
                <w:kern w:val="0"/>
                <w:iCs w:val="false"/>
                <w:bCs/>
                <w:color w:themeColor="text1" w:val="000000"/>
                <w:lang w:val="es-CR" w:bidi="ar-SA"/>
              </w:rPr>
              <w:instrText xml:space="preserve"> SEQ Tabla \* ARABIC </w:instrText>
            </w:r>
            <w:r>
              <w:rPr>
                <w:i w:val="false"/>
                <w:b/>
                <w:kern w:val="0"/>
                <w:iCs w:val="false"/>
                <w:bCs/>
                <w:color w:themeColor="text1" w:val="000000"/>
                <w:lang w:val="es-CR" w:bidi="ar-SA"/>
              </w:rPr>
              <w:fldChar w:fldCharType="separate"/>
            </w:r>
            <w:r>
              <w:rPr>
                <w:i w:val="false"/>
                <w:b/>
                <w:kern w:val="0"/>
                <w:iCs w:val="false"/>
                <w:bCs/>
                <w:color w:themeColor="text1" w:val="000000"/>
                <w:lang w:val="es-CR" w:bidi="ar-SA"/>
              </w:rPr>
              <w:t>8</w:t>
            </w:r>
            <w:r>
              <w:rPr>
                <w:i w:val="false"/>
                <w:b/>
                <w:kern w:val="0"/>
                <w:iCs w:val="false"/>
                <w:bCs/>
                <w:color w:themeColor="text1" w:val="000000"/>
                <w:lang w:val="es-CR" w:bidi="ar-SA"/>
              </w:rPr>
              <w:fldChar w:fldCharType="end"/>
            </w:r>
            <w:r>
              <w:rPr>
                <w:b/>
                <w:bCs/>
                <w:i w:val="false"/>
                <w:iCs w:val="false"/>
                <w:color w:themeColor="text1" w:val="000000"/>
                <w:kern w:val="0"/>
                <w:lang w:val="es-CR" w:bidi="ar-SA"/>
              </w:rPr>
              <w:t xml:space="preserve">. </w:t>
            </w:r>
            <w:r>
              <w:rPr>
                <w:b w:val="false"/>
                <w:bCs w:val="false"/>
                <w:i w:val="false"/>
                <w:iCs w:val="false"/>
                <w:color w:themeColor="text1" w:val="000000"/>
                <w:kern w:val="0"/>
                <w:lang w:val="es-CR" w:bidi="ar-SA"/>
              </w:rPr>
              <w:t>Criterios TNM para neoplasias epiteliales apendiculares</w:t>
            </w:r>
            <w:bookmarkEnd w:id="119"/>
            <w:bookmarkEnd w:id="120"/>
          </w:p>
          <w:tbl>
            <w:tblPr>
              <w:tblStyle w:val="GridTable2"/>
              <w:tblW w:w="8611"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611"/>
            </w:tblGrid>
            <w:tr>
              <w:trPr>
                <w:cnfStyle w:val="100000000000" w:firstRow="1" w:lastRow="0" w:firstColumn="0" w:lastColumn="0" w:oddVBand="0" w:evenVBand="0" w:oddHBand="0"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top w:val="nil"/>
                    <w:bottom w:val="single" w:sz="12" w:space="0" w:color="666666"/>
                  </w:tcBorders>
                  <w:shd w:color="auto" w:fill="FFFFFF" w:themeFill="background1" w:val="clear"/>
                </w:tcPr>
                <w:p>
                  <w:pPr>
                    <w:pStyle w:val="p1"/>
                    <w:widowControl/>
                    <w:numPr>
                      <w:ilvl w:val="0"/>
                      <w:numId w:val="11"/>
                    </w:numPr>
                    <w:spacing w:lineRule="auto" w:line="360" w:before="280" w:afterAutospacing="0" w:after="0"/>
                    <w:jc w:val="both"/>
                    <w:rPr>
                      <w:b/>
                      <w:bCs/>
                      <w:kern w:val="0"/>
                      <w:lang w:val="es-CR" w:bidi="ar-SA"/>
                    </w:rPr>
                  </w:pPr>
                  <w:r>
                    <w:rPr>
                      <w:rStyle w:val="s1"/>
                      <w:b/>
                      <w:bCs/>
                      <w:kern w:val="0"/>
                      <w:lang w:val="es-CR" w:bidi="ar-SA"/>
                    </w:rPr>
                    <w:t>T1</w:t>
                  </w:r>
                  <w:r>
                    <w:rPr>
                      <w:b/>
                      <w:bCs/>
                      <w:kern w:val="0"/>
                      <w:lang w:val="es-CR" w:bidi="ar-SA"/>
                    </w:rPr>
                    <w:t xml:space="preserve">: </w:t>
                  </w:r>
                  <w:r>
                    <w:rPr>
                      <w:b w:val="false"/>
                      <w:bCs w:val="false"/>
                      <w:kern w:val="0"/>
                      <w:lang w:val="es-CR" w:bidi="ar-SA"/>
                    </w:rPr>
                    <w:t>Tumor ≤2 cm, limitado al apéndice</w:t>
                  </w:r>
                  <w:r>
                    <w:rPr>
                      <w:b/>
                      <w:bCs/>
                      <w:kern w:val="0"/>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1"/>
                      <w:numId w:val="11"/>
                    </w:numPr>
                    <w:spacing w:lineRule="auto" w:line="360" w:before="0" w:afterAutospacing="0" w:after="0"/>
                    <w:jc w:val="both"/>
                    <w:rPr>
                      <w:sz w:val="22"/>
                      <w:szCs w:val="22"/>
                    </w:rPr>
                  </w:pPr>
                  <w:r>
                    <w:rPr>
                      <w:rStyle w:val="s1"/>
                      <w:b/>
                      <w:bCs/>
                      <w:kern w:val="0"/>
                      <w:sz w:val="22"/>
                      <w:szCs w:val="22"/>
                      <w:lang w:val="es-CR" w:bidi="ar-SA"/>
                    </w:rPr>
                    <w:t>T1a</w:t>
                  </w:r>
                  <w:r>
                    <w:rPr>
                      <w:b/>
                      <w:bCs/>
                      <w:kern w:val="0"/>
                      <w:sz w:val="22"/>
                      <w:szCs w:val="22"/>
                      <w:lang w:val="es-CR" w:bidi="ar-SA"/>
                    </w:rPr>
                    <w:t xml:space="preserve">: </w:t>
                  </w:r>
                  <w:r>
                    <w:rPr>
                      <w:b w:val="false"/>
                      <w:bCs w:val="false"/>
                      <w:kern w:val="0"/>
                      <w:sz w:val="22"/>
                      <w:szCs w:val="22"/>
                      <w:lang w:val="es-CR" w:bidi="ar-SA"/>
                    </w:rPr>
                    <w:t>≤1 cm</w:t>
                  </w:r>
                  <w:r>
                    <w:rPr>
                      <w:b/>
                      <w:bCs/>
                      <w:kern w:val="0"/>
                      <w:sz w:val="22"/>
                      <w:szCs w:val="22"/>
                      <w:lang w:val="es-CR" w:bidi="ar-SA"/>
                    </w:rPr>
                    <w:t>.</w:t>
                  </w:r>
                </w:p>
              </w:tc>
            </w:tr>
            <w:tr>
              <w:trPr/>
              <w:tc>
                <w:tcPr>
                  <w:tcW w:w="8611"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1"/>
                      <w:numId w:val="11"/>
                    </w:numPr>
                    <w:spacing w:lineRule="auto" w:line="360" w:before="0" w:afterAutospacing="0" w:after="0"/>
                    <w:jc w:val="both"/>
                    <w:rPr>
                      <w:sz w:val="22"/>
                      <w:szCs w:val="22"/>
                    </w:rPr>
                  </w:pPr>
                  <w:r>
                    <w:rPr>
                      <w:rStyle w:val="s1"/>
                      <w:b/>
                      <w:bCs/>
                      <w:kern w:val="0"/>
                      <w:sz w:val="22"/>
                      <w:szCs w:val="22"/>
                      <w:lang w:val="es-CR" w:bidi="ar-SA"/>
                    </w:rPr>
                    <w:t>T1b</w:t>
                  </w:r>
                  <w:r>
                    <w:rPr>
                      <w:b/>
                      <w:bCs/>
                      <w:kern w:val="0"/>
                      <w:sz w:val="22"/>
                      <w:szCs w:val="22"/>
                      <w:lang w:val="es-CR" w:bidi="ar-SA"/>
                    </w:rPr>
                    <w:t xml:space="preserve">: </w:t>
                  </w:r>
                  <w:r>
                    <w:rPr>
                      <w:b w:val="false"/>
                      <w:bCs w:val="false"/>
                      <w:kern w:val="0"/>
                      <w:sz w:val="22"/>
                      <w:szCs w:val="22"/>
                      <w:lang w:val="es-CR" w:bidi="ar-SA"/>
                    </w:rPr>
                    <w:t>&gt;1 cm pero ≤2 cm</w:t>
                  </w:r>
                  <w:r>
                    <w:rPr>
                      <w:b/>
                      <w:bCs/>
                      <w:kern w:val="0"/>
                      <w:sz w:val="22"/>
                      <w:szCs w:val="22"/>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1"/>
                    </w:numPr>
                    <w:spacing w:lineRule="auto" w:line="360" w:before="0" w:afterAutospacing="0" w:after="0"/>
                    <w:jc w:val="both"/>
                    <w:rPr>
                      <w:sz w:val="22"/>
                      <w:szCs w:val="22"/>
                    </w:rPr>
                  </w:pPr>
                  <w:r>
                    <w:rPr>
                      <w:rStyle w:val="s1"/>
                      <w:b/>
                      <w:bCs/>
                      <w:kern w:val="0"/>
                      <w:sz w:val="22"/>
                      <w:szCs w:val="22"/>
                      <w:lang w:val="es-CR" w:bidi="ar-SA"/>
                    </w:rPr>
                    <w:t>T2:</w:t>
                  </w:r>
                  <w:r>
                    <w:rPr>
                      <w:b/>
                      <w:bCs/>
                      <w:kern w:val="0"/>
                      <w:sz w:val="22"/>
                      <w:szCs w:val="22"/>
                      <w:lang w:val="es-CR" w:bidi="ar-SA"/>
                    </w:rPr>
                    <w:t xml:space="preserve"> </w:t>
                  </w:r>
                  <w:r>
                    <w:rPr>
                      <w:b w:val="false"/>
                      <w:bCs w:val="false"/>
                      <w:kern w:val="0"/>
                      <w:sz w:val="22"/>
                      <w:szCs w:val="22"/>
                      <w:lang w:val="es-CR" w:bidi="ar-SA"/>
                    </w:rPr>
                    <w:t>Tumor &gt;2 cm, o tumor que invade la capa muscular propia</w:t>
                  </w:r>
                  <w:r>
                    <w:rPr>
                      <w:b/>
                      <w:bCs/>
                      <w:kern w:val="0"/>
                      <w:sz w:val="22"/>
                      <w:szCs w:val="22"/>
                      <w:lang w:val="es-CR" w:bidi="ar-SA"/>
                    </w:rPr>
                    <w:t>.</w:t>
                  </w:r>
                </w:p>
              </w:tc>
            </w:tr>
            <w:tr>
              <w:trPr/>
              <w:tc>
                <w:tcPr>
                  <w:tcW w:w="8611"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11"/>
                    </w:numPr>
                    <w:spacing w:lineRule="auto" w:line="360" w:before="0" w:afterAutospacing="0" w:after="0"/>
                    <w:jc w:val="both"/>
                    <w:rPr>
                      <w:sz w:val="22"/>
                      <w:szCs w:val="22"/>
                    </w:rPr>
                  </w:pPr>
                  <w:r>
                    <w:rPr>
                      <w:rStyle w:val="s1"/>
                      <w:b/>
                      <w:bCs/>
                      <w:kern w:val="0"/>
                      <w:sz w:val="22"/>
                      <w:szCs w:val="22"/>
                      <w:lang w:val="es-CR" w:bidi="ar-SA"/>
                    </w:rPr>
                    <w:t xml:space="preserve">T3: </w:t>
                  </w:r>
                  <w:r>
                    <w:rPr>
                      <w:b w:val="false"/>
                      <w:bCs w:val="false"/>
                      <w:kern w:val="0"/>
                      <w:sz w:val="22"/>
                      <w:szCs w:val="22"/>
                      <w:lang w:val="es-CR" w:bidi="ar-SA"/>
                    </w:rPr>
                    <w:t>Tumor que invade la subserosa o el mesoapéndice</w:t>
                  </w:r>
                  <w:r>
                    <w:rPr>
                      <w:b/>
                      <w:bCs/>
                      <w:kern w:val="0"/>
                      <w:sz w:val="22"/>
                      <w:szCs w:val="22"/>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1"/>
                    </w:numPr>
                    <w:spacing w:lineRule="auto" w:line="360" w:before="0" w:afterAutospacing="0" w:after="0"/>
                    <w:jc w:val="both"/>
                    <w:rPr>
                      <w:sz w:val="22"/>
                      <w:szCs w:val="22"/>
                    </w:rPr>
                  </w:pPr>
                  <w:r>
                    <w:rPr>
                      <w:rStyle w:val="s1"/>
                      <w:b/>
                      <w:bCs/>
                      <w:kern w:val="0"/>
                      <w:sz w:val="22"/>
                      <w:szCs w:val="22"/>
                      <w:lang w:val="es-CR" w:bidi="ar-SA"/>
                    </w:rPr>
                    <w:t>T4:</w:t>
                  </w:r>
                  <w:r>
                    <w:rPr>
                      <w:b/>
                      <w:bCs/>
                      <w:kern w:val="0"/>
                      <w:sz w:val="22"/>
                      <w:szCs w:val="22"/>
                      <w:lang w:val="es-CR" w:bidi="ar-SA"/>
                    </w:rPr>
                    <w:t xml:space="preserve"> </w:t>
                  </w:r>
                  <w:r>
                    <w:rPr>
                      <w:b w:val="false"/>
                      <w:bCs w:val="false"/>
                      <w:kern w:val="0"/>
                      <w:sz w:val="22"/>
                      <w:szCs w:val="22"/>
                      <w:lang w:val="es-CR" w:bidi="ar-SA"/>
                    </w:rPr>
                    <w:t>Tumor que perfora la serosa visceral o invade órganos adyacentes</w:t>
                  </w:r>
                  <w:r>
                    <w:rPr>
                      <w:b/>
                      <w:bCs/>
                      <w:kern w:val="0"/>
                      <w:sz w:val="22"/>
                      <w:szCs w:val="22"/>
                      <w:lang w:val="es-CR" w:bidi="ar-SA"/>
                    </w:rPr>
                    <w:t>.</w:t>
                  </w:r>
                </w:p>
              </w:tc>
            </w:tr>
            <w:tr>
              <w:trPr/>
              <w:tc>
                <w:tcPr>
                  <w:tcW w:w="8611" w:type="dxa"/>
                  <w:cnfStyle w:val="001000000000" w:firstRow="0" w:lastRow="0" w:firstColumn="1" w:lastColumn="0" w:oddVBand="0" w:evenVBand="0" w:oddHBand="0" w:evenHBand="0" w:firstRowFirstColumn="0" w:firstRowLastColumn="0" w:lastRowFirstColumn="0" w:lastRowLastColumn="0"/>
                  <w:tcBorders/>
                </w:tcPr>
                <w:p>
                  <w:pPr>
                    <w:pStyle w:val="p3"/>
                    <w:widowControl/>
                    <w:spacing w:lineRule="auto" w:line="360" w:before="0" w:afterAutospacing="0" w:after="0"/>
                    <w:jc w:val="both"/>
                    <w:rPr>
                      <w:sz w:val="22"/>
                      <w:szCs w:val="22"/>
                    </w:rPr>
                  </w:pPr>
                  <w:r>
                    <w:rPr>
                      <w:rStyle w:val="s1"/>
                      <w:b/>
                      <w:bCs/>
                      <w:kern w:val="0"/>
                      <w:sz w:val="22"/>
                      <w:szCs w:val="22"/>
                      <w:lang w:val="es-CR" w:bidi="ar-SA"/>
                    </w:rPr>
                    <w:t>Clasificación N:</w:t>
                  </w:r>
                </w:p>
              </w:tc>
            </w:tr>
            <w:tr>
              <w:trPr>
                <w:cnfStyle w:val="000000100000" w:firstRow="0" w:lastRow="0" w:firstColumn="0" w:lastColumn="0" w:oddVBand="0" w:evenVBand="0" w:oddHBand="1"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2"/>
                    </w:numPr>
                    <w:spacing w:lineRule="auto" w:line="360" w:before="0" w:afterAutospacing="0" w:after="0"/>
                    <w:jc w:val="both"/>
                    <w:rPr>
                      <w:sz w:val="22"/>
                      <w:szCs w:val="22"/>
                    </w:rPr>
                  </w:pPr>
                  <w:r>
                    <w:rPr>
                      <w:rStyle w:val="s1"/>
                      <w:b/>
                      <w:bCs/>
                      <w:kern w:val="0"/>
                      <w:sz w:val="22"/>
                      <w:szCs w:val="22"/>
                      <w:lang w:val="es-CR" w:bidi="ar-SA"/>
                    </w:rPr>
                    <w:t>N0:</w:t>
                  </w:r>
                  <w:r>
                    <w:rPr>
                      <w:b/>
                      <w:bCs/>
                      <w:kern w:val="0"/>
                      <w:sz w:val="22"/>
                      <w:szCs w:val="22"/>
                      <w:lang w:val="es-CR" w:bidi="ar-SA"/>
                    </w:rPr>
                    <w:t xml:space="preserve"> </w:t>
                  </w:r>
                  <w:r>
                    <w:rPr>
                      <w:b w:val="false"/>
                      <w:bCs w:val="false"/>
                      <w:kern w:val="0"/>
                      <w:sz w:val="22"/>
                      <w:szCs w:val="22"/>
                      <w:lang w:val="es-CR" w:bidi="ar-SA"/>
                    </w:rPr>
                    <w:t>No metástasis en ganglios</w:t>
                  </w:r>
                  <w:r>
                    <w:rPr>
                      <w:b/>
                      <w:bCs/>
                      <w:kern w:val="0"/>
                      <w:sz w:val="22"/>
                      <w:szCs w:val="22"/>
                      <w:lang w:val="es-CR" w:bidi="ar-SA"/>
                    </w:rPr>
                    <w:t>.</w:t>
                  </w:r>
                </w:p>
              </w:tc>
            </w:tr>
            <w:tr>
              <w:trPr/>
              <w:tc>
                <w:tcPr>
                  <w:tcW w:w="8611"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12"/>
                    </w:numPr>
                    <w:spacing w:lineRule="auto" w:line="360" w:before="0" w:afterAutospacing="0" w:after="0"/>
                    <w:jc w:val="both"/>
                    <w:rPr>
                      <w:sz w:val="22"/>
                      <w:szCs w:val="22"/>
                    </w:rPr>
                  </w:pPr>
                  <w:r>
                    <w:rPr>
                      <w:rStyle w:val="s1"/>
                      <w:b/>
                      <w:bCs/>
                      <w:kern w:val="0"/>
                      <w:sz w:val="22"/>
                      <w:szCs w:val="22"/>
                      <w:lang w:val="es-CR" w:bidi="ar-SA"/>
                    </w:rPr>
                    <w:t>N1:</w:t>
                  </w:r>
                  <w:r>
                    <w:rPr>
                      <w:b/>
                      <w:bCs/>
                      <w:kern w:val="0"/>
                      <w:sz w:val="22"/>
                      <w:szCs w:val="22"/>
                      <w:lang w:val="es-CR" w:bidi="ar-SA"/>
                    </w:rPr>
                    <w:t xml:space="preserve"> </w:t>
                  </w:r>
                  <w:r>
                    <w:rPr>
                      <w:b w:val="false"/>
                      <w:bCs w:val="false"/>
                      <w:kern w:val="0"/>
                      <w:sz w:val="22"/>
                      <w:szCs w:val="22"/>
                      <w:lang w:val="es-CR" w:bidi="ar-SA"/>
                    </w:rPr>
                    <w:t>Metástasis en ganglios regionales</w:t>
                  </w:r>
                  <w:r>
                    <w:rPr>
                      <w:b/>
                      <w:bCs/>
                      <w:kern w:val="0"/>
                      <w:sz w:val="22"/>
                      <w:szCs w:val="22"/>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3"/>
                    <w:widowControl/>
                    <w:spacing w:lineRule="auto" w:line="360" w:before="0" w:afterAutospacing="0" w:after="0"/>
                    <w:jc w:val="both"/>
                    <w:rPr>
                      <w:sz w:val="22"/>
                      <w:szCs w:val="22"/>
                    </w:rPr>
                  </w:pPr>
                  <w:r>
                    <w:rPr>
                      <w:rStyle w:val="s1"/>
                      <w:b/>
                      <w:bCs/>
                      <w:kern w:val="0"/>
                      <w:sz w:val="22"/>
                      <w:szCs w:val="22"/>
                      <w:lang w:val="es-CR" w:bidi="ar-SA"/>
                    </w:rPr>
                    <w:t>Clasificación M</w:t>
                  </w:r>
                  <w:r>
                    <w:rPr>
                      <w:b w:val="false"/>
                      <w:bCs w:val="false"/>
                      <w:kern w:val="0"/>
                      <w:sz w:val="22"/>
                      <w:szCs w:val="22"/>
                      <w:lang w:val="es-CR" w:bidi="ar-SA"/>
                    </w:rPr>
                    <w:t>:</w:t>
                  </w:r>
                </w:p>
              </w:tc>
            </w:tr>
            <w:tr>
              <w:trPr/>
              <w:tc>
                <w:tcPr>
                  <w:tcW w:w="8611"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13"/>
                    </w:numPr>
                    <w:spacing w:lineRule="auto" w:line="360" w:before="0" w:afterAutospacing="0" w:after="0"/>
                    <w:jc w:val="both"/>
                    <w:rPr>
                      <w:sz w:val="22"/>
                      <w:szCs w:val="22"/>
                    </w:rPr>
                  </w:pPr>
                  <w:r>
                    <w:rPr>
                      <w:rStyle w:val="s1"/>
                      <w:b/>
                      <w:bCs/>
                      <w:kern w:val="0"/>
                      <w:sz w:val="22"/>
                      <w:szCs w:val="22"/>
                      <w:lang w:val="es-CR" w:bidi="ar-SA"/>
                    </w:rPr>
                    <w:t>M0:</w:t>
                  </w:r>
                  <w:r>
                    <w:rPr>
                      <w:b/>
                      <w:bCs/>
                      <w:kern w:val="0"/>
                      <w:sz w:val="22"/>
                      <w:szCs w:val="22"/>
                      <w:lang w:val="es-CR" w:bidi="ar-SA"/>
                    </w:rPr>
                    <w:t xml:space="preserve"> </w:t>
                  </w:r>
                  <w:r>
                    <w:rPr>
                      <w:b w:val="false"/>
                      <w:bCs w:val="false"/>
                      <w:kern w:val="0"/>
                      <w:sz w:val="22"/>
                      <w:szCs w:val="22"/>
                      <w:lang w:val="es-CR" w:bidi="ar-SA"/>
                    </w:rPr>
                    <w:t>No metástasis a distancia</w:t>
                  </w:r>
                  <w:r>
                    <w:rPr>
                      <w:b/>
                      <w:bCs/>
                      <w:kern w:val="0"/>
                      <w:sz w:val="22"/>
                      <w:szCs w:val="22"/>
                      <w:lang w:val="es-CR" w:bidi="ar-SA"/>
                    </w:rPr>
                    <w:t>.</w:t>
                  </w:r>
                </w:p>
              </w:tc>
            </w:tr>
            <w:tr>
              <w:trPr>
                <w:cnfStyle w:val="000000100000" w:firstRow="0" w:lastRow="0" w:firstColumn="0" w:lastColumn="0" w:oddVBand="0" w:evenVBand="0" w:oddHBand="1" w:evenHBand="0" w:firstRowFirstColumn="0" w:firstRowLastColumn="0" w:lastRowFirstColumn="0" w:lastRowLastColumn="0"/>
              </w:trPr>
              <w:tc>
                <w:tcPr>
                  <w:tcW w:w="8611"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3"/>
                    </w:numPr>
                    <w:spacing w:lineRule="auto" w:line="360" w:before="0" w:afterAutospacing="0" w:after="0"/>
                    <w:jc w:val="both"/>
                    <w:rPr>
                      <w:sz w:val="22"/>
                      <w:szCs w:val="22"/>
                    </w:rPr>
                  </w:pPr>
                  <w:r>
                    <w:rPr>
                      <w:rStyle w:val="s1"/>
                      <w:b/>
                      <w:bCs/>
                      <w:kern w:val="0"/>
                      <w:sz w:val="22"/>
                      <w:szCs w:val="22"/>
                      <w:lang w:val="es-CR" w:bidi="ar-SA"/>
                    </w:rPr>
                    <w:t>M1</w:t>
                  </w:r>
                  <w:r>
                    <w:rPr>
                      <w:b/>
                      <w:bCs/>
                      <w:kern w:val="0"/>
                      <w:sz w:val="22"/>
                      <w:szCs w:val="22"/>
                      <w:lang w:val="es-CR" w:bidi="ar-SA"/>
                    </w:rPr>
                    <w:t xml:space="preserve">: </w:t>
                  </w:r>
                  <w:r>
                    <w:rPr>
                      <w:b w:val="false"/>
                      <w:bCs w:val="false"/>
                      <w:kern w:val="0"/>
                      <w:sz w:val="22"/>
                      <w:szCs w:val="22"/>
                      <w:lang w:val="es-CR" w:bidi="ar-SA"/>
                    </w:rPr>
                    <w:t>Metástasis a distancia (hepática, pulmonar, etc.).</w:t>
                  </w:r>
                </w:p>
              </w:tc>
            </w:tr>
          </w:tbl>
          <w:p>
            <w:pPr>
              <w:pStyle w:val="Normal"/>
              <w:widowControl/>
              <w:spacing w:lineRule="auto" w:line="360" w:before="0" w:after="0"/>
              <w:jc w:val="both"/>
              <w:rPr>
                <w:b/>
                <w:bCs/>
                <w:kern w:val="0"/>
                <w:lang w:val="es-CR" w:bidi="ar-SA"/>
              </w:rPr>
            </w:pPr>
            <w:r>
              <w:rPr>
                <w:b/>
                <w:bCs/>
                <w:kern w:val="0"/>
                <w:lang w:val="es-CR" w:bidi="ar-SA"/>
              </w:rPr>
            </w:r>
          </w:p>
        </w:tc>
      </w:tr>
    </w:tbl>
    <w:p>
      <w:pPr>
        <w:pStyle w:val="Normal"/>
        <w:rPr/>
      </w:pPr>
      <w:r>
        <w:rPr/>
      </w:r>
    </w:p>
    <w:p>
      <w:pPr>
        <w:pStyle w:val="Heading3"/>
        <w:numPr>
          <w:ilvl w:val="2"/>
          <w:numId w:val="68"/>
        </w:numPr>
        <w:rPr>
          <w:sz w:val="36"/>
        </w:rPr>
      </w:pPr>
      <w:bookmarkStart w:id="121" w:name="_Toc200580229"/>
      <w:bookmarkStart w:id="122" w:name="_Toc199584595"/>
      <w:r>
        <w:rPr/>
        <w:t>Patrón de diseminación del cáncer apendicular</w:t>
      </w:r>
      <w:bookmarkEnd w:id="121"/>
      <w:bookmarkEnd w:id="122"/>
    </w:p>
    <w:p>
      <w:pPr>
        <w:pStyle w:val="p1"/>
        <w:spacing w:lineRule="auto" w:line="360" w:before="280" w:after="280"/>
        <w:jc w:val="both"/>
        <w:rPr/>
      </w:pPr>
      <w:r>
        <w:rPr/>
        <w:t>El patrón de diseminación del cáncer apendicular varía significativamente según el tipo histológico, el grado de diferenciación, las características anatómicas particulares del apéndice, los eventos clínico-quirúrgicos como la perforación tumoral y la agresividad biológica del tumor</w:t>
      </w:r>
      <w:sdt>
        <w:sdtPr>
          <w:placeholder>
            <w:docPart w:val="DefaultPlaceholder_-1854013440"/>
          </w:placeholder>
          <w:tag w:val="MENDELEY_CITATION_v3_eyJjaXRhdGlvbklEIjoiTUVOREVMRVlfQ0lUQVRJT05fY2M0NjY5NTYtNGMyYS00NDBmLWIwNGQtZjYyZjllZjlmYjcw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1932935977"/>
        </w:sdtPr>
        <w:sdtContent>
          <w:r>
            <w:rPr/>
          </w:r>
          <w:r>
            <w:rPr>
              <w:color w:val="000000"/>
            </w:rPr>
            <w:t>(13)</w:t>
          </w:r>
        </w:sdtContent>
      </w:sdt>
      <w:r>
        <w:rPr/>
        <w:t xml:space="preserve">. </w:t>
      </w:r>
      <w:r>
        <w:rPr/>
        <w:t xml:space="preserve">La comprensión de los mecanismos de propagación tumoral es esencial no solo para la correcta estadificación, sino también para la planificación quirúrgica y la evaluación pronóstica de los pacientes. Los tipos de diseminación se dividen en peritoneal, linfática y hematógena. </w:t>
      </w:r>
    </w:p>
    <w:p>
      <w:pPr>
        <w:pStyle w:val="p1"/>
        <w:spacing w:lineRule="auto" w:line="360" w:before="280" w:after="280"/>
        <w:jc w:val="both"/>
        <w:rPr/>
      </w:pPr>
      <w:r>
        <w:rPr>
          <w:b/>
          <w:bCs/>
        </w:rPr>
        <w:t>Diseminación peritoneal</w:t>
      </w:r>
      <w:r>
        <w:rPr>
          <w:rStyle w:val="s1"/>
        </w:rPr>
        <w:t xml:space="preserve">: </w:t>
      </w:r>
      <w:r>
        <w:rPr/>
        <w:t>Es el patrón más característico, especialmente en los tumores mucinosos (LAMN, HAMN y adenocarcinomas mucinosos). La perforación del apéndice o la ruptura espontánea del tumor libera mucina y células neoplásicas a la cavidad peritoneal, promoviendo la implantación en superficies peritoneales. Esta diseminación puede manifestarse como mucina libre acelular (pseudomixoma peritonei de bajo grado) o implantes peritoneales neoplásicos celulares (pseudomixoma peritonei de alto grado). Es excepcional en los tumores neuroendocrinos bien diferenciados del apéndice.</w:t>
      </w:r>
    </w:p>
    <w:p>
      <w:pPr>
        <w:pStyle w:val="p3"/>
        <w:spacing w:lineRule="auto" w:line="360" w:before="280" w:after="280"/>
        <w:jc w:val="both"/>
        <w:rPr/>
      </w:pPr>
      <w:r>
        <w:rPr>
          <w:b/>
          <w:bCs/>
        </w:rPr>
        <w:t>Diseminación linfática</w:t>
      </w:r>
      <w:r>
        <w:rPr>
          <w:rStyle w:val="s1"/>
        </w:rPr>
        <w:t xml:space="preserve"> </w:t>
      </w:r>
      <w:r>
        <w:rPr/>
        <w:t xml:space="preserve">es relevante en los adenocarcinomas no mucinosos, en el cáncer de células caliciformes y, especialmente, en los tumores neuroendocrinos. La invasión de vasos linfáticos del mesoapéndice puede conducir a la afectación de ganglios linfáticos regionales, principalmente en el mesenterio cercano al apéndice </w:t>
      </w:r>
      <w:r>
        <w:rPr>
          <w:rFonts w:eastAsia="MS Mincho"/>
          <w:color w:val="000000"/>
        </w:rPr>
        <w:t>(27)</w:t>
      </w:r>
      <w:r>
        <w:rPr/>
        <w:t xml:space="preserve">. La presencia de metástasis ganglionares es un factor pronóstico adverso. </w:t>
      </w:r>
    </w:p>
    <w:p>
      <w:pPr>
        <w:pStyle w:val="p2"/>
        <w:spacing w:lineRule="auto" w:line="360" w:before="280" w:after="280"/>
        <w:jc w:val="both"/>
        <w:rPr/>
      </w:pPr>
      <w:r>
        <w:rPr>
          <w:b/>
          <w:bCs/>
        </w:rPr>
        <w:t xml:space="preserve">Diseminación hematógena </w:t>
      </w:r>
      <w:r>
        <w:rPr/>
        <w:t>es menos frecuente en comparación con otras vías. Cuando ocurre, suele afectar principalmente el hígado y, en menor medida, los pulmones. Es más habitual en adenocarcinomas no mucinosos de alto grado y en algunos cánceres de células caliciformes</w:t>
      </w:r>
      <w:r>
        <w:rPr>
          <w:color w:val="000000"/>
        </w:rPr>
        <w:t xml:space="preserve"> </w:t>
      </w:r>
      <w:r>
        <w:rPr>
          <w:rFonts w:eastAsia="MS Mincho"/>
          <w:color w:val="000000"/>
        </w:rPr>
        <w:t>(33)</w:t>
      </w:r>
      <w:r>
        <w:rPr/>
        <w:t>. En los TNE, cuando se presenta diseminación hematógena, también afecta principalmente el hígado. La metástasis hepática es más probable en tumores de mayor tamaño, grado G2 o G3, o en aquellos con metástasis ganglionares confirmadas</w:t>
      </w:r>
      <w:sdt>
        <w:sdtPr>
          <w:placeholder>
            <w:docPart w:val="61AC9410BE2661409631997F603FB21F"/>
          </w:placeholder>
          <w:tag w:val="MENDELEY_CITATION_v3_eyJjaXRhdGlvbklEIjoiTUVOREVMRVlfQ0lUQVRJT05fN2RkN2FmYzQtODI2Yi00N2Y2LWIxNzUtNjAyMzUxZTA4YzZhIiwicHJvcGVydGllcyI6eyJub3RlSW5kZXgiOjB9LCJpc0VkaXRlZCI6ZmFsc2UsIm1hbnVhbE92ZXJyaWRlIjp7ImlzTWFudWFsbHlPdmVycmlkZGVuIjpmYWxzZSwiY2l0ZXByb2NUZXh0IjoiKDIzKSIsIm1hbnVhbE92ZXJyaWRlVGV4dCI6IiJ9LCJjaXRhdGlvbkl0ZW1zIjpbeyJpZCI6ImJkN2RkYTk0LTNlMTEtMzIyMi1hNjI2LTcwY2VmZTQ5ZmU2ZSIsIml0ZW1EYXRhIjp7InR5cGUiOiJhcnRpY2xlLWpvdXJuYWwiLCJpZCI6ImJkN2RkYTk0LTNlMTEtMzIyMi1hNjI2LTcwY2VmZTQ5ZmU2ZSIsInRpdGxlIjoiQXBwZW5kaWNlYWwgTmV1cm9lbmRvY3JpbmUgTmVvcGxhc21zOiBBIENvbXByZWhlbnNpdmUgUmV2aWV3IiwiYXV0aG9yIjpbeyJmYW1pbHkiOiJQYWRtYW5hYmhhbiBOYWlyIFNvYmhhIiwiZ2l2ZW4iOiJSZW5qaXRoIiwicGFyc2UtbmFtZXMiOmZhbHNlLCJkcm9wcGluZy1wYXJ0aWNsZSI6IiIsIm5vbi1kcm9wcGluZy1wYXJ0aWNsZSI6IiJ9LHsiZmFtaWx5IjoiSmVuc2VuIiwiZ2l2ZW4iOiJDb3JleSBULiIsInBhcnNlLW5hbWVzIjpmYWxzZSwiZHJvcHBpbmctcGFydGljbGUiOiIiLCJub24tZHJvcHBpbmctcGFydGljbGUiOiIifSx7ImZhbWlseSI6IldhdGVycyIsImdpdmVuIjoiUmViZWNjYSIsInBhcnNlLW5hbWVzIjpmYWxzZSwiZHJvcHBpbmctcGFydGljbGUiOiIiLCJub24tZHJvcHBpbmctcGFydGljbGUiOiIifSx7ImZhbWlseSI6IkNhbGltYW5vLVJhbWlyZXoiLCJnaXZlbiI6Ikx1aXMgRmVybmFuZG8iLCJwYXJzZS1uYW1lcyI6ZmFsc2UsImRyb3BwaW5nLXBhcnRpY2xlIjoiIiwibm9uLWRyb3BwaW5nLXBhcnRpY2xlIjoiIn0seyJmYW1pbHkiOiJWaXJhcmthciIsImdpdmVuIjoiTWF5dXIgSy4iLCJwYXJzZS1uYW1lcyI6ZmFsc2UsImRyb3BwaW5nLXBhcnRpY2xlIjoiIiwibm9uLWRyb3BwaW5nLXBhcnRpY2xlIjoiIn1dLCJjb250YWluZXItdGl0bGUiOiJKb3VybmFsIG9mIGNvbXB1dGVyIGFzc2lzdGVkIHRvbW9ncmFwaHkiLCJjb250YWluZXItdGl0bGUtc2hvcnQiOiJKIENvbXB1dCBBc3Npc3QgVG9tb2dyIiwiRE9JIjoiMTAuMTA5Ny9SQ1QuMDAwMDAwMDAwMDAwMTUyOCIsIklTU04iOiIxNTMyLTMxNDUiLCJQTUlEIjoiMzc1NzQ2NTMiLCJpc3N1ZWQiOnsiZGF0ZS1wYXJ0cyI6W1syMDI0XV19LCJwYWdlIjoiNTQ1LTU2MiIsImFic3RyYWN0IjoiQXBwZW5kaWNlYWwgbmV1cm9lbmRvY3JpbmUgbmVvcGxhc20gKE5FTikgaXMgdGhlIG1vc3QgY29tbW9uIGFkdWx0IGFwcGVuZGljZWFsIG1hbGlnbmFudCB0dW1vciwgY29uc3RpdHV0aW5nIDE2JSBvZiBnYXN0cm9pbnRlc3RpbmFsIE5FTnMuIFRoZXkgYXJlIHZlcnNhdGlsZSB0dW1vcnMgd2l0aCB2YXJ5aW5nIG1vcnBob2xvZ3ksIGltbXVub2hpc3RvY2hlbWlzdHJ5LCBzZWNyZXRvcnkgcHJvcGVydGllcywgYW5kIGNhbmNlciBnZW5vbWljcy4gVGhleSBhcmUgc2xvdyBncm93aW5nIGFuZCBjbGluaWNhbGx5IHNpbGVudCwgdG8gYmVnaW4gd2l0aCwgb3IgcHJlc2VudCB3aXRoIGZlYXR1cmVzIG9mIG5vbnNwZWNpZmljIHZhZ3VlIGFiZG9taW5hbCBwYWluLiBNb3N0IGFjdXRlIHByZXNlbnRhdGlvbnMgYXJlIGF0dHJpYnV0ZWQgY2xpbmljYWxseSB0byBhcHBlbmRpY2l0aXMsIHdpdGggbW9zdCBjYXNlcyBkZXRlY3RlZCBpbmNpZGVudGFsbHkgb24gcGF0aG9sb2d5IGFmdGVyIGFuIGFwcGVuZGVjdG9teS4gQXBwcm94aW1hdGVseSA0MCUgb2YgdGhlbSBwcmVzZW50IGNsaW5pY2FsbHkgd2l0aCBmZWF0dXJlcyBvZiBob3Jtb25hbCBleGNlc3MsIHdoaWNoIGlzIGxpa2VuZWQgdG8gdGhlIGZ1bmN0aW9uYWwgc2VjcmV0b3J5IG5hdHVyZSBvZiB0aGVpciBwYXJlbnQgY2VsbCBvZiBvcmlnaW4uIFRoZSBzeW1wdG9tcyBvZiBjYXJjaW5vaWQgc3luZHJvbWUgcmVuZGVyIHRoZWlyIHByZXNlbmNlIGNsaW5pY2FsbHkgZXZpZGVudC4gSG93ZXZlciwgc2xvdyBncm93aW5nIGFuZCBzeW1wdG9tYXRpY2FsbHkgc2lsZW50IGluIGl0cyBpbml0aWFsIHN0YWdlcywgaGlnaC1ncmFkZSBuZXVyb2VuZG9jcmluZSB0dW1vcnMgYW5kIG5ldXJvZW5kb2NyaW5lIGNhcmNpbm9tYXMgb2YgdGhlIGFwcGVuZGl4IGFyZSBhZ2dyZXNzaXZlIGFuZCB1c3VhbGx5IGhhdmUgaGVwYXRpYyBhbmQgbHltcGggbm9kZSBtZXRhc3Rhc2lzIGF0IHByZXNlbnRhdGlvbi4gVGhpcyByZXZpZXcgYXJ0aWNsZSBmb2N1c2VzIG9uIGltYWdpbmcgY2hhcmFjdGVyaXN0aWNzLCBXb3JsZCBIZWFsdGggT3JnYW5pemF0aW9uIGhpc3RvcGF0aG9sb2dpY2FsIGNsYXNzaWZpY2F0aW9uIGFuZCBncmFkaW5nLCBBbWVyaWNhbiBKb2ludCBDb21taXR0ZWUgb24gQ2FuY2VyL1VuaW9uIG9yIEludGVybmF0aW9uYWwgQ2FuY2VyIENvbnRyb2wsIEV1cm9wZWFuIE5ldXJvZW5kb2NyaW5lIFR1bW9yIFNvY2lldHkgc3RhZ2luZywgRXVyb3BlYW4gTmV1cm9lbmRvY3JpbmUgVHVtb3IgU29jaWV0eSBzdGFuZGFyZGl6ZWQgZ3VpZGVsaW5lcyBmb3IgcmVwb3J0aW5nLCBkYXRhIGludGVycHJldGF0aW9uLCBlYXJseS1zdGFnZSBtYW5hZ2VtZW50IHByb3RvY29scywgYW5kIGFkdmFuY2VkLXN0YWdlIGFwcGVuZGljZWFsIE5FTnMuIEd1aWRlbGluZXMgYXJlIGFsc28gc2V0IGZvciB0aGUgZm9sbG93LXVwIGFuZCByZWFzc2Vzc21lbnQuIFRoZSByb2xlIG9mIHRhcmdldGVkIHJhZGlvdGhlcmFweSwgY2hlbW90aGVyYXB5LCBhbmQgaGlnaC1kb3NlIHNvbWF0b3N0YXRpbiBhbmFsb2dzIGluIHRyZWF0aW5nIGFkdmFuY2VkIGRpc2Vhc2UgYXJlIGRpc2N1c3NlZCwgYWxvbmcgd2l0aCB0eXBlcyBvZiBhYmxhdGl2ZSB0aGVyYXBpZXMgYW5kIGxpdmVyIHRyYW5zcGxhbnRhdGlvbiBmb3IgdHVtb3IgcmVjdXJyZW5jZS4gVGhlIHNlYXJjaCBmb3IgbmV3ZXIgbG9jYXRpb24tc3BlY2lmaWMgYmlvbWFya2VycyBpbiBORU4gaXMgYWxzbyBzdW1tYXJpemVkLiBSZWdhcmRpbmcgdGhlIHZhcnlpbmcgYWdncmVzc2l2ZW5lc3Mgb2YgdGhlIHR1bW9yLCB0aGVyZSBpcyBhIHNjb3BlIGZvciByZXNlYXJjaCBpbiB0aGUgZmllbGQsIHdpdGggcGxlbnR5IG9mIGRhdGEgeWV0IHRvIGJlIGRpc2NvdmVyZWQuIiwicHVibGlzaGVyIjoiSiBDb21wdXQgQXNzaXN0IFRvbW9nciIsImlzc3VlIjoiNCIsInZvbHVtZSI6IjQ4In0sImlzVGVtcG9yYXJ5IjpmYWxzZX1dfQ=="/>
          <w:id w:val="-1254661888"/>
        </w:sdtPr>
        <w:sdtContent>
          <w:r>
            <w:rPr/>
          </w:r>
          <w:r>
            <w:rPr>
              <w:color w:val="000000"/>
            </w:rPr>
            <w:t>(23)</w:t>
          </w:r>
        </w:sdtContent>
      </w:sdt>
      <w:r>
        <w:rPr/>
        <w:t>.</w:t>
      </w:r>
    </w:p>
    <w:p>
      <w:pPr>
        <w:pStyle w:val="Normal"/>
        <w:rPr/>
      </w:pPr>
      <w:r>
        <w:rPr/>
      </w:r>
    </w:p>
    <w:p>
      <w:pPr>
        <w:pStyle w:val="Heading3"/>
        <w:numPr>
          <w:ilvl w:val="2"/>
          <w:numId w:val="69"/>
        </w:numPr>
        <w:rPr>
          <w:sz w:val="36"/>
        </w:rPr>
      </w:pPr>
      <w:bookmarkStart w:id="123" w:name="_Toc199584596"/>
      <w:bookmarkStart w:id="124" w:name="_Toc200580230"/>
      <w:r>
        <w:rPr/>
        <w:t>Determinantes pronóstico del cáncer apendicular</w:t>
      </w:r>
      <w:bookmarkEnd w:id="123"/>
      <w:bookmarkEnd w:id="124"/>
    </w:p>
    <w:p>
      <w:pPr>
        <w:pStyle w:val="p3"/>
        <w:spacing w:lineRule="auto" w:line="360" w:before="280" w:after="280"/>
        <w:jc w:val="both"/>
        <w:rPr/>
      </w:pPr>
      <w:r>
        <w:rPr/>
        <w:t>El pronóstico del cáncer apendicular es extraordinariamente variable y depende de una compleja interacción entre factores histológicos, clínicos y moleculares. A diferencia de otros tumores del tracto gastrointestinal, cuya evolución puede predecirse con relativa precisión a partir del estadio TNM, las neoplasias apendiculares presentan una considerable heterogeneidad biológica, lo que requiere una evaluación pronóstica multifactorial</w:t>
      </w:r>
      <w:sdt>
        <w:sdtPr>
          <w:placeholder>
            <w:docPart w:val="DefaultPlaceholder_-1854013440"/>
          </w:placeholder>
          <w:tag w:val="MENDELEY_CITATION_v3_eyJjaXRhdGlvbklEIjoiTUVOREVMRVlfQ0lUQVRJT05fZDM2OWJmNTEtYTRjOC00ZmJlLWEyYjAtNDIxZDk5ZjliY2NlIiwicHJvcGVydGllcyI6eyJub3RlSW5kZXgiOjB9LCJpc0VkaXRlZCI6ZmFsc2UsIm1hbnVhbE92ZXJyaWRlIjp7ImlzTWFudWFsbHlPdmVycmlkZGVuIjpmYWxzZSwiY2l0ZXByb2NUZXh0IjoiKDYpIiwibWFudWFsT3ZlcnJpZGVUZXh0IjoiIn0sImNpdGF0aW9uSXRlbXMiOlt7ImlkIjoiYmZmZWMwZDYtMWE5ZS0zMjI1LWFlOWYtMTFlZjdjMmJlYzFhIiwiaXRlbURhdGEiOnsidHlwZSI6ImFydGljbGUtam91cm5hbCIsImlkIjoiYmZmZWMwZDYtMWE5ZS0zMjI1LWFlOWYtMTFlZjdjMmJlYzFhIiwidGl0bGUiOiJBcHBlbmRpY2VhbCBuZW9wbGFzbXMt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zdXJnaWNhbCBvbmNvbG9neSIsImNvbnRhaW5lci10aXRsZS1zaG9ydCI6IkogU3VyZyBPbmNvbCIsImFjY2Vzc2VkIjp7ImRhdGUtcGFydHMiOltbMjAyNSwzLDI5XV19LCJET0kiOiIxMC4xMDAyL0pTTy4yNzMwNCIsIklTU04iOiIxMDk2LTkwOTgiLCJQTUlEIjoiMzcyMjI2OTIiLCJVUkwiOiJodHRwczovL3B1Ym1lZC5uY2JpLm5sbS5uaWguZ292LzM3MjIyNjkyLyIsImlzc3VlZCI6eyJkYXRlLXBhcnRzIjpbWzIwMjMsNiwxNV1dfSwicGFnZSI6IjEzMDAtMTMwNSIsImFic3RyYWN0IjoiQXBwZW5kaWNlYWwgbmVvcGxhc21zIChBTnMpIGFyZSBhIGRpdmVyc2UgZ3JvdXAgb2YgcGF0aG9sb2dpZXMgdGhhdCByYW5nZSBmcm9tIGJlbmlnbiB0byBtYWxpZ25hbnQgd2l0aCB3aWRlbHkgdmFyeWluZyBwcm9nbm9zZXMuIFRoaXMgYXJ0aWNsZSBzZXJ2ZXMgYXMgYW4gb3ZlcnZpZXcgb2YgdGhlIHByYWN0aWNhbCBhcHByb2FjaCB0byBldmFsdWF0aW5nIGFuZCBtYW5hZ2luZyBhIHBhdGllbnQgd2l0aCBBTiBieSByZXZpZXdpbmcgdGhlIGN1cnJlbnQgbGl0ZXJhdHVyZSBhbmQgZ3VpZGVsaW5lcyB0byBwcm92aWRlIGEgZnJhbWV3b3JrIGZvciB0aGUgbWFuYWdlbWVudCBvZiB0aGVzZSBudWFuY2VkIHBhdGhvbG9naWVzLiIsInB1Ymxpc2hlciI6IkogU3VyZyBPbmNvbCIsImlzc3VlIjoiOCIsInZvbHVtZSI6IjEyNyJ9LCJpc1RlbXBvcmFyeSI6ZmFsc2V9XX0="/>
          <w:id w:val="1358009548"/>
        </w:sdtPr>
        <w:sdtContent>
          <w:r>
            <w:rPr/>
          </w:r>
          <w:r>
            <w:rPr>
              <w:rFonts w:eastAsia="MS Mincho" w:cs="MS Mincho" w:ascii="MS Mincho" w:hAnsi="MS Mincho"/>
              <w:color w:val="000000"/>
            </w:rPr>
            <w:t>(6)</w:t>
          </w:r>
        </w:sdtContent>
      </w:sdt>
    </w:p>
    <w:p>
      <w:pPr>
        <w:pStyle w:val="p3"/>
        <w:spacing w:lineRule="auto" w:line="360" w:before="280" w:after="280"/>
        <w:jc w:val="both"/>
        <w:rPr/>
      </w:pPr>
      <w:r>
        <w:rPr/>
        <w:t xml:space="preserve">Desde la práctica oncológica quirúrgica, la </w:t>
      </w:r>
      <w:r>
        <w:rPr>
          <w:b/>
        </w:rPr>
        <w:t>estratificación pronóstica precisa</w:t>
      </w:r>
      <w:r>
        <w:rPr/>
        <w:t xml:space="preserve"> es fundamental para definir el tipo y la extensión del tratamiento quirúrgico, determinar la necesidad de terapias adyuvantes o complementarias como la HIPEC, estimar la supervivencia global y libre de enfermedad, y seleccionar a los pacientes candidatos a seguimiento estrecho o vigilancia prolongada.</w:t>
      </w:r>
    </w:p>
    <w:p>
      <w:pPr>
        <w:pStyle w:val="p3"/>
        <w:spacing w:lineRule="auto" w:line="360" w:before="280" w:after="280"/>
        <w:jc w:val="both"/>
        <w:rPr/>
      </w:pPr>
      <w:r>
        <w:rPr/>
        <w:t>El análisis de grandes cohortes internacionales y registros institucionales ha permitido identificar múltiples factores pronósticos, que pueden agruparse en tres grandes categorías, las cuales se describen a continuación:</w:t>
      </w:r>
    </w:p>
    <w:p>
      <w:pPr>
        <w:pStyle w:val="p3"/>
        <w:spacing w:lineRule="auto" w:line="360" w:before="280" w:after="280"/>
        <w:jc w:val="both"/>
        <w:rPr>
          <w:rStyle w:val="s1"/>
        </w:rPr>
      </w:pPr>
      <w:r>
        <w:rPr>
          <w:b/>
          <w:bCs/>
        </w:rPr>
        <w:t>Los d</w:t>
      </w:r>
      <w:r>
        <w:rPr>
          <w:rStyle w:val="s2"/>
          <w:b/>
          <w:bCs/>
        </w:rPr>
        <w:t>eterminantes patológicos</w:t>
      </w:r>
      <w:r>
        <w:rPr/>
        <w:t xml:space="preserve"> constituyen el grupo de factores pronósticos más directamente vinculados a las características intrínsecas del tumor y su interacción anatómica con las estructuras adyacentes </w:t>
      </w:r>
      <w:sdt>
        <w:sdtPr>
          <w:placeholder>
            <w:docPart w:val="DefaultPlaceholder_-1854013440"/>
          </w:placeholder>
          <w:tag w:val="MENDELEY_CITATION_v3_eyJjaXRhdGlvbklEIjoiTUVOREVMRVlfQ0lUQVRJT05fMjczOGU2ODItNzgwNC00MzQ4LThmODgtZjFlOGQ2ZjQ3NmZiIiwicHJvcGVydGllcyI6eyJub3RlSW5kZXgiOjB9LCJpc0VkaXRlZCI6ZmFsc2UsIm1hbnVhbE92ZXJyaWRlIjp7ImlzTWFudWFsbHlPdmVycmlkZGVuIjpmYWxzZSwiY2l0ZXByb2NUZXh0IjoiKDYpIiwibWFudWFsT3ZlcnJpZGVUZXh0IjoiIn0sImNpdGF0aW9uSXRlbXMiOlt7ImlkIjoiYmZmZWMwZDYtMWE5ZS0zMjI1LWFlOWYtMTFlZjdjMmJlYzFhIiwiaXRlbURhdGEiOnsidHlwZSI6ImFydGljbGUtam91cm5hbCIsImlkIjoiYmZmZWMwZDYtMWE5ZS0zMjI1LWFlOWYtMTFlZjdjMmJlYzFhIiwidGl0bGUiOiJBcHBlbmRpY2VhbCBuZW9wbGFzbXMt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zdXJnaWNhbCBvbmNvbG9neSIsImNvbnRhaW5lci10aXRsZS1zaG9ydCI6IkogU3VyZyBPbmNvbCIsImFjY2Vzc2VkIjp7ImRhdGUtcGFydHMiOltbMjAyNSwzLDI5XV19LCJET0kiOiIxMC4xMDAyL0pTTy4yNzMwNCIsIklTU04iOiIxMDk2LTkwOTgiLCJQTUlEIjoiMzcyMjI2OTIiLCJVUkwiOiJodHRwczovL3B1Ym1lZC5uY2JpLm5sbS5uaWguZ292LzM3MjIyNjkyLyIsImlzc3VlZCI6eyJkYXRlLXBhcnRzIjpbWzIwMjMsNiwxNV1dfSwicGFnZSI6IjEzMDAtMTMwNSIsImFic3RyYWN0IjoiQXBwZW5kaWNlYWwgbmVvcGxhc21zIChBTnMpIGFyZSBhIGRpdmVyc2UgZ3JvdXAgb2YgcGF0aG9sb2dpZXMgdGhhdCByYW5nZSBmcm9tIGJlbmlnbiB0byBtYWxpZ25hbnQgd2l0aCB3aWRlbHkgdmFyeWluZyBwcm9nbm9zZXMuIFRoaXMgYXJ0aWNsZSBzZXJ2ZXMgYXMgYW4gb3ZlcnZpZXcgb2YgdGhlIHByYWN0aWNhbCBhcHByb2FjaCB0byBldmFsdWF0aW5nIGFuZCBtYW5hZ2luZyBhIHBhdGllbnQgd2l0aCBBTiBieSByZXZpZXdpbmcgdGhlIGN1cnJlbnQgbGl0ZXJhdHVyZSBhbmQgZ3VpZGVsaW5lcyB0byBwcm92aWRlIGEgZnJhbWV3b3JrIGZvciB0aGUgbWFuYWdlbWVudCBvZiB0aGVzZSBudWFuY2VkIHBhdGhvbG9naWVzLiIsInB1Ymxpc2hlciI6IkogU3VyZyBPbmNvbCIsImlzc3VlIjoiOCIsInZvbHVtZSI6IjEyNyJ9LCJpc1RlbXBvcmFyeSI6ZmFsc2V9XX0="/>
          <w:id w:val="1376979674"/>
        </w:sdtPr>
        <w:sdtContent>
          <w:r>
            <w:rPr/>
          </w:r>
          <w:r>
            <w:rPr>
              <w:color w:val="000000"/>
            </w:rPr>
            <w:t>(6)</w:t>
          </w:r>
        </w:sdtContent>
      </w:sdt>
      <w:r>
        <w:rPr/>
        <w:t xml:space="preserve">. La </w:t>
      </w:r>
      <w:r>
        <w:rPr/>
        <w:t xml:space="preserve">evaluación minuciosa de estos elementos proporciona información esencial para predecir la evolución clínica, determinar la necesidad de terapias complementarias y planificar el seguimiento postoperatorio. Entre los principales determinantes patológicos de relevancia en el cáncer apendicular se encuentran la extensión tumoral </w:t>
      </w:r>
      <w:sdt>
        <w:sdtPr>
          <w:placeholder>
            <w:docPart w:val="DefaultPlaceholder_-1854013440"/>
          </w:placeholder>
          <w:tag w:val="MENDELEY_CITATION_v3_eyJjaXRhdGlvbklEIjoiTUVOREVMRVlfQ0lUQVRJT05fNzJmNmZkZjQtNjE3MS00MmU3LWFmYjQtMzk4Y2JkODA3MTQ0IiwicHJvcGVydGllcyI6eyJub3RlSW5kZXgiOjB9LCJpc0VkaXRlZCI6ZmFsc2UsIm1hbnVhbE92ZXJyaWRlIjp7ImlzTWFudWFsbHlPdmVycmlkZGVuIjpmYWxzZSwiY2l0ZXByb2NUZXh0IjoiKDQwKSIsIm1hbnVhbE92ZXJyaWRlVGV4dCI6IiJ9LCJjaXRhdGlvbkl0ZW1zIjpbeyJpZCI6ImJiOGUwNTE0LWNlMjUtM2M3ZS1iZGMxLWYwMTYzMmNiMDA4ZSIsIml0ZW1EYXRhIjp7InR5cGUiOiJyZXBvcnQiLCJpZCI6ImJiOGUwNTE0LWNlMjUtM2M3ZS1iZGMxLWYwMTYzMmNiMDA4ZSIsInRpdGxlIjoiQUpDQyBBcHBlbmRpeCBWZXJzaW9uIDkgQ2FuY2VyIFN0YWdpbmcgU3lzdGVtIiwiYXV0aG9yIjpbeyJmYW1pbHkiOiJPdmVybWFuIiwiZ2l2ZW4iOiJNaWNoYWVsIiwicGFyc2UtbmFtZXMiOmZhbHNlLCJkcm9wcGluZy1wYXJ0aWNsZSI6IiIsIm5vbi1kcm9wcGluZy1wYXJ0aWNsZSI6IiJ9XSwiaXNzdWVkIjp7ImRhdGUtcGFydHMiOltbMjAyM11dfSwiY29udGFpbmVyLXRpdGxlLXNob3J0IjoiIn0sImlzVGVtcG9yYXJ5IjpmYWxzZX1dfQ=="/>
          <w:id w:val="1595287448"/>
        </w:sdtPr>
        <w:sdtContent>
          <w:r>
            <w:rPr/>
          </w:r>
          <w:r>
            <w:rPr>
              <w:color w:val="000000"/>
            </w:rPr>
            <w:t>(40)</w:t>
          </w:r>
        </w:sdtContent>
      </w:sdt>
      <w:r>
        <w:rPr/>
        <w:t xml:space="preserve">, </w:t>
      </w:r>
      <w:r>
        <w:rPr/>
        <w:t xml:space="preserve">el tumor residual, el margen circunferencial apropiado, la invasión del mesoapéndice, el compromiso ganglionar regional </w:t>
      </w:r>
      <w:sdt>
        <w:sdtPr>
          <w:placeholder>
            <w:docPart w:val="DefaultPlaceholder_-1854013440"/>
          </w:placeholder>
          <w:tag w:val="MENDELEY_CITATION_v3_eyJjaXRhdGlvbklEIjoiTUVOREVMRVlfQ0lUQVRJT05fMjc5ZTlhNjYtMjZmNy00Yjg3LThjZDYtY2ZhNDZiMjZkMmVhIiwicHJvcGVydGllcyI6eyJub3RlSW5kZXgiOjB9LCJpc0VkaXRlZCI6ZmFsc2UsIm1hbnVhbE92ZXJyaWRlIjp7ImlzTWFudWFsbHlPdmVycmlkZGVuIjpmYWxzZSwiY2l0ZXByb2NUZXh0IjoiKDQxKSIsIm1hbnVhbE92ZXJyaWRlVGV4dCI6IiJ9LCJjaXRhdGlvbkl0ZW1zIjpbeyJpZCI6ImM5N2NlMjg4LThhMGMtMzliMy05NTU3LWE1Y2RlMDgwYzdmNCIsIml0ZW1EYXRhIjp7InR5cGUiOiJhcnRpY2xlLWpvdXJuYWwiLCJpZCI6ImM5N2NlMjg4LThhMGMtMzliMy05NTU3LWE1Y2RlMDgwYzdmNCIsInRpdGxlIjoiQ2xpbmljYWwgU2lnbmlmaWNhbmNlIG9mIEx5bXBoIE5vZGUgRGlzc2VjdGlvbiBhbmQgTHltcGggTm9kZSBNZXRhc3Rhc2lzIGluIFByaW1hcnkgQXBwZW5kaWNlYWwgVHVtb3IgUGF0aWVudHMgQWZ0ZXIgQ3VyYXRpdmUgUmVzZWN0aW9uOiBhIFJldHJvc3BlY3RpdmUgTXVsdGljZW50ZXIgQ29ob3J0IFN0dWR5IiwiYXV0aG9yIjpbeyJmYW1pbHkiOiJUYWtleWFtYSIsImdpdmVuIjoiSGlyb3NoaSIsInBhcnNlLW5hbWVzIjpmYWxzZSwiZHJvcHBpbmctcGFydGljbGUiOiIiLCJub24tZHJvcHBpbmctcGFydGljbGUiOiIifSx7ImZhbWlseSI6Ik11cmF0YSIsImdpdmVuIjoiS29oZWkiLCJwYXJzZS1uYW1lcyI6ZmFsc2UsImRyb3BwaW5nLXBhcnRpY2xlIjoiIiwibm9uLWRyb3BwaW5nLXBhcnRpY2xlIjoiIn0seyJmYW1pbHkiOiJUYWtlZGEiLCJnaXZlbiI6IlRha2FzaGkiLCJwYXJzZS1uYW1lcyI6ZmFsc2UsImRyb3BwaW5nLXBhcnRpY2xlIjoiIiwibm9uLWRyb3BwaW5nLXBhcnRpY2xlIjoiIn0seyJmYW1pbHkiOiJGdWppaSIsImdpdmVuIjoiTWFrb3RvIiwicGFyc2UtbmFtZXMiOmZhbHNlLCJkcm9wcGluZy1wYXJ0aWNsZSI6IiIsIm5vbi1kcm9wcGluZy1wYXJ0aWNsZSI6IiJ9LHsiZmFtaWx5IjoiS2FnYXdhIiwiZ2l2ZW4iOiJZb3NoaW5vcmkiLCJwYXJzZS1uYW1lcyI6ZmFsc2UsImRyb3BwaW5nLXBhcnRpY2xlIjoiIiwibm9uLWRyb3BwaW5nLXBhcnRpY2xlIjoiIn0seyJmYW1pbHkiOiJLYXdhY2hpIiwiZ2l2ZW4iOiJIaXJvc2hpIiwicGFyc2UtbmFtZXMiOmZhbHNlLCJkcm9wcGluZy1wYXJ0aWNsZSI6IiIsIm5vbi1kcm9wcGluZy1wYXJ0aWNsZSI6IiJ9LHsiZmFtaWx5IjoiWWFtYWd1Y2hpIiwiZ2l2ZW4iOiJUYXRzdXJvIiwicGFyc2UtbmFtZXMiOmZhbHNlLCJkcm9wcGluZy1wYXJ0aWNsZSI6IiIsIm5vbi1kcm9wcGluZy1wYXJ0aWNsZSI6IiJ9LHsiZmFtaWx5IjoiTm91cmEiLCJnaXZlbiI6IlNoaW5nbyIsInBhcnNlLW5hbWVzIjpmYWxzZSwiZHJvcHBpbmctcGFydGljbGUiOiIiLCJub24tZHJvcHBpbmctcGFydGljbGUiOiIifSx7ImZhbWlseSI6Ik1hc3Vpc2hpIiwiZ2l2ZW4iOiJUb3NoaWtpIiwicGFyc2UtbmFtZXMiOmZhbHNlLCJkcm9wcGluZy1wYXJ0aWNsZSI6IiIsIm5vbi1kcm9wcGluZy1wYXJ0aWNsZSI6IiJ9LHsiZmFtaWx5IjoiSW5vdWUiLCJnaXZlbiI6IkFraXJhIiwicGFyc2UtbmFtZXMiOmZhbHNlLCJkcm9wcGluZy1wYXJ0aWNsZSI6IiIsIm5vbi1kcm9wcGluZy1wYXJ0aWNsZSI6IiJ9LHsiZmFtaWx5IjoiVGFraWkiLCJnaXZlbiI6Illhc3VtYXNhIiwicGFyc2UtbmFtZXMiOmZhbHNlLCJkcm9wcGluZy1wYXJ0aWNsZSI6IiIsIm5vbi1kcm9wcGluZy1wYXJ0aWNsZSI6IiJ9LHsiZmFtaWx5IjoiU3V0byIsImdpdmVuIjoiVGFrZXNoaSIsInBhcnNlLW5hbWVzIjpmYWxzZSwiZHJvcHBpbmctcGFydGljbGUiOiIiLCJub24tZHJvcHBpbmctcGFydGljbGUiOiIifSx7ImZhbWlseSI6IlNha2Ftb3RvIiwiZ2l2ZW4iOiJLYXp1aGlybyIsInBhcnNlLW5hbWVzIjpmYWxzZSwiZHJvcHBpbmctcGFydGljbGUiOiIiLCJub24tZHJvcHBpbmctcGFydGljbGUiOiIifSx7ImZhbWlseSI6IlRlaSIsImdpdmVuIjoiTWl0c3V5b3NoaSIsInBhcnNlLW5hbWVzIjpmYWxzZSwiZHJvcHBpbmctcGFydGljbGUiOiIiLCJub24tZHJvcHBpbmctcGFydGljbGUiOiIifSx7ImZhbWlseSI6Iktpc2hpbW90byIsImdpdmVuIjoiTWl0c3VvIiwicGFyc2UtbmFtZXMiOmZhbHNlLCJkcm9wcGluZy1wYXJ0aWNsZSI6IiIsIm5vbi1kcm9wcGluZy1wYXJ0aWNsZSI6IiJ9LHsiZmFtaWx5IjoiWWFvIiwiZ2l2ZW4iOiJUYWthc2hpIiwicGFyc2UtbmFtZXMiOmZhbHNlLCJkcm9wcGluZy1wYXJ0aWNsZSI6IiIsIm5vbi1kcm9wcGluZy1wYXJ0aWNsZSI6IiJ9LHsiZmFtaWx5IjoiU3VnaWhhcmEiLCJnaXZlbiI6IktlbmljaGkiLCJwYXJzZS1uYW1lcyI6ZmFsc2UsImRyb3BwaW5nLXBhcnRpY2xlIjoiIiwibm9uLWRyb3BwaW5nLXBhcnRpY2xlIjoiIn1dLCJjb250YWluZXItdGl0bGUiOiJKb3VybmFsIG9mIGdhc3Ryb2ludGVzdGluYWwgc3VyZ2VyeSA6IG9mZmljaWFsIGpvdXJuYWwgb2YgdGhlIFNvY2lldHkgZm9yIFN1cmdlcnkgb2YgdGhlIEFsaW1lbnRhcnkgVHJhY3QiLCJjb250YWluZXItdGl0bGUtc2hvcnQiOiJKIEdhc3Ryb2ludGVzdCBTdXJnIiwiRE9JIjoiMTAuMTAwNy9TMTE2MDUtMDIxLTA1MDcwLTYiLCJJU1NOIjoiMTg3My00NjI2IiwiUE1JRCI6IjM0MjU1MjkzIiwiaXNzdWVkIjp7ImRhdGUtcGFydHMiOltbMjAyMl1dfSwicGFnZSI6IjEyOC0xNDAiLCJhYnN0cmFjdCI6IlB1cnBvc2U6IER1ZSB0byBpdHMgcmFyaXR5IGFuZCBiaW9sb2dpY2FsIGhldGVyb2dlbmVpdHksIGd1aWRlbGluZXMgZm9yIHByaW1hcnkgYXBwZW5kaWNlYWwgdHVtb3IgKFBBVCkgYXJlIGJhc2VkIG9uIHNjYXJjZSBldmlkZW5jZSwgcmVzdWx0aW5nIGluIG5vIHN0cm9uZyByZWNvbW1lbmRhdGlvbnMuIFRoZSBwcmVzZW50IHN0dWR5IGV4cGxvcmVkIHByb2dub3Npcy1yZWxhdGVkIGZhY3RvcnMsIGluY2x1ZGluZyB0aGUgdGltaW5nIG9mIGx5bXBoIG5vZGUgZGlzc2VjdGlvbiAoTE5EKSwgaW4gUEFUIHBhdGllbnRzIGFmdGVyIGN1cmF0aXZlIHJlc2VjdGlvbiAoQ1IpIHRvIGRldGVybWluZSB0aGUgb3B0aW1hbCBzdXJnaWNhbCB0aGVyYXBpZXMuIE1ldGhvZHM6IFdlIHJldHJvc3BlY3RpdmVseSBjb2xsZWN0ZWQgYW5kIGFuYWx5emVkIGRhdGEgZnJvbSA0MDQgcGF0aWVudHMgd2l0aCBQQVRzIHdobyB1bmRlcndlbnQgQ1IgYXQgNDMgdGVydGlhcnkgaG9zcGl0YWxzIGZyb20gMjAwMCB0byAyMDE3LiBUaGlzIG1hbnVzY3JpcHQgaXMgYmFzZWQgb24gcmV2aXNlZCBtYW51c2NyaXB0IGR1cmluZyByZXZpZXcgcHJvY2Vzcy4gUGxlYXNlLCBjaGFuZ2UgdGhlIGJvbGQgY2hhcmFjdGVycyB0byBub3JtYWwgY2hhcmFjdGVycyBpbiB0aGUgbWFudXNjcmlwdC4gUmVzdWx0czogQWZ0ZXIgcHJvcGVuc2l0eSBzY29yZSBtYXRjaGluZywgdGhlcmUgd2VyZSBubyBtYXJrZWQgZGlmZmVyZW5jZXMgaW4gdGhlIHJlY3VycmVuY2UtZnJlZSBzdXJ2aXZhbCAoUkZTKSBvciBvdmVyYWxsIHN1cnZpdmFsIChPUykgYmV0d2VlbiB0aGUgcHJpbWFyeSBhbmQgc2Vjb25kYXJ5IExORCBncm91cHMgKFAgPSAwLjk5MyBhbmQgMC43MjgpLiBBIG11bHRpdmFyaWF0ZSBhbmFseXNpcyBzaG93ZWQgdGhhdCBseW1waCBub2RlIG1ldGFzdGFzaXMgKExOTSkgd2FzIGFuIGluZGVwZW5kZW50IGZhY3RvciBmb3IgdGhlIFJGUyAoaGF6YXJkIHJhdGlvIFtIUl0gMi41OTsgOTUlIGNvbmZpZGVuY2UgaW50ZXJ2YWwgW0NJXSAxLjA54oCTNi4xMzsgUCA9IDAuMDMxKSBhbmQgT1MgKEhSIDQuNzA7IDk1JSBDSSAxLjQw4oCTMTUuNzY7IFAgPSAwLjAxMikuIFRoZXJlIHdlcmUgc2lnbmlmaWNhbnQgYXNzb2NpYXRpb25zIGJldHdlZW4gdGhlIExOTSByYXRlcyBhbmQgdHVtb3IgZGVwdGggKFAgPCAwLjAwMDEpIGFuZCB0aGUgaGlzdG9sb2dpY2FsIHR5cGUgKFAgPSAwLjAwNikuIFRoZXJlIHdhcyBubyBMTk0gaW4gcGF0aWVudHMgd2l0aCBsb3ctZ3JhZGUgYXBwZW5kaWNlYWwgbXVjaW5vdXMgbmVvcGxhc20gKExBTU4pIG9yIHdlbGwtZGlmZmVyZW50aWF0ZWQgbXVjaW5vdXMgYWRlbm9jYXJjaW5vbWEgKEcxKSBvciBwYXRpZW50cyB3aXRoIGFueSBUaXMgb3IgVDEgUEFUcy4gQ29uY2x1c2lvbnM6IExOTSB3YXMgYW4gaW5kZXBlbmRlbnQgcHJvZ25vc3RpYyBwcmVkaWN0b3IgaW4gUEFUcyBhZnRlciBDUiB3aXRoIExORC4gVHVtb3IgZGVwdGggYW5kIGhpc3RvbG9naWNhbCB0eXBlIHdlcmUgbm90IHByb2dub3N0aWMgcHJlZGljdG9ycyBidXQgd2VyZSBMTk0gcHJlZGljdG9ycy4gU2Vjb25kYXJ5IExORCBiYXNlZCBvbiB0aGUgcGF0aG9sb2dpY2FsIGZpbmRpbmdzIG9mIHJlc2VjdGVkIHNwZWNpbWVucyBpcyBjb25zaWRlcmVkIGFuIGFjY2VwdGFibGUgc3VyZ2ljYWwgbWFuYWdlbWVudCB3aXRob3V0IGEgd29yc2UgcHJvZ25vc2lzIHRoYW4gcHJpbWFyeSBMTkQsIGFuZCBpdCBtYXkgYmUgb21pdHRlZCBpbiBMQU1OK0cxIG9yIGluIGFueSBUaXMgYW5kIFQxIFBBVHMuIiwicHVibGlzaGVyIjoiSiBHYXN0cm9pbnRlc3QgU3VyZyIsImlzc3VlIjoiMSIsInZvbHVtZSI6IjI2In0sImlzVGVtcG9yYXJ5IjpmYWxzZX1dfQ=="/>
          <w:id w:val="959847568"/>
        </w:sdtPr>
        <w:sdtContent>
          <w:r>
            <w:rPr/>
          </w:r>
          <w:r>
            <w:rPr>
              <w:color w:val="000000"/>
            </w:rPr>
            <w:t>(41)</w:t>
          </w:r>
        </w:sdtContent>
      </w:sdt>
      <w:r>
        <w:rPr/>
        <w:t xml:space="preserve">, </w:t>
      </w:r>
      <w:r>
        <w:rPr/>
        <w:t>así como la invasión linfovascular, perineural y la localización del tumor.</w:t>
      </w:r>
    </w:p>
    <w:p>
      <w:pPr>
        <w:pStyle w:val="p3"/>
        <w:spacing w:lineRule="auto" w:line="360" w:before="280" w:after="280"/>
        <w:jc w:val="both"/>
        <w:rPr>
          <w:color w:val="000000"/>
        </w:rPr>
      </w:pPr>
      <w:r>
        <w:rPr>
          <w:rStyle w:val="s2"/>
        </w:rPr>
        <w:t xml:space="preserve">Al </w:t>
      </w:r>
      <w:r>
        <w:rPr/>
        <w:t>valorar los determinantes clínicos, se consideran variables que reflejan el estado general del paciente y la interacción dinámica entre huésped y enfermedad</w:t>
      </w:r>
      <w:sdt>
        <w:sdtPr>
          <w:placeholder>
            <w:docPart w:val="DefaultPlaceholder_-1854013440"/>
          </w:placeholder>
          <w:tag w:val="MENDELEY_CITATION_v3_eyJjaXRhdGlvbklEIjoiTUVOREVMRVlfQ0lUQVRJT05fZjFkN2E4MzUtMWNlZi00YzEwLWJlMWYtNTRjYzlhMWQ4YTQ5IiwicHJvcGVydGllcyI6eyJub3RlSW5kZXgiOjB9LCJpc0VkaXRlZCI6ZmFsc2UsIm1hbnVhbE92ZXJyaWRlIjp7ImlzTWFudWFsbHlPdmVycmlkZGVuIjpmYWxzZSwiY2l0ZXByb2NUZXh0IjoiKDEzKSIsIm1hbnVhbE92ZXJyaWRlVGV4dCI6IiJ9LCJjaXRhdGlvbkl0ZW1zIjpbeyJpZCI6IjMyZmQ4YjUyLTc5NWItM2E2ZC1iNjA1LTM3ZDlhOTVhZmVhMCIsIml0ZW1EYXRhIjp7InR5cGUiOiJhcnRpY2xlLWpvdXJuYWwiLCJpZCI6IjMyZmQ4YjUyLTc5NWItM2E2ZC1iNjA1LTM3ZDlhOTVhZmVhMCIsInRpdGxlIjoiQXBwZW5kaWNlYWwgbmVvcGxhc21z4oCU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TdXJnaWNhbCBPbmNvbG9neSIsImlzc3VlZCI6eyJkYXRlLXBhcnRzIjpbWzIwMjNdXX0sInBhZ2UiOiIxMzAwLTEzMDUiLCJhYnN0cmFjdCI6IkFwcGVuZGljZWFsIG5lb3BsYXNtcyAoQU5zKSBhcmUgYSBkaXZlcnNlIGdyb3VwIG9mIHBhdGhvbG9naWVzIHRoYXQgcmFuZ2UgZnJvbSBiZW5pZ24gdG8gbWFsaWduYW50IHdpdGggd2lkZWx5IHZhcnlpbmcgcHJvZ25vc2VzLiBUaGlzIGFydGljbGUgc2VydmVzIGFzIGFuIG92ZXJ2aWV3IG9mIHRoZSBwcmFjdGljYWwgYXBwcm9hY2ggdG8gZXZhbHVhdGluZyBhbmQgbWFuYWdpbmcgYSBwYXRpZW50IHdpdGggQU4gYnkgcmV2aWV3aW5nIHRoZSBjdXJyZW50IGxpdGVyYXR1cmUgYW5kIGd1aWRlbGluZXMgdG8gcHJvdmlkZSBhIGZyYW1ld29yayBmb3IgdGhlIG1hbmFnZW1lbnQgb2YgdGhlc2UgbnVhbmNlZCBwYXRob2xvZ2llcy4iLCJwdWJsaXNoZXIiOiJKb2huIFdpbGV5IGFuZCBTb25zIEluYyIsImlzc3VlIjoiOCIsInZvbHVtZSI6IjEyNyIsImNvbnRhaW5lci10aXRsZS1zaG9ydCI6IkogU3VyZyBPbmNvbCJ9LCJpc1RlbXBvcmFyeSI6ZmFsc2V9XX0="/>
          <w:id w:val="1299179577"/>
        </w:sdtPr>
        <w:sdtContent>
          <w:r>
            <w:rPr/>
          </w:r>
          <w:r>
            <w:rPr>
              <w:color w:val="000000"/>
            </w:rPr>
            <w:t>(13)</w:t>
          </w:r>
        </w:sdtContent>
      </w:sdt>
    </w:p>
    <w:p>
      <w:pPr>
        <w:pStyle w:val="p3"/>
        <w:spacing w:lineRule="auto" w:line="360" w:before="280" w:after="280"/>
        <w:jc w:val="both"/>
        <w:rPr/>
      </w:pPr>
      <w:r>
        <w:rPr/>
        <w:t>Edad: estudios poblacionales han demostrado que los pacientes diagnosticados a edades más avanzadas tienden a presentar tumores con mayor agresividad histológica y, en consecuencia, peores resultados oncológicos (3). Además, la edad avanzada puede limitar las opciones terapéuticas, tanto quirúrgicas como sistémicas, debido a la menor reserva fisiológica y a la mayor prevalencia de comorbilidades.</w:t>
      </w:r>
    </w:p>
    <w:p>
      <w:pPr>
        <w:pStyle w:val="p3"/>
        <w:spacing w:lineRule="auto" w:line="360" w:before="280" w:after="280"/>
        <w:jc w:val="both"/>
        <w:rPr/>
      </w:pPr>
      <w:r>
        <w:rPr/>
        <w:t xml:space="preserve">Sexo: Aunque el sexo no parece ser un determinante pronóstico relevante por sí mismo, ciertos subtipos histológicos muestran una distribución desigual entre hombres y mujeres. </w:t>
      </w:r>
    </w:p>
    <w:p>
      <w:pPr>
        <w:pStyle w:val="p3"/>
        <w:spacing w:lineRule="auto" w:line="360" w:before="280" w:after="280"/>
        <w:jc w:val="both"/>
        <w:rPr/>
      </w:pPr>
      <w:r>
        <w:rPr/>
        <w:t>Estado funcional: evaluado habitualmente mediante escalas como el ECOG Performance Status o el Índice de Karnofsky, constituye un fuerte predictor de tolerancia al tratamiento y de resultados postoperatorios (9). Los pacientes con buen estado funcional (ECOG 0-1) toleran mejor cirugías extensas, como la citorreducción completa y la HIPEC, y presentan mejores tasas de supervivencia global y libre de enfermedad.</w:t>
      </w:r>
    </w:p>
    <w:p>
      <w:pPr>
        <w:pStyle w:val="Heading3"/>
        <w:numPr>
          <w:ilvl w:val="2"/>
          <w:numId w:val="70"/>
        </w:numPr>
        <w:rPr>
          <w:sz w:val="36"/>
        </w:rPr>
      </w:pPr>
      <w:bookmarkStart w:id="125" w:name="_Toc200580232"/>
      <w:bookmarkStart w:id="126" w:name="_Toc199584597"/>
      <w:bookmarkStart w:id="127" w:name="_Toc200580231"/>
      <w:bookmarkEnd w:id="127"/>
      <w:r>
        <w:rPr/>
        <w:t>Tamizaje de cáncer apendicular</w:t>
      </w:r>
      <w:bookmarkEnd w:id="125"/>
      <w:bookmarkEnd w:id="126"/>
    </w:p>
    <w:p>
      <w:pPr>
        <w:pStyle w:val="p1"/>
        <w:spacing w:lineRule="auto" w:line="360" w:before="280" w:after="280"/>
        <w:jc w:val="both"/>
        <w:rPr/>
      </w:pPr>
      <w:r>
        <w:rPr/>
        <w:t>No existe un programa de tamizaje específico, ni a nivel nacional institucional en la CCSS ni a nivel internacional. De acuerdo con los principios establecidos por la OMS para programas de cribado, una enfermedad debe cumplir ciertos criterios para justificar la implementación de un tamizaje sistemático. En el caso del cáncer apendicular, estas condiciones no se cumplen por las siguientes razones:</w:t>
      </w:r>
    </w:p>
    <w:p>
      <w:pPr>
        <w:pStyle w:val="p1"/>
        <w:spacing w:lineRule="auto" w:line="360" w:before="280" w:after="280"/>
        <w:jc w:val="both"/>
        <w:rPr/>
      </w:pPr>
      <w:r>
        <w:rPr>
          <w:rStyle w:val="s1"/>
          <w:b/>
          <w:bCs/>
        </w:rPr>
        <w:t>Baja incidencia global</w:t>
      </w:r>
      <w:r>
        <w:rPr/>
        <w:t>: con tasas estimadas entre 0.12 y 2 casos por cada 100,000 habitantes por año, limita la rentabilidad de cualquier estrategia de detección en grandes poblaciones</w:t>
      </w:r>
      <w:sdt>
        <w:sdtPr>
          <w:placeholder>
            <w:docPart w:val="E75642A32CB27044A8A8B94054B9ECCD"/>
          </w:placeholder>
          <w:tag w:val="MENDELEY_CITATION_v3_eyJjaXRhdGlvbklEIjoiTUVOREVMRVlfQ0lUQVRJT05fY2VkZmE1YzAtY2MwZi00Njc3LWFjOGUtNTdjYmZiMjM2ZjJiIiwicHJvcGVydGllcyI6eyJub3RlSW5kZXgiOjB9LCJpc0VkaXRlZCI6ZmFsc2UsIm1hbnVhbE92ZXJyaWRlIjp7ImlzTWFudWFsbHlPdmVycmlkZGVuIjpmYWxzZSwiY2l0ZXByb2NUZXh0IjoiKDQyKSIsIm1hbnVhbE92ZXJyaWRlVGV4dCI6IiJ9LCJjaXRhdGlvbkl0ZW1zIjpbeyJpZCI6IjRmM2NhYjJmLWI4MDktM2Q0YS1iOWRmLWNjNjM2OWQ0OWYxYyIsIml0ZW1EYXRhIjp7InR5cGUiOiJhcnRpY2xlLWpvdXJuYWwiLCJpZCI6IjRmM2NhYjJmLWI4MDktM2Q0YS1iOWRmLWNjNjM2OWQ0OWYxYyIsInRpdGxlIjoiVGVtcG9yYWwgdHJlbmRzIGluIGluY2lkZW5jZSwgZXZhbHVhdGlvbiBhbmQgbWFuYWdlbWVudCBvZiBuZXVyb2VuZG9jcmluZSBuZW9wbGFzbXMgb2YgdGhlIGFwcGVuZGl4OiAxNCB5ZWFycycgZXhwZXJpZW5jZSIsImF1dGhvciI6W3siZmFtaWx5IjoiVHdpdG8iLCJnaXZlbiI6Ik9yaXQiLCJwYXJzZS1uYW1lcyI6ZmFsc2UsImRyb3BwaW5nLXBhcnRpY2xlIjoiIiwibm9uLWRyb3BwaW5nLXBhcnRpY2xlIjoiIn0seyJmYW1pbHkiOiJQYXJhbiIsImdpdmVuIjoiSGFpbSIsInBhcnNlLW5hbWVzIjpmYWxzZSwiZHJvcHBpbmctcGFydGljbGUiOiIiLCJub24tZHJvcHBpbmctcGFydGljbGUiOiIifSx7ImZhbWlseSI6IkF2aXRhbCIsImdpdmVuIjoiU2htdWVsIiwicGFyc2UtbmFtZXMiOmZhbHNlLCJkcm9wcGluZy1wYXJ0aWNsZSI6IiIsIm5vbi1kcm9wcGluZy1wYXJ0aWNsZSI6IiJ9LHsiZmFtaWx5IjoiS3JhdnRzb3YiLCJnaXZlbiI6IlZsYWRpbWlyIiwicGFyc2UtbmFtZXMiOmZhbHNlLCJkcm9wcGluZy1wYXJ0aWNsZSI6IiIsIm5vbi1kcm9wcGluZy1wYXJ0aWNsZSI6IiJ9LHsiZmFtaWx5IjoiUm9zZW5ibHVtIiwiZ2l2ZW4iOiJSYWNoZWwgQ2hhdmEiLCJwYXJzZS1uYW1lcyI6ZmFsc2UsImRyb3BwaW5nLXBhcnRpY2xlIjoiIiwibm9uLWRyb3BwaW5nLXBhcnRpY2xlIjoiIn0seyJmYW1pbHkiOiJSb3RtYW4tUGlraWVsbnkiLCJnaXZlbiI6IlBuaW5hIiwicGFyc2UtbmFtZXMiOmZhbHNlLCJkcm9wcGluZy1wYXJ0aWNsZSI6IiIsIm5vbi1kcm9wcGluZy1wYXJ0aWNsZSI6IiJ9LHsiZmFtaWx5IjoiS2xlaW4iLCJnaXZlbiI6Ik5vYSIsInBhcnNlLW5hbWVzIjpmYWxzZSwiZHJvcHBpbmctcGFydGljbGUiOiIiLCJub24tZHJvcHBpbmctcGFydGljbGUiOiIifV0sImNvbnRhaW5lci10aXRsZSI6IkFtZXJpY2FuIGpvdXJuYWwgb2Ygc3VyZ2VyeSIsImNvbnRhaW5lci10aXRsZS1zaG9ydCI6IkFtIEogU3VyZyIsIkRPSSI6IjEwLjEwMTYvSi5BTUpTVVJHLjIwMjAuMDkuMDIxIiwiSVNTTiI6IjE4NzktMTg4MyIsIlBNSUQiOiIzMzAwNDE0MiIsImlzc3VlZCI6eyJkYXRlLXBhcnRzIjpbWzIwMjFdXX0sInBhZ2UiOiIxMDAwLTEwMDQiLCJhYnN0cmFjdCI6IkJhY2tncm91bmQ6IEluZm9ybWF0aW9uIHJlZ2FyZGluZyB0ZW1wb3JhbCB0cmVuZHMgaW4gYXBwZW5kaWNlYWwgbmV1cm9lbmRvY3JpbmUgbmVvcGxhc21zIChBTkVOKSBpcyBsaW1pdGVkLiBUaGlzIHJldHJvc3BlY3RpdmUgc3R1ZHkgZXZhbHVhdGVkIHRlbXBvcmFsIHRyZW5kcyBpbiBBTkVOIGluY2lkZW5jZSBhbmQgbWFuYWdlbWVudCBvdmVyIGEgMTQteWVhciBwZXJpb2QuIE1ldGhvZHM6IEFwcGVuZGVjdG9teSBwYXRob2xvZ3kgcmVwb3J0cyBmcm9tIGEgc2luZ2xlIHRlcnRpYXJ5IGNlbnRlciB3ZXJlIHJldmlld2VkLiBSZXN1bHRzOiBEdXJpbmcgMjAwNeKAkzIwMTgsIDgzMjcgYXBwZW5kZWN0b21pZXMgd2VyZSBwZXJmb3JtZWQgYW5kIDU3IEFORU5zIHdlcmUgZGlhZ25vc2VkIChhdmVyYWdlIGFnZSAzMS43IMKxIDE3IHllYXJzOyA3MC4yJSB3b21lbjsgMTcuNSUgQXJhYiBldGhuaWNpdHk7IGFuZCAyMi44JSA8IDE4IHllYXJzIG9mIGFnZSkuIFRoZSBjb2hvcnQgd2FzIGRpdmlkZWQgYWNjb3JkaW5nIHRvIHllYXIgb2YgZGlhZ25vc2lzIChQZXJpb2QgQSAyMDA14oCTMjAxMTsgUGVyaW9kIEIgMjAxMuKAkzIwMTgpLiBObyBkaWZmZXJlbmNlcyB3ZXJlIGZvdW5kIGluIEFORU4gaW5jaWRlbmNlICgwLjc1JSBhbmQgMC42MiUsIHJlc3BlY3RpdmVseSwgcCA9IDAuMTA0KSwgZXBpZGVtaW9sb2dpYyBvciBwYXRob2xvZ2ljIGNoYXJhY3RlcmlzdGljcyBiZXR3ZWVuIHBlcmlvZHMuIEluIHBlcmlvZCBCLCBwYXRob2xvZ3kgcmVwb3J0cyB3ZXJlIG1vcmUgY29tcHJlaGVuc2l2ZSBhbmQgdXNlIG9mIHNwZWNpZmljIGltYWdpbmcgYW5kIGJpb2NoZW1pY2FsIHN0dWRpZXMgd2FzIG1vcmUgcHJldmFsZW50LiBIZW1pY29sZWN0b215IHJhdGVzIGFuZCByZXN1bHRzIHdlcmUgc2ltaWxhciAoOCBpbiBQZXJpb2QgQSwgNyBpbiBQZXJpb2QgQiwgcCA9IDAuOTI1KS4gQWxsIHBhdGllbnRzIHJlbWFpbmVkIGFsaXZlIGZvciB0aGUgZHVyYXRpb24gb2YgZm9sbG93LXVwLiBDb25jbHVzaW9uczogTm8gdGVtcG9yYWwgY2hhbmdlcyBpbiBlcGlkZW1pb2xvZ2ljYWwsIGNsaW5pY2FsIG9yIHBhdGhvbG9naWNhbCBmZWF0dXJlcyBvZiBBTkVOcyB3ZXJlIG5vdGVkLiBBbHRob3VnaCBjbGluaWNvLXBhdGhvbG9naWNhbCBldmFsdWF0aW9uIHdhcyBtb3JlIGRldGFpbGVkIGFmdGVyIDIwMTEsIHRoZXJlIHdhcyBubyBjaGFuZ2UgaW4gcmF0ZXMgb2YgaGVtaWNvbGVjdG9teSBvciBkaXNlYXNlIHByb2dub3Npcy4iLCJwdWJsaXNoZXIiOiJBbSBKIFN1cmciLCJpc3N1ZSI6IjUiLCJ2b2x1bWUiOiIyMjEifSwiaXNUZW1wb3JhcnkiOmZhbHNlfV19"/>
          <w:id w:val="144475423"/>
        </w:sdtPr>
        <w:sdtContent>
          <w:r>
            <w:rPr/>
          </w:r>
          <w:r>
            <w:rPr>
              <w:color w:val="000000"/>
            </w:rPr>
            <w:t>(42)</w:t>
          </w:r>
        </w:sdtContent>
      </w:sdt>
      <w:r>
        <w:rPr/>
        <w:t>.</w:t>
      </w:r>
    </w:p>
    <w:p>
      <w:pPr>
        <w:pStyle w:val="p1"/>
        <w:spacing w:lineRule="auto" w:line="360" w:before="280" w:after="280"/>
        <w:jc w:val="both"/>
        <w:rPr/>
      </w:pPr>
      <w:r>
        <w:rPr>
          <w:rStyle w:val="s1"/>
          <w:b/>
          <w:bCs/>
        </w:rPr>
        <w:t>Curso clínico variable</w:t>
      </w:r>
      <w:r>
        <w:rPr/>
        <w:t>: con numerosos subtipos histológicos que van desde lesiones indolentes y de crecimiento lento, como los LAMN confinados, hasta tumores altamente agresivos, lo que dificulta establecer un único criterio de detección precoz.</w:t>
      </w:r>
    </w:p>
    <w:p>
      <w:pPr>
        <w:pStyle w:val="p1"/>
        <w:spacing w:lineRule="auto" w:line="360" w:before="280" w:after="280"/>
        <w:jc w:val="both"/>
        <w:rPr/>
      </w:pPr>
      <w:r>
        <w:rPr>
          <w:rStyle w:val="s1"/>
          <w:b/>
          <w:bCs/>
        </w:rPr>
        <w:t>Ausencia de biomarcadores validados</w:t>
      </w:r>
      <w:r>
        <w:rPr/>
        <w:t>: tanto séricos como imagenológicos, que permitan identificar fases preclínicas o subclínicas del cáncer apendicular en personas asintomáticas.</w:t>
      </w:r>
    </w:p>
    <w:p>
      <w:pPr>
        <w:pStyle w:val="p1"/>
        <w:spacing w:lineRule="auto" w:line="360" w:before="280" w:after="280"/>
        <w:jc w:val="both"/>
        <w:rPr/>
      </w:pPr>
      <w:r>
        <w:rPr>
          <w:rStyle w:val="s1"/>
          <w:b/>
          <w:bCs/>
        </w:rPr>
        <w:t>Falta de lesiones precursoras conocidas o accesibles</w:t>
      </w:r>
      <w:r>
        <w:rPr/>
        <w:t>: a diferencia de lo que ocurre en el colon con los pólipos adenomatosos.</w:t>
      </w:r>
    </w:p>
    <w:p>
      <w:pPr>
        <w:pStyle w:val="Heading2"/>
        <w:numPr>
          <w:ilvl w:val="1"/>
          <w:numId w:val="71"/>
        </w:numPr>
        <w:rPr/>
      </w:pPr>
      <w:bookmarkStart w:id="128" w:name="_Toc200580233"/>
      <w:bookmarkStart w:id="129" w:name="_Toc199584598"/>
      <w:bookmarkStart w:id="130" w:name="_Toc199583963"/>
      <w:r>
        <w:rPr/>
        <w:t>Rol de la endoscopía en el cáncer apendicular</w:t>
      </w:r>
      <w:bookmarkEnd w:id="128"/>
      <w:bookmarkEnd w:id="129"/>
      <w:bookmarkEnd w:id="130"/>
    </w:p>
    <w:p>
      <w:pPr>
        <w:pStyle w:val="Normal"/>
        <w:spacing w:lineRule="auto" w:line="276" w:before="0" w:after="200"/>
        <w:rPr/>
      </w:pPr>
      <w:r>
        <w:rPr/>
        <w:t xml:space="preserve">El papel de la endoscopía en el contexto del cáncer apendicular es limitado y esencialmente complementario, dado que la localización del apéndice vermiforme —estructuralmente cerrado al lumen colónico— impide la visualización directa del tumor primario en la mayoría de los casos </w:t>
      </w:r>
      <w:sdt>
        <w:sdtPr>
          <w:placeholder>
            <w:docPart w:val="7AF64A0C8C6CBC42891A556F431266DD"/>
          </w:placeholder>
          <w:tag w:val="MENDELEY_CITATION_v3_eyJjaXRhdGlvbklEIjoiTUVOREVMRVlfQ0lUQVRJT05fNjQ4ZjhkYjktM2FhYi00MzA5LWJmNzktMTMzZmU2MjIxN2QzIiwicHJvcGVydGllcyI6eyJub3RlSW5kZXgiOjB9LCJpc0VkaXRlZCI6ZmFsc2UsIm1hbnVhbE92ZXJyaWRlIjp7ImlzTWFudWFsbHlPdmVycmlkZGVuIjpmYWxzZSwiY2l0ZXByb2NUZXh0IjoiKDYpIiwibWFudWFsT3ZlcnJpZGVUZXh0IjoiIn0sImNpdGF0aW9uSXRlbXMiOlt7ImlkIjoiYmZmZWMwZDYtMWE5ZS0zMjI1LWFlOWYtMTFlZjdjMmJlYzFhIiwiaXRlbURhdGEiOnsidHlwZSI6ImFydGljbGUtam91cm5hbCIsImlkIjoiYmZmZWMwZDYtMWE5ZS0zMjI1LWFlOWYtMTFlZjdjMmJlYzFhIiwidGl0bGUiOiJBcHBlbmRpY2VhbCBuZW9wbGFzbXMtQSBwcmFjdGljYWwgZ3VpZGUiLCJhdXRob3IiOlt7ImZhbWlseSI6IlJvc3NpIiwiZ2l2ZW4iOiJBbGV4YW5kZXIiLCJwYXJzZS1uYW1lcyI6ZmFsc2UsImRyb3BwaW5nLXBhcnRpY2xlIjoiIiwibm9uLWRyb3BwaW5nLXBhcnRpY2xlIjoiIn0seyJmYW1pbHkiOiJNYWxvbmV5IFBhdGVsIiwiZ2l2ZW4iOiJOZWxsIiwicGFyc2UtbmFtZXMiOmZhbHNlLCJkcm9wcGluZy1wYXJ0aWNsZSI6IiIsIm5vbi1kcm9wcGluZy1wYXJ0aWNsZSI6IiJ9XSwiY29udGFpbmVyLXRpdGxlIjoiSm91cm5hbCBvZiBzdXJnaWNhbCBvbmNvbG9neSIsImNvbnRhaW5lci10aXRsZS1zaG9ydCI6IkogU3VyZyBPbmNvbCIsImFjY2Vzc2VkIjp7ImRhdGUtcGFydHMiOltbMjAyNSwzLDI5XV19LCJET0kiOiIxMC4xMDAyL0pTTy4yNzMwNCIsIklTU04iOiIxMDk2LTkwOTgiLCJQTUlEIjoiMzcyMjI2OTIiLCJVUkwiOiJodHRwczovL3B1Ym1lZC5uY2JpLm5sbS5uaWguZ292LzM3MjIyNjkyLyIsImlzc3VlZCI6eyJkYXRlLXBhcnRzIjpbWzIwMjMsNiwxNV1dfSwicGFnZSI6IjEzMDAtMTMwNSIsImFic3RyYWN0IjoiQXBwZW5kaWNlYWwgbmVvcGxhc21zIChBTnMpIGFyZSBhIGRpdmVyc2UgZ3JvdXAgb2YgcGF0aG9sb2dpZXMgdGhhdCByYW5nZSBmcm9tIGJlbmlnbiB0byBtYWxpZ25hbnQgd2l0aCB3aWRlbHkgdmFyeWluZyBwcm9nbm9zZXMuIFRoaXMgYXJ0aWNsZSBzZXJ2ZXMgYXMgYW4gb3ZlcnZpZXcgb2YgdGhlIHByYWN0aWNhbCBhcHByb2FjaCB0byBldmFsdWF0aW5nIGFuZCBtYW5hZ2luZyBhIHBhdGllbnQgd2l0aCBBTiBieSByZXZpZXdpbmcgdGhlIGN1cnJlbnQgbGl0ZXJhdHVyZSBhbmQgZ3VpZGVsaW5lcyB0byBwcm92aWRlIGEgZnJhbWV3b3JrIGZvciB0aGUgbWFuYWdlbWVudCBvZiB0aGVzZSBudWFuY2VkIHBhdGhvbG9naWVzLiIsInB1Ymxpc2hlciI6IkogU3VyZyBPbmNvbCIsImlzc3VlIjoiOCIsInZvbHVtZSI6IjEyNyJ9LCJpc1RlbXBvcmFyeSI6ZmFsc2V9XX0="/>
          <w:id w:val="1339806392"/>
        </w:sdtPr>
        <w:sdtContent>
          <w:r>
            <w:rPr/>
          </w:r>
          <w:r>
            <w:rPr>
              <w:rFonts w:eastAsia="MS Mincho"/>
              <w:color w:val="000000"/>
            </w:rPr>
            <w:t>(6)</w:t>
          </w:r>
        </w:sdtContent>
      </w:sdt>
      <w:r>
        <w:rPr/>
        <w:t xml:space="preserve">. </w:t>
      </w:r>
      <w:r>
        <w:rPr/>
        <w:t xml:space="preserve">Entre sus principales usos se encuentran la evaluación del ciego y de la válvula ileocecal ante hallazgos imagenológicos sospechosos, así como el descarte de tumores sincrónicos colorrectales </w:t>
      </w:r>
      <w:sdt>
        <w:sdtPr>
          <w:placeholder>
            <w:docPart w:val="7AF64A0C8C6CBC42891A556F431266DD"/>
          </w:placeholder>
          <w:tag w:val="MENDELEY_CITATION_v3_eyJjaXRhdGlvbklEIjoiTUVOREVMRVlfQ0lUQVRJT05fMzg2ODYyZWQtNzllNy00NjUxLWI5NDItYjdhOTYxYzdkNDM4IiwicHJvcGVydGllcyI6eyJub3RlSW5kZXgiOjB9LCJpc0VkaXRlZCI6ZmFsc2UsIm1hbnVhbE92ZXJyaWRlIjp7ImlzTWFudWFsbHlPdmVycmlkZGVuIjpmYWxzZSwiY2l0ZXByb2NUZXh0IjoiKDQzLDQ0KSIsIm1hbnVhbE92ZXJyaWRlVGV4dCI6IiJ9LCJjaXRhdGlvbkl0ZW1zIjpbeyJpZCI6ImU1NzdiNDU3LTUxMDgtMzJhNy05MzY0LThmZjJjNThiNWQyZSIsIml0ZW1EYXRhIjp7InR5cGUiOiJhcnRpY2xlLWpvdXJuYWwiLCJpZCI6ImU1NzdiNDU3LTUxMDgtMzJhNy05MzY0LThmZjJjNThiNWQyZSIsInRpdGxlIjoiUm9sZSBvZiBjb2xlY3RvbXkgaW4gdGhlIG1hbmFnZW1lbnQgb2YgYXBwZW5kaWNlYWwgdHVtb3JzOiBhIHJldHJvc3BlY3RpdmUgY29ob3J0IHN0dWR5IiwiYXV0aG9yIjpbeyJmYW1pbHkiOiJNYXJrcyIsImdpdmVuIjoiVmljdG9yaWEgQS4iLCJwYXJzZS1uYW1lcyI6ZmFsc2UsImRyb3BwaW5nLXBhcnRpY2xlIjoiIiwibm9uLWRyb3BwaW5nLXBhcnRpY2xlIjoiIn0seyJmYW1pbHkiOiJLZXJla2VzIiwiZ2l2ZW4iOiJEYW5pZWwiLCJwYXJzZS1uYW1lcyI6ZmFsc2UsImRyb3BwaW5nLXBhcnRpY2xlIjoiIiwibm9uLWRyb3BwaW5nLXBhcnRpY2xlIjoiIn0seyJmYW1pbHkiOiJCdXRlbnNreSIsImdpdmVuIjoiU2FtdWVsIiwicGFyc2UtbmFtZXMiOmZhbHNlLCJkcm9wcGluZy1wYXJ0aWNsZSI6IiIsIm5vbi1kcm9wcGluZy1wYXJ0aWNsZSI6IiJ9LHsiZmFtaWx5IjoiQWh1amEiLCJnaXZlbiI6Ik5pdGEiLCJwYXJzZS1uYW1lcyI6ZmFsc2UsImRyb3BwaW5nLXBhcnRpY2xlIjoiIiwibm9uLWRyb3BwaW5nLXBhcnRpY2xlIjoiIn0seyJmYW1pbHkiOiJKb2huc29uIiwiZ2l2ZW4iOiJDYXJvbGluZSIsInBhcnNlLW5hbWVzIjpmYWxzZSwiZHJvcHBpbmctcGFydGljbGUiOiIiLCJub24tZHJvcHBpbmctcGFydGljbGUiOiIifSx7ImZhbWlseSI6IlR1cmFnYSIsImdpdmVuIjoiS2lyYW4iLCJwYXJzZS1uYW1lcyI6ZmFsc2UsImRyb3BwaW5nLXBhcnRpY2xlIjoiIiwibm9uLWRyb3BwaW5nLXBhcnRpY2xlIjoiIn0seyJmYW1pbHkiOiJLaGFuIiwiZ2l2ZW4iOiJTYWppZCBBLiIsInBhcnNlLW5hbWVzIjpmYWxzZSwiZHJvcHBpbmctcGFydGljbGUiOiIiLCJub24tZHJvcHBpbmctcGFydGljbGUiOiIifV0sImNvbnRhaW5lci10aXRsZSI6IkJNQyBnYXN0cm9lbnRlcm9sb2d5IiwiY29udGFpbmVyLXRpdGxlLXNob3J0IjoiQk1DIEdhc3Ryb2VudGVyb2wiLCJhY2Nlc3NlZCI6eyJkYXRlLXBhcnRzIjpbWzIwMjUsNCwxNl1dfSwiRE9JIjoiMTAuMTE4Ni9TMTI4NzYtMDIzLTAzMDE5LTQiLCJJU1NOIjoiMTQ3MS0yMzBYIiwiUE1JRCI6IjM3OTc4MzQ4IiwiVVJMIjoiaHR0cHM6Ly9wdWJtZWQubmNiaS5ubG0ubmloLmdvdi8zNzk3ODM0OC8iLCJpc3N1ZWQiOnsiZGF0ZS1wYXJ0cyI6W1syMDIzXV19LCJhYnN0cmFjdCI6IkJhY2tncm91bmQ6IEFwcGVuZGljZWFsIHR1bW9ycyByZXByZXNlbnQgYSByYW5nZSBvZiBoaXN0b2xvZ2llcyB0aGF0IHZhcnkgaW4gYmVoYXZpb3IuIFJlY29tbWVuZGF0aW9ucyBmb3IgdHJlYXRtZW50IHdpdGggYXBwZW5kZWN0b215IHZlcnN1cyByaWdodCBoZW1pY29sZWN0b215IChSSEMpIGZvciBkaWZmZXJlbnQgdHVtb3IgdHlwZXMgYXJlIGV2b2x2aW5nIGFuZCBzb21ldGltZXMgY29uZmxpY3RpbmcuIFRoaXMgc3R1ZHkgc291Z2h0IHRvIGNoYXJhY3Rlcml6ZSB2YXJpYXRpb24gaW4gdGhlIFVuaXRlZCBTdGF0ZXMgYXJvdW5kIHN1cmdpY2FsIHRyZWF0bWVudCBvZiBtYWpvciBhcHBlbmRpY2VhbCB0dW1vciB0eXBlcyBvdmVyIHRpbWUgYW5kIGRlc2NyaWJlIGRpZmZlcmVuY2VzIGluIG91dGNvbWVzIGJhc2VkIG9uIHByb2NlZHVyZS4gTWV0aG9kczogUGF0aWVudHMgZGlhZ25vc2VkIHdpdGggYXBwZW5kaWNlYWwgZ29ibGV0IGNlbGwgYWRlbm9jYXJjaW5vbWEgKEdDQSksIG11Y2lub3VzIGFkZW5vY2FyY2lub21hLCBuZXVyb2VuZG9jcmluZSBuZW9wbGFzbSAoTkVOKSwgb3Igbm9uLW11Y2lub3VzIGFkZW5vY2FyY2lub21hIGZyb20gMjAwNOKAkzIwMTcgd2VyZSBpZGVudGlmaWVkIGluIHRoZSBOYXRpb25hbCBDYW5jZXIgRGF0YWJhc2UuIFRyZW5kcyBpbiBSSEMgb3ZlciB0aW1lIGFuZCBwcmVkaWN0b3JzIG9mIFJIQyB3ZXJlIGlkZW50aWZpZWQuIFN1cmdpY2FsIG91dGNvbWVzIGZvciBlYWNoIGhpc3RvbG9naWMgdHlwZSBhbmQgc3RhZ2Ugd2VyZSBjb21wYXJlZC4gUmVzdWx0czogT2YgMTgsMjE2IHBhdGllbnRzLCAxMSUgaGFkIEdDQXMsIDM0JSBtdWNpbm91cyBhZGVub2NhcmNpbm9tYSwgMzElIE5FTnMsIGFuZCAyNCUgbm9uLW11Y2lub3VzIGFkZW5vY2FyY2lub21hLiBSYXRlIG9mIFJIQyBmb3IgTkVOIGRlY3JlYXNlZCBmcm9tIDY4JSBpbiAyMDA0IHRvIDQwJSBpbiAyMDE3IChwID0gMC4wMDgpIGJ1dCByZW1haW5lZCBjb25zdGFudCBhcm91bmQgNjDigJM3NSUgZm9yIG90aGVyIHR1bW9yIHR5cGVzLiBIaWdoZXIgc3RhZ2Ugd2FzIGFzc29jaWF0ZWQgd2l0aCBpbmNyZWFzZWQgb2RkcyBvZiBSSEMgZm9yIGFsbCB0dW1vciB0eXBlcy4gUkhDIHdhcyBhc3NvY2lhdGVkIHdpdGggaGlnaGVyIHJhdGUgb2YgdW5wbGFubmVkIHJlYWRtaXNzaW9uICg1JSB2cy4gMyUsIHAgPCAwLjAwMSkgYW5kIGxvbmdlciBwb3N0b3BlcmF0aXZlIGhvc3BpdGFsIHN0YXkgKG1lZGlhbiA1wqBkYXlzIHZzLiAzwqBkYXlzLCBwIDwgMC4wMDEpLiBPbiByaXNrLWFkanVzdGVkIGFuYWx5c2lzLCBSSEMgd2FzIHNpZ25pZmljYW50bHkgYXNzb2NpYXRlZCB3aXRoIGluY3JlYXNlZCBzdXJ2aXZhbCB2ZXJzdXMgYXBwZW5kZWN0b215IGZvciBzdGFnZSAyIGRpc2Vhc2Ugb2YgYWxsIHR1bW9yIHR5cGVzIChIUnMgMC40MyB0byAwLjYzKSBhbmQgZm9yIHN0YWdlIDEgbm9uLW11Y2lub3VzIGFkZW5vY2FyY2lub21hIChIUiA9IDAuNTYpLiBDb25jbHVzaW9uczogTW9zdCBwYXRpZW50cyB3aXRoIGFwcGVuZGljZWFsIHR1bW9ycyB1bmRlcmdvIFJIQywgd2hpY2ggaXMgYXNzb2NpYXRlZCB3aXRoIGluY3JlYXNlZCByZWFkbWlzc2lvbiwgbG9uZ2VyIGxlbmd0aCBvZiBzdGF5LCBhbmQgaW1wcm92ZWQgc3Vydml2YWwgZm9yIHN0YWdlIDIgZGlzZWFzZSBvZiBhbGwgdHlwZXMuIFJIQyBzaG91bGQgYmUgb2ZmZXJlZCBzZWxlY3RpdmVseSBmb3IgYXBwZW5kaWNlYWwgdHVtb3JzLiIsInB1Ymxpc2hlciI6IkJNQyBHYXN0cm9lbnRlcm9sIiwiaXNzdWUiOiIxIiwidm9sdW1lIjoiMjMifSwiaXNUZW1wb3JhcnkiOmZhbHNlfSx7ImlkIjoiMzc4YTViYjMtOGE2Ny0zZDZjLTgxZGMtNTNkZjRhMzliOTk0IiwiaXRlbURhdGEiOnsidHlwZSI6ImFydGljbGUtam91cm5hbCIsImlkIjoiMzc4YTViYjMtOGE2Ny0zZDZjLTgxZGMtNTNkZjRhMzliOTk0IiwidGl0bGUiOiJSb3V0aW5lIGhpc3RvcGF0aG9sb2dpYyBleGFtaW5hdGlvbiBvZiB0aGUgYXBwZW5kaXggYWZ0ZXIgYXBwZW5kZWN0b215IGZvciBwcmVzdW1lZCBhcHBlbmRpY2l0aXM6IElzIGl0IHJlYWxseSBuZWNlc3Nhcnk/IEEgc3lzdGVtYXRpYyByZXZpZXcgYW5kIG1ldGEtYW5hbHlzaXMiLCJhdXRob3IiOlt7ImZhbWlseSI6IkJhc3RpYWVuZW4iLCJnaXZlbiI6IlZpdmlhbiBQLiIsInBhcnNlLW5hbWVzIjpmYWxzZSwiZHJvcHBpbmctcGFydGljbGUiOiIiLCJub24tZHJvcHBpbmctcGFydGljbGUiOiIifSx7ImZhbWlseSI6IkFsbGVtYSIsImdpdmVuIjoiV2llcyBNLiIsInBhcnNlLW5hbWVzIjpmYWxzZSwiZHJvcHBpbmctcGFydGljbGUiOiIiLCJub24tZHJvcHBpbmctcGFydGljbGUiOiIifSx7ImZhbWlseSI6IktsYXZlciIsImdpdmVuIjoiQ2hhcmxvdHRlIEUuTC4iLCJwYXJzZS1uYW1lcyI6ZmFsc2UsImRyb3BwaW5nLXBhcnRpY2xlIjoiIiwibm9uLWRyb3BwaW5nLXBhcnRpY2xlIjoiIn0seyJmYW1pbHkiOiJEaWVyZW4iLCJnaXZlbiI6IlN1c2FuIiwicGFyc2UtbmFtZXMiOmZhbHNlLCJkcm9wcGluZy1wYXJ0aWNsZSI6IiIsIm5vbi1kcm9wcGluZy1wYXJ0aWNsZSI6InZhbiJ9LHsiZmFtaWx5IjoiS29lbnMiLCJnaXZlbiI6IkxpYW5uZSIsInBhcnNlLW5hbWVzIjpmYWxzZSwiZHJvcHBpbmctcGFydGljbGUiOiIiLCJub24tZHJvcHBpbmctcGFydGljbGUiOiIifSx7ImZhbWlseSI6IlRhbmlzIiwiZ2l2ZW4iOiJQaWV0ZXIgSi4iLCJwYXJzZS1uYW1lcyI6ZmFsc2UsImRyb3BwaW5nLXBhcnRpY2xlIjoiIiwibm9uLWRyb3BwaW5nLXBhcnRpY2xlIjoiIn0seyJmYW1pbHkiOiJCZW1lbG1hbiIsImdpdmVuIjoiV2lsbGVtIEEuIiwicGFyc2UtbmFtZXMiOmZhbHNlLCJkcm9wcGluZy1wYXJ0aWNsZSI6IiIsIm5vbi1kcm9wcGluZy1wYXJ0aWNsZSI6IiJ9XSwiY29udGFpbmVyLXRpdGxlIjoiU3VyZ2VyeSIsImNvbnRhaW5lci10aXRsZS1zaG9ydCI6IlN1cmdlcnkiLCJET0kiOiIxMC4xMDE2L0ouU1VSRy4yMDIwLjAzLjAzMiIsIklTU04iOiIxNTMyLTczNjEiLCJQTUlEIjoiMzI0NzE2NTMiLCJpc3N1ZWQiOnsiZGF0ZS1wYXJ0cyI6W1syMDIwXV19LCJwYWdlIjoiMzA1LTMxMiIsImFic3RyYWN0IjoiQmFja2dyb3VuZDogT3dpbmcgdG8gc3Vic3RhbnRpYWwgY29zdHMgYW5kIGluY3JlYXNpbmcgaW50ZXJlc3QgaW4gdGhlIG5vbm9wZXJhdGl2ZSBtYW5hZ2VtZW50IG9mIGFwcGVuZGljaXRpcywgdGhlIG5lY2Vzc2l0eSBvZiByb3V0aW5lIGhpc3RvcGF0aG9sb2dpYyBleGFtaW5hdGlvbiBvZiBhcHBlbmRlY3RvbXkgc3BlY2ltZW5zIGlzIGJlaW5nIHF1ZXN0aW9uZWQuIFRoZSBhaW0gb2YgdGhpcyBzdHVkeSB3YXMgdG8gZGV0ZXJtaW5lIHdoZXRoZXIgcm91dGluZSBoaXN0b3BhdGhvbG9naWMgZXhhbWluYXRpb24gYWZ0ZXIgYXBwZW5kZWN0b215IGZvciBzdXNwZWN0ZWQgYXBwZW5kaWNpdGlzIHNob3VsZCBzdGlsbCBiZSBwZXJmb3JtZWQuIE1ldGhvZHM6IFB1Yk1lZCwgRW1iYXNlLCBXZWIgb2YgU2NpZW5jZSwgYW5kIHRoZSBDb2NocmFuZSBMaWJyYXJ5IHdlcmUgc2VhcmNoZWQgZm9yIHN0dWRpZXMgbGlzdGluZyB0aGUgaGlzdG9wYXRob2xvZ2ljIGRpYWdub3NlcyBhZnRlciBhcHBlbmRlY3RvbXkgZm9yIHN1c3BlY3RlZCBhcHBlbmRpY2l0aXMuIE1haW4gb3V0Y29tZXMgd2VyZSB0aGUgaW5jaWRlbmNlIG9mIGhpc3RvcGF0aG9sb2dpY2FsbHkgcHJvdmVuIGFiZXJyYW50IGZpbmRpbmdzLCB0aGUgYWJpbGl0eSBvZiBzdXJnZW9ucyB0byByZWNvZ25pemUgdW5leHBlY3RlZCBhcHBlbmRpY2VhbCBwYXRob2xvZ3kgaW50cmFvcGVyYXRpdmVseSwgYW5kIHRoZSBwZXJjZW50YWdlIG9mIGFiZXJyYW50IGZpbmRpbmdzIHJlc3VsdGluZyBpbiBhIGNoYW5nZSBvZiBwb3N0b3BlcmF0aXZlIG1hbmFnZW1lbnQuIEEgbWV0YS1hbmFseXNpcyB3YXMgcGVyZm9ybWVkIHVzaW5nIGEgcmFuZG9tLWVmZmVjdHMgbW9kZWwuIFJlc3VsdHM6IFR3ZW50eS1maXZlIHN0dWRpZXMgd2l0aCA1NywzNTcgcGF0aWVudHMgd2VyZSBpbmNsdWRlZC4gVGhlIHBvb2xlZCBwZXJjZW50YWdlIG9mIGFiZXJyYW50IGZpbmRpbmdzIHdhcyAyLjUyJSAoOTUlIGNvbmZpZGVuY2UgaW50ZXJ2YWwgMS44MeKAkzMuNTEpLiBOZW9wbGFzbXMgd2VyZSBmb3VuZCBpbiAwLjcxJSAoOTUlIGNvbmZpZGVuY2UgaW50ZXJ2YWwgMC41NOKAkzAuOTQpLiBGaW5kaW5ncyBvZiB0aGUgaW50cmFvcGVyYXRpdmUgYXNzZXNzbWVudCBieSB0aGUgc3VyZ2VvbiB3ZXJlIHJlcG9ydGVkIGZvciA4MiBvZiB0aGUgMiw3MTggKDMuMCUpIHVuZXhwZWN0ZWQgZGlhZ25vc2VzLCB3aXRoIGdyZWF0IHZhcmlhdGlvbiBiZXR3ZWVuIHN0dWRpZXMuIFRoZSBpbXBhY3Qgb24gcG9zdG9wZXJhdGl2ZSBtYW5hZ2VtZW50IHdhcyBkZXNjcmliZWQgZm9yIDIzNyBvZiAyLDcxOCAoOC43JSkgYWJlcnJhbnQgZmluZGluZ3MuIE9mIHRoZXNlLCAxNjYgKDcwLjAlKSByZXN1bHRlZCBpbiBhIGNoYW5nZSBvZiBwb3N0b3BlcmF0aXZlIG1hbmFnZW1lbnQuIENvbmNsdXNpb246IEJhc2VkIG9uIGN1cnJlbnQgZXZpZGVuY2UsIGl0IHJlbWFpbnMgdW5jbGVhciBob3cgbWFueSBvZiB0aGUgdW5leHBlY3RlZCBhcHBlbmRpY2VhbCBwYXRob2xvZ2llcyB3aXRoIGNsaW5pY2FsIGNvbnNlcXVlbmNlcyBjYW4gYmUgaWRlbnRpZmllZCBpbnRyYW9wZXJhdGl2ZWx5IGJ5IHRoZSBzdXJnZW9uLiBVbnRpbCByZWxpYWJsZSBkYXRhIG9uIHRoZSBzYWZldHkgYW5kIHBvdGVudGlhbCBjb3N0IHNhdmluZ3Mgb2YgYSBzZWxlY3RpdmUgcG9saWN5IGJlY29tZXMgYXZhaWxhYmxlLCB3ZSBhZHZpc2Ugc2VuZGluZyBhcHBlbmRlY3RvbXkgc3BlY2ltZW5zIHJvdXRpbmVseSBmb3IgaGlzdG9wYXRob2xvZ2ljIGV4YW1pbmF0aW9uLiIsInB1Ymxpc2hlciI6IlN1cmdlcnkiLCJpc3N1ZSI6IjIiLCJ2b2x1bWUiOiIxNjgifSwiaXNUZW1wb3JhcnkiOmZhbHNlfV19"/>
          <w:id w:val="-1889337483"/>
        </w:sdtPr>
        <w:sdtContent>
          <w:r>
            <w:rPr/>
          </w:r>
          <w:r>
            <w:rPr>
              <w:rFonts w:eastAsia="MS Mincho"/>
              <w:color w:val="000000"/>
            </w:rPr>
            <w:t>(43,44)</w:t>
          </w:r>
        </w:sdtContent>
      </w:sdt>
      <w:r>
        <w:rPr/>
        <w:t xml:space="preserve">. </w:t>
      </w:r>
      <w:r>
        <w:br w:type="page"/>
      </w:r>
    </w:p>
    <w:p>
      <w:pPr>
        <w:pStyle w:val="Heading1"/>
        <w:numPr>
          <w:ilvl w:val="0"/>
          <w:numId w:val="42"/>
        </w:numPr>
        <w:spacing w:before="0" w:after="0"/>
        <w:rPr/>
      </w:pPr>
      <w:bookmarkStart w:id="131" w:name="_Toc200580236"/>
      <w:bookmarkStart w:id="132" w:name="_Toc199584599"/>
      <w:bookmarkStart w:id="133" w:name="_Toc200580238"/>
      <w:bookmarkStart w:id="134" w:name="_Toc200580237"/>
      <w:bookmarkStart w:id="135" w:name="_Toc200580235"/>
      <w:bookmarkStart w:id="136" w:name="_Toc200580234"/>
      <w:bookmarkStart w:id="137" w:name="_Toc200580239"/>
      <w:bookmarkEnd w:id="131"/>
      <w:bookmarkEnd w:id="133"/>
      <w:bookmarkEnd w:id="134"/>
      <w:bookmarkEnd w:id="135"/>
      <w:bookmarkEnd w:id="136"/>
      <w:r>
        <w:rPr/>
        <w:t>Manejo del cáncer apendicular</w:t>
      </w:r>
      <w:bookmarkEnd w:id="132"/>
      <w:bookmarkEnd w:id="137"/>
    </w:p>
    <w:p>
      <w:pPr>
        <w:pStyle w:val="Normal"/>
        <w:rPr/>
      </w:pPr>
      <w:r>
        <w:rPr/>
      </w:r>
    </w:p>
    <w:p>
      <w:pPr>
        <w:pStyle w:val="Heading2"/>
        <w:numPr>
          <w:ilvl w:val="1"/>
          <w:numId w:val="72"/>
        </w:numPr>
        <w:rPr/>
      </w:pPr>
      <w:bookmarkStart w:id="138" w:name="_Toc200580240"/>
      <w:bookmarkStart w:id="139" w:name="_Toc199584600"/>
      <w:r>
        <w:rPr/>
        <w:t>Principios generales de manejo médico y quirúrgico</w:t>
      </w:r>
      <w:bookmarkEnd w:id="138"/>
      <w:bookmarkEnd w:id="139"/>
    </w:p>
    <w:p>
      <w:pPr>
        <w:pStyle w:val="p3"/>
        <w:spacing w:lineRule="auto" w:line="360" w:before="280" w:after="280"/>
        <w:jc w:val="both"/>
        <w:rPr/>
      </w:pPr>
      <w:r>
        <w:rPr/>
        <w:t xml:space="preserve">La cirugía constituye el pilar fundamental del tratamiento curativo en la mayoría de los cánceres apendiculares. El objetivo principal es la resección completa del tumor primario y, cuando corresponde, de toda enfermedad diseminada visible en la cavidad peritoneal. El rol del tratamiento médico, en particular la quimioterapia sistémica, varía significativamente según el tipo histológico y el estadio de la enfermedad, aspectos que se desarrollan en la sección siguiente. </w:t>
      </w:r>
    </w:p>
    <w:p>
      <w:pPr>
        <w:pStyle w:val="p3"/>
        <w:spacing w:lineRule="auto" w:line="360" w:before="280" w:after="280"/>
        <w:jc w:val="both"/>
        <w:rPr/>
      </w:pPr>
      <w:r>
        <w:rPr/>
        <w:t>La atención de estos pacientes requiere un enfoque multidisciplinario que integre las especialidades de cirugía oncológica, oncología médica, patología, radiología, gastroenterología y, en ciertos casos, cuidados paliativos</w:t>
      </w:r>
      <w:sdt>
        <w:sdtPr>
          <w:placeholder>
            <w:docPart w:val="E8A7AB10AA6EFB4BB56988FE38DA3B10"/>
          </w:placeholder>
          <w:tag w:val="MENDELEY_CITATION_v3_eyJjaXRhdGlvbklEIjoiTUVOREVMRVlfQ0lUQVRJT05fMDNiNTUzMDAtOTEwNS00ZTY3LTkxNTctYWFiM2QwYmQ3NTRlIiwicHJvcGVydGllcyI6eyJub3RlSW5kZXgiOjB9LCJpc0VkaXRlZCI6ZmFsc2UsIm1hbnVhbE92ZXJyaWRlIjp7ImlzTWFudWFsbHlPdmVycmlkZGVuIjpmYWxzZSwiY2l0ZXByb2NUZXh0IjoiKDgpIiwibWFudWFsT3ZlcnJpZGVUZXh0IjoiIn0sImNpdGF0aW9uSXRlbXMiOlt7ImlkIjoiMDNhOGU4MGUtODU2YS0zNGM1LTk1MzQtYjU1MzljMGQxNzBiIiwiaXRlbURhdGEiOnsidHlwZSI6ImFydGljbGUtam91cm5hbCIsImlkIjoiMDNhOGU4MGUtODU2YS0zNGM1LTk1MzQtYjU1MzljMGQxNzBiIiwidGl0bGUiOiJUaGUgQ2hpY2FnbyBDb25zZW5zdXMgb24gUGVyaXRvbmVhbCBTdXJmYWNlIE1hbGlnbmFuY2llczogTWFuYWdlbWVudCBvZiBBcHBlbmRpY2VhbCBOZW9wbGFzbXMiLCJhdXRob3IiOlt7ImZhbWlseSI6IlNjaHVpdGV2b2VyZGVyIiwiZ2l2ZW4iOiJEYXJyeWwiLCJwYXJzZS1uYW1lcyI6ZmFsc2UsImRyb3BwaW5nLXBhcnRpY2xlIjoiIiwibm9uLWRyb3BwaW5nLXBhcnRpY2xlIjoiIn0seyJmYW1pbHkiOiJQbGFuYSIsImdpdmVuIjoiQWxlamFuZHJvIiwicGFyc2UtbmFtZXMiOmZhbHNlLCJkcm9wcGluZy1wYXJ0aWNsZSI6IiIsIm5vbi1kcm9wcGluZy1wYXJ0aWNsZSI6IiJ9LHsiZmFtaWx5IjoiSXpxdWllcmRvIiwiZ2l2ZW4iOiJGcmFuY2lzY28gSi4iLCJwYXJzZS1uYW1lcyI6ZmFsc2UsImRyb3BwaW5nLXBhcnRpY2xlIjoiIiwibm9uLWRyb3BwaW5nLXBhcnRpY2xlIjoiIn0seyJmYW1pbHkiOiJWb3Rhbm9wb3Vsb3MiLCJnaXZlbiI6IktvbnN0YW50aW5vcyBJLiIsInBhcnNlLW5hbWVzIjpmYWxzZSwiZHJvcHBpbmctcGFydGljbGUiOiIiLCJub24tZHJvcHBpbmctcGFydGljbGUiOiIifSx7ImZhbWlseSI6IkN1c2FjayIsImdpdmVuIjoiSmFtZXMgQy4iLCJwYXJzZS1uYW1lcyI6ZmFsc2UsImRyb3BwaW5nLXBhcnRpY2xlIjoiIiwibm9uLWRyb3BwaW5nLXBhcnRpY2xlIjoiIn0seyJmYW1pbHkiOiJCaWplbGljIiwiZ2l2ZW4iOiJMYW5hIiwicGFyc2UtbmFtZXMiOmZhbHNlLCJkcm9wcGluZy1wYXJ0aWNsZSI6IiIsIm5vbi1kcm9wcGluZy1wYXJ0aWNsZSI6IiJ9LHsiZmFtaWx5IjoiQ2hvIiwiZ2l2ZW4iOiJDbGlmZm9yZCBTLiIsInBhcnNlLW5hbWVzIjpmYWxzZSwiZHJvcHBpbmctcGFydGljbGUiOiIiLCJub24tZHJvcHBpbmctcGFydGljbGUiOiIifSx7ImZhbWlseSI6IkdhbmdpIiwiZ2l2ZW4iOiJBbGV4YW5kcmEiLCJwYXJzZS1uYW1lcyI6ZmFsc2UsImRyb3BwaW5nLXBhcnRpY2xlIjoiIiwibm9uLWRyb3BwaW5nLXBhcnRpY2xlIjoiIn0seyJmYW1pbHkiOiJHaWxiZXJ0IiwiZ2l2ZW4iOiJFcmluIFcuIiwicGFyc2UtbmFtZXMiOmZhbHNlLCJkcm9wcGluZy1wYXJ0aWNsZSI6IiIsIm5vbi1kcm9wcGluZy1wYXJ0aWNsZSI6IiJ9LHsiZmFtaWx5IjoiR29vZG1hbiIsImdpdmVuIjoiTWFydGluIEQuIiwicGFyc2UtbmFtZXMiOmZhbHNlLCJkcm9wcGluZy1wYXJ0aWNsZSI6IiIsIm5vbi1kcm9wcGluZy1wYXJ0aWNsZSI6IiJ9LHsiZmFtaWx5IjoiR292aW5kYXJhamFuIiwiZ2l2ZW4iOiJBbmFuZCIsInBhcnNlLW5hbWVzIjpmYWxzZSwiZHJvcHBpbmctcGFydGljbGUiOiIiLCJub24tZHJvcHBpbmctcGFydGljbGUiOiIifSx7ImZhbWlseSI6Ikd1c2hjaGluIiwiZ2l2ZW4iOiJWYWRpbSIsInBhcnNlLW5hbWVzIjpmYWxzZSwiZHJvcHBpbmctcGFydGljbGUiOiIiLCJub24tZHJvcHBpbmctcGFydGljbGUiOiIifSx7ImZhbWlseSI6IkloZW1lbGFuZHUiLCJnaXZlbiI6IkNodWt3dWVtZWthIiwicGFyc2UtbmFtZXMiOmZhbHNlLCJkcm9wcGluZy1wYXJ0aWNsZSI6IiIsIm5vbi1kcm9wcGluZy1wYXJ0aWNsZSI6IiJ9LHsiZmFtaWx5IjoiS2VsbHkiLCJnaXZlbiI6IkthaXRseW4gSi4iLCJwYXJzZS1uYW1lcyI6ZmFsc2UsImRyb3BwaW5nLXBhcnRpY2xlIjoiIiwibm9uLWRyb3BwaW5nLXBhcnRpY2xlIjoiIn0seyJmYW1pbHkiOiJNZXJrb3ciLCJnaXZlbiI6IlJ5YW4gUC4iLCJwYXJzZS1uYW1lcyI6ZmFsc2UsImRyb3BwaW5nLXBhcnRpY2xlIjoiIiwibm9uLWRyb3BwaW5nLXBhcnRpY2xlIjoiIn0seyJmYW1pbHkiOiJQYXBwYXMiLCJnaXZlbiI6IlNhbSBHLiIsInBhcnNlLW5hbWVzIjpmYWxzZSwiZHJvcHBpbmctcGFydGljbGUiOiIiLCJub24tZHJvcHBpbmctcGFydGljbGUiOiIifSx7ImZhbWlseSI6IkFiYm90dCIsImdpdmVuIjoiRGFuaWVsIEUuIiwicGFyc2UtbmFtZXMiOmZhbHNlLCJkcm9wcGluZy1wYXJ0aWNsZSI6IiIsIm5vbi1kcm9wcGluZy1wYXJ0aWNsZSI6IiJ9LHsiZmFtaWx5IjoiQWhyZW5kdCIsImdpdmVuIjoiU3RldmVuIEEuIiwicGFyc2UtbmFtZXMiOmZhbHNlLCJkcm9wcGluZy1wYXJ0aWNsZSI6IiIsIm5vbi1kcm9wcGluZy1wYXJ0aWNsZSI6IiJ9LHsiZmFtaWx5IjoiQWwta2Fzc3Bvb2xlcyIsImdpdmVuIjoiTWF6aW4iLCJwYXJzZS1uYW1lcyI6ZmFsc2UsImRyb3BwaW5nLXBhcnRpY2xlIjoiIiwibm9uLWRyb3BwaW5nLXBhcnRpY2xlIjoiIn0seyJmYW1pbHkiOiJBbHBlcnQiLCJnaXZlbiI6IkxpbmRzYXkiLCJwYXJzZS1uYW1lcyI6ZmFsc2UsImRyb3BwaW5nLXBhcnRpY2xlIjoiIiwibm9uLWRyb3BwaW5nLXBhcnRpY2xlIjoiIn0seyJmYW1pbHkiOiJBbWVyc2kiLCJnaXZlbiI6IkZhcmluIiwicGFyc2UtbmFtZXMiOmZhbHNlLCJkcm9wcGluZy1wYXJ0aWNsZSI6IiIsIm5vbi1kcm9wcGluZy1wYXJ0aWNsZSI6IiJ9LHsiZmFtaWx5IjoiQXJyaW5ndG9uIiwiZ2l2ZW4iOiJBbWFuZGEgSy4iLCJwYXJzZS1uYW1lcyI6ZmFsc2UsImRyb3BwaW5nLXBhcnRpY2xlIjoiIiwibm9uLWRyb3BwaW5nLXBhcnRpY2xlIjoiIn0seyJmYW1pbHkiOiJCYWRnd2VsbCIsImdpdmVuIjoiQnJpYW4iLCJwYXJzZS1uYW1lcyI6ZmFsc2UsImRyb3BwaW5nLXBhcnRpY2xlIjoiIiwibm9uLWRyb3BwaW5nLXBhcnRpY2xlIjoiIn0seyJmYW1pbHkiOiJCYXJvbmUiLCJnaXZlbiI6IlJvYmVydCBNLiIsInBhcnNlLW5hbWVzIjpmYWxzZSwiZHJvcHBpbmctcGFydGljbGUiOiIiLCJub24tZHJvcHBpbmctcGFydGljbGUiOiIifSx7ImZhbWlseSI6IkJhdW1nYXJ0bmVyIiwiZ2l2ZW4iOiJKb2VsIE0uIiwicGFyc2UtbmFtZXMiOmZhbHNlLCJkcm9wcGluZy1wYXJ0aWNsZSI6IiIsIm5vbi1kcm9wcGluZy1wYXJ0aWNsZSI6IiJ9LHsiZmFtaWx5IjoiQmxhemVyIiwiZ2l2ZW4iOiJEYW4gRy4iLCJwYXJzZS1uYW1lcyI6ZmFsc2UsImRyb3BwaW5nLXBhcnRpY2xlIjoiIiwibm9uLWRyb3BwaW5nLXBhcnRpY2xlIjoiIn0seyJmYW1pbHkiOiJCZXJyaSIsImdpdmVuIjoiUmljaGFyZCBOLiIsInBhcnNlLW5hbWVzIjpmYWxzZSwiZHJvcHBpbmctcGFydGljbGUiOiIiLCJub24tZHJvcHBpbmctcGFydGljbGUiOiIifSx7ImZhbWlseSI6IkJyb3duIiwiZ2l2ZW4iOiJDaGFybGVzIEtvbWVuIiwicGFyc2UtbmFtZXMiOmZhbHNlLCJkcm9wcGluZy1wYXJ0aWNsZSI6IiIsIm5vbi1kcm9wcGluZy1wYXJ0aWNsZSI6IiJ9LHsiZmFtaWx5IjoiQ2F0ZW5hY2NpIiwiZ2l2ZW4iOiJEYW5pZWwiLCJwYXJzZS1uYW1lcyI6ZmFsc2UsImRyb3BwaW5nLXBhcnRpY2xlIjoiVi4iLCJub24tZHJvcHBpbmctcGFydGljbGUiOiIifSx7ImZhbWlseSI6IkNoYW4iLCJnaXZlbiI6IkNhcmxvcyBILkYuIiwicGFyc2UtbmFtZXMiOmZhbHNlLCJkcm9wcGluZy1wYXJ0aWNsZSI6IiIsIm5vbi1kcm9wcGluZy1wYXJ0aWNsZSI6IiJ9LHsiZmFtaWx5IjoiQ2hvdWRyeSIsImdpdmVuIjoiTS4gSGFyb29uIEEuIiwicGFyc2UtbmFtZXMiOmZhbHNlLCJkcm9wcGluZy1wYXJ0aWNsZSI6IiIsIm5vbi1kcm9wcGluZy1wYXJ0aWNsZSI6IiJ9LHsiZmFtaWx5IjoiQ2xhcmtlIiwiZ2l2ZW4iOiJDYWxsaXNpYSBOLiIsInBhcnNlLW5hbWVzIjpmYWxzZSwiZHJvcHBpbmctcGFydGljbGUiOiIiLCJub24tZHJvcHBpbmctcGFydGljbGUiOiIifSx7ImZhbWlseSI6IkNsb3lkIiwiZ2l2ZW4iOiJKb3JkYW4gTS4iLCJwYXJzZS1uYW1lcyI6ZmFsc2UsImRyb3BwaW5nLXBhcnRpY2xlIjoiIiwibm9uLWRyb3BwaW5nLXBhcnRpY2xlIjoiIn0seyJmYW1pbHkiOiJEYWNobWFuIiwiZ2l2ZW4iOiJBYnJhaGFtIEguIiwicGFyc2UtbmFtZXMiOmZhbHNlLCJkcm9wcGluZy1wYXJ0aWNsZSI6IiIsIm5vbi1kcm9wcGluZy1wYXJ0aWNsZSI6IiJ9LHsiZmFtaWx5IjoiRGVuZXZlIiwiZ2l2ZW4iOiJKZXJlbWlhaCBMLiIsInBhcnNlLW5hbWVzIjpmYWxzZSwiZHJvcHBpbmctcGFydGljbGUiOiIiLCJub24tZHJvcHBpbmctcGFydGljbGUiOiIifSx7ImZhbWlseSI6IkRpbmVlbiIsImdpdmVuIjoiU2VhbiBQLiIsInBhcnNlLW5hbWVzIjpmYWxzZSwiZHJvcHBpbmctcGFydGljbGUiOiIiLCJub24tZHJvcHBpbmctcGFydGljbGUiOiIifSx7ImZhbWlseSI6IkZlcm5hbmRleiIsImdpdmVuIjoiTGVvcG9sZG8gSi4iLCJwYXJzZS1uYW1lcyI6ZmFsc2UsImRyb3BwaW5nLXBhcnRpY2xlIjoiIiwibm9uLWRyb3BwaW5nLXBhcnRpY2xlIjoiIn0seyJmYW1pbHkiOiJFbmciLCJnaXZlbiI6Ik9saXZlciBTLiIsInBhcnNlLW5hbWVzIjpmYWxzZSwiZHJvcHBpbmctcGFydGljbGUiOiIiLCJub24tZHJvcHBpbmctcGFydGljbGUiOiIifSx7ImZhbWlseSI6IkZsZXNobWFuIiwiZ2l2ZW4iOiJKYW1lcyBXLiIsInBhcnNlLW5hbWVzIjpmYWxzZSwiZHJvcHBpbmctcGFydGljbGUiOiIiLCJub24tZHJvcHBpbmctcGFydGljbGUiOiIifSx7ImZhbWlseSI6IkNsYXJrIEdhbWJsaW4iLCJnaXZlbiI6IlQuIiwicGFyc2UtbmFtZXMiOmZhbHNlLCJkcm9wcGluZy1wYXJ0aWNsZSI6IiIsIm5vbi1kcm9wcGluZy1wYXJ0aWNsZSI6IiJ9LHsiZmFtaWx5IjoiR2Vvcmdha2lzIiwiZ2l2ZW4iOiJHZW9yZ2lvcyIsInBhcnNlLW5hbWVzIjpmYWxzZSwiZHJvcHBpbmctcGFydGljbGUiOiJWLiIsIm5vbi1kcm9wcGluZy1wYXJ0aWNsZSI6IiJ9LHsiZmFtaWx5IjoiR3JvdHoiLCJnaXZlbiI6IlRyYXZpcyBFLiIsInBhcnNlLW5hbWVzIjpmYWxzZSwiZHJvcHBpbmctcGFydGljbGUiOiIiLCJub24tZHJvcHBpbmctcGFydGljbGUiOiIifSx7ImZhbWlseSI6Ikhhbm5hIiwiZ2l2ZW4iOiJOYWRlciIsInBhcnNlLW5hbWVzIjpmYWxzZSwiZHJvcHBpbmctcGFydGljbGUiOiIiLCJub24tZHJvcHBpbmctcGFydGljbGUiOiIifSx7ImZhbWlseSI6Ikhhcm1hdGgiLCJnaXZlbiI6IkNhcmxhIiwicGFyc2UtbmFtZXMiOmZhbHNlLCJkcm9wcGluZy1wYXJ0aWNsZSI6IiIsIm5vbi1kcm9wcGluZy1wYXJ0aWNsZSI6IiJ9LHsiZmFtaWx5IjoiSGFydCIsImdpdmVuIjoiSm9obiIsInBhcnNlLW5hbWVzIjpmYWxzZSwiZHJvcHBpbmctcGFydGljbGUiOiIiLCJub24tZHJvcHBpbmctcGFydGljbGUiOiIifSx7ImZhbWlseSI6IkhheWVzLUpvcmRhbiIsImdpdmVuIjoiQW5kcmVhIiwicGFyc2UtbmFtZXMiOmZhbHNlLCJkcm9wcGluZy1wYXJ0aWNsZSI6IiIsIm5vbi1kcm9wcGluZy1wYXJ0aWNsZSI6IiJ9LHsiZmFtaWx5IjoiSHVzYWluIiwiZ2l2ZW4iOiJBbGl5YSBOLiIsInBhcnNlLW5hbWVzIjpmYWxzZSwiZHJvcHBpbmctcGFydGljbGUiOiIiLCJub24tZHJvcHBpbmctcGFydGljbGUiOiIifSx7ImZhbWlseSI6IklkcmVlcyIsImdpdmVuIjoiS2FtcmFuIiwicGFyc2UtbmFtZXMiOmZhbHNlLCJkcm9wcGluZy1wYXJ0aWNsZSI6IiIsIm5vbi1kcm9wcGluZy1wYXJ0aWNsZSI6IiJ9LHsiZmFtaWx5IjoiSW4iLCJnaXZlbiI6IkhhZWppbiIsInBhcnNlLW5hbWVzIjpmYWxzZSwiZHJvcHBpbmctcGFydGljbGUiOiIiLCJub24tZHJvcHBpbmctcGFydGljbGUiOiIifSx7ImZhbWlseSI6IkppYW5nIiwiZ2l2ZW4iOiJEYXZpZCIsInBhcnNlLW5hbWVzIjpmYWxzZSwiZHJvcHBpbmctcGFydGljbGUiOiIiLCJub24tZHJvcHBpbmctcGFydGljbGUiOiIifSx7ImZhbWlseSI6IkthbmUiLCJnaXZlbiI6IkpvaG4gTS4iLCJwYXJzZS1uYW1lcyI6ZmFsc2UsImRyb3BwaW5nLXBhcnRpY2xlIjoiIiwibm9uLWRyb3BwaW5nLXBhcnRpY2xlIjoiIn0seyJmYW1pbHkiOiJLZW5uZWR5IiwiZ2l2ZW4iOiJUaW1vdGh5IEouIiwicGFyc2UtbmFtZXMiOmZhbHNlLCJkcm9wcGluZy1wYXJ0aWNsZSI6IiIsIm5vbi1kcm9wcGluZy1wYXJ0aWNsZSI6IiJ9LHsiZmFtaWx5IjoiS2V1dGdlbiIsImdpdmVuIjoiWGF2aWVyIE0uIiwicGFyc2UtbmFtZXMiOmZhbHNlLCJkcm9wcGluZy1wYXJ0aWNsZSI6IiIsIm5vbi1kcm9wcGluZy1wYXJ0aWNsZSI6IiJ9LHsiZmFtaWx5IjoiS2luZGxlciIsImdpdmVuIjoiSGVkeSBMZWUiLCJwYXJzZS1uYW1lcyI6ZmFsc2UsImRyb3BwaW5nLXBhcnRpY2xlIjoiIiwibm9uLWRyb3BwaW5nLXBhcnRpY2xlIjoiIn0seyJmYW1pbHkiOiJMZWUiLCJnaXZlbiI6IkJ5cm5lIiwicGFyc2UtbmFtZXMiOmZhbHNlLCJkcm9wcGluZy1wYXJ0aWNsZSI6IiIsIm5vbi1kcm9wcGluZy1wYXJ0aWNsZSI6IiJ9LHsiZmFtaWx5IjoiTGlhbyIsImdpdmVuIjoiQ2hpaCBZaSIsInBhcnNlLW5hbWVzIjpmYWxzZSwiZHJvcHBpbmctcGFydGljbGUiOiIiLCJub24tZHJvcHBpbmctcGFydGljbGUiOiIifSx7ImZhbWlseSI6Ik1hZHVla3dlIiwiZ2l2ZW4iOiJVZ3d1amkgTi4iLCJwYXJzZS1uYW1lcyI6ZmFsc2UsImRyb3BwaW5nLXBhcnRpY2xlIjoiIiwibm9uLWRyb3BwaW5nLXBhcnRpY2xlIjoiIn0seyJmYW1pbHkiOiJNYWsiLCJnaXZlbiI6IkdyYWNlIFouIiwicGFyc2UtbmFtZXMiOmZhbHNlLCJkcm9wcGluZy1wYXJ0aWNsZSI6IiIsIm5vbi1kcm9wcGluZy1wYXJ0aWNsZSI6IiJ9LHsiZmFtaWx5IjoiTWFjayIsImdpdmVuIjoiTGxveWQgQS4iLCJwYXJzZS1uYW1lcyI6ZmFsc2UsImRyb3BwaW5nLXBhcnRpY2xlIjoiIiwibm9uLWRyb3BwaW5nLXBhcnRpY2xlIjoiIn0seyJmYW1pbHkiOiJNYXRoZXciLCJnaXZlbiI6Ik1lbHZ5IFNhcmFoIiwicGFyc2UtbmFtZXMiOmZhbHNlLCJkcm9wcGluZy1wYXJ0aWNsZSI6IiIsIm5vbi1kcm9wcGluZy1wYXJ0aWNsZSI6IiJ9LHsiZmFtaWx5IjoiTWVsaXMiLCJnaXZlbiI6Ik1hcmNvdmFsZXJpbyIsInBhcnNlLW5hbWVzIjpmYWxzZSwiZHJvcHBpbmctcGFydGljbGUiOiIiLCJub24tZHJvcHBpbmctcGFydGljbGUiOiIifSx7ImZhbWlseSI6Ik1lbG5pdGNob3VrIiwiZ2l2ZW4iOiJOZWx5YSIsInBhcnNlLW5hbWVzIjpmYWxzZSwiZHJvcHBpbmctcGFydGljbGUiOiIiLCJub24tZHJvcHBpbmctcGFydGljbGUiOiIifSx7ImZhbWlseSI6Ik1pc2RyYWppIiwiZ2l2ZW4iOiJKb3NlcGgiLCJwYXJzZS1uYW1lcyI6ZmFsc2UsImRyb3BwaW5nLXBhcnRpY2xlIjoiIiwibm9uLWRyb3BwaW5nLXBhcnRpY2xlIjoiIn0seyJmYW1pbHkiOiJNb2dhbCIsImdpdmVuIjoiSGFydmVzaHAiLCJwYXJzZS1uYW1lcyI6ZmFsc2UsImRyb3BwaW5nLXBhcnRpY2xlIjoiIiwibm9uLWRyb3BwaW5nLXBhcnRpY2xlIjoiIn0seyJmYW1pbHkiOiJNw7ZsbGVyIiwiZ2l2ZW4iOiJNZWNrZXIgRy4iLCJwYXJzZS1uYW1lcyI6ZmFsc2UsImRyb3BwaW5nLXBhcnRpY2xlIjoiIiwibm9uLWRyb3BwaW5nLXBhcnRpY2xlIjoiIn0seyJmYW1pbHkiOiJOYXNoIiwiZ2l2ZW4iOiJHYXJyZXR0IE0uIiwicGFyc2UtbmFtZXMiOmZhbHNlLCJkcm9wcGluZy1wYXJ0aWNsZSI6IiIsIm5vbi1kcm9wcGluZy1wYXJ0aWNsZSI6IiJ9LHsiZmFtaWx5IjoiT3RvIiwiZ2l2ZW4iOiJBeXRla2luIiwicGFyc2UtbmFtZXMiOmZhbHNlLCJkcm9wcGluZy1wYXJ0aWNsZSI6IiIsIm5vbi1kcm9wcGluZy1wYXJ0aWNsZSI6IiJ9LHsiZmFtaWx5IjoiUGFpIiwiZ2l2ZW4iOiJSZWV0ZXNoIEsuIiwicGFyc2UtbmFtZXMiOmZhbHNlLCJkcm9wcGluZy1wYXJ0aWNsZSI6IiIsIm5vbi1kcm9wcGluZy1wYXJ0aWNsZSI6IiJ9LHsiZmFtaWx5IjoiUGFtZWlqZXIiLCJnaXZlbiI6IkNvbGV0dGUgUi4iLCJwYXJzZS1uYW1lcyI6ZmFsc2UsImRyb3BwaW5nLXBhcnRpY2xlIjoiIiwibm9uLWRyb3BwaW5nLXBhcnRpY2xlIjoiIn0seyJmYW1pbHkiOiJQb2xhbmNvIiwiZ2l2ZW4iOiJQYXRyaWNpbyBNLiIsInBhcnNlLW5hbWVzIjpmYWxzZSwiZHJvcHBpbmctcGFydGljbGUiOiIiLCJub24tZHJvcHBpbmctcGFydGljbGUiOiIifSx7ImZhbWlseSI6IlBvbGl0ZSIsImdpdmVuIjoiQmxhc2UgTi4iLCJwYXJzZS1uYW1lcyI6ZmFsc2UsImRyb3BwaW5nLXBhcnRpY2xlIjoiIiwibm9uLWRyb3BwaW5nLXBhcnRpY2xlIjoiIn0seyJmYW1pbHkiOiJSZWRkeSIsImdpdmVuIjoiU2FuamF5IFMuIiwicGFyc2UtbmFtZXMiOmZhbHNlLCJkcm9wcGluZy1wYXJ0aWNsZSI6IiIsIm5vbi1kcm9wcGluZy1wYXJ0aWNsZSI6IiJ9LHsiZmFtaWx5IjoiUm95YWwiLCJnaXZlbiI6IlJpY2hhcmQiLCJwYXJzZS1uYW1lcyI6ZmFsc2UsImRyb3BwaW5nLXBhcnRpY2xlIjoiIiwibm9uLWRyb3BwaW5nLXBhcnRpY2xlIjoiIn0seyJmYW1pbHkiOiJSeWFuIiwiZ2l2ZW4iOiJEYXZpZCBQLiIsInBhcnNlLW5hbWVzIjpmYWxzZSwiZHJvcHBpbmctcGFydGljbGUiOiIiLCJub24tZHJvcHBpbmctcGFydGljbGUiOiIifSx7ImZhbWlseSI6IlNhbHRpIiwiZ2l2ZW4iOiJHZW9yZ2UiLCJwYXJzZS1uYW1lcyI6ZmFsc2UsImRyb3BwaW5nLXBhcnRpY2xlIjoiIiwibm9uLWRyb3BwaW5nLXBhcnRpY2xlIjoiIn0seyJmYW1pbHkiOiJTYXJkaSIsImdpdmVuIjoiQXJtYW5kbyIsInBhcnNlLW5hbWVzIjpmYWxzZSwiZHJvcHBpbmctcGFydGljbGUiOiIiLCJub24tZHJvcHBpbmctcGFydGljbGUiOiIifSx7ImZhbWlseSI6IlNlbnRoaWwiLCJnaXZlbiI6Ik1haGVzd2FyaSIsInBhcnNlLW5hbWVzIjpmYWxzZSwiZHJvcHBpbmctcGFydGljbGUiOiIiLCJub24tZHJvcHBpbmctcGFydGljbGUiOiIifSx7ImZhbWlseSI6IlNldGlhIiwiZ2l2ZW4iOiJOYW1yYXRhIiwicGFyc2UtbmFtZXMiOmZhbHNlLCJkcm9wcGluZy1wYXJ0aWNsZSI6IiIsIm5vbi1kcm9wcGluZy1wYXJ0aWNsZSI6IiJ9LHsiZmFtaWx5IjoiU2hlcm1hbiIsImdpdmVuIjoiU2NvdHQgSy4iLCJwYXJzZS1uYW1lcyI6ZmFsc2UsImRyb3BwaW5nLXBhcnRpY2xlIjoiIiwibm9uLWRyb3BwaW5nLXBhcnRpY2xlIjoiIn0seyJmYW1pbHkiOiJTaWRlcmlzIiwiZ2l2ZW4iOiJMdWNhcyIsInBhcnNlLW5hbWVzIjpmYWxzZSwiZHJvcHBpbmctcGFydGljbGUiOiIiLCJub24tZHJvcHBpbmctcGFydGljbGUiOiIifSx7ImZhbWlseSI6IlNraXR6a2kiLCJnaXZlbiI6Ikpvc2VwaCIsInBhcnNlLW5hbWVzIjpmYWxzZSwiZHJvcHBpbmctcGFydGljbGUiOiIiLCJub24tZHJvcHBpbmctcGFydGljbGUiOiIifSx7ImZhbWlseSI6IlZlZXJhcG9uZyIsImdpdmVuIjoiSnVsYSIsInBhcnNlLW5hbWVzIjpmYWxzZSwiZHJvcHBpbmctcGFydGljbGUiOiIiLCJub24tZHJvcHBpbmctcGFydGljbGUiOiIifSx7ImZhbWlseSI6IldoaXRlIiwiZ2l2ZW4iOiJNaWNoYWVsIEcuIiwicGFyc2UtbmFtZXMiOmZhbHNlLCJkcm9wcGluZy1wYXJ0aWNsZSI6IiIsIm5vbi1kcm9wcGluZy1wYXJ0aWNsZSI6IiJ9LHsiZmFtaWx5IjoiV2luZXIiLCJnaXZlbiI6Ikpvc2h1YSBILiIsInBhcnNlLW5hbWVzIjpmYWxzZSwiZHJvcHBpbmctcGFydGljbGUiOiIiLCJub24tZHJvcHBpbmctcGFydGljbGUiOiIifSx7ImZhbWlseSI6IlhpYW8iLCJnaXZlbiI6IlNodSBZdWFuIiwicGFyc2UtbmFtZXMiOmZhbHNlLCJkcm9wcGluZy1wYXJ0aWNsZSI6IiIsIm5vbi1kcm9wcGluZy1wYXJ0aWNsZSI6IiJ9LHsiZmFtaWx5IjoiWWFudGlzcyIsImdpdmVuIjoiUmhvbmRhIEsuIiwicGFyc2UtbmFtZXMiOmZhbHNlLCJkcm9wcGluZy1wYXJ0aWNsZSI6IiIsIm5vbi1kcm9wcGluZy1wYXJ0aWNsZSI6IiJ9LHsiZmFtaWx5IjoiQWh1amEiLCJnaXZlbiI6Ik5pdGEiLCJwYXJzZS1uYW1lcyI6ZmFsc2UsImRyb3BwaW5nLXBhcnRpY2xlIjoiIiwibm9uLWRyb3BwaW5nLXBhcnRpY2xlIjoiIn0seyJmYW1pbHkiOiJCb3duZSIsImdpdmVuIjoiV2lsYnVyIiwicGFyc2UtbmFtZXMiOmZhbHNlLCJkcm9wcGluZy1wYXJ0aWNsZSI6IiIsIm5vbi1kcm9wcGluZy1wYXJ0aWNsZSI6IiJ9LHsiZmFtaWx5IjoiTG93eSIsImdpdmVuIjoiQW5kcmV3IE0uIiwicGFyc2UtbmFtZXMiOmZhbHNlLCJkcm9wcGluZy1wYXJ0aWNsZSI6IiIsIm5vbi1kcm9wcGluZy1wYXJ0aWNsZSI6IiJ9LHsiZmFtaWx5IjoiUmljaGFyZCBBbGV4YW5kZXIiLCJnaXZlbiI6IkguIiwicGFyc2UtbmFtZXMiOmZhbHNlLCJkcm9wcGluZy1wYXJ0aWNsZSI6IiIsIm5vbi1kcm9wcGluZy1wYXJ0aWNsZSI6IiJ9LHsiZmFtaWx5IjoiRXNxdWl2ZWwiLCJnaXZlbiI6Ikplc3VzIiwicGFyc2UtbmFtZXMiOmZhbHNlLCJkcm9wcGluZy1wYXJ0aWNsZSI6IiIsIm5vbi1kcm9wcGluZy1wYXJ0aWNsZSI6IiJ9LHsiZmFtaWx5IjoiRm9zdGVyIiwiZ2l2ZW4iOiJKYXNvbiBNLiIsInBhcnNlLW5hbWVzIjpmYWxzZSwiZHJvcHBpbmctcGFydGljbGUiOiIiLCJub24tZHJvcHBpbmctcGFydGljbGUiOiIifSx7ImZhbWlseSI6IkxhYm93IiwiZ2l2ZW4iOiJEYW5pZWwgTS4iLCJwYXJzZS1uYW1lcyI6ZmFsc2UsImRyb3BwaW5nLXBhcnRpY2xlIjoiIiwibm9uLWRyb3BwaW5nLXBhcnRpY2xlIjoiIn0seyJmYW1pbHkiOiJMYW1iZXJ0IiwiZ2l2ZW4iOiJMYXVyYSBBLiIsInBhcnNlLW5hbWVzIjpmYWxzZSwiZHJvcHBpbmctcGFydGljbGUiOiIiLCJub24tZHJvcHBpbmctcGFydGljbGUiOiIifSx7ImZhbWlseSI6IkxldmluZSIsImdpdmVuIjoiRWR3YXJkIEEuIiwicGFyc2UtbmFtZXMiOmZhbHNlLCJkcm9wcGluZy1wYXJ0aWNsZSI6IiIsIm5vbi1kcm9wcGluZy1wYXJ0aWNsZSI6IiJ9LHsiZmFtaWx5IjoiU3RhbGV5IiwiZ2l2ZW4iOiJDaGFybGVzIiwicGFyc2UtbmFtZXMiOmZhbHNlLCJkcm9wcGluZy1wYXJ0aWNsZSI6IiIsIm5vbi1kcm9wcGluZy1wYXJ0aWNsZSI6IiJ9LHsiZmFtaWx5IjoiU3VnYXJiYWtlciIsImdpdmVuIjoiUGF1bCBILiIsInBhcnNlLW5hbWVzIjpmYWxzZSwiZHJvcHBpbmctcGFydGljbGUiOiIiLCJub24tZHJvcHBpbmctcGFydGljbGUiOiIifSx7ImZhbWlseSI6IkJhcnRsZXR0IiwiZ2l2ZW4iOiJEYXZpZCBMLiIsInBhcnNlLW5hbWVzIjpmYWxzZSwiZHJvcHBpbmctcGFydGljbGUiOiIiLCJub24tZHJvcHBpbmctcGFydGljbGUiOiIifSx7ImZhbWlseSI6IlR1cmFnYSIsImdpdmVuIjoiS2lyYW4iLCJwYXJzZS1uYW1lcyI6ZmFsc2UsImRyb3BwaW5nLXBhcnRpY2xlIjoiIiwibm9uLWRyb3BwaW5nLXBhcnRpY2xlIjoiIn1dLCJjb250YWluZXItdGl0bGUiOiJBbm5hbHMgb2Ygc3VyZ2ljYWwgb25jb2xvZ3kiLCJjb250YWluZXItdGl0bGUtc2hvcnQiOiJBbm4gU3VyZyBPbmNvbCIsIkRPSSI6IjEwLjEyNDUvUzEwNDM0LTAyMC0wODMxNi1XIiwiSVNTTiI6IjE1MzQtNDY4MSIsIlBNSUQiOiIzMjI4NTI3NSIsImlzc3VlZCI6eyJkYXRlLXBhcnRzIjpbWzIwMjBdXX0sInBhZ2UiOiIxNzUzLTE3NjAiLCJhYnN0cmFjdCI6IlRoZSBDaGljYWdvIENvbnNlbnN1cyBXb3JraW5nIEdyb3VwIHByb3ZpZGVzIG11bHRpZGlzY2lwbGluYXJ5IHJlY29tbWVuZGF0aW9ucyBmb3IgdGhlIG1hbmFnZW1lbnQgb2YgYXBwZW5kaWNlYWwgbmVvcGxhc21zIHNwZWNpZmljYWxseSByZWxhdGVkIHRvIHRoZSBtYW5hZ2VtZW50IG9mIHBlcml0b25lYWwgc3VyZmFjZSBtYWxpZ25hbmNpZXMuIFRoZXNlIGd1aWRlbGluZXMgYXJlIGRldmVsb3BlZCB3aXRoIGlucHV0IGZyb20gbGVhZGluZyBleHBlcnRzIGluY2x1ZGluZyBzdXJnaWNhbCBvbmNvbG9naXN0cywgbWVkaWNhbCBvbmNvbG9naXN0cywgcGF0aG9sb2dpc3RzLCByYWRpb2xvZ2lzdHMsIHBhbGxpYXRpdmUgY2FyZSBwaHlzaWNpYW5zLCBhbmQgcGhhcm1hY2lzdHMuIFRoZXNlIGd1aWRlbGluZXMgcmVjb2duaXplIGFuZCBhZGRyZXNzIHRoZSBlbWVyZ2luZyBuZWVkIGZvciBpbmNyZWFzZWQgYXdhcmVuZXNzIGluIHRoZSBhcHByb3ByaWF0ZSBtYW5hZ2VtZW50IG9mIHBlcml0b25lYWwgc3VyZmFjZSBkaXNlYXNlLiBUaGV5IGFyZSBub3QgaW50ZW5kZWQgdG8gcmVwbGFjZSB0aGUgcXVlc3QgZm9yIGhpZ2hlciBsZXZlbHMgb2YgZXZpZGVuY2UuIiwicHVibGlzaGVyIjoiQW5uIFN1cmcgT25jb2wiLCJpc3N1ZSI6IjYiLCJ2b2x1bWUiOiIyNyJ9LCJpc1RlbXBvcmFyeSI6ZmFsc2V9XX0="/>
          <w:id w:val="-22414187"/>
        </w:sdtPr>
        <w:sdtContent>
          <w:r>
            <w:rPr/>
          </w:r>
          <w:r>
            <w:rPr>
              <w:color w:val="000000"/>
            </w:rPr>
            <w:t>(8)</w:t>
          </w:r>
        </w:sdtContent>
      </w:sdt>
      <w:r>
        <w:rPr/>
        <w:t>.</w:t>
      </w:r>
    </w:p>
    <w:p>
      <w:pPr>
        <w:pStyle w:val="Heading3"/>
        <w:numPr>
          <w:ilvl w:val="2"/>
          <w:numId w:val="73"/>
        </w:numPr>
        <w:rPr>
          <w:sz w:val="36"/>
        </w:rPr>
      </w:pPr>
      <w:bookmarkStart w:id="140" w:name="_Toc199584601"/>
      <w:bookmarkStart w:id="141" w:name="_Toc200580241"/>
      <w:r>
        <w:rPr/>
        <w:t>Manejo médico: Quimioterapia neoadyuvante y adyuvante</w:t>
      </w:r>
      <w:bookmarkEnd w:id="140"/>
      <w:bookmarkEnd w:id="141"/>
    </w:p>
    <w:p>
      <w:pPr>
        <w:pStyle w:val="p3"/>
        <w:spacing w:lineRule="auto" w:line="360" w:before="280" w:after="280"/>
        <w:jc w:val="both"/>
        <w:rPr/>
      </w:pPr>
      <w:r>
        <w:rPr/>
        <w:t xml:space="preserve">El uso de </w:t>
      </w:r>
      <w:r>
        <w:rPr>
          <w:b/>
        </w:rPr>
        <w:t>quimioterapia sistémica</w:t>
      </w:r>
      <w:r>
        <w:rPr/>
        <w:t xml:space="preserve">, ya sea en modalidad </w:t>
      </w:r>
      <w:r>
        <w:rPr>
          <w:b/>
        </w:rPr>
        <w:t>neoadyuvante</w:t>
      </w:r>
      <w:r>
        <w:rPr/>
        <w:t xml:space="preserve"> (previa a la cirugía) o </w:t>
      </w:r>
      <w:r>
        <w:rPr>
          <w:b/>
        </w:rPr>
        <w:t>adyuvante</w:t>
      </w:r>
      <w:r>
        <w:rPr/>
        <w:t xml:space="preserve"> (posterior a la cirugía), constituye un componente terapéutico relevante en determinados subtipos histológicos del cáncer apendicular, especialmente en aquellos con características biológicas agresivas o con enfermedad localmente avanzada o diseminada. Su indicación no es uniforme y debe fundamentarse en factores histopatológicos, moleculares y clínicos precisos</w:t>
      </w:r>
      <w:sdt>
        <w:sdtPr>
          <w:placeholder>
            <w:docPart w:val="DD2448CE148E474C9E574E336B594A73"/>
          </w:placeholder>
          <w:tag w:val="MENDELEY_CITATION_v3_eyJjaXRhdGlvbklEIjoiTUVOREVMRVlfQ0lUQVRJT05fNDZkYTAyYTAtZjg0NS00MDYwLWI3NmUtNWExOWY4NTVjOWVhIiwicHJvcGVydGllcyI6eyJub3RlSW5kZXgiOjB9LCJpc0VkaXRlZCI6ZmFsc2UsIm1hbnVhbE92ZXJyaWRlIjp7ImlzTWFudWFsbHlPdmVycmlkZGVuIjpmYWxzZSwiY2l0ZXByb2NUZXh0IjoiKDQ1KSIsIm1hbnVhbE92ZXJyaWRlVGV4dCI6IiJ9LCJjaXRhdGlvbkl0ZW1zIjpbeyJpZCI6IjEyMWZkMjllLTgyZGQtM2VjOC04YjE0LWQ3NDRlZWJhZDg1NCIsIml0ZW1EYXRhIjp7InR5cGUiOiJhcnRpY2xlLWpvdXJuYWwiLCJpZCI6IjEyMWZkMjllLTgyZGQtM2VjOC04YjE0LWQ3NDRlZWJhZDg1NCIsInRpdGxlIjoiQ2hlbW90aGVyYXB5IGluIHRoZSB0cmVhdG1lbnQgb2YgZGlmZmVyZW50IGhpc3RvbG9naWNhbCB0eXBlcyBvZiBhcHBlbmRpY2VhbCBjYW5jZXJzOiBhIFNFRVIgYmFzZWQgc3R1ZHkiLCJhdXRob3IiOlt7ImZhbWlseSI6IldhbmciLCJnaXZlbiI6IkdhbmciLCJwYXJzZS1uYW1lcyI6ZmFsc2UsImRyb3BwaW5nLXBhcnRpY2xlIjoiIiwibm9uLWRyb3BwaW5nLXBhcnRpY2xlIjoiIn0seyJmYW1pbHkiOiJMaSIsImdpdmVuIjoiUWlrZW4iLCJwYXJzZS1uYW1lcyI6ZmFsc2UsImRyb3BwaW5nLXBhcnRpY2xlIjoiIiwibm9uLWRyb3BwaW5nLXBhcnRpY2xlIjoiIn0seyJmYW1pbHkiOiJDaGVuIiwiZ2l2ZW4iOiJXZWlwaW5nIiwicGFyc2UtbmFtZXMiOmZhbHNlLCJkcm9wcGluZy1wYXJ0aWNsZSI6IiIsIm5vbi1kcm9wcGluZy1wYXJ0aWNsZSI6IiJ9XSwiY29udGFpbmVyLXRpdGxlIjoiQk1DIGNhbmNlciIsImNvbnRhaW5lci10aXRsZS1zaG9ydCI6IkJNQyBDYW5jZXIiLCJET0kiOiIxMC4xMTg2L1MxMjg4NS0wMjEtMDg1MDItMyIsIklTU04iOiIxNDcxLTI0MDciLCJQTUlEIjoiMzQyMjU2NzIiLCJpc3N1ZWQiOnsiZGF0ZS1wYXJ0cyI6W1syMDIxXV19LCJhYnN0cmFjdCI6IkJhY2tncm91bmQ6IER1ZSB0byBpdHMgcmFyaXR5IGFuZCBoaWdoIGhldGVyb2dlbmVpdHksIG5laXRoZXIgZXN0YWJsaXNoZWQgZ3VpZGVsaW5lcyBub3IgcHJvc3BlY3RpdmUgZGF0YSBhcmUgY3VycmVudGx5IGF2YWlsYWJsZSBmb3IgdXNpbmcgY2hlbW90aGVyYXB5IGluIHRoZSB0cmVhdG1lbnQgb2YgYXBwZW5kaWNlYWwgY2FuY2VyLiBUaGlzIHN0dWR5IHdhcyB0byBkZXRlcm1pbmUgdGhlIHVzZSBvZiBjaGVtb3RoZXJhcHkgYW5kIGl0cyBwb3RlbnRpYWwgYXNzb2NpYXRpb25zIHdpdGggc3Vydml2YWwgaW4gcGF0aWVudHMgd2l0aCBkaWZmZXJlbnQgaGlzdG9sb2dpY2FsIHR5cGVzIG9mIHRoZSBjYW5jZXIuIE1ldGhvZHM6IFBhdGllbnRzIHdpdGggaGlzdG9sb2dpY2FsbHkgZGlmZmVyZW50IGFwcGVuZGljZWFsIGNhbmNlcnMgZGlhZ25vc2VkIGR1cmluZyAxOTk44oCTMjAxNiB3ZXJlIHNlbGVjdGVkIGZyb20gdGhlIFN1cnZlaWxsYW5jZSwgRXBpZGVtaW9sb2d5LCBhbmQgRW5kIFJlc3VsdHMgKFNFRVIpIGRhdGFiYXNlLiBUaGUgcm9sZSBhbmQgZWZmZWN0IG9mIGNoZW1vdGhlcmFweSB3ZXJlIGV4YW1pbmVkIGluIHRoZSB0cmVhdG1lbnQgb2YgdGhlIGRpc2Vhc2UuIFRoZSBLYXBsYW4tTWVpZXIgbWV0aG9kIHdhcyBhcHBsaWVkIHRvIGNvbnN0cnVjdCBzdXJ2aXZhbCBjdXJ2ZXMgYW5kIHNpZ25pZmljYW5jZSB3YXMgZXhhbWluZWQgYnkgTG9nLXJhbmsgdGVzdC4gQ294IHByb3BvcnRpb25hbCBoYXphcmQgbW9kZWxzIHdlcmUgdXNlZCB0byBhbmFseXplIHRoZSBpbXBhY3Qgb2YgY2hlbW90aGVyYXB5IGFuZCBvdGhlciB2YXJpYWJsZXMgb24gc3Vydml2YWwgaW4gdGhlc2UgcGF0aWVudHMuIFJlc3VsdHM6IEEgdG90YWwgb2YgODczMyBhcHBlbmRpY2VhbCBjYW5jZXIgcGF0aWVudHMgd2VyZSBpZGVudGlmaWVkIGZyb20gdGhlIGRhdGFiYXNlLiBDaGVtb3RoZXJhcHkgd2FzIGFkbWluaXN0cmF0ZWQgYXQgaGlnaGx5IHZhcmlhYmxlIHJhdGVzIGluIGRpZmZlcmVudCBoaXN0b2xvZ2ljYWwgdHlwZXMgb2YgYXBwZW5kaWNlYWwgY2FuY2VyLiBBcyBoaWdoIGFzIDY0LjAlIHNpZ25ldCByaW5nIGNlbGwgY2FyY2lub21hIChTUkNDKSwgNDYuNCUgb2YgbXVjaW5vdXMgYWRlbm9jYXJjaW5vbWFzIChNQUMpLCA0MC42JSBvZiBub24tbXVjaW5vdXMgYWRlbm9jYXJjaW5vbWEgKE5NQUMpIGFuZCA0My45JSBvZiBtaXhlZCBuZXVyb2VuZG9jcmluZSBub24tbmV1cm9lbmRvY3JpbmUgbmVvcGxhc21zIChNaU5FTnMpIHdlcmUgdHJlYXRlZCB3aXRoIGNoZW1vdGhlcmFweSwgd2hlcmVhcyBvbmx5IDE0LjclIG9mIGdvYmxldCBjZWxsIGNhcmNpbm9tYSAoR0NDKSwgNSUgbmV1cm9lbmRvY3JpbmUgdHVtb3JzIChORVRzKSBhbmQgMS42JSBjYXJjaW5vbWFzIChORUMpIHJlY2VpdmVkIGNoZW1vdGhlcmFweS4gSW4gYWxsIHBhdGllbnRzIGNvbWJpbmVkLCBjaGVtb3RoZXJhcHkgc2lnbmlmaWNhbnRseSBpbXByb3ZlZCBvdmVyYWxsIHN1cnZpdmFsIGR1cmluZyB0aGUgZW50aXJlIHN0dWR5IHBlcmlvZCBhbmQgY2FuY2VyLXNwZWNpZmljIHN1cnZpdmFsIHdhcyBpbXByb3ZlZMKgZHVyaW5nIGluIGNhc2VzIGZyb23CoDIwMTLigJMyMDE2LiBGdXJ0aGVyIG11bHRpdmFyaWF0ZSBhbmFseXNpcyBzaG93ZWQgdGhhdCBib3RoIGNhbmNlci1zcGVjaWZpYyBhbmQgb3ZlcmFsbCBzdXJ2aXZhbCB3YXMgc2lnbmlmaWNhbnRseSBpbXByb3ZlZCB3aXRoIGNoZW1vdGhlcmFweSBpbiBwYXRpZW50cyB3aXRoIE1BQywgTk1BQyBhbmQgU1JDQywgYnV0IG5vdCBmb3IgcGF0aWVudHMgd2l0aCBHQ0MsIE1pTkVOcywgTkVUcyBhbmQgTkVDcy4gTnVtYmVyICg+IDEyKSBvZiBseW1waCBub2RlIHNhbXBsZWQgd2FzIGFzc29jaWF0ZWQgd2l0aCBzdXJ2aXZhbCBvZiBwYXRpZW50cyB3aXRoIG1vc3QgaGlzdG9sb2dpY2FsIHR5cGVzIG9mIGNhbmNlciB1bmRlciBzdHVkeS4gT3RoZXIgcHJvZ25vc3RpYyBmYWN0b3JzIHJlbGF0ZWQgdG8gaW5kaXZpZHVhbCBoaXN0b2xvZ2ljYWwgdHlwZXMgd2VyZSBpZGVudGlmaWVkLiBDb25jbHVzaW9uczogQ2hlbW90aGVyYXB5IGlzIGFkbWluaXN0cmF0ZWQgYXQgaGlnaGx5IHZhcmlhYmxlIHJhdGVzIGluIGRpZmZlcmVudCBoaXN0b2xvZ2ljYWwgdHlwZXMgb2YgYXBwZW5kaWNlYWwgY2FuY2VyLiBFZmZpY2FjeSBvZiBjaGVtb3RoZXJhcHkgaW4gdGhlIHRyZWF0bWVudCBvZiB0aGVzZSBjYW5jZXJzIGhhcyBiZWVuIGltcHJvdmVkIGluIHJlY2VudCB5ZWFycyBhbmQgaXMgc2lnbmlmaWNhbnRseSBhc3NvY2lhdGVkIHdpdGggYmV0dGVyIHN1cnZpdmFsIGZvciBwYXRpZW50cyB3aXRoIE5NQUMsIE1BQywgYW5kIFNSQ0MuIEFkZXF1YXRlIGx5bXBoIG5vZGUgc2FtcGxpbmcgbWF5IHJlc3VsdCBpbiBhIHN1cnZpdmFsIGJlbmVmaXQgZm9yIG1vc3Qgb2YgdGhlc2UgcGF0aWVudHMuIiwicHVibGlzaGVyIjoiQk1DIENhbmNlciIsImlzc3VlIjoiMSIsInZvbHVtZSI6IjIxIn0sImlzVGVtcG9yYXJ5IjpmYWxzZX1dfQ=="/>
          <w:id w:val="427161776"/>
        </w:sdtPr>
        <w:sdtContent>
          <w:r>
            <w:rPr/>
          </w:r>
          <w:r>
            <w:rPr>
              <w:color w:val="000000"/>
            </w:rPr>
            <w:t>(45)</w:t>
          </w:r>
        </w:sdtContent>
      </w:sdt>
      <w:r>
        <w:rPr/>
        <w:t>.</w:t>
      </w:r>
    </w:p>
    <w:p>
      <w:pPr>
        <w:pStyle w:val="Heading3"/>
        <w:numPr>
          <w:ilvl w:val="2"/>
          <w:numId w:val="74"/>
        </w:numPr>
        <w:rPr/>
      </w:pPr>
      <w:bookmarkStart w:id="142" w:name="_Toc199584602"/>
      <w:bookmarkStart w:id="143" w:name="_Toc200580242"/>
      <w:bookmarkStart w:id="144" w:name="_Toc199583967"/>
      <w:r>
        <w:rPr/>
        <w:t>Quimioterapia neoadyuvante</w:t>
      </w:r>
      <w:bookmarkEnd w:id="142"/>
      <w:bookmarkEnd w:id="143"/>
      <w:bookmarkEnd w:id="144"/>
    </w:p>
    <w:p>
      <w:pPr>
        <w:pStyle w:val="p3"/>
        <w:spacing w:lineRule="auto" w:line="360" w:before="280" w:after="280"/>
        <w:jc w:val="both"/>
        <w:rPr/>
      </w:pPr>
      <w:r>
        <w:rPr/>
        <w:t xml:space="preserve">El uso de </w:t>
      </w:r>
      <w:r>
        <w:rPr>
          <w:rStyle w:val="s2"/>
          <w:b/>
          <w:bCs/>
        </w:rPr>
        <w:t>quimioterapia neoadyuvante</w:t>
      </w:r>
      <w:r>
        <w:rPr/>
        <w:t xml:space="preserve"> está reservado para situaciones clínicas específicas. Puede ser beneficiosa en casos de enfermedad peritoneal diseminada con alto volumen tumoral, donde la reducción del tumor facilite una cirugía citorreductora completa; en pacientes con adenocarcinoma de alto grado o carcinoma de células caliciformes con sospecha de afectación ganglionar o invasión multiorgánica; y en casos de carcinomatosis extensa no resecable al momento del diagnóstico, como estrategia de inducción para intentar convertir la enfermedad en resecable.</w:t>
      </w:r>
    </w:p>
    <w:p>
      <w:pPr>
        <w:pStyle w:val="p3"/>
        <w:spacing w:lineRule="auto" w:line="360" w:before="280" w:after="280"/>
        <w:jc w:val="both"/>
        <w:rPr>
          <w:rStyle w:val="s1"/>
        </w:rPr>
      </w:pPr>
      <w:r>
        <w:rPr/>
        <w:t xml:space="preserve">La evidencia sobre el beneficio real de la quimioterapia neoadyuvante en estos contextos sigue siendo limitada. Algunos estudios retrospectivos han mostrado que, en adenocarcinomas mucinosos de alto grado, la respuesta a la quimioterapia es modesta y, en ciertos casos, puede ocasionar un retraso innecesario en la cirugía </w:t>
      </w:r>
      <w:r>
        <w:rPr>
          <w:rFonts w:eastAsia="MS Mincho"/>
          <w:color w:val="000000"/>
        </w:rPr>
        <w:t>(46)</w:t>
      </w:r>
      <w:r>
        <w:rPr/>
        <w:t>. Por esta razón, su indicación debe considerarse cuidadosamente, en el contexto de un comité oncológico multidisciplinario, y preferiblemente en centros con experiencia en el manejo de malignidades peritoneales.</w:t>
      </w:r>
    </w:p>
    <w:p>
      <w:pPr>
        <w:pStyle w:val="p1"/>
        <w:spacing w:lineRule="auto" w:line="360" w:before="280" w:after="280"/>
        <w:jc w:val="both"/>
        <w:rPr/>
      </w:pPr>
      <w:r>
        <w:rPr/>
        <w:t xml:space="preserve">En </w:t>
      </w:r>
      <w:r>
        <w:rPr>
          <w:rStyle w:val="s1"/>
          <w:b/>
          <w:bCs/>
        </w:rPr>
        <w:t>tumores neuroendocrinos apendiculares</w:t>
      </w:r>
      <w:r>
        <w:rPr/>
        <w:t>, la quimioterapia sistémica no está indicada en la mayoría de los casos localizados. Solo se emplea en presencia de metástasis a distancia o progresión tumoral, utilizando esquemas específicos para tumores neuroendocrinos, como análogos de somatostatina, CAPTEM o cisplatino-etopósido en carcinomas neuroendocrinos de alto grado</w:t>
      </w:r>
      <w:sdt>
        <w:sdtPr>
          <w:placeholder>
            <w:docPart w:val="DefaultPlaceholder_-1854013440"/>
          </w:placeholder>
          <w:tag w:val="MENDELEY_CITATION_v3_eyJjaXRhdGlvbklEIjoiTUVOREVMRVlfQ0lUQVRJT05fMjYzNGMwNTQtZmRhYi00YjlhLWJjODUtMzNjYWU0YTg3YzFkIiwicHJvcGVydGllcyI6eyJub3RlSW5kZXgiOjB9LCJpc0VkaXRlZCI6ZmFsc2UsIm1hbnVhbE92ZXJyaWRlIjp7ImlzTWFudWFsbHlPdmVycmlkZGVuIjpmYWxzZSwiY2l0ZXByb2NUZXh0IjoiKDQ2KSIsIm1hbnVhbE92ZXJyaWRlVGV4dCI6IiJ9LCJjaXRhdGlvbkl0ZW1zIjpbeyJpZCI6IjBhMTBiYTk2LTUzOTItMzY5Mi04NTkxLWNmNzYzODY4ZjM0NCIsIml0ZW1EYXRhIjp7InR5cGUiOiJhcnRpY2xlLWpvdXJuYWwiLCJpZCI6IjBhMTBiYTk2LTUzOTItMzY5Mi04NTkxLWNmNzYzODY4ZjM0NCIsInRpdGxlIjoiTWFuYWdlbWVudCBvZiBBcHBlbmRpY2VhbCBOZXVyb2VuZG9jcmluZSBUdW1vcnM6IE1ldGFzdGF0aWMgUG90ZW50aWFsIG9mIFNtYWxsIFR1bW9ycyIsImF1dGhvciI6W3siZmFtaWx5IjoiTGFuZHJ5IiwiZ2l2ZW4iOiJKYWNlIFAuIiwicGFyc2UtbmFtZXMiOmZhbHNlLCJkcm9wcGluZy1wYXJ0aWNsZSI6IiIsIm5vbi1kcm9wcGluZy1wYXJ0aWNsZSI6IiJ9LHsiZmFtaWx5IjoiVm9yb3MiLCJnaXZlbiI6IkJyaWFubmUgQS4iLCJwYXJzZS1uYW1lcyI6ZmFsc2UsImRyb3BwaW5nLXBhcnRpY2xlIjoiIiwibm9uLWRyb3BwaW5nLXBhcnRpY2xlIjoiIn0seyJmYW1pbHkiOiJSYW1pcmV6IiwiZ2l2ZW4iOiJSb2JlcnQgQS4iLCJwYXJzZS1uYW1lcyI6ZmFsc2UsImRyb3BwaW5nLXBhcnRpY2xlIjoiIiwibm9uLWRyb3BwaW5nLXBhcnRpY2xlIjoiIn0seyJmYW1pbHkiOiJCb3VkcmVhdXgiLCJnaXZlbiI6IkouIFBoaWxpcCIsInBhcnNlLW5hbWVzIjpmYWxzZSwiZHJvcHBpbmctcGFydGljbGUiOiIiLCJub24tZHJvcHBpbmctcGFydGljbGUiOiIifSx7ImZhbWlseSI6IldvbHRlcmluZyIsImdpdmVuIjoiRXVnZW5lIEEuIiwicGFyc2UtbmFtZXMiOmZhbHNlLCJkcm9wcGluZy1wYXJ0aWNsZSI6IiIsIm5vbi1kcm9wcGluZy1wYXJ0aWNsZSI6IiJ9LHsiZmFtaWx5IjoiVGhpYWdhcmFqYW4iLCJnaXZlbiI6IlJhbWNoYXJhbiIsInBhcnNlLW5hbWVzIjpmYWxzZSwiZHJvcHBpbmctcGFydGljbGUiOiIiLCJub24tZHJvcHBpbmctcGFydGljbGUiOiIifV0sImNvbnRhaW5lci10aXRsZSI6IkFubmFscyBvZiBzdXJnaWNhbCBvbmNvbG9neSIsImNvbnRhaW5lci10aXRsZS1zaG9ydCI6IkFubiBTdXJnIE9uY29sIiwiRE9JIjoiMTAuMTI0NS9TMTA0MzQtMDIwLTA4NzQ4LTQiLCJJU1NOIjoiMTUzNC00NjgxIiwiUE1JRCI6IjMyNjkxMzM3IiwiaXNzdWVkIjp7ImRhdGUtcGFydHMiOltbMjAyMV1dfSwicGFnZSI6Ijc1MS03NTciLCJhYnN0cmFjdCI6IkJhY2tncm91bmQ6IEFwcGVuZGljZWFsIG5ldXJvZW5kb2NyaW5lIHR1bW9ycyAoQU5FVHMpIGFyZSByYXJlIG5lb3BsYXNtcyB1c3VhbGx5IGRpc2NvdmVyZWQgaW5jaWRlbnRhbGx5IGR1cmluZyBhcHBlbmRlY3RvbXkuIEFORVRzIDwgMsKgY20gd2VyZSB0aG91Z2h0IHRvIGhhdmUgbm8gbWV0YXN0YXRpYyBwb3RlbnRpYWwsIGFuZCB0aGlzIGRvZ21hIGhhcyBkcml2ZW4gbWFuYWdlbWVudC4gT3VyIGFpbSBpcyB0byBldmFsdWF0ZSB0aGUgbWV0YXN0YXRpYyBwb3RlbnRpYWwgb2YgQU5FVHMgPCAywqBjbS4gUGF0aWVudHMgYW5kIE1ldGhvZHM6IEEgcmV0cm9zcGVjdGl2ZSByZXZpZXcgd2FzIHBlcmZvcm1lZCBpbiBhIHNlcmllcyBvZiBwYXRpZW50cyB3aXRoIEFORVRzIHdobyBwcmVzZW50ZWQgdG8gb3VyIHRlcnRpYXJ5IHJlZmVycmFsIGNlbnRlciBmcm9tIDE5OTggdG8gMjAxOS4gRGVtb2dyYXBoaWNzLCB0dW1vciBjaGFyYWN0ZXJpc3RpY3MsIHRyZWF0bWVudCwgYW5kIGNsaW5pY2FsIG91dGNvbWVzIHdlcmUgZXZhbHVhdGVkLiBSZXN1bHRzOiBJbiB0b3RhbCwgMTE0IHBhdGllbnRzIHdlcmUgaW5jbHVkZWQuIE1lZGlhbiBmb2xsb3ctdXAgd2FzIDMuM8KgeWVhcnMgKHJhbmdlLCAyMcKgZGF5c+KAkzE1wqB5ZWFycykuIEF0IGxhc3QgZm9sbG93LXVwLCAzNCAoMzAlKSBwYXRpZW50cyBoYWQgcG9zaXRpdmUgcmVnaW9uYWwgbHltcGggbm9kZXMgYW5kIDIwICgxOCUpIHBhdGllbnRzIGhhZCBtZXRhc3RhdGljIGRpc2Vhc2UuIE9mIHRoZSAyMCBwYXRpZW50cyB3aXRoIG1ldGFzdGF0aWMgZGlzZWFzZSwgMTEgKDU1JSkgaGFkIHByaW1hcnkgQU5FVHMgPCAywqBjbS4gUGF0aWVudCBhZ2UgPiA0MMKgeWVhcnMgYXQgZGlhZ25vc2lzIGFuZCBBTkVUcyB3aXRoIHNlcm9zYWwgaW52YXNpb24sIGx5bXBob3Zhc2N1bGFyIGludmFzaW9uLCBpbnRlcm1lZGlhdGUgdHVtb3IgZ3JhZGUsIG9yIHBvc2l0aXZlIGx5bXBoIG5vZGVzIHdlcmUgZmVhdHVyZXMgc2lnbmlmaWNhbnRseSBtb3JlIGxpa2VseSB0byBwcmVzZW50IHdpdGggbWV0YXN0YXRpYyBkaXNlYXNlLiBXZSBmb3VuZCBubyBkaWZmZXJlbmNlIGluIHRoZSByYXRlIG9mIGx5bXBoIG5vZGUgcG9zaXRpdml0eSwgbWV0YXN0YXRpYyBkaXNlYXNlLCBvciBvdmVyYWxsIHN1cnZpdmFsIHdoZW4gcGF0aWVudHMgd2VyZSBzdHJhdGlmaWVkIGJ5IHR1bW9yIHNpemUgb3IgdHlwZSBvZiByZXNlY3Rpb24gKGFwcGVuZGVjdG9teSB2cy4gcmlnaHQgaGVtaWNvbGVjdG9teSkuIE9uIG11bHRpdmFyaWF0ZSBhbmFseXNpcywgcGF0aWVudHMgd2l0aCBtZXRhc3RhdGljIGRpc2Vhc2UgYXQgZGlhZ25vc2lzIGhhZCB3b3JzZSBvdmVyYWxsIHN1cnZpdmFsIChIUiA9IDI0LjQsIHAgPSAwLjAwOCkuIENvbmNsdXNpb25zOiBJbiBvdXIgY29ob3J0LCB0dW1vciBzaXplIHdhcyBub3QgYSBzaWduaWZpY2FudCByaXNrIGZhY3RvciBmb3IgbWV0YXN0YXRpYyBkaXNlYXNlIG9yIHdvcnNlIG91dGNvbWUgYXMgbWFueSBwYXRpZW50cyB3aXRoIEFORVRzIDwgMsKgY20gZGV2ZWxvcGVkIG1ldGFzdGF0aWMgZGlzZWFzZS4gQXBwZW5kZWN0b215IGFsb25lIHdhcyBzdWZmaWNpZW50IHN1cmdpY2FsIG1hbmFnZW1lbnQgZm9yIG1vc3QgQU5FVHMuIFBhdGllbnRzIHdpdGggcmlzayBmYWN0b3JzIGZvciBtZXRhc3RhdGljIGRpc2Vhc2UsIHJlZ2FyZGxlc3Mgb2YgcHJpbWFyeSBBTkVUIHNpemUsIHNob3VsZCBiZSBldmFsdWF0ZWQgdGhvcm91Z2hseSBhbmQgY291bnNlbGVkIGZvciBmdXJ0aGVyIG1hbmFnZW1lbnQgYW5kIHN1cnZlaWxsYW5jZS4iLCJwdWJsaXNoZXIiOiJBbm4gU3VyZyBPbmNvbCIsImlzc3VlIjoiMiIsInZvbHVtZSI6IjI4In0sImlzVGVtcG9yYXJ5IjpmYWxzZX1dfQ=="/>
          <w:id w:val="242769134"/>
        </w:sdtPr>
        <w:sdtContent>
          <w:r>
            <w:rPr/>
          </w:r>
          <w:r>
            <w:rPr>
              <w:color w:val="000000"/>
            </w:rPr>
            <w:t>(46)</w:t>
          </w:r>
        </w:sdtContent>
      </w:sdt>
      <w:r>
        <w:rPr/>
        <w:t>.</w:t>
      </w:r>
      <w:r>
        <w:rPr/>
        <w:t xml:space="preserve"> Incluso en estos casos, se considera un tratamiento paliativo, orientado al control tumoral y sintomático, no como una estrategia neoadyuvante.</w:t>
        <w:br/>
        <w:t xml:space="preserve">Por tanto, no existe indicación de terapia neoadyuvante en tumores neuroendocrinos apendiculares, ni en guías clínicas ni en la evidencia publicada hasta la fecha </w:t>
      </w:r>
      <w:sdt>
        <w:sdtPr>
          <w:placeholder>
            <w:docPart w:val="DefaultPlaceholder_-1854013440"/>
          </w:placeholder>
          <w:tag w:val="MENDELEY_CITATION_v3_eyJjaXRhdGlvbklEIjoiTUVOREVMRVlfQ0lUQVRJT05fYzM5YTU3OTAtNDVkMy00MWE4LWJlZjItZTUxZjg4MDhkN2ViIiwicHJvcGVydGllcyI6eyJub3RlSW5kZXgiOjB9LCJpc0VkaXRlZCI6ZmFsc2UsIm1hbnVhbE92ZXJyaWRlIjp7ImlzTWFudWFsbHlPdmVycmlkZGVuIjpmYWxzZSwiY2l0ZXByb2NUZXh0IjoiKDM5KSIsIm1hbnVhbE92ZXJyaWRlVGV4dCI6IiJ9LCJjaXRhdGlvbkl0ZW1zIjpbeyJpZCI6IjY3YTcxOGU2LTMyNmYtMzRiNS1hZjdlLWYyNGFmMzUxMDM4NSIsIml0ZW1EYXRhIjp7InR5cGUiOiJhcnRpY2xlLWpvdXJuYWwiLCJpZCI6IjY3YTcxOGU2LTMyNmYtMzRiNS1hZjdlLWYyNGFmMzUxMDM4NSIsInRpdGxlIjoiQVNPIFByYWN0aWNlIEd1aWRlbGluZXMgU2VyaWVzOiBTdXJnaWNhbCBNYW5hZ2VtZW50IG9mIEdhc3Ryb2ludGVzdGluYWwgKE1pZGd1dCkgTmV1cm9lbmRvY3JpbmUgTmVvcGxhc21zIiwiYXV0aG9yIjpbeyJmYW1pbHkiOiJIYWxsZXQiLCJnaXZlbiI6Ikp1bGllIiwicGFyc2UtbmFtZXMiOmZhbHNlLCJkcm9wcGluZy1wYXJ0aWNsZSI6IiIsIm5vbi1kcm9wcGluZy1wYXJ0aWNsZSI6IiJ9LHsiZmFtaWx5IjoiQ2xhcmtlIiwiZ2l2ZW4iOiJDYWxsaXNpYSBOLiIsInBhcnNlLW5hbWVzIjpmYWxzZSwiZHJvcHBpbmctcGFydGljbGUiOiIiLCJub24tZHJvcHBpbmctcGFydGljbGUiOiIifV0sImNvbnRhaW5lci10aXRsZSI6IkFubmFscyBvZiBzdXJnaWNhbCBvbmNvbG9neSIsImNvbnRhaW5lci10aXRsZS1zaG9ydCI6IkFubiBTdXJnIE9uY29sIiwiYWNjZXNzZWQiOnsiZGF0ZS1wYXJ0cyI6W1syMDI1LDQsMTJdXX0sIkRPSSI6IjEwLjEyNDUvUzEwNDM0LTAyMy0xNDgwMi04IiwiSVNTTiI6IjE1MzQtNDY4MSIsIlBNSUQiOiIzODE2NzgxMyIsIlVSTCI6Imh0dHBzOi8vcHVibWVkLm5jYmkubmxtLm5paC5nb3YvMzgxNjc4MTMvIiwiaXNzdWVkIjp7ImRhdGUtcGFydHMiOltbMjAyNF1dfSwicGFnZSI6IjE3MDQtMTcxMyIsImFic3RyYWN0IjoiR2FzdHJvaW50ZXN0aW5hbCBtaWRndXQgbmV1cm9lbmRvY3JpbmUgbmVvcGxhc21zIChORU5zKSBhcmUgYSBoZXRlcm9nZW5lb3VzIGdyb3VwIG9mIHVuY29tbW9uIG1hbGlnbmFuY2llcy4gRm9yIHdlbGwtZGlmZmVyZW50aWF0ZWQgTkVOcywga25vd24gYXMgbmV1cm9lbmRvY3JpbmUgdHVtb3JzIChORVRzKSwgc3VyZ2VyeSBpcyBhIGNvcm5lcnN0b25lIG9mIG1hbmFnZW1lbnQgaW4gbG9jYWxpemVkIGFuZCBtZXRhc3RhdGljIGRpc2Vhc2UuIEJlY2F1c2Ugb2YgaGV0ZXJvZ2VuZW91cyB0dW1vciBiZWhhdmlvdXIsIGFzc29jaWF0aW9uIHdpdGggZW5kb2NyaW5lIHN5bmRyb21lLCBhbmQgcHJvZ25vc2lzLCB0aGUgbWFuYWdlbWVudCBvZiBORVRzIG11c3QgYmUgaW5kaXZpZHVhbGl6ZWQgdG8gYWxsIHRoZXNlIGZhY3RvcnMgaW4gYWRkaXRpb24gdG8gdGhlIHByaW1hcnkgc2l0ZS4gV2l0aCB0aGUgZmFzdCBwYWNlIG9mIGFkdmFuY2VtZW50IGluIHRoZSBmaWVsZCwgYm90aCBmb3IgdGhlcmFwaWVzIGFuZCB1bmRlcnN0YW5kaW5nIG9mIHR1bW9yYWwgZXRpb2xvZ3kgYW5kIGJlaGF2aW91ciwgaXQgaXMgaW1wb3J0YW50IGZvciBzdXJnaWNhbCBvbmNvbG9naXN0cyB0byByZW1haW4gdXBkYXRlZCBvbiBndWlkZWxpbmVzIHJlY29tbWVuZGF0aW9ucyBhbmQgc3VnZ2VzdGVkIHRyZWF0bWVudCBwYXRod2F5cy4gVGhvc2UgZ3VpZGVsaW5lcyBwcm92aWRlIGltcG9ydGFudCBndWlkYW5jZSBmb3IgbWFuYWdlbWVudCBvZiBORVRzIGJ1dCBhcmUgbGFyZ2VseSBiYXNlZCBvbiBleHBlcnQgb3BpbmlvbnMgYW5kIGludGVycHJldGF0aW9uIG9mIHJldHJvc3BlY3RpdmUgZXZpZGVuY2UuIFRoaXMgYXJ0aWNsZSByZXZpZXdzIGhpZ2hsaWdodHMgb2YgbW9zdCByZWNlbnQgcHJhY3RpY2UgZ3VpZGVsaW5lcyBmb3IgbWlkZ3V0IChnYXN0cmljLCBkdW9kZW5hbCwgc21hbGwgaW50ZXN0aW5hbCwgYW5kIGFwcGVuZGljZWFsKSBORVRzLiIsInB1Ymxpc2hlciI6IkFubiBTdXJnIE9uY29sIiwiaXNzdWUiOiIzIiwidm9sdW1lIjoiMzEifSwiaXNUZW1wb3JhcnkiOmZhbHNlfV19"/>
          <w:id w:val="-1666083445"/>
        </w:sdtPr>
        <w:sdtContent>
          <w:r>
            <w:rPr/>
          </w:r>
          <w:r>
            <w:rPr>
              <w:rFonts w:eastAsia="MS Mincho"/>
              <w:color w:val="000000"/>
            </w:rPr>
            <w:t>(39)</w:t>
          </w:r>
        </w:sdtContent>
      </w:sdt>
    </w:p>
    <w:p>
      <w:pPr>
        <w:pStyle w:val="p1"/>
        <w:spacing w:lineRule="auto" w:line="360" w:before="280" w:after="280"/>
        <w:jc w:val="both"/>
        <w:rPr/>
      </w:pPr>
      <w:r>
        <w:rPr/>
        <w:t xml:space="preserve">En el contexto de </w:t>
      </w:r>
      <w:r>
        <w:rPr>
          <w:rStyle w:val="s1"/>
        </w:rPr>
        <w:t>HIPEC</w:t>
      </w:r>
      <w:r>
        <w:rPr/>
        <w:t>, no debe confundirse la quimioterapia intraperitoneal intraoperatoria con la quimioterapia sistémica convencional. Aunque ambas estrategias pueden ser complementarias, sus indicaciones y efectos son distintos, y se analizan en secciones específicas posteriores de este capítulo.</w:t>
      </w:r>
    </w:p>
    <w:p>
      <w:pPr>
        <w:pStyle w:val="Normal"/>
        <w:rPr>
          <w:rStyle w:val="s1"/>
        </w:rPr>
      </w:pPr>
      <w:r>
        <w:rPr/>
      </w:r>
    </w:p>
    <w:p>
      <w:pPr>
        <w:pStyle w:val="Heading3"/>
        <w:numPr>
          <w:ilvl w:val="2"/>
          <w:numId w:val="75"/>
        </w:numPr>
        <w:rPr/>
      </w:pPr>
      <w:bookmarkStart w:id="145" w:name="_Toc199584603"/>
      <w:bookmarkStart w:id="146" w:name="_Toc199583968"/>
      <w:bookmarkStart w:id="147" w:name="_Toc200580243"/>
      <w:r>
        <w:rPr/>
        <w:t>Quimioterapia adyuvante</w:t>
      </w:r>
      <w:bookmarkEnd w:id="145"/>
      <w:bookmarkEnd w:id="146"/>
      <w:bookmarkEnd w:id="147"/>
    </w:p>
    <w:p>
      <w:pPr>
        <w:pStyle w:val="p3"/>
        <w:spacing w:lineRule="auto" w:line="360" w:before="280" w:after="280"/>
        <w:jc w:val="both"/>
        <w:rPr/>
      </w:pPr>
      <w:r>
        <w:rPr/>
        <w:t>La quimioterapia adyuvante tiene como objetivo reducir el riesgo de recurrencia tras la resección quirúrgica completa del tumor primario. Su uso está indicado principalmente en los siguientes contextos:</w:t>
      </w:r>
    </w:p>
    <w:p>
      <w:pPr>
        <w:pStyle w:val="p1"/>
        <w:numPr>
          <w:ilvl w:val="0"/>
          <w:numId w:val="16"/>
        </w:numPr>
        <w:spacing w:lineRule="auto" w:line="360" w:before="280" w:after="0"/>
        <w:jc w:val="both"/>
        <w:rPr/>
      </w:pPr>
      <w:r>
        <w:rPr>
          <w:rStyle w:val="s1"/>
        </w:rPr>
        <w:t>Adenocarcinomas no mucinosos del apéndice</w:t>
      </w:r>
      <w:r>
        <w:rPr/>
        <w:t xml:space="preserve">, especialmente de alto grado, con invasión profunda o metástasis ganglionares (estadios III o IV), en los cuales se extrapola el esquema terapéutico del cáncer colorrectal </w:t>
      </w:r>
      <w:sdt>
        <w:sdtPr>
          <w:placeholder>
            <w:docPart w:val="DefaultPlaceholder_-1854013440"/>
          </w:placeholder>
          <w:tag w:val="MENDELEY_CITATION_v3_eyJjaXRhdGlvbklEIjoiTUVOREVMRVlfQ0lUQVRJT05fMDY2YjY3MTMtMjcyNC00ZDQ3LTliNDUtMGU3M2MyODg4ZGUxIiwicHJvcGVydGllcyI6eyJub3RlSW5kZXgiOjB9LCJpc0VkaXRlZCI6ZmFsc2UsIm1hbnVhbE92ZXJyaWRlIjp7ImlzTWFudWFsbHlPdmVycmlkZGVuIjpmYWxzZSwiY2l0ZXByb2NUZXh0IjoiKDI2KSIsIm1hbnVhbE92ZXJyaWRlVGV4dCI6IiJ9LCJjaXRhdGlvbkl0ZW1zIjpbeyJpZCI6ImUxNmY5YmFiLWM3YmEtM2NhNS05ZTNmLTM2MzMwYzBkYjQ2NyIsIml0ZW1EYXRhIjp7InR5cGUiOiJhcnRpY2xlLWpvdXJuYWwiLCJpZCI6ImUxNmY5YmFiLWM3YmEtM2NhNS05ZTNmLTM2MzMwYzBkYjQ2NyIsInRpdGxlIjoiQXBwZW5kaWNlYWwgYWRlbm9jYXJjaW5vbWE6IEN1cnJlbnQgY29uY2VwdHMgJiBjaGFsbGVuZ2VzIiwiYXV0aG9yIjpbeyJmYW1pbHkiOiJCZWxsIiwiZ2l2ZW4iOiJQaG9lbml4IEQuIiwicGFyc2UtbmFtZXMiOmZhbHNlLCJkcm9wcGluZy1wYXJ0aWNsZSI6IiIsIm5vbi1kcm9wcGluZy1wYXJ0aWNsZSI6IiJ9XSwiY29udGFpbmVyLXRpdGxlIjoiU2VtaW5hcnMgaW4gZGlhZ25vc3RpYyBwYXRob2xvZ3kiLCJjb250YWluZXItdGl0bGUtc2hvcnQiOiJTZW1pbiBEaWFnbiBQYXRob2wiLCJET0kiOiIxMC4xMDUzL0ouU0VNRFAuMjAyNC4wOC4wMDUiLCJJU1NOIjoiMDc0MC0yNTcwIiwiUE1JRCI6IjM5MjE0NzI1IiwiaXNzdWVkIjp7ImRhdGUtcGFydHMiOltbMjAyNF1dfSwicGFnZSI6IjIxMy0yMjEiLCJhYnN0cmFjdCI6IkFwcGVuZGljZWFsIGFkZW5vY2FyY2lub21hIChBcEFDKSBpcyBhIHJhcmUgbWFsaWduYW5jeSwgY29tcHJpc2luZyBsZXNzIHRoYW4gMSAlIG9mIGFsbCBnYXN0cm9pbnRlc3RpbmFsIHR1bW9ycy4gVGhlIGN1cnJlbnQgV29ybGQgSGVhbHRoIE9yZ2FuaXphdGlvbiBjbGFzc2lmaWVzIEFwQUMgYXMgbXVjaW5vdXMgb3Igbm9ubXVjaW5vdXMuIE11Y2lub3VzIEFwQUMgYXJlIGNvbXBvc2VkIG9mIHBvb2xzIG9mIG11Y2luIGxpbmVkIGJ5IGNlbGxzIHdpdGggbG93LSBhbmQgaGlnaC1ncmFkZSBjeXRvbG9neSBhbmQgYXJlYXMgb2YgaW5maWx0cmF0aXZlIGludmFzaW9uLiBOb25tdWNpbm91cyBBcEFDIGhpc3RvbG9naWNhbGx5IHJlc2VtYmxlIGNvbnZlbnRpb25hbCBjb2xvcmVjdGFsIGFkZW5vY2FyY2lub21hcyBhbmQgaGF2ZSBhIHdvcnNlIHByb2dub3NpcyB0aGFuIHRoZWlyIG11Y2lub3VzIGNvdW50ZXJwYXJ0LiBVbmZvcnR1bmF0ZWx5LCB0aGUgbm9tZW5jbGF0dXJlIGFuZCBoaXN0b2xvZ2ljIGNsYXNzaWZpY2F0aW9uIG9mIEFwQUMsIHNwZWNpZmljYWxseSB0aGUgbXVjaW5vdXMgc3VidHlwZSwgaGFzIGNoYW5nZWQgc2V2ZXJhbCB0aW1lcyB0aHJvdWdob3V0IHRoZSB5ZWFycywgY29udHJpYnV0aW5nIHRvIGRpYWdub3N0aWMgY29uZnVzaW9uIGZvciBwYXRob2xvZ2lzdHMuIFRoZSB0cmVhdG1lbnQgZm9yIG11Y2lub3VzIEFwQUMgZGlmZmVycyBmcm9tIHRoYXQgb2Ygb3RoZXIgYXBwZW5kaWNlYWwgbXVjaW5vdXMgbmVvcGxhc21zLCB0aHVzIGFjY3VyYXRlIGRpYWdub3NpcyBpcyBrZXkgdG8gcGF0aWVudCBtYW5hZ2VtZW50IGFuZCBvdXRjb21lLiBUaGlzIHJldmlldyBkaXNjdXNzZXMgdGhlIGN1cnJlbnQgY2xhc3NpZmljYXRpb24gYW5kIHN0YWdpbmcgb2YgQXBBQyB3aXRoIGEgcGFydGljdWxhciBlbXBoYXNpcyBvbiB0aGUgbXVjaW5vdXMgc3VidHlwZSBhbmQgcGVyaXRvbmVhbCBkaXNlYXNlLCBhcyB0aGVzZSBhcmVhcyBhcmUgdGhlIG1vc3QgY2hhbGxlbmdpbmcgZm9yIHByYWN0aWNpbmcgc3VyZ2ljYWwgcGF0aG9sb2dpc3RzLiIsInB1Ymxpc2hlciI6IlNlbWluIERpYWduIFBhdGhvbCIsImlzc3VlIjoiNSIsInZvbHVtZSI6IjQxIn0sImlzVGVtcG9yYXJ5IjpmYWxzZX1dfQ=="/>
          <w:id w:val="-167642623"/>
        </w:sdtPr>
        <w:sdtContent>
          <w:r>
            <w:rPr/>
          </w:r>
          <w:r>
            <w:rPr>
              <w:rFonts w:eastAsia="MS Mincho"/>
              <w:color w:val="000000"/>
            </w:rPr>
            <w:t>(26)</w:t>
          </w:r>
        </w:sdtContent>
      </w:sdt>
      <w:r>
        <w:rPr/>
        <w:t>.</w:t>
      </w:r>
    </w:p>
    <w:p>
      <w:pPr>
        <w:pStyle w:val="p1"/>
        <w:numPr>
          <w:ilvl w:val="0"/>
          <w:numId w:val="16"/>
        </w:numPr>
        <w:spacing w:lineRule="auto" w:line="360" w:before="0" w:after="0"/>
        <w:jc w:val="both"/>
        <w:rPr/>
      </w:pPr>
      <w:r>
        <w:rPr>
          <w:rStyle w:val="s1"/>
        </w:rPr>
        <w:t>Adenocarcinomas mucinosos de alto grado</w:t>
      </w:r>
      <w:r>
        <w:rPr/>
        <w:t>, con márgenes positivos, invasión perineural o linfovascular, o diseminación peritoneal microscópica.</w:t>
      </w:r>
    </w:p>
    <w:p>
      <w:pPr>
        <w:pStyle w:val="p1"/>
        <w:numPr>
          <w:ilvl w:val="0"/>
          <w:numId w:val="16"/>
        </w:numPr>
        <w:spacing w:lineRule="auto" w:line="360" w:before="0" w:after="0"/>
        <w:jc w:val="both"/>
        <w:rPr/>
      </w:pPr>
      <w:r>
        <w:rPr>
          <w:rStyle w:val="s1"/>
        </w:rPr>
        <w:t>Cánceres de células caliciformes</w:t>
      </w:r>
      <w:r>
        <w:rPr/>
        <w:t xml:space="preserve"> y </w:t>
      </w:r>
      <w:r>
        <w:rPr>
          <w:rStyle w:val="s1"/>
        </w:rPr>
        <w:t>adenoneuroendocrinos mixtos (MANEC)</w:t>
      </w:r>
      <w:r>
        <w:rPr/>
        <w:t>, en los cuales la agresividad histológica justifica el uso de quimioterapia adyuvante incluso en estadios localizados.</w:t>
      </w:r>
    </w:p>
    <w:p>
      <w:pPr>
        <w:pStyle w:val="p1"/>
        <w:numPr>
          <w:ilvl w:val="0"/>
          <w:numId w:val="16"/>
        </w:numPr>
        <w:spacing w:lineRule="auto" w:line="360" w:before="0" w:after="0"/>
        <w:jc w:val="both"/>
        <w:rPr/>
      </w:pPr>
      <w:r>
        <w:rPr>
          <w:rStyle w:val="s1"/>
        </w:rPr>
        <w:t>HAMN con invasión transmurales o peritoneales</w:t>
      </w:r>
      <w:r>
        <w:rPr/>
        <w:t>, aunque los datos disponibles siguen siendo limitados, el manejo debe individualizarse.</w:t>
      </w:r>
    </w:p>
    <w:p>
      <w:pPr>
        <w:pStyle w:val="p1"/>
        <w:numPr>
          <w:ilvl w:val="0"/>
          <w:numId w:val="16"/>
        </w:numPr>
        <w:spacing w:lineRule="auto" w:line="360" w:before="0" w:after="0"/>
        <w:jc w:val="both"/>
        <w:rPr/>
      </w:pPr>
      <w:r>
        <w:rPr/>
        <w:t xml:space="preserve">En los tumores neuroendocrinos apendiculares, no existe indicación de quimioterapia adyuvante, según las guías clínicas y la evidencia publicada hasta la fecha, incluso cuando presentan algunos factores de riesgo histológico </w:t>
      </w:r>
      <w:sdt>
        <w:sdtPr>
          <w:placeholder>
            <w:docPart w:val="DefaultPlaceholder_-1854013440"/>
          </w:placeholder>
          <w:tag w:val="MENDELEY_CITATION_v3_eyJjaXRhdGlvbklEIjoiTUVOREVMRVlfQ0lUQVRJT05fZmU5OWUxM2UtOTE5ZC00MGE4LTliM2MtYmIyZWRkNTU2MmI5IiwicHJvcGVydGllcyI6eyJub3RlSW5kZXgiOjB9LCJpc0VkaXRlZCI6ZmFsc2UsIm1hbnVhbE92ZXJyaWRlIjp7ImlzTWFudWFsbHlPdmVycmlkZGVuIjpmYWxzZSwiY2l0ZXByb2NUZXh0IjoiKDM5KSIsIm1hbnVhbE92ZXJyaWRlVGV4dCI6IiJ9LCJjaXRhdGlvbkl0ZW1zIjpbeyJpZCI6IjY3YTcxOGU2LTMyNmYtMzRiNS1hZjdlLWYyNGFmMzUxMDM4NSIsIml0ZW1EYXRhIjp7InR5cGUiOiJhcnRpY2xlLWpvdXJuYWwiLCJpZCI6IjY3YTcxOGU2LTMyNmYtMzRiNS1hZjdlLWYyNGFmMzUxMDM4NSIsInRpdGxlIjoiQVNPIFByYWN0aWNlIEd1aWRlbGluZXMgU2VyaWVzOiBTdXJnaWNhbCBNYW5hZ2VtZW50IG9mIEdhc3Ryb2ludGVzdGluYWwgKE1pZGd1dCkgTmV1cm9lbmRvY3JpbmUgTmVvcGxhc21zIiwiYXV0aG9yIjpbeyJmYW1pbHkiOiJIYWxsZXQiLCJnaXZlbiI6Ikp1bGllIiwicGFyc2UtbmFtZXMiOmZhbHNlLCJkcm9wcGluZy1wYXJ0aWNsZSI6IiIsIm5vbi1kcm9wcGluZy1wYXJ0aWNsZSI6IiJ9LHsiZmFtaWx5IjoiQ2xhcmtlIiwiZ2l2ZW4iOiJDYWxsaXNpYSBOLiIsInBhcnNlLW5hbWVzIjpmYWxzZSwiZHJvcHBpbmctcGFydGljbGUiOiIiLCJub24tZHJvcHBpbmctcGFydGljbGUiOiIifV0sImNvbnRhaW5lci10aXRsZSI6IkFubmFscyBvZiBzdXJnaWNhbCBvbmNvbG9neSIsImNvbnRhaW5lci10aXRsZS1zaG9ydCI6IkFubiBTdXJnIE9uY29sIiwiYWNjZXNzZWQiOnsiZGF0ZS1wYXJ0cyI6W1syMDI1LDQsMTJdXX0sIkRPSSI6IjEwLjEyNDUvUzEwNDM0LTAyMy0xNDgwMi04IiwiSVNTTiI6IjE1MzQtNDY4MSIsIlBNSUQiOiIzODE2NzgxMyIsIlVSTCI6Imh0dHBzOi8vcHVibWVkLm5jYmkubmxtLm5paC5nb3YvMzgxNjc4MTMvIiwiaXNzdWVkIjp7ImRhdGUtcGFydHMiOltbMjAyNF1dfSwicGFnZSI6IjE3MDQtMTcxMyIsImFic3RyYWN0IjoiR2FzdHJvaW50ZXN0aW5hbCBtaWRndXQgbmV1cm9lbmRvY3JpbmUgbmVvcGxhc21zIChORU5zKSBhcmUgYSBoZXRlcm9nZW5lb3VzIGdyb3VwIG9mIHVuY29tbW9uIG1hbGlnbmFuY2llcy4gRm9yIHdlbGwtZGlmZmVyZW50aWF0ZWQgTkVOcywga25vd24gYXMgbmV1cm9lbmRvY3JpbmUgdHVtb3JzIChORVRzKSwgc3VyZ2VyeSBpcyBhIGNvcm5lcnN0b25lIG9mIG1hbmFnZW1lbnQgaW4gbG9jYWxpemVkIGFuZCBtZXRhc3RhdGljIGRpc2Vhc2UuIEJlY2F1c2Ugb2YgaGV0ZXJvZ2VuZW91cyB0dW1vciBiZWhhdmlvdXIsIGFzc29jaWF0aW9uIHdpdGggZW5kb2NyaW5lIHN5bmRyb21lLCBhbmQgcHJvZ25vc2lzLCB0aGUgbWFuYWdlbWVudCBvZiBORVRzIG11c3QgYmUgaW5kaXZpZHVhbGl6ZWQgdG8gYWxsIHRoZXNlIGZhY3RvcnMgaW4gYWRkaXRpb24gdG8gdGhlIHByaW1hcnkgc2l0ZS4gV2l0aCB0aGUgZmFzdCBwYWNlIG9mIGFkdmFuY2VtZW50IGluIHRoZSBmaWVsZCwgYm90aCBmb3IgdGhlcmFwaWVzIGFuZCB1bmRlcnN0YW5kaW5nIG9mIHR1bW9yYWwgZXRpb2xvZ3kgYW5kIGJlaGF2aW91ciwgaXQgaXMgaW1wb3J0YW50IGZvciBzdXJnaWNhbCBvbmNvbG9naXN0cyB0byByZW1haW4gdXBkYXRlZCBvbiBndWlkZWxpbmVzIHJlY29tbWVuZGF0aW9ucyBhbmQgc3VnZ2VzdGVkIHRyZWF0bWVudCBwYXRod2F5cy4gVGhvc2UgZ3VpZGVsaW5lcyBwcm92aWRlIGltcG9ydGFudCBndWlkYW5jZSBmb3IgbWFuYWdlbWVudCBvZiBORVRzIGJ1dCBhcmUgbGFyZ2VseSBiYXNlZCBvbiBleHBlcnQgb3BpbmlvbnMgYW5kIGludGVycHJldGF0aW9uIG9mIHJldHJvc3BlY3RpdmUgZXZpZGVuY2UuIFRoaXMgYXJ0aWNsZSByZXZpZXdzIGhpZ2hsaWdodHMgb2YgbW9zdCByZWNlbnQgcHJhY3RpY2UgZ3VpZGVsaW5lcyBmb3IgbWlkZ3V0IChnYXN0cmljLCBkdW9kZW5hbCwgc21hbGwgaW50ZXN0aW5hbCwgYW5kIGFwcGVuZGljZWFsKSBORVRzLiIsInB1Ymxpc2hlciI6IkFubiBTdXJnIE9uY29sIiwiaXNzdWUiOiIzIiwidm9sdW1lIjoiMzEifSwiaXNUZW1wb3JhcnkiOmZhbHNlfV19"/>
          <w:id w:val="17672700"/>
        </w:sdtPr>
        <w:sdtContent>
          <w:r>
            <w:rPr/>
          </w:r>
          <w:r>
            <w:rPr>
              <w:rFonts w:eastAsia="MS Mincho"/>
              <w:color w:val="000000"/>
            </w:rPr>
            <w:t>(39)</w:t>
          </w:r>
        </w:sdtContent>
      </w:sdt>
    </w:p>
    <w:p>
      <w:pPr>
        <w:pStyle w:val="p1"/>
        <w:numPr>
          <w:ilvl w:val="0"/>
          <w:numId w:val="16"/>
        </w:numPr>
        <w:spacing w:lineRule="auto" w:line="360" w:before="0" w:after="0"/>
        <w:jc w:val="both"/>
        <w:rPr/>
      </w:pPr>
      <w:r>
        <w:rPr/>
        <w:t xml:space="preserve">En los carcinomas mixtos epiteliales, la cirugía se complementa con quimioterapia adyuvante basada en esquemas similares a los utilizados en el adenocarcinoma colorrectal. La posibilidad de realizar una citorreducción peritoneal con HIPEC debe evaluarse de forma individualizada, dada la eficacia limitada de esta estrategia en casos con enfermedad agresiva y de difícil control </w:t>
      </w:r>
      <w:sdt>
        <w:sdtPr>
          <w:placeholder>
            <w:docPart w:val="DefaultPlaceholder_-1854013440"/>
          </w:placeholder>
          <w:tag w:val="MENDELEY_CITATION_v3_eyJjaXRhdGlvbklEIjoiTUVOREVMRVlfQ0lUQVRJT05fNjgyMGE5ZDktYjQ2YS00MzQyLTlhYTQtZjZhNTcxNDhjYmRhIiwicHJvcGVydGllcyI6eyJub3RlSW5kZXgiOjB9LCJpc0VkaXRlZCI6ZmFsc2UsIm1hbnVhbE92ZXJyaWRlIjp7ImlzTWFudWFsbHlPdmVycmlkZGVuIjpmYWxzZSwiY2l0ZXByb2NUZXh0IjoiKDQ3KSIsIm1hbnVhbE92ZXJyaWRlVGV4dCI6IiJ9LCJjaXRhdGlvbkl0ZW1zIjpbeyJpZCI6IjQ1NjE0YzczLWMxYTMtMzk4YS1iZTQzLWQ5OGJmZjg0NzdiZiIsIml0ZW1EYXRhIjp7InR5cGUiOiJhcnRpY2xlLWpvdXJuYWwiLCJpZCI6IjQ1NjE0YzczLWMxYTMtMzk4YS1iZTQzLWQ5OGJmZjg0NzdiZiIsInRpdGxlIjoiU3lzdGVtaWMgQ2hlbW90aGVyYXB5IGZvciBIaWdoLUdyYWRlIE11Y2lub3VzIEFwcGVuZGljZWFsIENhbmNlciB3aXRoIFBlcml0b25lYWwgU3ByZWFkIEFmdGVyIFVuc3VjY2Vzc2Z1bCBDUlMvSElQRUMiLCJhdXRob3IiOlt7ImZhbWlseSI6IkJhcm9uIiwiZ2l2ZW4iOiJFa2F0ZXJpbmEiLCJwYXJzZS1uYW1lcyI6ZmFsc2UsImRyb3BwaW5nLXBhcnRpY2xlIjoiIiwibm9uLWRyb3BwaW5nLXBhcnRpY2xlIjoiIn0seyJmYW1pbHkiOiJTYXJkaSIsImdpdmVuIjoiQXJtYW5kbyIsInBhcnNlLW5hbWVzIjpmYWxzZSwiZHJvcHBpbmctcGFydGljbGUiOiIiLCJub24tZHJvcHBpbmctcGFydGljbGUiOiIifSx7ImZhbWlseSI6IktpbmciLCJnaXZlbiI6Ik1hcnkgQ2FpdGxpbiIsInBhcnNlLW5hbWVzIjpmYWxzZSwiZHJvcHBpbmctcGFydGljbGUiOiIiLCJub24tZHJvcHBpbmctcGFydGljbGUiOiIifSx7ImZhbWlseSI6Ik5pa2lmb3JjaGluIiwiZ2l2ZW4iOiJBbmRyZWkiLCJwYXJzZS1uYW1lcyI6ZmFsc2UsImRyb3BwaW5nLXBhcnRpY2xlIjoiIiwibm9uLWRyb3BwaW5nLXBhcnRpY2xlIjoiIn0seyJmYW1pbHkiOiJMb3Blei1SYW1pcmV6IiwiZ2l2ZW4iOiJGZWxpcGUiLCJwYXJzZS1uYW1lcyI6ZmFsc2UsImRyb3BwaW5nLXBhcnRpY2xlIjoiIiwibm9uLWRyb3BwaW5nLXBhcnRpY2xlIjoiIn0seyJmYW1pbHkiOiJOaWVyb2RhIiwiZ2l2ZW4iOiJDYXJvbCIsInBhcnNlLW5hbWVzIjpmYWxzZSwiZHJvcHBpbmctcGFydGljbGUiOiIiLCJub24tZHJvcHBpbmctcGFydGljbGUiOiIifSx7ImZhbWlseSI6Ikd1c2hjaGluIiwiZ2l2ZW4iOiJWYWRpbSIsInBhcnNlLW5hbWVzIjpmYWxzZSwiZHJvcHBpbmctcGFydGljbGUiOiIiLCJub24tZHJvcHBpbmctcGFydGljbGUiOiIifSx7ImZhbWlseSI6IkxlZGFraXMiLCJnaXZlbiI6IlBhbmF5b3RpcyIsInBhcnNlLW5hbWVzIjpmYWxzZSwiZHJvcHBpbmctcGFydGljbGUiOiIiLCJub24tZHJvcHBpbmctcGFydGljbGUiOiIifV0sImNvbnRhaW5lci10aXRsZSI6IkFubmFscyBvZiBzdXJnaWNhbCBvbmNvbG9neSIsImNvbnRhaW5lci10aXRsZS1zaG9ydCI6IkFubiBTdXJnIE9uY29sIiwiRE9JIjoiMTAuMTI0NS9TMTA0MzQtMDIyLTExODk0LTYiLCJJU1NOIjoiMTUzNC00NjgxIiwiUE1JRCI6IjM1NjQxNzEwIiwiaXNzdWVkIjp7ImRhdGUtcGFydHMiOltbMjAyMl1dfSwicGFnZSI6IjY1ODEtNjU4OSIsImFic3RyYWN0IjoiQmFja2dyb3VuZDogVGhlIGJlc3QgbWFuYWdlbWVudCBvZiBwYXRpZW50cyB3aG8gaGF2ZSB1bnJlc2VjdGFibGUgbXVjaW5vdXMgYXBwZW5kaWNlYWwgY2FuY2VyIChNQUMpIHdpdGggcGVyaXRvbmVhbCBzcHJlYWQgYWZ0ZXIgYSBmYWlsZWQgYXR0ZW1wdCBhdCBjeXRvcmVkdWN0aXZlIHN1cmdlcnkgKENSUykgd2l0aCBoeXBlcnRoZXJtaWMgaW50cmFwZXJpdG9uZWFsIGNoZW1vdGhlcmFweSAoSElQRUMpIGlzIHVuY2xlYXIuIFRoaXMgc3R1ZHkgYWltZWQgdG8gYXNzZXNzIG91dGNvbWVzIGFmdGVyIHN5c3RlbWljIGNoZW1vdGhlcmFweSAoU0NUKSBmb3IgcGF0aWVudHMgd2l0aCB1bnJlc2VjdGFibGUgcGVyaXRvbmVhbCBtZXRhc3Rhc2VzIGZyb20gaGlnaC1ncmFkZSBNQUMuIE1ldGhvZHM6IEEgc2luZ2xlLWNlbnRlciByZXRyb3NwZWN0aXZlIGNvaG9ydCBzdHVkeSB3YXMgY29uZHVjdGVkIHVzaW5nIGEgcHJvc3BlY3RpdmUgQ1JTL0hJUEVDIGRhdGFiYXNlLiBUaGUgc3R1ZHkgaW5jbHVkZWQgaGlnaC1ncmFkZSBNQUMgcGF0aWVudHMgd2l0aCBwZXJpdG9uZWFsIGNhcmNpbm9tYXRvc2lzIHdobyB3ZXJlIGRlZW1lZCBzdXJnaWNhbCBjYW5kaWRhdGVzLCBidXQgaGFkIGFuIGFib3J0ZWQgQ1JTL0hJUEVDIG9yIG9ubHkgcGFsbGlhdGl2ZSBISVBFQyBkdWUgdG8gdW5yZXNlY3RhYmxlIGRpc2Vhc2UuIE92ZXJhbGwgc3Vydml2YWwgKE9TKSB3YXMgY29tcGFyZWQuIFJlc3VsdHM6IE9mIDcyIGlkZW50aWZpZWQgcGF0aWVudHMsIDIwIHJlY2VpdmVkIFNDVCBhbmQgNTIgZGlkIG5vdCAoTm9DVCkuIFRoZSBncm91cHMgd2VyZSBiYWxhbmNlZCBieSBhZ2UgKHAgPSAwLjI5OSksIHNleCAocCA9IDAuOTMwKSwgaGlzdG9wYXRob2xvZ2ljIHN1YnR5cGUgKHAgPSAwLjA5NiksIHByZW9wZXJhdGl2ZSBjaGVtb3RoZXJhcHkgKHAgPSAwLjk4MSksIGFuZCBwb3N0b3BlcmF0aXZlIG1ham9yIGNvbXBsaWNhdGlvbiByYXRlcyAocCA9IDAuMzM4KS4gQm90aCBncm91cHMgaGFkIGV4dGVuc2l2ZSBkaXNlYXNlIChtZWRpYW4gcGVyaXRvbmVhbCBjYW5jZXIgaW5kZXggYXQgZXhwbG9yYXRpb24sIDM5IHZzIDM5KS4gVGhlIG1lZGlhbiBudW1iZXIgb2YgY3ljbGVzIHdhcyAxMiAoaW50ZXJxdWFydGlsZSByYW5nZSBbSVFSXSwgNuKAkzE1KSwgYW5kIHRoZSBtZWRpYW4gdGltZSBiZXR3ZWVuIHRoZSBwcm9jZWR1cmUgYW5kIFNDVCB3YXMgNyB3ZWVrcyAoSVFSLCA14oCTMTAgd2Vla3MpLiBUaGUgbWVkaWFuIGZvbGxvdy11cCBwZXJpb2Qgd2FzIDY1IG1vbnRocy4gVGhlIG1lZGlhbiBPUyB3YXMgc2lnbmlmaWNhbnRseSBoaWdoZXIgZm9yIHRoZSBTQ1QgZ3JvdXAgKDI2IG1vbnRoczsgOTUgJSBjb25maWRlbmNlIGludGVydmFsIFtDSV0sIDEwLjjigJM0MS41IG1vbnRocykgdGhhbiBmb3IgdGhlIE5vQ1QgZ3JvdXAgKDEyIG1vbnRoczsgOTUgJSBDSSwgOS424oCTMTQuNCBtb250aHMpIChwIDwgMC4wMDEpLCB3aXRoIGhhemFyZCByYXRpbyAoSFIpIG9mIDAuMjIgKDk1ICUgQ0ksIDAuMDjigJMwLjY2OyBwID0gMC4wMDcpIGFmdGVyIGFkanVzdG1lbnQgZm9yIG90aGVyIGZhY3RvcnMuIENvbmNsdXNpb246IFN5c3RlbWljIGNoZW1vdGhlcmFweSBpcyBhc3NvY2lhdGVkIHdpdGggaW1wcm92ZWQgT1MgZm9yIGhpZ2gtZ3JhZGUgTUFDIHBhdGllbnRzIHdpdGggdW5yZXNlY3RhYmxlIHBlcml0b25lYWwgbWV0YXN0YXNlcyB3aG8gYXJlIGRlZW1lZCBzdXJnaWNhbCBjYW5kaWRhdGVzIGJ1dCB1bmRlcndlbnQgYW4gdW5zdWNjZXNzZnVsIENSUy9ISVBFQyBhdHRlbXB0LiBGdXJ0aGVyIHByb3NwZWN0aXZlIHN0dWRpZXMgd2l0aCBhIGxhcmdlciBzYW1wbGUgYXJlIHJlcXVpcmVkIHRvIGlkZW50aWZ5IHBhdGllbnQgc3ViZ3JvdXBzIHdobyBiZW5lZml0IHRoZSBtb3N0IGZyb20gU0NULiIsInB1Ymxpc2hlciI6IkFubiBTdXJnIE9uY29sIiwiaXNzdWUiOiIxMSIsInZvbHVtZSI6IjI5In0sImlzVGVtcG9yYXJ5IjpmYWxzZX1dfQ=="/>
          <w:id w:val="808287389"/>
        </w:sdtPr>
        <w:sdtContent>
          <w:r>
            <w:rPr/>
          </w:r>
          <w:r>
            <w:rPr>
              <w:color w:val="000000"/>
            </w:rPr>
            <w:t>(47)</w:t>
          </w:r>
        </w:sdtContent>
      </w:sdt>
    </w:p>
    <w:p>
      <w:pPr>
        <w:pStyle w:val="p3"/>
        <w:numPr>
          <w:ilvl w:val="0"/>
          <w:numId w:val="16"/>
        </w:numPr>
        <w:spacing w:lineRule="auto" w:line="360" w:before="280" w:after="280"/>
        <w:jc w:val="both"/>
        <w:rPr/>
      </w:pPr>
      <w:r>
        <w:rPr/>
        <w:t>En contraste, en las neoplasias mucinosas de bajo grado (LAMN) sin evidencia de diseminación, no se indica quimioterapia adyuvante, debido a su comportamiento clínico indolente y baja tasa de progresión, incluso en presencia de mucina extracelular acelular.</w:t>
      </w:r>
    </w:p>
    <w:p>
      <w:pPr>
        <w:pStyle w:val="p3"/>
        <w:spacing w:lineRule="auto" w:line="360" w:before="280" w:after="280"/>
        <w:jc w:val="both"/>
        <w:rPr/>
      </w:pPr>
      <w:r>
        <w:rPr/>
        <w:t xml:space="preserve">Los esquemas más utilizados en estos contextos incluyen combinaciones de fluoropirimidinas (5-FU o capecitabina) con oxaliplatino (FOLFOX o CAPOX), similares a los empleados en el tratamiento del cáncer colorrectal </w:t>
      </w:r>
      <w:sdt>
        <w:sdtPr>
          <w:placeholder>
            <w:docPart w:val="DefaultPlaceholder_-1854013440"/>
          </w:placeholder>
          <w:tag w:val="MENDELEY_CITATION_v3_eyJjaXRhdGlvbklEIjoiTUVOREVMRVlfQ0lUQVRJT05fZjYxOTdlZDQtMjM2YS00N2MxLWE5ZGItNDc5Mzg1NDg0OTJlIiwicHJvcGVydGllcyI6eyJub3RlSW5kZXgiOjB9LCJpc0VkaXRlZCI6ZmFsc2UsIm1hbnVhbE92ZXJyaWRlIjp7ImlzTWFudWFsbHlPdmVycmlkZGVuIjpmYWxzZSwiY2l0ZXByb2NUZXh0IjoiKDQ4KSIsIm1hbnVhbE92ZXJyaWRlVGV4dCI6IiJ9LCJjaXRhdGlvbkl0ZW1zIjpbeyJpZCI6IjgzNzhmMDA1LTJiMjItM2Y1Ni1iM2U1LTdiMmM3NTMzZTE0NyIsIml0ZW1EYXRhIjp7InR5cGUiOiJhcnRpY2xlLWpvdXJuYWwiLCJpZCI6IjgzNzhmMDA1LTJiMjItM2Y1Ni1iM2U1LTdiMmM3NTMzZTE0NyIsInRpdGxlIjoiSW1wYWN0IG9mIGhpZ2gtcmlzayBmZWF0dXJlcyBmb3Igc3RhZ2UgSUkgYWRlbm9jYXJjaW5vbWEgb2YgdGhlIGFwcGVuZGl4IiwiYXV0aG9yIjpbeyJmYW1pbHkiOiJBa2NlIiwiZ2l2ZW4iOiJNZWhtZXQiLCJwYXJzZS1uYW1lcyI6ZmFsc2UsImRyb3BwaW5nLXBhcnRpY2xlIjoiIiwibm9uLWRyb3BwaW5nLXBhcnRpY2xlIjoiIn0seyJmYW1pbHkiOiJaYWtrYSIsImdpdmVuIjoiS2F0ZXJpbmEiLCJwYXJzZS1uYW1lcyI6ZmFsc2UsImRyb3BwaW5nLXBhcnRpY2xlIjoiIiwibm9uLWRyb3BwaW5nLXBhcnRpY2xlIjoiIn0seyJmYW1pbHkiOiJQZW5sZXkiLCJnaXZlbiI6Ik1jS2VubmEiLCJwYXJzZS1uYW1lcyI6ZmFsc2UsImRyb3BwaW5nLXBhcnRpY2xlIjoiIiwibm9uLWRyb3BwaW5nLXBhcnRpY2xlIjoiIn0seyJmYW1pbHkiOiJKaWFuZyIsImdpdmVuIjoiUmVuamlhbiIsInBhcnNlLW5hbWVzIjpmYWxzZSwiZHJvcHBpbmctcGFydGljbGUiOiIiLCJub24tZHJvcHBpbmctcGFydGljbGUiOiIifSx7ImZhbWlseSI6IktoYWxpbCIsImdpdmVuIjoiTGFuYSIsInBhcnNlLW5hbWVzIjpmYWxzZSwiZHJvcHBpbmctcGFydGljbGUiOiIiLCJub24tZHJvcHBpbmctcGFydGljbGUiOiIifSx7ImZhbWlseSI6IkFsZXNlIiwiZ2l2ZW4iOiJPbGF0dW5qaSBCLiIsInBhcnNlLW5hbWVzIjpmYWxzZSwiZHJvcHBpbmctcGFydGljbGUiOiIiLCJub24tZHJvcHBpbmctcGFydGljbGUiOiIifSx7ImZhbWlseSI6IlNoYWliIiwiZ2l2ZW4iOiJXYWxpZCBMLiIsInBhcnNlLW5hbWVzIjpmYWxzZSwiZHJvcHBpbmctcGFydGljbGUiOiIiLCJub24tZHJvcHBpbmctcGFydGljbGUiOiIifSx7ImZhbWlseSI6Ild1IiwiZ2l2ZW4iOiJDaHJpc3RpbmEiLCJwYXJzZS1uYW1lcyI6ZmFsc2UsImRyb3BwaW5nLXBhcnRpY2xlIjoiIiwibm9uLWRyb3BwaW5nLXBhcnRpY2xlIjoiIn0seyJmYW1pbHkiOiJCZWhlcmEiLCJnaXZlbiI6Ik1hZGh1c21pdGEiLCJwYXJzZS1uYW1lcyI6ZmFsc2UsImRyb3BwaW5nLXBhcnRpY2xlIjoiIiwibm9uLWRyb3BwaW5nLXBhcnRpY2xlIjoiIn0seyJmYW1pbHkiOiJFbC1SYXllcyIsImdpdmVuIjoiQmFzc2VsIEYuIiwicGFyc2UtbmFtZXMiOmZhbHNlLCJkcm9wcGluZy1wYXJ0aWNsZSI6IiIsIm5vbi1kcm9wcGluZy1wYXJ0aWNsZSI6IiJ9XSwiY29udGFpbmVyLXRpdGxlIjoiQ2FuY2VyIHRyZWF0bWVudCBhbmQgcmVzZWFyY2ggY29tbXVuaWNhdGlvbnMiLCJjb250YWluZXItdGl0bGUtc2hvcnQiOiJDYW5jZXIgVHJlYXQgUmVzIENvbW11biIsIkRPSSI6IjEwLjEwMTYvSi5DVEFSQy4yMDIxLjEwMDMyOSIsIklTU04iOiIyNDY4LTI5NDIiLCJQTUlEIjoiMzM2MDk5NzMiLCJpc3N1ZWQiOnsiZGF0ZS1wYXJ0cyI6W1syMDIxXV19LCJhYnN0cmFjdCI6IkJhY2tncm91bmQ6IENsaW5pY28tcGF0aG9sb2dpY2FsIGhpZ2gtcmlzayBmZWF0dXJlcyBhcmUgZnJlcXVlbnRseSB1dGlsaXplZCBpbiBhZGp1dmFudCBjaGVtb3RoZXJhcHkgKEFDKSBkZWNpc2lvbnMgaW4gc3RhZ2UgSUkgY29sb3JlY3RhbCBjYW5jZXIgYW5kIHRoZWlyIHV0aWxpdHkgaW4gc3RhZ2UgSUkgYXBwZW5kaWNlYWwgYWRlbm9jYXJjaW5vbWEgKEFBKSBpcyBub3QgZXN0YWJsaXNoZWQuIFRoZSBhaW0gb2YgdGhpcyBzdHVkeSBpcyB0byBkZXRlcm1pbmUgdGhlIGltcGFjdCBvZiBoaWdoLXJpc2sgZmVhdHVyZXMgaW4gY2xpbmljYWwgb3V0Y29tZXMgYW5kIHdoZXRoZXIgaGlnaCByaXNrIGZlYXR1cmVzIGFyZSBwcmVkaWN0aXZlIG9mIEFDIGJlbmVmaXQgaW4gc3RhZ2UgSUkgQUEuIE1ldGhvZHM6IFBhdGllbnRzIHdpdGggcGF0aG9sb2dpY2FsIHN0YWdlIElJIEFBIGJldHdlZW4gMjAxMCBhbmQgMjAxNSB3ZXJlIGlkZW50aWZpZWQgZnJvbSB0aGUgTmF0aW9uYWwgQ2FuY2VyIERhdGFiYXNlIChOQ0RCKSB1c2luZyBJQ0QtTy0zIG1vcnBob2xvZ3kgYW5kIHRvcG9ncmFwaHkgY29kZXM6IDgxNDAsIDg0ODAgYW5kIEMxOC4xLiBIaWdoIHJpc2sgc3RhZ2UgSUkgQUEgd2FzIGRlZmluZWQgYXMgaGF2aW5nIGF0IGxlYXN0IG9uZSBvZiB0aGUgZm9sbG93aW5nIGNsaW5pY29wYXRob2xvZ2ljYWwgZmVhdHVyZXM6IFQ0IHR1bW9yLCA8MTIgbHltcGggbm9kZXMgZXhhbWluZWQsIHBvb3JseSBkaWZmZXJlbnRpYXRlZCBoaXN0b2xvZ3ksIHBvc2l0aXZlIG1hcmdpbnMsIG9yIGx5bXBob3Zhc2N1bGFyIGludmFzaW9uLiBQYXRpZW50cyB3aXRoIG5vbmUgb2YgdGhlc2UgZmVhdHVyZXMgd2VyZSBkZWZpbmVkIGFzIGxvdy1yaXNrLiBSZXN1bHRzOiBBIHRvdGFsIG9mIDEwNDAgcGF0aWVudHMgd2l0aCBwYXRob2xvZ2ljYWwgc3RhZ2UgSUkgQUEgd2VyZSBpZGVudGlmaWVkLiA1MS4wJSBtYWxlcywgODQuNSUgQ2F1Y2FzaWFuOyBtZWRpYW4gYWdlIDYxIChyYW5nZSwgMTnigJM5MCkuIDQ2LjQlIHdlcmUgZGV0ZXJtaW5lZCB0byBoYXZlIGhpZ2gtcmlzayBzdGFnZSBJSSBBQS4gSGlnaC1yaXNrIHN0YXR1cyB3YXMgYXNzb2NpYXRlZCB3aXRoIHdvcnNlIE9TIGNvbXBhcmVkIHRvIGxvdy1yaXNrIGluIHVuaXZhcmlhdGUgKEhSIDEuNTU7IDk1JSBDSSAxLjE44oCTMi4wMjsgcCA9IDAuMDAxKSBhbmQgbXVsdGl2YXJpYWJsZSBhbmFseXNlcyAoSFIgMS4zNjsgOTUlIENJIDEuMDPigJMxLjc5OyBwID0gMC4wMjgpLiBIaWdoLXJpc2sgc3RhZ2UgSUkgQUEgcGF0aWVudHMgaGFkIHNpZ25pZmljYW50bHkgd29yc2UgNS15ZWFyIE9TIGNvbXBhcmVkIHRvIGxvdy1yaXNrIHBhdGllbnRzICg2Ny4xJSB2cy4gNzQuNSUsIHAgPSAwLjAwMTMpLiBBQyB3YXMgYWRtaW5pc3RlcmVkIGluIDM0LjQlIChuID0gMTY2KSBvZiBoaWdoLXJpc2sgcGF0aWVudHMgYW5kIGluIDM2LjUlIChuID0gMjAzKSBvZiBsb3ctcmlzayBwYXRpZW50cy4gQW1vbmcgaGlnaC1yaXNrIHBhdGllbnRzLCBBQyB3YXMgbm90IGFzc29jaWF0ZWQgd2l0aCBiZXR0ZXIgT1MgaW4gdW5pdmFyaWF0ZSAoSFIgMC44NjsgOTUlIENJIDAuNTnigJMxLjI2OyBwID0gMC40NDgpIGFuZCBtdWx0aXZhcmlhYmxlIGFuYWx5c2VzIChIUiAxLjM1OyA5NSUgQ0kgMC45MOKAkzIuMDQ7IHAgPSAwLjE1MSkgY29tcGFyZWQgdG8gbm8gQUMuIFNpbWlsYXJseSwgYW1vbmcgbG93LXJpc2sgcGF0aWVudHMsIEFDIHdhcyBub3QgYXNzb2NpYXRlZCB3aXRoIGJldHRlciBPUyBpbiB1bml2YXJpYXRlIChIUiAwLjkyOyA5NSUgQ0kgMC42MOKAkzEuMzk7IHAgPSAwLjY3OSkgYW5kIG11bHRpdmFyaWFibGUgYW5hbHlzZXMgKEhSIDEuMjc7IDk1JSBDSSAwLjgx4oCTMi4wMjsgcCA9IDAuMjk5KSBjb21wYXJlZCB0byBubyBBQy4gRm9yIGhpZ2gtcmlzayBwYXRpZW50cywgNS15ZWFyIE9TIHdhcyA2OC4zJSBpbiBwYXRpZW50cyB0aGF0IHJlY2VpdmVkIEFDIHZzLiA2Ni41JSBpbiBwYXRpZW50cyB0aGF0IGRpZCBub3QgKHAgPSAwLjcyMikuIEZvciBsb3ctcmlzayBwYXRpZW50cywgNS15ZWFyIE9TIHdhcyA3NC4wJSBpbiBwYXRpZW50cyB0aGF0IHJlY2VpdmVkIEFDIHZzLiA3Ni4zJSBpbiBwYXRpZW50cyB0aGF0IGRpZCBub3QgKHAgPSAwLjgxMykuIENvbmNsdXNpb246IEhpZ2gtcmlzayBzdGFnZSBJSSBBQSBwYXRpZW50cyBoYWQgc2lnbmlmaWNhbnRseSB3b3JzZSA1LXllYXIgT1MgY29tcGFyZWQgdG8gbG93LXJpc2sgcGF0aWVudHMuIEFDIGRpZCBub3QgaW1wcm92ZSBzdXJ2aXZhbCByZWdhcmRsZXNzIG9mIGhpZ2gtcmlzayBmZWF0dXJlcyBpbiBzdGFnZSBJSSBBQSBpbiB0aGlzIHJldHJvc3BlY3RpdmUgc3R1ZHkuIEEgcHJvc3BlY3RpdmUgcmFuZG9taXplZCBjbGluaWNhbCB0cmlhbCB3b3VsZCBiZSByZXF1aXJlZCB0byBkZXRlcm1pbmUgdGhlIGltcGFjdCBvZiBoaWdoLXJpc2sgZmVhdHVyZXMgb24gQUMgaW4gc3RhZ2UgSUkgQUEuIiwicHVibGlzaGVyIjoiQ2FuY2VyIFRyZWF0IFJlcyBDb21tdW4iLCJ2b2x1bWUiOiIyNyJ9LCJpc1RlbXBvcmFyeSI6ZmFsc2V9XX0="/>
          <w:id w:val="1897470858"/>
        </w:sdtPr>
        <w:sdtContent>
          <w:r>
            <w:rPr/>
          </w:r>
          <w:r>
            <w:rPr>
              <w:rFonts w:eastAsia="MS Mincho"/>
              <w:color w:val="000000"/>
            </w:rPr>
            <w:t>(48)</w:t>
          </w:r>
        </w:sdtContent>
      </w:sdt>
      <w:r>
        <w:rPr/>
        <w:t>.</w:t>
      </w:r>
    </w:p>
    <w:p>
      <w:pPr>
        <w:pStyle w:val="Heading3"/>
        <w:numPr>
          <w:ilvl w:val="2"/>
          <w:numId w:val="76"/>
        </w:numPr>
        <w:rPr/>
      </w:pPr>
      <w:bookmarkStart w:id="148" w:name="_Toc199584604"/>
      <w:bookmarkStart w:id="149" w:name="_Toc200580244"/>
      <w:r>
        <w:rPr/>
        <w:t>Manejo quirúrgico</w:t>
      </w:r>
      <w:bookmarkEnd w:id="148"/>
      <w:bookmarkEnd w:id="149"/>
    </w:p>
    <w:p>
      <w:pPr>
        <w:pStyle w:val="Normal"/>
        <w:rPr/>
      </w:pPr>
      <w:r>
        <w:rPr/>
      </w:r>
    </w:p>
    <w:p>
      <w:pPr>
        <w:pStyle w:val="Heading4"/>
        <w:spacing w:before="0" w:after="0"/>
        <w:ind w:firstLine="709" w:left="0"/>
        <w:rPr>
          <w:vanish/>
          <w:sz w:val="36"/>
          <w:specVanish/>
        </w:rPr>
      </w:pPr>
      <w:bookmarkStart w:id="150" w:name="_Toc199584605"/>
      <w:r>
        <w:rPr/>
        <w:t>Laparoscopía diagnóstica</w:t>
      </w:r>
      <w:bookmarkEnd w:id="150"/>
      <w:r>
        <w:rPr/>
        <w:t>.</w:t>
      </w:r>
    </w:p>
    <w:p>
      <w:pPr>
        <w:pStyle w:val="p3"/>
        <w:spacing w:lineRule="auto" w:line="360" w:before="280" w:after="280"/>
        <w:jc w:val="both"/>
        <w:rPr/>
      </w:pPr>
      <w:r>
        <w:rPr/>
      </w:r>
      <w:r>
        <w:rPr/>
        <w:t xml:space="preserve"> </w:t>
      </w:r>
      <w:r>
        <w:rPr/>
        <w:t>La laparoscopía diagnóstica ha emergido como una herramienta valiosa en la evaluación preoperatoria de pacientes con cáncer apendicular, especialmente en contextos donde se sospecha diseminación peritoneal o se requiere confirmar la extensión de la enfermedad antes de una cirugía mayor. Aunque no forma parte del algoritmo diagnóstico rutinario en todos los casos, su utilización en pacientes seleccionados puede ofrecer beneficios significativos en términos de planificación terapéutica y reducción de la morbilidad quirúrgica innecesaria</w:t>
      </w:r>
      <w:sdt>
        <w:sdtPr>
          <w:placeholder>
            <w:docPart w:val="DefaultPlaceholder_-1854013440"/>
          </w:placeholder>
          <w:tag w:val="MENDELEY_CITATION_v3_eyJjaXRhdGlvbklEIjoiTUVOREVMRVlfQ0lUQVRJT05fZWVjMzVlNTEtZmE5Ni00N2NjLWEyZDEtNjM1NDVmMDc3N2YyIiwicHJvcGVydGllcyI6eyJub3RlSW5kZXgiOjB9LCJpc0VkaXRlZCI6ZmFsc2UsIm1hbnVhbE92ZXJyaWRlIjp7ImlzTWFudWFsbHlPdmVycmlkZGVuIjpmYWxzZSwiY2l0ZXByb2NUZXh0IjoiKDMzKSIsIm1hbnVhbE92ZXJyaWRlVGV4dCI6IiJ9LCJjaXRhdGlvbkl0ZW1zIjpbeyJpZCI6IjJkNTlmZTJhLWUzZDctMzFmOC05MzhjLWNkNTY0MGU2N2I2NiIsIml0ZW1EYXRhIjp7InR5cGUiOiJhcnRpY2xlLWpvdXJuYWwiLCJpZCI6IjJkNTlmZTJhLWUzZDctMzFmOC05MzhjLWNkNTY0MGU2N2I2NiIsInRpdGxlIjoiQXBwZW5kaWNlYWwgdHVtb3JzIGFuZCBwc2V1ZG9teXhvbWEgcGVyaXRvbmVpOiBGcmVuY2ggSW50ZXJncm91cCBDbGluaWNhbCBQcmFjdGljZSBHdWlkZWxpbmVzIGZvciBkaWFnbm9zaXMsIHRyZWF0bWVudHMgYW5kIGZvbGxvdy11cCAoUkVOQVBFLCBSRU5BUEFUSCwgU05GR0UsIEZGQ0QsIEdFUkNPUiwgVU5JQ0FOQ0VSLCBTRkNELCBTRkVELCBTRlJPLCBBQ0hCVCwgU0ZSKSIsImF1dGhvciI6W3siZmFtaWx5IjoiRGVsaG9ybWUiLCJnaXZlbiI6IkplYW4gQmFwdGlzdGUiLCJwYXJzZS1uYW1lcyI6ZmFsc2UsImRyb3BwaW5nLXBhcnRpY2xlIjoiIiwibm9uLWRyb3BwaW5nLXBhcnRpY2xlIjoiIn0seyJmYW1pbHkiOiJWaWxsZW5ldXZlIiwiZ2l2ZW4iOiJMYXVyZW50IiwicGFyc2UtbmFtZXMiOmZhbHNlLCJkcm9wcGluZy1wYXJ0aWNsZSI6IiIsIm5vbi1kcm9wcGluZy1wYXJ0aWNsZSI6IiJ9LHsiZmFtaWx5IjoiQm91Y2jDqSIsImdpdmVuIjoiT2xpdmllciIsInBhcnNlLW5hbWVzIjpmYWxzZSwiZHJvcHBpbmctcGFydGljbGUiOiIiLCJub24tZHJvcHBpbmctcGFydGljbGUiOiIifSx7ImZhbWlseSI6IkF2ZXJvdXMiLCJnaXZlbiI6IkdlcmxpbmRlIiwicGFyc2UtbmFtZXMiOmZhbHNlLCJkcm9wcGluZy1wYXJ0aWNsZSI6IiIsIm5vbi1kcm9wcGluZy1wYXJ0aWNsZSI6IiJ9LHsiZmFtaWx5IjoiRG9oYW4iLCJnaXZlbiI6IkFudGhvbnkiLCJwYXJzZS1uYW1lcyI6ZmFsc2UsImRyb3BwaW5nLXBhcnRpY2xlIjoiIiwibm9uLWRyb3BwaW5nLXBhcnRpY2xlIjoiIn0seyJmYW1pbHkiOiJHb3JuZXQiLCJnaXZlbiI6IkplYW4gTWFyYyIsInBhcnNlLW5hbWVzIjpmYWxzZSwiZHJvcHBpbmctcGFydGljbGUiOiIiLCJub24tZHJvcHBpbmctcGFydGljbGUiOiIifSx7ImZhbWlseSI6IllvdSIsImdpdmVuIjoiQmVub2l0IiwicGFyc2UtbmFtZXMiOmZhbHNlLCJkcm9wcGluZy1wYXJ0aWNsZSI6IiIsIm5vbi1kcm9wcGluZy1wYXJ0aWNsZSI6IiJ9LHsiZmFtaWx5IjoiQmliZWF1IiwiZ2l2ZW4iOiJGcsOpZMOpcmljIiwicGFyc2UtbmFtZXMiOmZhbHNlLCJkcm9wcGluZy1wYXJ0aWNsZSI6IiIsIm5vbi1kcm9wcGluZy1wYXJ0aWNsZSI6IiJ9LHsiZmFtaWx5IjoiRGFydGlndWVzIiwiZ2l2ZW4iOiJQZWdneSIsInBhcnNlLW5hbWVzIjpmYWxzZSwiZHJvcHBpbmctcGFydGljbGUiOiIiLCJub24tZHJvcHBpbmctcGFydGljbGUiOiIifSx7ImZhbWlseSI6IkV2ZW5vIiwiZ2l2ZW4iOiJDbGFyaXNzZSIsInBhcnNlLW5hbWVzIjpmYWxzZSwiZHJvcHBpbmctcGFydGljbGUiOiIiLCJub24tZHJvcHBpbmctcGFydGljbGUiOiIifSx7ImZhbWlseSI6IkZvbnRhaW5lIiwiZ2l2ZW4iOiJKdWxpZXR0ZSIsInBhcnNlLW5hbWVzIjpmYWxzZSwiZHJvcHBpbmctcGFydGljbGUiOiIiLCJub24tZHJvcHBpbmctcGFydGljbGUiOiIifSx7ImZhbWlseSI6IktlcGVuZWtpYW4iLCJnaXZlbiI6IlZhaGFuIiwicGFyc2UtbmFtZXMiOmZhbHNlLCJkcm9wcGluZy1wYXJ0aWNsZSI6IiIsIm5vbi1kcm9wcGluZy1wYXJ0aWNsZSI6IiJ9LHsiZmFtaWx5IjoiUG9jYXJkIiwiZ2l2ZW4iOiJNYXJjIiwicGFyc2UtbmFtZXMiOmZhbHNlLCJkcm9wcGluZy1wYXJ0aWNsZSI6IiIsIm5vbi1kcm9wcGluZy1wYXJ0aWNsZSI6IiJ9LHsiZmFtaWx5IjoiUm91c3NldCIsImdpdmVuIjoiUGFzY2FsIiwicGFyc2UtbmFtZXMiOmZhbHNlLCJkcm9wcGluZy1wYXJ0aWNsZSI6IiIsIm5vbi1kcm9wcGluZy1wYXJ0aWNsZSI6IiJ9LHsiZmFtaWx5IjoiUXVlbmV0IiwiZ2l2ZW4iOiJGcmFuY29pcyIsInBhcnNlLW5hbWVzIjpmYWxzZSwiZHJvcHBpbmctcGFydGljbGUiOiIiLCJub24tZHJvcHBpbmctcGFydGljbGUiOiIifSx7ImZhbWlseSI6Ik1hcmlhbmkiLCJnaXZlbiI6IlBhc2NhbGUiLCJwYXJzZS1uYW1lcyI6ZmFsc2UsImRyb3BwaW5nLXBhcnRpY2xlIjoiIiwibm9uLWRyb3BwaW5nLXBhcnRpY2xlIjoiIn0seyJmYW1pbHkiOiJHbGVoZW4iLCJnaXZlbiI6Ik9saXZpZXIiLCJwYXJzZS1uYW1lcyI6ZmFsc2UsImRyb3BwaW5nLXBhcnRpY2xlIjoiIiwibm9uLWRyb3BwaW5nLXBhcnRpY2xlIjoiIn0seyJmYW1pbHkiOiJHb8OpcsOpIiwiZ2l2ZW4iOiJEaWFuZSIsInBhcnNlLW5hbWVzIjpmYWxzZSwiZHJvcHBpbmctcGFydGljbGUiOiIiLCJub24tZHJvcHBpbmctcGFydGljbGUiOiIifV0sImNvbnRhaW5lci10aXRsZSI6IkRpZ2VzdGl2ZSBhbmQgbGl2ZXIgZGlzZWFzZSA6IG9mZmljaWFsIGpvdXJuYWwgb2YgdGhlIEl0YWxpYW4gU29jaWV0eSBvZiBHYXN0cm9lbnRlcm9sb2d5IGFuZCB0aGUgSXRhbGlhbiBBc3NvY2lhdGlvbiBmb3IgdGhlIFN0dWR5IG9mIHRoZSBMaXZlciIsImNvbnRhaW5lci10aXRsZS1zaG9ydCI6IkRpZyBMaXZlciBEaXMiLCJET0kiOiIxMC4xMDE2L0ouRExELjIwMjEuMTAuMDA1IiwiSVNTTiI6IjE4NzgtMzU2MiIsIlBNSUQiOiIzNDgxNTE5NCIsImlzc3VlZCI6eyJkYXRlLXBhcnRzIjpbWzIwMjJdXX0sInBhZ2UiOiIzMC0zOSIsImFic3RyYWN0IjoiSW50cm9kdWN0aW9uOiBUaGlzIGRvY3VtZW50IGlzIGEgc3VtbWFyeSBvZiB0aGUgRnJlbmNoIEludGVyZ3JvdXAgZ3VpZGVsaW5lcyByZWdhcmRpbmcgdGhlIG1hbmFnZW1lbnQgb2YgYXBwZW5kaWN1bGFyIGVwaXRoZWxpYWwgdHVtb3JzIChBVCkgYW5kIHBzZXVkb215eG9tYSBwZXJpdG9uZWkgKFBNUCkgcHVibGlzaGVkIGluIE1hcmNoIDIwMjAsIGF2YWlsYWJsZSBvbiB0aGUgd2Vic2l0ZSBvZiB0aGUgRnJlbmNoIFNvY2lldHkgb2YgR2FzdHJvZW50ZXJvbG9neSAoU05GR0UpICh3d3cudG5jZC5vcmcpLiBNZXRob2RzOiBBbGwgRnJlbmNoIG1lZGljYWwgc29jaWV0aWVzIHNwZWNpYWxpemVkIGluIHRoZSBtYW5hZ2VtZW50IG9mIEFUIGFuZCBQTVAgY29sbGFib3JhdGl2ZWx5IGVzdGFibGlzaGVkIHRoZXNlIHJlY29tbWVuZGF0aW9ucyBiYXNlZCBvbiBsaXRlcmF0dXJlIHVudGlsIERlY2VtYmVyIDIwMTkgYW5kIHRoZSByZXN1bHRzIG9mIGEgRGVscGhpIHZvdGUgY2FycmllZCBvdXQgYnkgdGhlIFBlcml0b25lYWwgU3VyZmFjZSBPbmNvbG9neSBHcm91cCBJbnRlcm5hdGlvbmFsIGV4cGVydHMsIGFuZCBncmFkZWQgaW50byA0IGNhdGVnb3JpZXMgKEEsIEIsIEMsIEV4cGVydCBBZ3JlZW1lbnQpIGFjY29yZGluZyB0byB0aGVpciBsZXZlbCBvZiBldmlkZW5jZS4gUmVzdWx0czogQVQgYW5kIFBNUCBhcmUgcmFyZSBidXQgcmVwcmVzZW50IGEgd2lkZSByYW5nZSBvZiBjbGluaWNvLXBhdGhvbG9naWNhbCBlbnRpdGllcyB3aXRoIHNldmVyYWwgcGF0aG9sb2dpY2FsIGNsYXNzaWZpY2F0aW9uIHN5c3RlbXMgYW5kIGRpZmZlcmVudCBiaW9sb2dpY2FsIGJlaGF2aW9ycy4gVGhlaXIgdHJlYXRtZW50IG1vZGFsaXRpZXMgbWF5IHZhcnkgYWNjb3JkaW5nbHkgYW5kIHJhbmdlIGZyb20gc2ltcGxlIHN1cnZlaWxsYW5jZSBvciBsYXBhcm9zY29waWMgYXBwZW5kZWN0b215IHRvIGNvbXBsZXRlIGN5dG9yZWR1Y3RpdmUgc3VyZ2VyeSAoQ1JTKSB3aXRoIGh5cGVydGhlcm1pYyBpbnRyYXBlcml0b25lYWwgY2hlbW90aGVyYXB5IChISVBFQykgYW5kIC8gb3Igc3lzdGVtaWMgY2hlbW90aGVyYXB5LiBUaGUgcHJvZ25vc2lzIG9mIHRoZXNlIG5lb3BsYXNtcyBtYXkgYWxzbyBsYXJnZWx5IHZhcnkgYWNjb3JkaW5nIHRvIHRoZWlyIHBhdGhvbG9naWNhbCBncmFkZSBhbmQgc3ByZWFkaW5nIGF0IGRpYWdub3NpcyBvciBkdXJpbmcgdGhlIGZvbGxvdy11cC4gR2l2ZW4gdGhlIHJhcml0eSBvZiBjZXJ0YWluIHNpdHVhdGlvbnMsIHRoZSB0aGVyYXBldXRpYyBzdHJhdGVneSBhZGFwdGVkIHRvIGVhY2ggcGF0aWVudCwgbXVzdCBiZSBkaXNjdXNzZWQgaW4gYSBzcGVjaWFsaXplZCBtdWx0aWRpc2NpcGxpbmFyeSBtZWV0aW5nIGFmdGVyIGEgc3BlY2lhbGl6ZWQgcGF0aG9sb2dpY2FsIGFuZCByYWRpb2xvZ2ljYWwgcHJlLXRoZXJhcGV1dGljIGFzc2Vzc21lbnQgYW5kIGEgY2xpbmljYWwgZXhhbWluYXRpb24gYnkgYSBzdXJnZW9uIHNwZWNpYWxpemluZyBpbiB0aGUgbWFuYWdlbWVudCBvZiByYXJlIHBlcml0b25lYWwgbWFsaWduYW5jaWVzLiBDb25jbHVzaW9uOiBUaGVzZSByZWNvbW1lbmRhdGlvbnMgYXJlIHByb3Bvc2VkIHRvIGFjaGlldmUgdGhlIG1vc3QgYmVuZWZpY2lhbCBzdHJhdGVneSBpbiBhIGRhaWx5IHByYWN0aWNlIGFzIHRoZSB3aWRlIHJhbmdlIGFuZCB0aGUgcmFyZW5lc3Mgb2YgdGhlc2UgZW50aXRpZXMgcmVuZGVycyB0aGVpciBtYW5hZ2VtZW50IGNoYWxsZW5naW5nLiBUaGVzZSBndWlkZWxpbmVzIGFyZSBwZXJtYW5lbnRseSBiZWluZyByZXZpZXdlZC4iLCJwdWJsaXNoZXIiOiJEaWcgTGl2ZXIgRGlzIiwiaXNzdWUiOiIxIiwidm9sdW1lIjoiNTQifSwiaXNUZW1wb3JhcnkiOmZhbHNlfV19"/>
          <w:id w:val="2131588980"/>
        </w:sdtPr>
        <w:sdtContent>
          <w:r>
            <w:rPr/>
          </w:r>
          <w:r>
            <w:rPr>
              <w:color w:val="000000"/>
            </w:rPr>
            <w:t>(33)</w:t>
          </w:r>
        </w:sdtContent>
      </w:sdt>
      <w:r>
        <w:rPr/>
        <w:t>.</w:t>
      </w:r>
    </w:p>
    <w:p>
      <w:pPr>
        <w:pStyle w:val="p3"/>
        <w:spacing w:lineRule="auto" w:line="360" w:before="280" w:after="280"/>
        <w:jc w:val="both"/>
        <w:rPr/>
      </w:pPr>
      <w:r>
        <w:rPr/>
        <w:t>La laparoscopía diagnóstica permite:</w:t>
      </w:r>
    </w:p>
    <w:p>
      <w:pPr>
        <w:pStyle w:val="p1"/>
        <w:numPr>
          <w:ilvl w:val="0"/>
          <w:numId w:val="17"/>
        </w:numPr>
        <w:spacing w:lineRule="auto" w:line="360" w:before="280" w:after="0"/>
        <w:jc w:val="both"/>
        <w:rPr/>
      </w:pPr>
      <w:r>
        <w:rPr>
          <w:rStyle w:val="s1"/>
        </w:rPr>
        <w:t xml:space="preserve">Evaluar </w:t>
      </w:r>
      <w:r>
        <w:rPr/>
        <w:t>visualmente la presencia y distribución de enfermedad peritoneal, especialmente cuando las técnicas de imagen (TAC, resonancia magnética) no logran caracterizar con precisión la extensión tumoral. Esto es particularmente útil en neoplasias mucinosas del apéndice, donde pequeñas cantidades de mucina o implantes peritoneales pueden pasar inadvertidos en los estudios radiológicos.</w:t>
      </w:r>
    </w:p>
    <w:p>
      <w:pPr>
        <w:pStyle w:val="p1"/>
        <w:numPr>
          <w:ilvl w:val="0"/>
          <w:numId w:val="17"/>
        </w:numPr>
        <w:spacing w:lineRule="auto" w:line="360" w:before="0" w:after="0"/>
        <w:jc w:val="both"/>
        <w:rPr/>
      </w:pPr>
      <w:r>
        <w:rPr/>
        <w:t>Determinar la resecabilidad quirúrgica antes de una cirugía citorreductora mayor, evitando laparotomías innecesarias en pacientes con enfermedad irresecable o avanzada más allá de los límites técnicos o fisiológicos.</w:t>
      </w:r>
    </w:p>
    <w:p>
      <w:pPr>
        <w:pStyle w:val="p1"/>
        <w:numPr>
          <w:ilvl w:val="0"/>
          <w:numId w:val="17"/>
        </w:numPr>
        <w:spacing w:lineRule="auto" w:line="360" w:before="0" w:after="0"/>
        <w:jc w:val="both"/>
        <w:rPr/>
      </w:pPr>
      <w:r>
        <w:rPr/>
        <w:t>Tomar biopsias dirigidas del peritoneo o de implantes sospechosos, especialmente en casos con hallazgos indeterminados o cuando se requiere confirmación histopatológica para definir el plan de tratamiento (por ejemplo, para diferenciar un LAMN perforado de un pseudomixoma peritoneal).</w:t>
      </w:r>
    </w:p>
    <w:p>
      <w:pPr>
        <w:pStyle w:val="p1"/>
        <w:numPr>
          <w:ilvl w:val="0"/>
          <w:numId w:val="17"/>
        </w:numPr>
        <w:spacing w:lineRule="auto" w:line="360" w:before="0" w:after="0"/>
        <w:jc w:val="both"/>
        <w:rPr/>
      </w:pPr>
      <w:r>
        <w:rPr/>
        <w:t>Recolectar líquido peritoneal para citología, lo cual resulta útil en estadios tempranos cuando se desea documentar la presencia de células neoplásicas libres.</w:t>
      </w:r>
    </w:p>
    <w:p>
      <w:pPr>
        <w:pStyle w:val="p1"/>
        <w:numPr>
          <w:ilvl w:val="0"/>
          <w:numId w:val="17"/>
        </w:numPr>
        <w:spacing w:lineRule="auto" w:line="360" w:before="0" w:after="0"/>
        <w:jc w:val="both"/>
        <w:rPr/>
      </w:pPr>
      <w:r>
        <w:rPr/>
        <w:t>En centros especializados, calcular de forma visual directa el índice de cáncer peritoneal (Peritoneal Cancer Index, PCI), lo cual mejora la selección de candidatos para cirugía de citorreducción con HIPEC</w:t>
      </w:r>
      <w:r>
        <w:rPr>
          <w:color w:val="000000"/>
        </w:rPr>
        <w:t xml:space="preserve"> </w:t>
      </w:r>
      <w:r>
        <w:rPr>
          <w:rFonts w:eastAsia="MS Mincho"/>
          <w:color w:val="000000"/>
        </w:rPr>
        <w:t>(10)</w:t>
      </w:r>
      <w:r>
        <w:rPr>
          <w:rFonts w:eastAsia="MS Mincho" w:cs="MS Mincho" w:ascii="MS Mincho" w:hAnsi="MS Mincho"/>
          <w:color w:val="000000"/>
        </w:rPr>
        <w:t>.</w:t>
      </w:r>
    </w:p>
    <w:p>
      <w:pPr>
        <w:pStyle w:val="p1"/>
        <w:numPr>
          <w:ilvl w:val="0"/>
          <w:numId w:val="17"/>
        </w:numPr>
        <w:spacing w:lineRule="auto" w:line="360" w:before="0" w:after="0"/>
        <w:jc w:val="both"/>
        <w:rPr/>
      </w:pPr>
      <w:r>
        <w:rPr>
          <w:rStyle w:val="s1"/>
        </w:rPr>
        <w:t>Evaluar recaídas tras CRS/HIPEC, con el fin de confirmar recurrencia peritoneal antes de considerar una segunda intervención quirúrgica</w:t>
      </w:r>
      <w:r>
        <w:rPr/>
        <w:t>.</w:t>
      </w:r>
    </w:p>
    <w:p>
      <w:pPr>
        <w:pStyle w:val="Heading4"/>
        <w:numPr>
          <w:ilvl w:val="3"/>
          <w:numId w:val="77"/>
        </w:numPr>
        <w:ind w:firstLine="709" w:left="0"/>
        <w:rPr>
          <w:sz w:val="36"/>
        </w:rPr>
      </w:pPr>
      <w:bookmarkStart w:id="151" w:name="_Toc199584606"/>
      <w:r>
        <w:rPr/>
        <w:t>Tratamiento quirúrgico según estadio clínico-patológico</w:t>
      </w:r>
      <w:bookmarkEnd w:id="151"/>
      <w:r>
        <w:rPr/>
        <w:t>.</w:t>
      </w:r>
    </w:p>
    <w:p>
      <w:pPr>
        <w:pStyle w:val="Normal"/>
        <w:rPr/>
      </w:pPr>
      <w:r>
        <w:rPr/>
      </w:r>
    </w:p>
    <w:p>
      <w:pPr>
        <w:pStyle w:val="Heading5"/>
        <w:spacing w:before="0" w:after="0"/>
        <w:ind w:firstLine="709" w:left="0"/>
        <w:rPr>
          <w:vanish/>
          <w:specVanish/>
        </w:rPr>
      </w:pPr>
      <w:bookmarkStart w:id="152" w:name="_Toc199584607"/>
      <w:r>
        <w:rPr/>
        <w:t>Estadios iniciales</w:t>
      </w:r>
      <w:bookmarkEnd w:id="152"/>
      <w:r>
        <w:rPr/>
        <w:t>.</w:t>
      </w:r>
    </w:p>
    <w:p>
      <w:pPr>
        <w:pStyle w:val="p3"/>
        <w:spacing w:lineRule="auto" w:line="360" w:beforeAutospacing="0" w:before="0" w:after="280"/>
        <w:jc w:val="both"/>
        <w:rPr>
          <w:rStyle w:val="s1"/>
        </w:rPr>
      </w:pPr>
      <w:r>
        <w:rPr/>
      </w:r>
      <w:r>
        <w:rPr/>
        <w:t xml:space="preserve"> </w:t>
      </w:r>
      <w:r>
        <w:rPr/>
        <w:t xml:space="preserve">Los estadios iniciales del cáncer apendicular comprenden aquellas neoplasias localizadas, sin evidencia de diseminación peritoneal, ganglionar o metastásica, y con características histológicas de bajo o intermedio grado </w:t>
      </w:r>
      <w:sdt>
        <w:sdtPr>
          <w:placeholder>
            <w:docPart w:val="DefaultPlaceholder_-1854013440"/>
          </w:placeholder>
          <w:tag w:val="MENDELEY_CITATION_v3_eyJjaXRhdGlvbklEIjoiTUVOREVMRVlfQ0lUQVRJT05fYjI4ODhmZjQtMTc2MS00MjJlLWI2MTEtZGNhYzEyNmIyYWE1IiwicHJvcGVydGllcyI6eyJub3RlSW5kZXgiOjB9LCJpc0VkaXRlZCI6ZmFsc2UsIm1hbnVhbE92ZXJyaWRlIjp7ImlzTWFudWFsbHlPdmVycmlkZGVuIjpmYWxzZSwiY2l0ZXByb2NUZXh0IjoiKDQ0KSIsIm1hbnVhbE92ZXJyaWRlVGV4dCI6IiJ9LCJjaXRhdGlvbkl0ZW1zIjpbeyJpZCI6IjM3OGE1YmIzLThhNjctM2Q2Yy04MWRjLTUzZGY0YTM5Yjk5NCIsIml0ZW1EYXRhIjp7InR5cGUiOiJhcnRpY2xlLWpvdXJuYWwiLCJpZCI6IjM3OGE1YmIzLThhNjctM2Q2Yy04MWRjLTUzZGY0YTM5Yjk5NCIsInRpdGxlIjoiUm91dGluZSBoaXN0b3BhdGhvbG9naWMgZXhhbWluYXRpb24gb2YgdGhlIGFwcGVuZGl4IGFmdGVyIGFwcGVuZGVjdG9teSBmb3IgcHJlc3VtZWQgYXBwZW5kaWNpdGlzOiBJcyBpdCByZWFsbHkgbmVjZXNzYXJ5PyBBIHN5c3RlbWF0aWMgcmV2aWV3IGFuZCBtZXRhLWFuYWx5c2lzIiwiYXV0aG9yIjpbeyJmYW1pbHkiOiJCYXN0aWFlbmVuIiwiZ2l2ZW4iOiJWaXZpYW4gUC4iLCJwYXJzZS1uYW1lcyI6ZmFsc2UsImRyb3BwaW5nLXBhcnRpY2xlIjoiIiwibm9uLWRyb3BwaW5nLXBhcnRpY2xlIjoiIn0seyJmYW1pbHkiOiJBbGxlbWEiLCJnaXZlbiI6IldpZXMgTS4iLCJwYXJzZS1uYW1lcyI6ZmFsc2UsImRyb3BwaW5nLXBhcnRpY2xlIjoiIiwibm9uLWRyb3BwaW5nLXBhcnRpY2xlIjoiIn0seyJmYW1pbHkiOiJLbGF2ZXIiLCJnaXZlbiI6IkNoYXJsb3R0ZSBFLkwuIiwicGFyc2UtbmFtZXMiOmZhbHNlLCJkcm9wcGluZy1wYXJ0aWNsZSI6IiIsIm5vbi1kcm9wcGluZy1wYXJ0aWNsZSI6IiJ9LHsiZmFtaWx5IjoiRGllcmVuIiwiZ2l2ZW4iOiJTdXNhbiIsInBhcnNlLW5hbWVzIjpmYWxzZSwiZHJvcHBpbmctcGFydGljbGUiOiIiLCJub24tZHJvcHBpbmctcGFydGljbGUiOiJ2YW4ifSx7ImZhbWlseSI6IktvZW5zIiwiZ2l2ZW4iOiJMaWFubmUiLCJwYXJzZS1uYW1lcyI6ZmFsc2UsImRyb3BwaW5nLXBhcnRpY2xlIjoiIiwibm9uLWRyb3BwaW5nLXBhcnRpY2xlIjoiIn0seyJmYW1pbHkiOiJUYW5pcyIsImdpdmVuIjoiUGlldGVyIEouIiwicGFyc2UtbmFtZXMiOmZhbHNlLCJkcm9wcGluZy1wYXJ0aWNsZSI6IiIsIm5vbi1kcm9wcGluZy1wYXJ0aWNsZSI6IiJ9LHsiZmFtaWx5IjoiQmVtZWxtYW4iLCJnaXZlbiI6IldpbGxlbSBBLiIsInBhcnNlLW5hbWVzIjpmYWxzZSwiZHJvcHBpbmctcGFydGljbGUiOiIiLCJub24tZHJvcHBpbmctcGFydGljbGUiOiIifV0sImNvbnRhaW5lci10aXRsZSI6IlN1cmdlcnkiLCJjb250YWluZXItdGl0bGUtc2hvcnQiOiJTdXJnZXJ5IiwiRE9JIjoiMTAuMTAxNi9KLlNVUkcuMjAyMC4wMy4wMzIiLCJJU1NOIjoiMTUzMi03MzYxIiwiUE1JRCI6IjMyNDcxNjUzIiwiaXNzdWVkIjp7ImRhdGUtcGFydHMiOltbMjAyMF1dfSwicGFnZSI6IjMwNS0zMTIiLCJhYnN0cmFjdCI6IkJhY2tncm91bmQ6IE93aW5nIHRvIHN1YnN0YW50aWFsIGNvc3RzIGFuZCBpbmNyZWFzaW5nIGludGVyZXN0IGluIHRoZSBub25vcGVyYXRpdmUgbWFuYWdlbWVudCBvZiBhcHBlbmRpY2l0aXMsIHRoZSBuZWNlc3NpdHkgb2Ygcm91dGluZSBoaXN0b3BhdGhvbG9naWMgZXhhbWluYXRpb24gb2YgYXBwZW5kZWN0b215IHNwZWNpbWVucyBpcyBiZWluZyBxdWVzdGlvbmVkLiBUaGUgYWltIG9mIHRoaXMgc3R1ZHkgd2FzIHRvIGRldGVybWluZSB3aGV0aGVyIHJvdXRpbmUgaGlzdG9wYXRob2xvZ2ljIGV4YW1pbmF0aW9uIGFmdGVyIGFwcGVuZGVjdG9teSBmb3Igc3VzcGVjdGVkIGFwcGVuZGljaXRpcyBzaG91bGQgc3RpbGwgYmUgcGVyZm9ybWVkLiBNZXRob2RzOiBQdWJNZWQsIEVtYmFzZSwgV2ViIG9mIFNjaWVuY2UsIGFuZCB0aGUgQ29jaHJhbmUgTGlicmFyeSB3ZXJlIHNlYXJjaGVkIGZvciBzdHVkaWVzIGxpc3RpbmcgdGhlIGhpc3RvcGF0aG9sb2dpYyBkaWFnbm9zZXMgYWZ0ZXIgYXBwZW5kZWN0b215IGZvciBzdXNwZWN0ZWQgYXBwZW5kaWNpdGlzLiBNYWluIG91dGNvbWVzIHdlcmUgdGhlIGluY2lkZW5jZSBvZiBoaXN0b3BhdGhvbG9naWNhbGx5IHByb3ZlbiBhYmVycmFudCBmaW5kaW5ncywgdGhlIGFiaWxpdHkgb2Ygc3VyZ2VvbnMgdG8gcmVjb2duaXplIHVuZXhwZWN0ZWQgYXBwZW5kaWNlYWwgcGF0aG9sb2d5IGludHJhb3BlcmF0aXZlbHksIGFuZCB0aGUgcGVyY2VudGFnZSBvZiBhYmVycmFudCBmaW5kaW5ncyByZXN1bHRpbmcgaW4gYSBjaGFuZ2Ugb2YgcG9zdG9wZXJhdGl2ZSBtYW5hZ2VtZW50LiBBIG1ldGEtYW5hbHlzaXMgd2FzIHBlcmZvcm1lZCB1c2luZyBhIHJhbmRvbS1lZmZlY3RzIG1vZGVsLiBSZXN1bHRzOiBUd2VudHktZml2ZSBzdHVkaWVzIHdpdGggNTcsMzU3IHBhdGllbnRzIHdlcmUgaW5jbHVkZWQuIFRoZSBwb29sZWQgcGVyY2VudGFnZSBvZiBhYmVycmFudCBmaW5kaW5ncyB3YXMgMi41MiUgKDk1JSBjb25maWRlbmNlIGludGVydmFsIDEuODHigJMzLjUxKS4gTmVvcGxhc21zIHdlcmUgZm91bmQgaW4gMC43MSUgKDk1JSBjb25maWRlbmNlIGludGVydmFsIDAuNTTigJMwLjk0KS4gRmluZGluZ3Mgb2YgdGhlIGludHJhb3BlcmF0aXZlIGFzc2Vzc21lbnQgYnkgdGhlIHN1cmdlb24gd2VyZSByZXBvcnRlZCBmb3IgODIgb2YgdGhlIDIsNzE4ICgzLjAlKSB1bmV4cGVjdGVkIGRpYWdub3Nlcywgd2l0aCBncmVhdCB2YXJpYXRpb24gYmV0d2VlbiBzdHVkaWVzLiBUaGUgaW1wYWN0IG9uIHBvc3RvcGVyYXRpdmUgbWFuYWdlbWVudCB3YXMgZGVzY3JpYmVkIGZvciAyMzcgb2YgMiw3MTggKDguNyUpIGFiZXJyYW50IGZpbmRpbmdzLiBPZiB0aGVzZSwgMTY2ICg3MC4wJSkgcmVzdWx0ZWQgaW4gYSBjaGFuZ2Ugb2YgcG9zdG9wZXJhdGl2ZSBtYW5hZ2VtZW50LiBDb25jbHVzaW9uOiBCYXNlZCBvbiBjdXJyZW50IGV2aWRlbmNlLCBpdCByZW1haW5zIHVuY2xlYXIgaG93IG1hbnkgb2YgdGhlIHVuZXhwZWN0ZWQgYXBwZW5kaWNlYWwgcGF0aG9sb2dpZXMgd2l0aCBjbGluaWNhbCBjb25zZXF1ZW5jZXMgY2FuIGJlIGlkZW50aWZpZWQgaW50cmFvcGVyYXRpdmVseSBieSB0aGUgc3VyZ2Vvbi4gVW50aWwgcmVsaWFibGUgZGF0YSBvbiB0aGUgc2FmZXR5IGFuZCBwb3RlbnRpYWwgY29zdCBzYXZpbmdzIG9mIGEgc2VsZWN0aXZlIHBvbGljeSBiZWNvbWVzIGF2YWlsYWJsZSwgd2UgYWR2aXNlIHNlbmRpbmcgYXBwZW5kZWN0b215IHNwZWNpbWVucyByb3V0aW5lbHkgZm9yIGhpc3RvcGF0aG9sb2dpYyBleGFtaW5hdGlvbi4iLCJwdWJsaXNoZXIiOiJTdXJnZXJ5IiwiaXNzdWUiOiIyIiwidm9sdW1lIjoiMTY4In0sImlzVGVtcG9yYXJ5IjpmYWxzZX1dfQ=="/>
          <w:id w:val="-303856004"/>
        </w:sdtPr>
        <w:sdtContent>
          <w:r>
            <w:rPr/>
          </w:r>
          <w:r>
            <w:rPr>
              <w:rFonts w:eastAsia="MS Mincho"/>
              <w:color w:val="000000"/>
            </w:rPr>
            <w:t>(44)</w:t>
          </w:r>
        </w:sdtContent>
      </w:sdt>
      <w:r>
        <w:rPr/>
        <w:t>.</w:t>
      </w:r>
    </w:p>
    <w:p>
      <w:pPr>
        <w:pStyle w:val="Normal"/>
        <w:rPr>
          <w:b/>
        </w:rPr>
      </w:pPr>
      <w:bookmarkStart w:id="153" w:name="_Toc199583973"/>
      <w:bookmarkStart w:id="154" w:name="_Toc199584608"/>
      <w:r>
        <w:rPr>
          <w:b/>
        </w:rPr>
        <w:t>Tumores neuroendocrinos apendiculares (TNE)</w:t>
      </w:r>
      <w:bookmarkEnd w:id="153"/>
      <w:bookmarkEnd w:id="154"/>
    </w:p>
    <w:p>
      <w:pPr>
        <w:pStyle w:val="p3"/>
        <w:spacing w:lineRule="auto" w:line="360" w:before="280" w:after="280"/>
        <w:jc w:val="both"/>
        <w:rPr>
          <w:color w:val="000000"/>
        </w:rPr>
      </w:pPr>
      <w:r>
        <w:rPr/>
        <w:t>En los TNE bien diferenciados, el tratamiento depende fundamentalmente del tamaño y de las características histopatológicas del tumor. Para lesiones menores de 1 cm, sin afectación de la base apendicular, ni invasión linfovascular o del mesoapéndice, el tratamiento consiste en una apendicectomía aislada. No se requiere cirugía adicional ni seguimiento intensivo</w:t>
      </w:r>
      <w:sdt>
        <w:sdtPr>
          <w:placeholder>
            <w:docPart w:val="DefaultPlaceholder_-1854013440"/>
          </w:placeholder>
          <w:tag w:val="MENDELEY_CITATION_v3_eyJjaXRhdGlvbklEIjoiTUVOREVMRVlfQ0lUQVRJT05fNzE0MTMwOTEtOTdhMS00Y2ZjLWFiOWMtMmRlNjFhM2I1YmMwIiwicHJvcGVydGllcyI6eyJub3RlSW5kZXgiOjB9LCJpc0VkaXRlZCI6ZmFsc2UsIm1hbnVhbE92ZXJyaWRlIjp7ImlzTWFudWFsbHlPdmVycmlkZGVuIjpmYWxzZSwiY2l0ZXByb2NUZXh0IjoiKDEwKSIsIm1hbnVhbE92ZXJyaWRlVGV4dCI6IiJ9LCJjaXRhdGlvbkl0ZW1zIjpbeyJpZCI6ImY2ZDdhNzJhLTkyMTMtM2JkZC1iMjBmLWFkMDI2MDU2MTMzMCIsIml0ZW1EYXRhIjp7InR5cGUiOiJhcnRpY2xlLWpvdXJuYWwiLCJpZCI6ImY2ZDdhNzJhLTkyMTMtM2JkZC1iMjBmLWFkMDI2MDU2MTMzMCIsInRpdGxlIjoiTWFuYWdlbWVudCBvZiBhcHBlbmRpY2VhbCBuZXVyb2VuZG9jcmluZSB0dW1vcnMgaW4gdGhlIGxpZ2h0IG9mIG5ldyBndWlkZWxpbmVzIiwiYXV0aG9yIjpbeyJmYW1pbHkiOiJHdW11xZ9vZ2x1IiwiZ2l2ZW4iOiJBbHBlbiBZYWh5YSIsInBhcnNlLW5hbWVzIjpmYWxzZSwiZHJvcHBpbmctcGFydGljbGUiOiIiLCJub24tZHJvcHBpbmctcGFydGljbGUiOiIifSx7ImZhbWlseSI6IkRvbm1leiIsImdpdmVuIjoiVHVyZ3V0IiwicGFyc2UtbmFtZXMiOmZhbHNlLCJkcm9wcGluZy1wYXJ0aWNsZSI6IiIsIm5vbi1kcm9wcGluZy1wYXJ0aWNsZSI6IiJ9LHsiZmFtaWx5IjoiS2FidWxpIiwiZ2l2ZW4iOiJIYW1pdCBBaG1ldCIsInBhcnNlLW5hbWVzIjpmYWxzZSwiZHJvcHBpbmctcGFydGljbGUiOiIiLCJub24tZHJvcHBpbmctcGFydGljbGUiOiIifSx7ImZhbWlseSI6Ik9udXIiLCJnaXZlbiI6Ik5pbHN1IERhbWxhIiwicGFyc2UtbmFtZXMiOmZhbHNlLCJkcm9wcGluZy1wYXJ0aWNsZSI6IiIsIm5vbi1kcm9wcGluZy1wYXJ0aWNsZSI6IiJ9LHsiZmFtaWx5IjoiRmVyYWhtYW4iLCJnaXZlbiI6IlNpbmEiLCJwYXJzZS1uYW1lcyI6ZmFsc2UsImRyb3BwaW5nLXBhcnRpY2xlIjoiIiwibm9uLWRyb3BwaW5nLXBhcnRpY2xlIjoiIn0seyJmYW1pbHkiOiJTYWtpeiIsImdpdmVuIjoiRGFtbGFudXIiLCJwYXJzZS1uYW1lcyI6ZmFsc2UsImRyb3BwaW5nLXBhcnRpY2xlIjoiIiwibm9uLWRyb3BwaW5nLXBhcnRpY2xlIjoiIn0seyJmYW1pbHkiOiJLYXJhYnVsdXQiLCJnaXZlbiI6Ik1laG1ldCIsInBhcnNlLW5hbWVzIjpmYWxzZSwiZHJvcHBpbmctcGFydGljbGUiOiIiLCJub24tZHJvcHBpbmctcGFydGljbGUiOiIifV0sImNvbnRhaW5lci10aXRsZSI6IklyaXNoIGpvdXJuYWwgb2YgbWVkaWNhbCBzY2llbmNlIiwiY29udGFpbmVyLXRpdGxlLXNob3J0IjoiSXIgSiBNZWQgU2NpIiwiRE9JIjoiMTAuMTAwNy9TMTE4NDUtMDIxLTAyNzA3LVkiLCJJU1NOIjoiMTg2My00MzYyIiwiUE1JRCI6IjM0MjE4NDEwIiwiaXNzdWVkIjp7ImRhdGUtcGFydHMiOltbMjAyMl1dfSwicGFnZSI6IjExMzMtMTEzNyIsImFic3RyYWN0IjoiUHVycG9zZTogQXBwZW5kaWNlYWwgbmV1cm9lbmRvY3JpbmUgdHVtb3JzIChBTkVUcykgYXJlIHRoZSBtb3N0IGNvbW1vbiBpbiB0aGUgYXBwZW5kaXgsIGRldGVjdGVkIGluIGhpc3RvcGF0aG9sb2dpY2FsIGFwcGVuZGVjdG9teSBzcGVjaW1lbnMsIHdoaWNoIGFyZSByZXNlY3RlZCBmb3IgYWN1dGUgYXBwZW5kaWNpdGlzLiBJZiB0dW1vciBkZXRlY3Rpb24gZG9lcyBub3Qgc2hvdyBzaWducyBvZiBtZXRhc3RhdGljIGRpc2Vhc2Ugb3Igb2J2aW91cyBmZWF0dXJlcyBvZiBjYXJjaW5vaWQgc3luZHJvbWUsIHByZW9wZXJhdGl2ZSBkaWFnbm9zaXMgcmVtYWlucyBhIGNoYWxsZW5nZS4gSG93ZXZlciwgdGhlIHRyZWF0bWVudCBhbmQgZm9sbG93LXVwIGFsZ29yaXRobSBjaGFuZ2Ugb3ZlciB0aW1lLiBJbiBvdXIgc3R1ZHksIHdlIGFpbWVkIHRvIHByZXNlbnQgMTDCoHllYXJzIG9mIGRpYWdub3N0aWMgYW5kIG1hbmFnZW1lbnQgZXhwZXJpZW5jZS4gTWF0ZXJpYWwgYW5kIG1ldGhvZHM6IEEgcmV0cm9zcGVjdGl2ZSBzdHVkeSBvZiBhbGwgcGF0aWVudHMgd2hvIHVuZGVyd2VudCBlbWVyZ2VuY3kgYXBwZW5kZWN0b215LCB3aXRoIHRoZSBpbnRlbnRpb24gdG8gdHJlYXQgY2xpbmljYWxseSBhY3V0ZSBhcHBlbmRpY2l0aXMgYXQgQmFraXJrb3kgRHIuIFNhZGkgS29udWsgSG9zcGl0YWwgKElzdGFuYnVsLCBUdXJrZXkpLCB3YXMgdW5kZXJ0YWtlbi4gUGF0aWVudHMgd2l0aCBkaWFnbm9zZXMgb3RoZXIgdGhhbiBBTkVUcyB3ZXJlIGV4Y2x1ZGVkLiBBZ2UsIGdlbmRlciwgcHJlb3BlcmF0aXZlIGNsaW5pY2FsIGZpbmRpbmdzLCBvcGVyYXRpdmUgcHJvY2VkdXJlLCBhbmQgaGlzdG9wYXRob2xvZ2ljYWwgcmVzdWx0cyBpZGVudGlmaWVkIGFzIEFORVRzIHdlcmUgZXZhbHVhdGVkLiBSZXN1bHRzOiBBTkVUcyB3ZXJlIGRldGVjdGVkIGluIDI0IHBhdGllbnRzICgwLjQyJSkgaW4gdGhlIGhpc3RvcGF0aG9sb2dpY2FsIGV4YW1pbmF0aW9uIG9mIDU3MjAgYXBwZW5kZWN0b215IHNwZWNpbWVucyBiZXR3ZWVuIERlY2VtYmVyIDIwMTEgYW5kIE9jdG9iZXIgMjAyMC4gTWVhbiBhZ2Ugb2YgcGF0aWVudHMgd2FzIDMwwqB5ZWFycywgd2l0aCA1OC4zJSBmZW1hbGUuIFRoZSBtYWpvcml0eSB3ZXJlIGxvY2F0ZWQgYXQgdGhlIHRpcCBvZiBhcHBlbmRpeCAoNjIuNSUpLiBFbGV2ZW4gcGF0aWVudHMgKDQ1LjgzJSkgd2VyZSBncmFkZWQgYXMgVDEsIG9uZSBwYXRpZW50ICg0LjE2JSkgYXMgVDIsIDExICg0MS44MyUpIGFzIFQzLCBhbmQgb25lIHBhdGllbnQgKDQuMTYlKSBhcyBUNC4gU2Vjb25kYXJ5IGhlbWljb2xlY3RvbXkgd2FzIHBlcmZvcm1lZCBpbiBmb3VyIHBhdGllbnRzLiBNZWRpYW4gcG9zdG9wZXJhdGl2ZSBmb2xsb3ctdXAgd2FzIDQzICgxN+KAkzEwOCkgbW9udGhzLiBDb25jbHVzaW9uOiBJbiBhZGRpdGlvbiwgQU5FVHMgYXJlIHJhcmUgYW5kIGxhcmdlbHkgZGV0ZWN0ZWQgYnkgY2hhbmNlOyB0aGVyZWZvcmUsIHByZWNpc2UgZXhhbWluYXRpb24gb2Ygcm91dGluZSBhcHBlbmRlY3RvbXkgc3BlY2ltZW5zIGlzIGVzc2VudGlhbCBmb3IgZGlhZ25vc2lzLiBBY2N1cmF0ZSB0dW1vciBzdGFnaW5nLCBpbiBsaWdodCBvZiBuZXcgYWxnb3JpdGhtcywgaGFzIGFuIGltcG9ydGFudCBwbGFjZSBpbiBmb2xsb3ctdXAgYW5kIHRyZWF0bWVudCBtYW5hZ2VtZW50LiIsInB1Ymxpc2hlciI6IklyIEogTWVkIFNjaSIsImlzc3VlIjoiMyIsInZvbHVtZSI6IjE5MSJ9LCJpc1RlbXBvcmFyeSI6ZmFsc2V9XX0="/>
          <w:id w:val="651187615"/>
        </w:sdtPr>
        <w:sdtContent>
          <w:r>
            <w:rPr/>
          </w:r>
          <w:r>
            <w:rPr>
              <w:color w:val="000000"/>
            </w:rPr>
            <w:t>(10)</w:t>
          </w:r>
        </w:sdtContent>
      </w:sdt>
      <w:r>
        <w:rPr>
          <w:color w:val="000000"/>
        </w:rPr>
        <w:t>.</w:t>
      </w:r>
    </w:p>
    <w:p>
      <w:pPr>
        <w:pStyle w:val="p3"/>
        <w:spacing w:lineRule="auto" w:line="360" w:before="280" w:after="280"/>
        <w:jc w:val="both"/>
        <w:rPr/>
      </w:pPr>
      <w:r>
        <w:rPr/>
        <w:t xml:space="preserve">Cuando el tamaño tumoral se encuentra entre 1 y 2 cm, el manejo es más controvertido. La decisión entre apendicectomía o hemicolectomía debe considerar la invasión del mesoapéndice mayor a 3 mm, afectación de la base apendicular, invasión linfovascular o perineural, y/o un índice proliferativo Ki-67 elevado. En ausencia de estos factores, una apendicectomía simple es suficiente. Por el contrario, si están presentes, se recomienda realizar una hemicolectomía derecha con evaluación ganglionar, debido al mayor riesgo de diseminación ganglionar </w:t>
      </w:r>
      <w:sdt>
        <w:sdtPr>
          <w:placeholder>
            <w:docPart w:val="0243DCBF25F5184DA9DF8CB4149CFFAF"/>
          </w:placeholder>
          <w:tag w:val="MENDELEY_CITATION_v3_eyJjaXRhdGlvbklEIjoiTUVOREVMRVlfQ0lUQVRJT05fMjQ4NzJmODMtMTg1OS00MWMwLWFlMjctMDQ0YjkxNDRhYjYzIiwicHJvcGVydGllcyI6eyJub3RlSW5kZXgiOjB9LCJpc0VkaXRlZCI6ZmFsc2UsIm1hbnVhbE92ZXJyaWRlIjp7ImlzTWFudWFsbHlPdmVycmlkZGVuIjpmYWxzZSwiY2l0ZXByb2NUZXh0IjoiKDM5KSIsIm1hbnVhbE92ZXJyaWRlVGV4dCI6IiJ9LCJjaXRhdGlvbkl0ZW1zIjpbeyJpZCI6IjY3YTcxOGU2LTMyNmYtMzRiNS1hZjdlLWYyNGFmMzUxMDM4NSIsIml0ZW1EYXRhIjp7InR5cGUiOiJhcnRpY2xlLWpvdXJuYWwiLCJpZCI6IjY3YTcxOGU2LTMyNmYtMzRiNS1hZjdlLWYyNGFmMzUxMDM4NSIsInRpdGxlIjoiQVNPIFByYWN0aWNlIEd1aWRlbGluZXMgU2VyaWVzOiBTdXJnaWNhbCBNYW5hZ2VtZW50IG9mIEdhc3Ryb2ludGVzdGluYWwgKE1pZGd1dCkgTmV1cm9lbmRvY3JpbmUgTmVvcGxhc21zIiwiYXV0aG9yIjpbeyJmYW1pbHkiOiJIYWxsZXQiLCJnaXZlbiI6Ikp1bGllIiwicGFyc2UtbmFtZXMiOmZhbHNlLCJkcm9wcGluZy1wYXJ0aWNsZSI6IiIsIm5vbi1kcm9wcGluZy1wYXJ0aWNsZSI6IiJ9LHsiZmFtaWx5IjoiQ2xhcmtlIiwiZ2l2ZW4iOiJDYWxsaXNpYSBOLiIsInBhcnNlLW5hbWVzIjpmYWxzZSwiZHJvcHBpbmctcGFydGljbGUiOiIiLCJub24tZHJvcHBpbmctcGFydGljbGUiOiIifV0sImNvbnRhaW5lci10aXRsZSI6IkFubmFscyBvZiBzdXJnaWNhbCBvbmNvbG9neSIsImNvbnRhaW5lci10aXRsZS1zaG9ydCI6IkFubiBTdXJnIE9uY29sIiwiYWNjZXNzZWQiOnsiZGF0ZS1wYXJ0cyI6W1syMDI1LDQsMTJdXX0sIkRPSSI6IjEwLjEyNDUvUzEwNDM0LTAyMy0xNDgwMi04IiwiSVNTTiI6IjE1MzQtNDY4MSIsIlBNSUQiOiIzODE2NzgxMyIsIlVSTCI6Imh0dHBzOi8vcHVibWVkLm5jYmkubmxtLm5paC5nb3YvMzgxNjc4MTMvIiwiaXNzdWVkIjp7ImRhdGUtcGFydHMiOltbMjAyNF1dfSwicGFnZSI6IjE3MDQtMTcxMyIsImFic3RyYWN0IjoiR2FzdHJvaW50ZXN0aW5hbCBtaWRndXQgbmV1cm9lbmRvY3JpbmUgbmVvcGxhc21zIChORU5zKSBhcmUgYSBoZXRlcm9nZW5lb3VzIGdyb3VwIG9mIHVuY29tbW9uIG1hbGlnbmFuY2llcy4gRm9yIHdlbGwtZGlmZmVyZW50aWF0ZWQgTkVOcywga25vd24gYXMgbmV1cm9lbmRvY3JpbmUgdHVtb3JzIChORVRzKSwgc3VyZ2VyeSBpcyBhIGNvcm5lcnN0b25lIG9mIG1hbmFnZW1lbnQgaW4gbG9jYWxpemVkIGFuZCBtZXRhc3RhdGljIGRpc2Vhc2UuIEJlY2F1c2Ugb2YgaGV0ZXJvZ2VuZW91cyB0dW1vciBiZWhhdmlvdXIsIGFzc29jaWF0aW9uIHdpdGggZW5kb2NyaW5lIHN5bmRyb21lLCBhbmQgcHJvZ25vc2lzLCB0aGUgbWFuYWdlbWVudCBvZiBORVRzIG11c3QgYmUgaW5kaXZpZHVhbGl6ZWQgdG8gYWxsIHRoZXNlIGZhY3RvcnMgaW4gYWRkaXRpb24gdG8gdGhlIHByaW1hcnkgc2l0ZS4gV2l0aCB0aGUgZmFzdCBwYWNlIG9mIGFkdmFuY2VtZW50IGluIHRoZSBmaWVsZCwgYm90aCBmb3IgdGhlcmFwaWVzIGFuZCB1bmRlcnN0YW5kaW5nIG9mIHR1bW9yYWwgZXRpb2xvZ3kgYW5kIGJlaGF2aW91ciwgaXQgaXMgaW1wb3J0YW50IGZvciBzdXJnaWNhbCBvbmNvbG9naXN0cyB0byByZW1haW4gdXBkYXRlZCBvbiBndWlkZWxpbmVzIHJlY29tbWVuZGF0aW9ucyBhbmQgc3VnZ2VzdGVkIHRyZWF0bWVudCBwYXRod2F5cy4gVGhvc2UgZ3VpZGVsaW5lcyBwcm92aWRlIGltcG9ydGFudCBndWlkYW5jZSBmb3IgbWFuYWdlbWVudCBvZiBORVRzIGJ1dCBhcmUgbGFyZ2VseSBiYXNlZCBvbiBleHBlcnQgb3BpbmlvbnMgYW5kIGludGVycHJldGF0aW9uIG9mIHJldHJvc3BlY3RpdmUgZXZpZGVuY2UuIFRoaXMgYXJ0aWNsZSByZXZpZXdzIGhpZ2hsaWdodHMgb2YgbW9zdCByZWNlbnQgcHJhY3RpY2UgZ3VpZGVsaW5lcyBmb3IgbWlkZ3V0IChnYXN0cmljLCBkdW9kZW5hbCwgc21hbGwgaW50ZXN0aW5hbCwgYW5kIGFwcGVuZGljZWFsKSBORVRzLiIsInB1Ymxpc2hlciI6IkFubiBTdXJnIE9uY29sIiwiaXNzdWUiOiIzIiwidm9sdW1lIjoiMzEifSwiaXNUZW1wb3JhcnkiOmZhbHNlfV19"/>
          <w:id w:val="1586730738"/>
        </w:sdtPr>
        <w:sdtContent>
          <w:r>
            <w:rPr/>
          </w:r>
          <w:r>
            <w:rPr>
              <w:rFonts w:eastAsia="MS Mincho"/>
              <w:color w:val="000000"/>
            </w:rPr>
            <w:t>(39)</w:t>
          </w:r>
        </w:sdtContent>
      </w:sdt>
    </w:p>
    <w:p>
      <w:pPr>
        <w:pStyle w:val="Normal"/>
        <w:rPr>
          <w:b/>
        </w:rPr>
      </w:pPr>
      <w:bookmarkStart w:id="155" w:name="_Toc199584609"/>
      <w:bookmarkStart w:id="156" w:name="_Toc199583974"/>
      <w:r>
        <w:rPr>
          <w:b/>
        </w:rPr>
        <w:t>Adenocarcinoma apendicular en estadios tempranos</w:t>
      </w:r>
      <w:bookmarkEnd w:id="155"/>
      <w:bookmarkEnd w:id="156"/>
      <w:r>
        <w:rPr>
          <w:b/>
          <w:bCs/>
        </w:rPr>
        <w:t>:</w:t>
      </w:r>
    </w:p>
    <w:p>
      <w:pPr>
        <w:pStyle w:val="p3"/>
        <w:spacing w:lineRule="auto" w:line="360" w:before="280" w:after="280"/>
        <w:jc w:val="both"/>
        <w:rPr/>
      </w:pPr>
      <w:r>
        <w:rPr/>
        <w:t xml:space="preserve">Para los adenocarcinomas apendiculares diagnosticados en estadios T1–T2, sin invasión del mesoapéndice ni metástasis ganglionares, la hemicolectomía derecha constituye el tratamiento estándar, incluso si la apendicectomía inicial fue completa. Esta indicación se justifica para asegurar una adecuada evaluación ganglionar y obtener márgenes oncológicos apropiados </w:t>
      </w:r>
      <w:sdt>
        <w:sdtPr>
          <w:placeholder>
            <w:docPart w:val="3B1E5956E20FFA4CBE01AE00CE877EBE"/>
          </w:placeholder>
          <w:tag w:val="MENDELEY_CITATION_v3_eyJjaXRhdGlvbklEIjoiTUVOREVMRVlfQ0lUQVRJT05fNDAyMjhjZDctYmMzMi00YTNmLWE3MzktNjhlMWNhYWJhZjUzIiwicHJvcGVydGllcyI6eyJub3RlSW5kZXgiOjB9LCJpc0VkaXRlZCI6ZmFsc2UsIm1hbnVhbE92ZXJyaWRlIjp7ImlzTWFudWFsbHlPdmVycmlkZGVuIjpmYWxzZSwiY2l0ZXByb2NUZXh0IjoiKDQ5KSIsIm1hbnVhbE92ZXJyaWRlVGV4dCI6IiJ9LCJjaXRhdGlvbkl0ZW1zIjpbeyJpZCI6ImFjYzAxNTBkLWJhNzUtMzNlZS1hZTUyLTVlMWI1MjBmMTIxMCIsIml0ZW1EYXRhIjp7InR5cGUiOiJhcnRpY2xlLWpvdXJuYWwiLCJpZCI6ImFjYzAxNTBkLWJhNzUtMzNlZS1hZTUyLTVlMWI1MjBmMTIxMCIsInRpdGxlIjoiRXh0ZW50IG9mIFJlc2VjdGlvbiBhbmQgTG9uZy1UZXJtIE91dGNvbWVzIGZvciBBcHBlbmRpY2VhbCBBZGVub2NhcmNpbm9tYTogYSBTRUVSIERhdGFiYXNlIEFuYWx5c2lzIG9mIE11Y2lub3VzIGFuZCBub24tTXVjaW5vdXMgSGlzdG9sb2dpZXMiLCJhdXRob3IiOlt7ImZhbWlseSI6IlRzYWdrYWxpZGlzIiwiZ2l2ZW4iOiJWYXNpbGVpb3MiLCJwYXJzZS1uYW1lcyI6ZmFsc2UsImRyb3BwaW5nLXBhcnRpY2xlIjoiIiwibm9uLWRyb3BwaW5nLXBhcnRpY2xlIjoiIn0seyJmYW1pbHkiOiJDaG9lIiwiZ2l2ZW4iOiJKZW5uaWUgSy4iLCJwYXJzZS1uYW1lcyI6ZmFsc2UsImRyb3BwaW5nLXBhcnRpY2xlIjoiIiwibm9uLWRyb3BwaW5nLXBhcnRpY2xlIjoiIn0seyJmYW1pbHkiOiJCZW5pbmF0byIsImdpdmVuIjoiVG9uaSIsInBhcnNlLW5hbWVzIjpmYWxzZSwiZHJvcHBpbmctcGFydGljbGUiOiIiLCJub24tZHJvcHBpbmctcGFydGljbGUiOiIifSx7ImZhbWlseSI6IkVza2FuZGVyIiwiZ2l2ZW4iOiJNYXJpYW0gRi4iLCJwYXJzZS1uYW1lcyI6ZmFsc2UsImRyb3BwaW5nLXBhcnRpY2xlIjoiIiwibm9uLWRyb3BwaW5nLXBhcnRpY2xlIjoiIn0seyJmYW1pbHkiOiJHcmFuZGhpIiwiZ2l2ZW4iOiJNaXJhbCBTLiIsInBhcnNlLW5hbWVzIjpmYWxzZSwiZHJvcHBpbmctcGFydGljbGUiOiIiLCJub24tZHJvcHBpbmctcGFydGljbGUiOiIifSx7ImZhbWlseSI6IkluIiwiZ2l2ZW4iOiJIYWVqaW4iLCJwYXJzZS1uYW1lcyI6ZmFsc2UsImRyb3BwaW5nLXBhcnRpY2xlIjoiIiwibm9uLWRyb3BwaW5nLXBhcnRpY2xlIjoiIn0seyJmYW1pbHkiOiJLZW5uZWR5IiwiZ2l2ZW4iOiJUaW1vdGh5IEouIiwicGFyc2UtbmFtZXMiOmZhbHNlLCJkcm9wcGluZy1wYXJ0aWNsZSI6IiIsIm5vbi1kcm9wcGluZy1wYXJ0aWNsZSI6IiJ9LHsiZmFtaWx5IjoiTGFuZ2FuIiwiZ2l2ZW4iOiJSdXNzZWxsIEMuIiwicGFyc2UtbmFtZXMiOmZhbHNlLCJkcm9wcGluZy1wYXJ0aWNsZSI6IiIsIm5vbi1kcm9wcGluZy1wYXJ0aWNsZSI6IiJ9LHsiZmFtaWx5IjoiTWFnZ2kiLCJnaXZlbiI6Ikphc29uIEMuIiwicGFyc2UtbmFtZXMiOmZhbHNlLCJkcm9wcGluZy1wYXJ0aWNsZSI6IiIsIm5vbi1kcm9wcGluZy1wYXJ0aWNsZSI6IiJ9LHsiZmFtaWx5IjoiUGl0dCIsImdpdmVuIjoiSGVucnkgQS4iLCJwYXJzZS1uYW1lcyI6ZmFsc2UsImRyb3BwaW5nLXBhcnRpY2xlIjoiIiwibm9uLWRyb3BwaW5nLXBhcnRpY2xlIjoiIn0seyJmYW1pbHkiOiJBbGV4YW5kZXIiLCJnaXZlbiI6IkguIFJpY2hhcmQiLCJwYXJzZS1uYW1lcyI6ZmFsc2UsImRyb3BwaW5nLXBhcnRpY2xlIjoiIiwibm9uLWRyb3BwaW5nLXBhcnRpY2xlIjoiIn0seyJmYW1pbHkiOiJFY2tlciIsImdpdmVuIjoiQnJldHQgTC4iLCJwYXJzZS1uYW1lcyI6ZmFsc2UsImRyb3BwaW5nLXBhcnRpY2xlIjoiIiwibm9uLWRyb3BwaW5nLXBhcnRpY2xlIjoiIn1dLCJjb250YWluZXItdGl0bGUiOiJBbm5hbHMgb2Ygc3VyZ2ljYWwgb25jb2xvZ3kiLCJjb250YWluZXItdGl0bGUtc2hvcnQiOiJBbm4gU3VyZyBPbmNvbCIsIkRPSSI6IjEwLjEyNDUvUzEwNDM0LTAyNC0xNTIzMy05IiwiSVNTTiI6IjE1MzQtNDY4MSIsIlBNSUQiOiIzODU5NDU3OSIsImlzc3VlZCI6eyJkYXRlLXBhcnRzIjpbWzIwMjRdXX0sInBhZ2UiOiI0MjAzLTQyMTIiLCJhYnN0cmFjdCI6IkJhY2tncm91bmQ6IE11Y2lub3VzIGFwcGVuZGljZWFsIGFkZW5vY2FyY2lub21hcyAoTUFBKSBhbmQgbm9uLW11Y2lub3VzIGFwcGVuZGljZWFsIGFkZW5vY2FyY2lub21hcyAoTk1BQSkgZGVtb25zdHJhdGUgZGlmZmVyZW5jZXMgaW4gcmF0ZXMgYW5kIHBhdHRlcm5zIG9mIHJlY3VycmVuY2UsIHdoaWNoIG1heSBpbmZvcm0gdGhlIGFwcHJvcHJpYXRlIGV4dGVudCBvZiBzdXJnaWNhbCByZXNlY3Rpb24gKGkuZS4sIGFwcGVuZGVjdG9teSB2ZXJzdXMgY29sZWN0b215KS4gVGhlIGltcGFjdCBvZiBleHRlbnQgb2YgcmVzZWN0aW9uIG9uIGRpc2Vhc2Utc3BlY2lmaWMgc3Vydml2YWwgKERTUykgZm9yIGVhY2ggaGlzdG9sb2dpYyBzdWJ0eXBlIHdhcyBhc3Nlc3NlZC4gUGF0aWVudHMgYW5kIE1ldGhvZHM6IFBhdGllbnRzIHdpdGggcmVzZWN0ZWQsIG5vbi1tZXRhc3RhdGljIE1BQSBhbmQgTk1BQSB3ZXJlIGlkZW50aWZpZWQgaW4gdGhlIFN1cnZlaWxsYW5jZSwgRXBpZGVtaW9sb2d5LCBhbmQgRW5kIFJlc3VsdHMgZGF0YWJhc2UgKDIwMDDigJMyMDIwKS4gTXVsdGl2YXJpYWJsZSBtb2RlbHMgd2VyZSBjcmVhdGVkIHRvIGV4YW1pbmUgcHJlZGljdG9ycyBvZiBjb2xlY3RvbXkgZm9yIGVhY2ggaGlzdG9sb2dpYyBzdWJ0eXBlLiBEU1Mgd2FzIGNhbGN1bGF0ZWQgdXNpbmcgS2FwbGFu4oCTTWVpZXIgZXN0aW1hdGVzIGFuZCBleGFtaW5lZCB1c2luZyBDb3ggcHJvcG9ydGlvbmFsIGhhemFyZHMgbW9kZWxpbmcuIFJlc3VsdHM6IEFtb25nIDQ2NzQgcGF0aWVudHMgKE1BQTogbiA9IDE5OTAsIDQyLjYlOyBOTUFBOiBuID0gMjY4NCwgNTcuNCUpLCB0aGUgbWFqb3JpdHkgKDY3LjglKSB1bmRlcndlbnQgY29sZWN0b215LiBBbW9uZyBjb2xlY3RvbXkgcGF0aWVudHMsIHRoZSByYXRlIG9mIG5vZGFsIHBvc2l0aXZpdHkgaW5jcmVhc2VkIHdpdGggaGlnaGVyIFQtc3RhZ2UgKE1BQTogVDE6IDQuNiUsIFQyOiA0LjAlLCBUMzogMTcuMSUsIFQ0OiAyMS42JSwgcCA8IDAuMDAxOyBOTUFBOiBUMTogNi44JSwgVDI6IDExLjQlLCBUMzogMjUuNiUsIFQ0OiA0My44JSwgcCA8IDAuMDAxKSBhbmQgaGlnaGVyIHR1bW9yIGdyYWRlIChNQUE6IHdlbGwgZGlmZmVyZW50aWF0ZWQ6IDcuNyUsIG1vZGVyYXRlbHkgZGlmZmVyZW50aWF0ZWQ6IDE5LjIlLCBhbmQgcG9vcmx5IGRpZmZlcmVudGlhdGVkOiAzMS4zJTsgTk1BQTogd2VsbCBkaWZmZXJlbnRpYXRlZDogOS4wJSwgbW9kZXJhdGVseSBkaWZmZXJlbnRpYXRlZDogMjAuNSUsIGFuZCA0NC40JTsgcCA8IDAuMDAxKS4gTm9kYWwgcG9zaXRpdml0eSB3YXMgbW9yZSBmcmVxdWVudGx5IG9ic2VydmVkIGluIE5NQUEgKDI3LjYlIHZlcnN1cyAxNi40JSwgcCA8IDAuMDAxKS4gVXRpbGl6YXRpb24gb2YgY29sZWN0b215IHdhcyBhc3NvY2lhdGVkIHdpdGggaW1wcm92ZWQgRFNTIGZvciBOTUFBIHBhdGllbnRzIHdpdGggVDIgKGxvZyByYW5rIHAgPSAwLjA5NSkgYW5kIFQzIChsb2cgcmFuayBwID0gMC4wMTgpIHR1bW9ycyBhcyB3ZWxsIGFzIG1vZGVyYXRlbHkgZGlmZmVyZW50aWF0ZWQgaGlzdG9sb2d5IChsb2cgcmFuayBwID0gMC4wMDYpLiBVdGlsaXphdGlvbiBvZiBjb2xlY3RvbXkgd2FzIG5vdCBhc3NvY2lhdGVkIHdpdGggaW1wcm92ZWQgRFNTIGZvciBNQUEgcGF0aWVudHMsIHdoaWNoIHdhcyBjb25maXJtZWQgaW4gYSBtdWx0aXZhcmlhYmxlIG1vZGVsIGZvciBULXN0YWdlLCBncmFkZSwgYW5kIHVzZSBvZiBhZGp1dmFudCBjaGVtb3RoZXJhcHkgW2hhemFyZCByYXRpbyAoSFIpIDEuMDAsIDk1JSBjb25maWRlbmNlIGludGVydmFsIChDSSkgMC44MeKAkzEuMjJdLiBDb25jbHVzaW9uczogQ29sZWN0b215IHdhcyBhc3NvY2lhdGVkIHdpdGggaW1wcm92ZWQgRFNTIGZvciBwYXRpZW50cyB3aXRoIE5NQUEgYnV0IG5vdCBNQUEuIENvbGVjdG9teSBmb3IgTUFBIG1heSBub3QgYmUgcmVxdWlyZWQuIiwicHVibGlzaGVyIjoiQW5uIFN1cmcgT25jb2wiLCJpc3N1ZSI6IjciLCJ2b2x1bWUiOiIzMSJ9LCJpc1RlbXBvcmFyeSI6ZmFsc2V9XX0="/>
          <w:id w:val="-782950566"/>
        </w:sdtPr>
        <w:sdtContent>
          <w:r>
            <w:rPr/>
          </w:r>
          <w:r>
            <w:rPr>
              <w:rFonts w:eastAsia="MS Mincho"/>
              <w:color w:val="000000"/>
            </w:rPr>
            <w:t>(49)</w:t>
          </w:r>
        </w:sdtContent>
      </w:sdt>
    </w:p>
    <w:p>
      <w:pPr>
        <w:pStyle w:val="p3"/>
        <w:spacing w:lineRule="auto" w:line="360" w:before="280" w:after="280"/>
        <w:jc w:val="both"/>
        <w:rPr>
          <w:rStyle w:val="s1"/>
        </w:rPr>
      </w:pPr>
      <w:r>
        <w:rPr/>
        <w:t>En casos T1 muy bien diferenciados, sin invasión linfovascular, y en pacientes con alto riesgo quirúrgico, la conducta puede individualizarse, aunque la colectomía continúa siendo el abordaje preferido.</w:t>
      </w:r>
    </w:p>
    <w:p>
      <w:pPr>
        <w:pStyle w:val="Normal"/>
        <w:spacing w:lineRule="auto" w:line="276" w:before="0" w:after="200"/>
        <w:rPr>
          <w:b/>
        </w:rPr>
      </w:pPr>
      <w:r>
        <w:rPr>
          <w:b/>
        </w:rPr>
      </w:r>
      <w:bookmarkStart w:id="157" w:name="_Toc199583975"/>
      <w:bookmarkStart w:id="158" w:name="_Toc199583975"/>
      <w:r>
        <w:br w:type="page"/>
      </w:r>
    </w:p>
    <w:p>
      <w:pPr>
        <w:pStyle w:val="Normal"/>
        <w:spacing w:before="0" w:after="0"/>
        <w:rPr>
          <w:b/>
        </w:rPr>
      </w:pPr>
      <w:bookmarkStart w:id="159" w:name="_Toc199583975"/>
      <w:bookmarkStart w:id="160" w:name="_Toc199584610"/>
      <w:r>
        <w:rPr>
          <w:b/>
        </w:rPr>
        <w:t>Neoplasias mucinosas de bajo grado (LAMN) confinadas</w:t>
      </w:r>
      <w:bookmarkEnd w:id="159"/>
      <w:bookmarkEnd w:id="160"/>
      <w:r>
        <w:rPr>
          <w:b/>
          <w:bCs/>
        </w:rPr>
        <w:t>:</w:t>
      </w:r>
    </w:p>
    <w:p>
      <w:pPr>
        <w:pStyle w:val="p3"/>
        <w:spacing w:lineRule="auto" w:line="360" w:before="280" w:after="280"/>
        <w:jc w:val="both"/>
        <w:rPr/>
      </w:pPr>
      <w:r>
        <w:rPr/>
        <w:t>Cuando los LAMN están confinados al apéndice, sin invasión transmural ni extravasación mucinosa celular, el tratamiento es exclusivamente quirúrgico. En ausencia de perforación o compromiso de la base, la apendicectomía estándar es curativa. No se requiere cirugía adicional ni HIPEC</w:t>
      </w:r>
      <w:sdt>
        <w:sdtPr>
          <w:placeholder>
            <w:docPart w:val="DefaultPlaceholder_-1854013440"/>
          </w:placeholder>
          <w:tag w:val="MENDELEY_CITATION_v3_eyJjaXRhdGlvbklEIjoiTUVOREVMRVlfQ0lUQVRJT05fZGY1ZThlYzMtMGEzMS00NzhjLWJjODgtZWExOTkwNTA3OTMwIiwicHJvcGVydGllcyI6eyJub3RlSW5kZXgiOjB9LCJpc0VkaXRlZCI6ZmFsc2UsIm1hbnVhbE92ZXJyaWRlIjp7ImlzTWFudWFsbHlPdmVycmlkZGVuIjpmYWxzZSwiY2l0ZXByb2NUZXh0IjoiKDUwKSIsIm1hbnVhbE92ZXJyaWRlVGV4dCI6IiJ9LCJjaXRhdGlvbkl0ZW1zIjpbeyJpZCI6Ijc3NWU5ZmE1LTk5NjItMzJhYi04YjUwLTA0NzkwNDM2ZDY1NiIsIml0ZW1EYXRhIjp7InR5cGUiOiJhcnRpY2xlLWpvdXJuYWwiLCJpZCI6Ijc3NWU5ZmE1LTk5NjItMzJhYi04YjUwLTA0NzkwNDM2ZDY1NiIsInRpdGxlIjoiTWFuYWdlbWVudCBvZiBMb3ctR3JhZGUgQXBwZW5kaWNlYWwgTXVjaW5vdXMgTmVvcGxhc21zIChMQU1OKTogQW4gSW50ZXJuYXRpb25hbCBTdXJ2ZXkgb2YgU3VyZ2VvbnMgUGVyZm9ybWluZyBDUlMgYW5kIEhJUEVDIiwiYXV0aG9yIjpbeyJmYW1pbHkiOiJJc3RsIiwiZ2l2ZW4iOiJBbGV4YW5kcmEgQy4iLCJwYXJzZS1uYW1lcyI6ZmFsc2UsImRyb3BwaW5nLXBhcnRpY2xlIjoiIiwibm9uLWRyb3BwaW5nLXBhcnRpY2xlIjoiIn0seyJmYW1pbHkiOiJHYWdlIiwiZ2l2ZW4iOiJNaWNoZWxlIE0uIiwicGFyc2UtbmFtZXMiOmZhbHNlLCJkcm9wcGluZy1wYXJ0aWNsZSI6IiIsIm5vbi1kcm9wcGluZy1wYXJ0aWNsZSI6IiJ9LHsiZmFtaWx5IjoiRXNxdWl2ZWwiLCJnaXZlbiI6Ikplc3VzIiwicGFyc2UtbmFtZXMiOmZhbHNlLCJkcm9wcGluZy1wYXJ0aWNsZSI6IiIsIm5vbi1kcm9wcGluZy1wYXJ0aWNsZSI6IiJ9LHsiZmFtaWx5IjoiQWh1amEiLCJnaXZlbiI6Ik5pdGEiLCJwYXJzZS1uYW1lcyI6ZmFsc2UsImRyb3BwaW5nLXBhcnRpY2xlIjoiIiwibm9uLWRyb3BwaW5nLXBhcnRpY2xlIjoiIn0seyJmYW1pbHkiOiJHcmVlciIsImdpdmVuIjoiSm9uYXRoYW4gQi4iLCJwYXJzZS1uYW1lcyI6ZmFsc2UsImRyb3BwaW5nLXBhcnRpY2xlIjoiIiwibm9uLWRyb3BwaW5nLXBhcnRpY2xlIjoiIn0seyJmYW1pbHkiOiJKb2huc3RvbiIsImdpdmVuIjoiRmFiaWFuIE0uIiwicGFyc2UtbmFtZXMiOmZhbHNlLCJkcm9wcGluZy1wYXJ0aWNsZSI6IiIsIm5vbi1kcm9wcGluZy1wYXJ0aWNsZSI6IiJ9XSwiY29udGFpbmVyLXRpdGxlIjoiQW5uYWxzIG9mIHN1cmdpY2FsIG9uY29sb2d5IiwiY29udGFpbmVyLXRpdGxlLXNob3J0IjoiQW5uIFN1cmcgT25jb2wiLCJET0kiOiIxMC4xMjQ1L1MxMDQzNC0wMjAtMDkzMTItVyIsIklTU04iOiIxNTM0LTQ2ODEiLCJQTUlEIjoiMzMzOTMwMjMiLCJpc3N1ZWQiOnsiZGF0ZS1wYXJ0cyI6W1syMDIxXV19LCJwYWdlIjoiMzgzMS0zODM3IiwiYWJzdHJhY3QiOiJCYWNrZ3JvdW5kOiBMb3ctZ3JhZGUgYXBwZW5kaWNlYWwgbXVjaW5vdXMgbmVvcGxhc21zIChMQU1OKSBhcmUgY29tbW9ubHkgbWFuYWdlZCBieSBjb21tdW5pdHkgc3VyZ2VvbnMgYXQgZGlhZ25vc2lzLiBUaGVyZSBpcyB2YXJpYWJpbGl0eSBpbiB0aGUgdHJlYXRtZW50IG9mIExBTU4sIGJvdGggYnkgY29tbXVuaXR5IGFuZCBzcGVjaWFsaXN0IHByb3ZpZGVycy4gV2UgYXNzZXNzZWQgY3VycmVudCBtYW5hZ2VtZW50IHByYWN0aWNlcyBmb3IgTEFNTiBhY3Jvc3Mgc3VyZ2VvbnMgd2l0aCBleHBlcnRpc2UgaW4gcGVyaXRvbmVhbCBzdXJmYWNlIG1hbGlnbmFuY2llcyAoUFNNKS4gTWV0aG9kczogQW4gb25saW5lIHN1cnZleSB3YXMgc2VudCB0byAxMDYgaW50ZXJuYXRpb25hbCBzdXJnZW9ucyBzcGVjaWFsaXppbmcgaW4gUFNNLiBUaGUgc3VydmV5IGFzc2Vzc2VkIGRlbW9ncmFwaGljcywgZmF2b3JlZCBwcmUtcmVmZXJyYWwgbWFuYWdlbWVudCwgYW5kIGRlZmluaXRpdmUgbWFuYWdlbWVudCBwcmFjdGljZXMgZm9yIExBTU4uIFJlc3VsdHM6IFRoZSByZXNwb25zZSByYXRlIHdhcyA0MCUgKDY3JSBVU0EsIDMzJSBpbnRlcm5hdGlvbmFsKS4gUmVzcG9uZGVudHMgaGFkIHBlcmZvcm1lZCBhIG1lZGlhbiBvZiAxOCAoaW50ZXJxdWFydGlsZSByYW5nZSBbSVFSXSA3Ljc14oCTMjkpIEhJUEVDIGNhc2VzIGluIHRoZSBsYXN0IHllYXIsIG9mIHdoaWNoIDEwIChJUVIgNOKAkzIwKSB3ZXJlIGZvciBMQU1OLiBOaW5ldHktdGhyZWUgcGVyY2VudCByZXBvcnRlZCBtb3JlIHRoYW4gaGFsZiBvZiBMQU1OIHJlZmVycmFscyBoYWQgYWxyZWFkeSB1bmRlcmdvbmUgc3VyZ2VyeeKAlGFuIGVzdGltYXRlZCA1MCUgYXBwZW5kZWN0b215IGFuZCAyMCUgcmlnaHQgaGVtaWNvbGVjdG9teSAoUkgpLiBObyBzdXJnZW9uIHJlc3BvbmRlbnRzIHN1cHBvcnRlZCBwZXJmb3JtaW5nIHJpZ2h0IGhlbWljb2xlY3RvbXkgYmVmb3JlIHJlZmVycmFsLiBGb3IgTEFNTiBjb25maW5lZCB0byB0aGUgYXBwZW5kaXgsIDg2JSBvZiByZXNwb25kZW50cyB3b3VsZCBkZWZpbml0aXZlbHkgdHJlYXQgd2l0aCBhcHBlbmRlY3RvbXkuIEluIHRoZSBwcmVzZW5jZSBvZiBtdWNpbm91cyBpbXBsYW50cywgMjQlIHdvdWxkIG9ic2VydmUgYWZ0ZXIgYXBwZW5kZWN0b215IGFuZCA3NiUgd291bGQgcHJvY2VlZCB3aXRoIEhJUEVDLiBBbGwgd291bGQgcGVyZm9ybSBISVBFQyBpZiBpbXBsYW50cyBjb250YWluZWQgdHVtb3IgY2VsbHMuIFdoZW4gTEFNTiBpbnZvbHZlZCB0aGUgYXBwZW5kaWNlYWwgYmFzZSwgNjclIG9mIHJlc3BvbmRlbnRzIHdvdWxkIHByb2NlZWQgd2l0aCBwYXJ0aWFsIGNlY2VjdG9teSwgd2hpbGUgMzMlIGZhdm9yZWQgUkguIENvbmNsdXNpb25zOiBQcmUtcmVmZXJyYWwgbWFuYWdlbWVudCBvZiBMQU1OIGlzIG5vdCBzdGFuZGFyZGl6ZWQgYW5kIDIwJSBvZiBwYXRpZW50cyB3ZXJlIHJlZmVycmVkIHRvIGEgc3VyZ2VvbiB3aG8gcGVyZm9ybXMgQ1JTL0hJUEVDIGFmdGVyIGEgcmlnaHQgaGVtaWNvbGVjdG9teSB0aGF0IHdvdWxkIG5vdCBoYXZlIGJlZW4gcmVjb21tZW5kZWQuIE1hbmFnZW1lbnQgb2YgTEFNTiBieSBzdXJnZW9ucyB3aG8gdHJlYXQgUFNNIGlzIGFsc28gdmFyaWFibGUuIExvbmctdGVybSBkYXRhIGFuZCBpZGVudGlmaWNhdGlvbiBvZiBwcm9nbm9zdGljIGZlYXR1cmVzIGFyZSBuZWNlc3NhcnkgdG8gZ2VuZXJhdGUgY29uc2Vuc3VzIG9uIHRoZSBvcHRpbWFsIG1hbmFnZW1lbnQgb2YgdGhlc2UgY29tcGxleCBwYXRpZW50cy4iLCJwdWJsaXNoZXIiOiJBbm4gU3VyZyBPbmNvbCIsImlzc3VlIjoiNyIsInZvbHVtZSI6IjI4In0sImlzVGVtcG9yYXJ5IjpmYWxzZX1dfQ=="/>
          <w:id w:val="1103074571"/>
        </w:sdtPr>
        <w:sdtContent>
          <w:r>
            <w:rPr/>
          </w:r>
          <w:r>
            <w:rPr>
              <w:color w:val="000000"/>
            </w:rPr>
            <w:t>(50)</w:t>
          </w:r>
        </w:sdtContent>
      </w:sdt>
      <w:r>
        <w:rPr/>
        <w:t>.</w:t>
      </w:r>
    </w:p>
    <w:p>
      <w:pPr>
        <w:pStyle w:val="p3"/>
        <w:spacing w:lineRule="auto" w:line="360" w:before="280" w:after="280"/>
        <w:jc w:val="both"/>
        <w:rPr/>
      </w:pPr>
      <w:r>
        <w:rPr/>
        <w:t>En caso de compromiso de la base sin extravasación de mucina o células mucinosas, el manejo debe individualizarse, aunque puede considerarse una resección más amplia si existen dudas sobre márgenes positivos.</w:t>
      </w:r>
    </w:p>
    <w:p>
      <w:pPr>
        <w:pStyle w:val="p3"/>
        <w:spacing w:lineRule="auto" w:line="360" w:before="280" w:after="280"/>
        <w:jc w:val="both"/>
        <w:rPr/>
      </w:pPr>
      <w:r>
        <w:rPr/>
        <w:t>En todos los casos, se debe realizar una evaluación histológica de la presencia de mucina extracelular acelular o celular, ya que esta última implica un potencial de diseminación peritoneal.</w:t>
      </w:r>
    </w:p>
    <w:p>
      <w:pPr>
        <w:pStyle w:val="Normal"/>
        <w:rPr>
          <w:b/>
        </w:rPr>
      </w:pPr>
      <w:bookmarkStart w:id="161" w:name="_Toc199584611"/>
      <w:bookmarkStart w:id="162" w:name="_Toc199583976"/>
      <w:r>
        <w:rPr>
          <w:b/>
        </w:rPr>
        <w:t>Neoplasias mucinosas de alto grado (HAMN) confinadas</w:t>
      </w:r>
      <w:bookmarkEnd w:id="161"/>
      <w:bookmarkEnd w:id="162"/>
      <w:r>
        <w:rPr>
          <w:b/>
          <w:bCs/>
        </w:rPr>
        <w:t>:</w:t>
      </w:r>
    </w:p>
    <w:p>
      <w:pPr>
        <w:pStyle w:val="p3"/>
        <w:spacing w:lineRule="auto" w:line="360" w:before="280" w:after="280"/>
        <w:jc w:val="both"/>
        <w:rPr>
          <w:rStyle w:val="s1"/>
        </w:rPr>
      </w:pPr>
      <w:r>
        <w:rPr/>
        <w:t xml:space="preserve">En los casos poco frecuentes de HAMN confinadas al apéndice, sin perforación ni mucina libre, el tratamiento inicial es la resección completa del apéndice. La apendicectomía puede ser suficiente si se logra una resección completa con márgenes negativos. Se recomienda un seguimiento estrecho, ya que no existe consenso sobre el beneficio de realizar colectomía o HIPEC en ausencia de diseminación </w:t>
      </w:r>
      <w:sdt>
        <w:sdtPr>
          <w:placeholder>
            <w:docPart w:val="DefaultPlaceholder_-1854013440"/>
          </w:placeholder>
          <w:tag w:val="MENDELEY_CITATION_v3_eyJjaXRhdGlvbklEIjoiTUVOREVMRVlfQ0lUQVRJT05fNGRhNzhlYTktMmI1OC00ZmU0LWIzMjEtMDg5YTMzYzFkNTZiIiwicHJvcGVydGllcyI6eyJub3RlSW5kZXgiOjB9LCJpc0VkaXRlZCI6ZmFsc2UsIm1hbnVhbE92ZXJyaWRlIjp7ImlzTWFudWFsbHlPdmVycmlkZGVuIjpmYWxzZSwiY2l0ZXByb2NUZXh0IjoiKDI5KSIsIm1hbnVhbE92ZXJyaWRlVGV4dCI6IiJ9LCJjaXRhdGlvbkl0ZW1zIjpbeyJpZCI6Ijc1ZGQyNGQ5LTExNWMtM2Q4NC05MmYzLTJjZjZkMmVkNDQ2NSIsIml0ZW1EYXRhIjp7InR5cGUiOiJhcnRpY2xlLWpvdXJuYWwiLCJpZCI6Ijc1ZGQyNGQ5LTExNWMtM2Q4NC05MmYzLTJjZjZkMmVkNDQ2NSIsInRpdGxlIjoiQ2xpbmljb3BhdGhvbG9naWMgcGFyYW1ldGVycyBhbmQgb3V0Y29tZXMgb2YgbXVjaW5vdXMgbmVvcGxhc21zIGNvbmZpbmVkIHRvIHRoZSBhcHBlbmRpeDogYSBiZW5pZ24gZW50aXR5IHdpdGggZXhjZWxsZW50IHByb2dub3NpcyIsImF1dGhvciI6W3siZmFtaWx5IjoiUG9seWRvcmlkZXMiLCJnaXZlbiI6IkFsZXhhbmRyb3MgRC4iLCJwYXJzZS1uYW1lcyI6ZmFsc2UsImRyb3BwaW5nLXBhcnRpY2xlIjoiIiwibm9uLWRyb3BwaW5nLXBhcnRpY2xlIjoiIn0seyJmYW1pbHkiOiJXZW4iLCJnaXZlbiI6IlhpYW95dW4iLCJwYXJzZS1uYW1lcyI6ZmFsc2UsImRyb3BwaW5nLXBhcnRpY2xlIjoiIiwibm9uLWRyb3BwaW5nLXBhcnRpY2xlIjoiIn1dLCJjb250YWluZXItdGl0bGUiOiJNb2Rlcm4gcGF0aG9sb2d5IDogYW4gb2ZmaWNpYWwgam91cm5hbCBvZiB0aGUgVW5pdGVkIFN0YXRlcyBhbmQgQ2FuYWRpYW4gQWNhZGVteSBvZiBQYXRob2xvZ3ksIEluYyIsImNvbnRhaW5lci10aXRsZS1zaG9ydCI6Ik1vZCBQYXRob2wiLCJET0kiOiIxMC4xMDM4L1M0MTM3OS0wMjItMDExMTQtNyIsIklTU04iOiIxNTMwLTAyODUiLCJQTUlEIjoiMzU2NzYzMzEiLCJpc3N1ZWQiOnsiZGF0ZS1wYXJ0cyI6W1syMDIyXV19LCJwYWdlIjoiMTczMi0xNzM5IiwiYWJzdHJhY3QiOiJBcHBlbmRpY2VhbCBtdWNpbm91cyBuZW9wbGFzbXMgKEFNTnMpLCBjaGFyYWN0ZXJpemVkIGJ5IGV4cGFuc2lsZSBvciDigJxwdXNoaW5n4oCdIGdyb3d0aCBvZiBuZW9wbGFzdGljIGVwaXRoZWxpdW0gdGhyb3VnaCB0aGUgYXBwZW5kaXggd2FsbCwgYXJlIHNvbWV0aW1lcyBhY2NvbXBhbmllZCBieSBwZXJpdG9uZWFsIGludm9sdmVtZW50LCB0aGUgZXh0ZW50IGFuZCBncmFkZSBvZiB3aGljaCBsYXJnZWx5IGRldGVybWluZSBjbGluaWNhbCBwcmVzZW50YXRpb24gYW5kIGxvbmctdGVybSBvdXRjb21lcy4gSG93ZXZlciwgdGhlIHByb2dub3NpcyBvZiB0dW1vcnMgZW50aXJlbHkgY29uZmluZWQgdG8gdGhlIGFwcGVuZGl4IGlzIHN0aWxsIGRlYmF0ZWQgYW5kIGNvbmZ1c2lvbiByZW1haW5zIHJlZ2FyZGluZyB0aGVpciBiaW9sb2dpYyBiZWhhdmlvciBhbmQsIGNvbnNlcXVlbnRseSwgdGhlaXIgY2xpbmljYWwgbWFuYWdlbWVudCBhbmQgZXZlbiBkaWFnbm9zdGljIG5vbWVuY2xhdHVyZS4gV2UgZXZhbHVhdGVkIEFNTnMgbGltaXRlZCB0byB0aGUgYXBwZW5kaXggZnJvbSAzMzcgcGF0aWVudHMgKG1lZGlhbiBhZ2U6IDU4IHllYXJzLCBpbnRlcnF1YXJ0aWxlIHJhbmdlIChJUVIpOiA0N+KAkzY3KSwgMTk0ICg1Ny42JSkgb2Ygd2hvbSB3ZXJlIHdvbWVuIGFuZCAxNDMgKDQyLjQlKSBtZW4uIFRoZSBtb3N0IGNvbW1vbiBjbGluaWNhbCBpbmRpY2F0aW9uIGZvciBzdXJnZXJ5IHdhcyBtYXNzIG9yIG11Y29jZWxlLCBpbiAxNjMgKDQ4LjQlKSBjYXNlcy4gTW9zdCBjYXNlcyAoTiA9IDMyMiwgOTUuNSUpIGNvbXByaXNlZCBsb3ctZ3JhZGUgZXBpdGhlbGl1bSwgYnV0IHRoZXJlIHdlcmUgYWxzbyAxNSAoNC41JSkgY2FzZXMgd2l0aCBoaWdoLWdyYWRlIGR5c3BsYXNpYS4gTHltcGggbm9kZXMgaGFkIGJlZW4gaGFydmVzdGVkIGluIDEwMiAoMzAuMyUpIGNhc2VzIHdpdGggYSBtZWRpYW4gNi41IGx5bXBoIG5vZGVzIChJUVI6IDLigJMxNCkgcGVyIHNwZWNpbWVuIGZvciBhIHRvdGFsIG9mIDkxMCBseW1waCBub2RlcyBleGFtaW5lZCwgYWxsIG9mIHdoaWNoIHdlcmUgbmVnYXRpdmUgZm9yIG1ldGFzdGF0aWMgZGlzZWFzZS4gSGlzdG9sb2dpYyBzbGlkZSByZXZpZXcgaW4gMjc5IGNhc2VzIHJldmVhbGVkIDc3ICgyNy42JSkgdHVtb3JzIGV4dGVuZGluZyB0byB0aGUgbXVjb3NhLCAxMDEgKDM2LjIlKSB0byBzdWJtdWNvc2EsIDMzICgxMS44JSkgdG8gbXVzY3VsYXJpcyBwcm9wcmlhLCBhbmQgNjggKDI0LjQlKSB0byBzdWJzZXJvc2FsIHRpc3N1ZXMuIEluIG11bHRpdmFyaWF0ZSBhbmFseXNpcywgZGVlcGVyIHR1bW9yIGV4dGVuc2lvbiB3YXMgYXNzb2NpYXRlZCB3aXRoIG9sZGVyIGFnZSAocCA9IDAuMDMyOyBvZGRzIHJhdGlvIChPUik6IDEuMDIsIDk1JSBjb25maWRlbmNlIGludGVydmFscyAoQ0kpOiAxLjAw4oCTMS4wMyksIGluZGljYXRpb24gb2YgbWFzcy9tdWNvY2VsZSAocCA8IDAuMDAxOyBPUjogMi4wOSwgQ0k6IDEuNDHigJMzLjExKSwgYW5kIHdpZGVyIGFwcGVuZGljZWFsIGRpYW1ldGVyLCBncm9zc2x5IChwIDwgMC4wMDE7IE9SOiAxLjYxLCBDSTogMS4yOOKAkzIuMDIpLiBJbXBvcnRhbnRseSwgYW1vbmcgMTk0IGNhc2VzIHdpdGggYXQgbGVhc3QgNiBtb250aHMgb2YgZm9sbG93LXVwIChtZWRpYW46IDU2LjEgbW9udGhzLCBJUVI6IDI0LjTigJM5OC41KSwgaW5jbHVkaW5nIDkgaGlnaC1ncmFkZSwgdGhlcmUgd2FzIG5vIGRpc2Vhc2UgcmVjdXJyZW5jZS9wcm9ncmVzc2lvbiwgcGVyaXRvbmVhbCBpbnZvbHZlbWVudCAocHNldWRvbXl4b21hIHBlcml0b25laSksIG9yIGRpc2Vhc2Utc3BlY2lmaWMgbW9ydGFsaXR5LiBUaGVzZSBkYXRhIHJlaW5mb3JjZSB0aGUgY29uY2x1c2lvbiB0aGF0IEFNTnMgY29uZmluZWQgdG8gdGhlIGFwcGVuZGl4IGFyZSBjaGFyYWN0ZXJpemVkIGJ5IGJlbmlnbiBiaW9sb2dpYyBiZWhhdmlvciBhbmQgZXhjZWxsZW50IGNsaW5pY2FsIHByb2dub3NpcyBhbmQgYWNjb3JkaW5nbHkgc3VnZ2VzdCB0aGF0IHJldmlzaW9ucyB0byB0aGVpciBub21lbmNsYXR1cmUgYW5kIHN0YWdpbmcgd291bGQgYmUgYXBwcm9wcmlhdGUsIGluY2x1ZGluZyByZXZlcnRpbmcgdG8gdGhlIGRpYWdub3N0aWMgdGVybSBtdWNpbm91cyBhZGVub21hIGluIG9yZGVyIHRvIGFjY3VyYXRlbHkgZGVzY3JpYmUgYSBzdWJzZXQgb2YgdGhlbS4iLCJwdWJsaXNoZXIiOiJNb2QgUGF0aG9sIiwiaXNzdWUiOiIxMSIsInZvbHVtZSI6IjM1In0sImlzVGVtcG9yYXJ5IjpmYWxzZX1dfQ=="/>
          <w:id w:val="-363681810"/>
        </w:sdtPr>
        <w:sdtContent>
          <w:r>
            <w:rPr/>
          </w:r>
          <w:r>
            <w:rPr>
              <w:rFonts w:eastAsia="MS Mincho"/>
              <w:color w:val="000000"/>
            </w:rPr>
            <w:t>(29)</w:t>
          </w:r>
        </w:sdtContent>
      </w:sdt>
    </w:p>
    <w:p>
      <w:pPr>
        <w:pStyle w:val="Normal"/>
        <w:rPr>
          <w:b/>
        </w:rPr>
      </w:pPr>
      <w:bookmarkStart w:id="163" w:name="_Toc199584612"/>
      <w:bookmarkStart w:id="164" w:name="_Toc199583977"/>
      <w:r>
        <w:rPr>
          <w:b/>
        </w:rPr>
        <w:t>Cáncer de células caliciformes en estadios iniciales</w:t>
      </w:r>
      <w:bookmarkEnd w:id="163"/>
      <w:bookmarkEnd w:id="164"/>
      <w:r>
        <w:rPr>
          <w:b/>
          <w:bCs/>
        </w:rPr>
        <w:t>:</w:t>
      </w:r>
    </w:p>
    <w:p>
      <w:pPr>
        <w:pStyle w:val="p3"/>
        <w:spacing w:lineRule="auto" w:line="360" w:before="280" w:after="280"/>
        <w:jc w:val="both"/>
        <w:rPr/>
      </w:pPr>
      <w:r>
        <w:rPr/>
        <w:t>A pesar de que en ocasiones se presenta como hallazgo incidental, el cáncer de células caliciformes se comporta de manera agresiva, incluso en etapas tempranas. La hemicolectomía derecha está indicada de forma sistemática, debido a la alta tasa de diseminación linfática y peritoneal, así como a la necesidad de una adecuada estadificación ganglionar</w:t>
      </w:r>
      <w:sdt>
        <w:sdtPr>
          <w:placeholder>
            <w:docPart w:val="DefaultPlaceholder_-1854013440"/>
          </w:placeholder>
          <w:tag w:val="MENDELEY_CITATION_v3_eyJjaXRhdGlvbklEIjoiTUVOREVMRVlfQ0lUQVRJT05fMjEyNjY3NWItMDZjZS00NWVkLTgzZjktOTU3OTQ5OTBhZmJhIiwicHJvcGVydGllcyI6eyJub3RlSW5kZXgiOjB9LCJpc0VkaXRlZCI6ZmFsc2UsIm1hbnVhbE92ZXJyaWRlIjp7ImlzTWFudWFsbHlPdmVycmlkZGVuIjpmYWxzZSwiY2l0ZXByb2NUZXh0IjoiKDMyKSIsIm1hbnVhbE92ZXJyaWRlVGV4dCI6IiJ9LCJjaXRhdGlvbkl0ZW1zIjpbeyJpZCI6ImM4MTQxMzdmLWM1NTgtM2MxOS05NDIyLTg2ZWU5Njk0ZTc2ZiIsIml0ZW1EYXRhIjp7InR5cGUiOiJhcnRpY2xlLWpvdXJuYWwiLCJpZCI6ImM4MTQxMzdmLWM1NTgtM2MxOS05NDIyLTg2ZWU5Njk0ZTc2ZiIsInRpdGxlIjoiQW4gSW50ZXJuYXRpb25hbCBSZWdpc3RyeSBvZiBQZXJpdG9uZWFsIENhcmNpbm9tYXRvc2lzIGZyb20gQXBwZW5kaWNlYWwgR29ibGV0IENlbGwgQ2FyY2lub21hIFRyZWF0ZWQgd2l0aCBDeXRvcmVkdWN0aXZlIFN1cmdlcnkgYW5kIEh5cGVydGhlcm1pYyBJbnRyYXBlcml0b25lYWwgQ2hlbW90aGVyYXB5IiwiYXV0aG9yIjpbeyJmYW1pbHkiOiJNZXJjaWVyIiwiZ2l2ZW4iOiJGcmVkZXJpYyIsInBhcnNlLW5hbWVzIjpmYWxzZSwiZHJvcHBpbmctcGFydGljbGUiOiIiLCJub24tZHJvcHBpbmctcGFydGljbGUiOiIifSx7ImZhbWlseSI6IlBhc3NvdCIsImdpdmVuIjoiR3VpbGxhdW1lIiwicGFyc2UtbmFtZXMiOmZhbHNlLCJkcm9wcGluZy1wYXJ0aWNsZSI6IiIsIm5vbi1kcm9wcGluZy1wYXJ0aWNsZSI6IiJ9LHsiZmFtaWx5IjoiQm9ubm90IiwiZ2l2ZW4iOiJQaWVycmUgRW1tYW51ZWwiLCJwYXJzZS1uYW1lcyI6ZmFsc2UsImRyb3BwaW5nLXBhcnRpY2xlIjoiIiwibm9uLWRyb3BwaW5nLXBhcnRpY2xlIjoiIn0seyJmYW1pbHkiOiJDYXNoaW4iLCJnaXZlbiI6IlBldGVyIiwicGFyc2UtbmFtZXMiOmZhbHNlLCJkcm9wcGluZy1wYXJ0aWNsZSI6IiIsIm5vbi1kcm9wcGluZy1wYXJ0aWNsZSI6IiJ9LHsiZmFtaWx5IjoiQ2VlbGVuIiwiZ2l2ZW4iOiJXaW0iLCJwYXJzZS1uYW1lcyI6ZmFsc2UsImRyb3BwaW5nLXBhcnRpY2xlIjoiIiwibm9uLWRyb3BwaW5nLXBhcnRpY2xlIjoiIn0seyJmYW1pbHkiOiJEZWN1bGxpZXIiLCJnaXZlbiI6IkV2ZWx5bmUiLCJwYXJzZS1uYW1lcyI6ZmFsc2UsImRyb3BwaW5nLXBhcnRpY2xlIjoiIiwibm9uLWRyb3BwaW5nLXBhcnRpY2xlIjoiIn0seyJmYW1pbHkiOiJWaWxsZW5ldXZlIiwiZ2l2ZW4iOiJMYXVyZW50IiwicGFyc2UtbmFtZXMiOmZhbHNlLCJkcm9wcGluZy1wYXJ0aWNsZSI6IiIsIm5vbi1kcm9wcGluZy1wYXJ0aWNsZSI6IiJ9LHsiZmFtaWx5IjoiV2FsdGVyIiwiZ2l2ZW4iOiJUaG9tYXMiLCJwYXJzZS1uYW1lcyI6ZmFsc2UsImRyb3BwaW5nLXBhcnRpY2xlIjoiIiwibm9uLWRyb3BwaW5nLXBhcnRpY2xlIjoiIn0seyJmYW1pbHkiOiJMZXZpbmUiLCJnaXZlbiI6IkVkd2FyZCBBLiIsInBhcnNlLW5hbWVzIjpmYWxzZSwiZHJvcHBpbmctcGFydGljbGUiOiIiLCJub24tZHJvcHBpbmctcGFydGljbGUiOiIifSx7ImZhbWlseSI6IkdsZWhlbiIsImdpdmVuIjoiT2xpdmllciIsInBhcnNlLW5hbWVzIjpmYWxzZSwiZHJvcHBpbmctcGFydGljbGUiOiIiLCJub24tZHJvcHBpbmctcGFydGljbGUiOiIifSx7ImZhbWlseSI6IkFocmVuZHQiLCJnaXZlbiI6IlMuIEEuIiwicGFyc2UtbmFtZXMiOmZhbHNlLCJkcm9wcGluZy1wYXJ0aWNsZSI6IiIsIm5vbi1kcm9wcGluZy1wYXJ0aWNsZSI6IiJ9LHsiZmFtaWx5IjoiQWthaXNoaSIsImdpdmVuIjoiRS4iLCJwYXJzZS1uYW1lcyI6ZmFsc2UsImRyb3BwaW5nLXBhcnRpY2xlIjoiIiwibm9uLWRyb3BwaW5nLXBhcnRpY2xlIjoiIn0seyJmYW1pbHkiOiJCYWlrIiwiZ2l2ZW4iOiJTLiBILiIsInBhcnNlLW5hbWVzIjpmYWxzZSwiZHJvcHBpbmctcGFydGljbGUiOiIiLCJub24tZHJvcHBpbmctcGFydGljbGUiOiIifSx7ImZhbWlseSI6IkJhcmF0dGkiLCJnaXZlbiI6IkQuIiwicGFyc2UtbmFtZXMiOmZhbHNlLCJkcm9wcGluZy1wYXJ0aWNsZSI6IiIsIm5vbi1kcm9wcGluZy1wYXJ0aWNsZSI6IiJ9LHsiZmFtaWx5IjoiQmhhdHQiLCJnaXZlbiI6IkEuIiwicGFyc2UtbmFtZXMiOmZhbHNlLCJkcm9wcGluZy1wYXJ0aWNsZSI6IiIsIm5vbi1kcm9wcGluZy1wYXJ0aWNsZSI6IiJ9LHsiZmFtaWx5IjoiSGluZ2giLCJnaXZlbiI6IkkuIiwicGFyc2UtbmFtZXMiOmZhbHNlLCJkcm9wcGluZy1wYXJ0aWNsZSI6IiIsIm5vbi1kcm9wcGluZy1wYXJ0aWNsZSI6IkRlIn0seyJmYW1pbHkiOiJTaW1vbmUiLCJnaXZlbiI6Ik0uIiwicGFyc2UtbmFtZXMiOmZhbHNlLCJkcm9wcGluZy1wYXJ0aWNsZSI6IiIsIm5vbi1kcm9wcGluZy1wYXJ0aWNsZSI6IkRlIn0seyJmYW1pbHkiOiJEdWLDqSIsImdpdmVuIjoiUC4iLCJwYXJzZS1uYW1lcyI6ZmFsc2UsImRyb3BwaW5nLXBhcnRpY2xlIjoiIiwibm9uLWRyb3BwaW5nLXBhcnRpY2xlIjoiIn0seyJmYW1pbHkiOiJFZHdhcmRzIiwiZ2l2ZW4iOiJSLiBQLiIsInBhcnNlLW5hbWVzIjpmYWxzZSwiZHJvcHBpbmctcGFydGljbGUiOiIiLCJub24tZHJvcHBpbmctcGFydGljbGUiOiIifSx7ImZhbWlseSI6IkZyYW5rbyIsImdpdmVuIjoiSi4iLCJwYXJzZS1uYW1lcyI6ZmFsc2UsImRyb3BwaW5nLXBhcnRpY2xlIjoiIiwibm9uLWRyb3BwaW5nLXBhcnRpY2xlIjoiIn0seyJmYW1pbHkiOiJHb256YWxlei1CYXlvbiIsImdpdmVuIjoiTC4iLCJwYXJzZS1uYW1lcyI6ZmFsc2UsImRyb3BwaW5nLXBhcnRpY2xlIjoiIiwibm9uLWRyb3BwaW5nLXBhcnRpY2xlIjoiIn0seyJmYW1pbHkiOiJHdXNoY2hpbiIsImdpdmVuIjoiVi4iLCJwYXJzZS1uYW1lcyI6ZmFsc2UsImRyb3BwaW5nLXBhcnRpY2xlIjoiIiwibm9uLWRyb3BwaW5nLXBhcnRpY2xlIjoiIn0seyJmYW1pbHkiOiJIb2x0em1hbiIsImdpdmVuIjoiTS4gUC4iLCJwYXJzZS1uYW1lcyI6ZmFsc2UsImRyb3BwaW5nLXBhcnRpY2xlIjoiIiwibm9uLWRyb3BwaW5nLXBhcnRpY2xlIjoiIn0seyJmYW1pbHkiOiJIc2llaCIsImdpdmVuIjoiTS4gQy4iLCJwYXJzZS1uYW1lcyI6ZmFsc2UsImRyb3BwaW5nLXBhcnRpY2xlIjoiIiwibm9uLWRyb3BwaW5nLXBhcnRpY2xlIjoiIn0seyJmYW1pbHkiOiJLZWNtYW5vdmljIiwiZ2l2ZW4iOiJELiIsInBhcnNlLW5hbWVzIjpmYWxzZSwiZHJvcHBpbmctcGFydGljbGUiOiIiLCJub24tZHJvcHBpbmctcGFydGljbGUiOiIifSx7ImZhbWlseSI6IkxlZSIsImdpdmVuIjoiSy4gVy4iLCJwYXJzZS1uYW1lcyI6ZmFsc2UsImRyb3BwaW5nLXBhcnRpY2xlIjoiIiwibm9uLWRyb3BwaW5nLXBhcnRpY2xlIjoiIn0seyJmYW1pbHkiOiJMZWhtYW5uIiwiZ2l2ZW4iOiJLLiIsInBhcnNlLW5hbWVzIjpmYWxzZSwiZHJvcHBpbmctcGFydGljbGUiOiIiLCJub24tZHJvcHBpbmctcGFydGljbGUiOiIifSx7ImZhbWlseSI6IkxpdSIsImdpdmVuIjoiWS4iLCJwYXJzZS1uYW1lcyI6ZmFsc2UsImRyb3BwaW5nLXBhcnRpY2xlIjoiIiwibm9uLWRyb3BwaW5nLXBhcnRpY2xlIjoiIn0seyJmYW1pbHkiOiJNZWh0YSIsImdpdmVuIjoiUy4iLCJwYXJzZS1uYW1lcyI6ZmFsc2UsImRyb3BwaW5nLXBhcnRpY2xlIjoiIiwibm9uLWRyb3BwaW5nLXBhcnRpY2xlIjoiIn0seyJmYW1pbHkiOiJNb3JyaXMiLCJnaXZlbiI6IkQuIEwuIiwicGFyc2UtbmFtZXMiOmZhbHNlLCJkcm9wcGluZy1wYXJ0aWNsZSI6IiIsIm5vbi1kcm9wcGluZy1wYXJ0aWNsZSI6IiJ9LHsiZmFtaWx5IjoiT+KAmUR3eWVyIiwiZ2l2ZW4iOiJTLiIsInBhcnNlLW5hbWVzIjpmYWxzZSwiZHJvcHBpbmctcGFydGljbGUiOiIiLCJub24tZHJvcHBpbmctcGFydGljbGUiOiIifSx7ImZhbWlseSI6Ik9yc2VuaWdvIiwiZ2l2ZW4iOiJFLiIsInBhcnNlLW5hbWVzIjpmYWxzZSwiZHJvcHBpbmctcGFydGljbGUiOiIiLCJub24tZHJvcHBpbmctcGFydGljbGUiOiIifSx7ImZhbWlseSI6IlBhbmRlIiwiZ2l2ZW4iOiJQLiBLLiIsInBhcnNlLW5hbWVzIjpmYWxzZSwiZHJvcHBpbmctcGFydGljbGUiOiIiLCJub24tZHJvcHBpbmctcGFydGljbGUiOiIifSx7ImZhbWlseSI6IlBhcmsiLCJnaXZlbiI6IkUuIEouIiwicGFyc2UtbmFtZXMiOmZhbHNlLCJkcm9wcGluZy1wYXJ0aWNsZSI6IiIsIm5vbi1kcm9wcGluZy1wYXJ0aWNsZSI6IiJ9LHsiZmFtaWx5IjoiUGluZ3BhbmsiLCJnaXZlbiI6IkouIEYuIiwicGFyc2UtbmFtZXMiOmZhbHNlLCJkcm9wcGluZy1wYXJ0aWNsZSI6IiIsIm5vbi1kcm9wcGluZy1wYXJ0aWNsZSI6IiJ9LHsiZmFtaWx5IjoiUGlzbyIsImdpdmVuIjoiUC4iLCJwYXJzZS1uYW1lcyI6ZmFsc2UsImRyb3BwaW5nLXBhcnRpY2xlIjoiIiwibm9uLWRyb3BwaW5nLXBhcnRpY2xlIjoiIn0seyJmYW1pbHkiOiJSYWphbiIsImdpdmVuIjoiRi4iLCJwYXJzZS1uYW1lcyI6ZmFsc2UsImRyb3BwaW5nLXBhcnRpY2xlIjoiIiwibm9uLWRyb3BwaW5nLXBhcnRpY2xlIjoiIn0seyJmYW1pbHkiOiJSYXUiLCJnaXZlbiI6IkIuIiwicGFyc2UtbmFtZXMiOmZhbHNlLCJkcm9wcGluZy1wYXJ0aWNsZSI6IiIsIm5vbi1kcm9wcGluZy1wYXJ0aWNsZSI6IiJ9LHsiZmFtaWx5IjoiU2FyZGkiLCJnaXZlbiI6IkEuIiwicGFyc2UtbmFtZXMiOmZhbHNlLCJkcm9wcGluZy1wYXJ0aWNsZSI6IiIsIm5vbi1kcm9wcGluZy1wYXJ0aWNsZSI6IiJ9LHsiZmFtaWx5IjoiU2lkZXJpcyIsImdpdmVuIjoiTC4iLCJwYXJzZS1uYW1lcyI6ZmFsc2UsImRyb3BwaW5nLXBhcnRpY2xlIjoiIiwibm9uLWRyb3BwaW5nLXBhcnRpY2xlIjoiIn0seyJmYW1pbHkiOiJTb21tYXJpdmEiLCJnaXZlbiI6IkEuIiwicGFyc2UtbmFtZXMiOmZhbHNlLCJkcm9wcGluZy1wYXJ0aWNsZSI6IiIsIm5vbi1kcm9wcGluZy1wYXJ0aWNsZSI6IiJ9LHsiZmFtaWx5IjoiU3BpbGlvdGlzIiwiZ2l2ZW4iOiJKLiIsInBhcnNlLW5hbWVzIjpmYWxzZSwiZHJvcHBpbmctcGFydGljbGUiOiIiLCJub24tZHJvcHBpbmctcGFydGljbGUiOiIifSx7ImZhbWlseSI6IlRlbnRlcyIsImdpdmVuIjoiQS4gQS5LLiIsInBhcnNlLW5hbWVzIjpmYWxzZSwiZHJvcHBpbmctcGFydGljbGUiOiIiLCJub24tZHJvcHBpbmctcGFydGljbGUiOiIifSx7ImZhbWlseSI6IlRlbyIsImdpdmVuIjoiTS4iLCJwYXJzZS1uYW1lcyI6ZmFsc2UsImRyb3BwaW5nLXBhcnRpY2xlIjoiIiwibm9uLWRyb3BwaW5nLXBhcnRpY2xlIjoiIn0seyJmYW1pbHkiOiJZYXJlbWEiLCJnaXZlbiI6IlIuIiwicGFyc2UtbmFtZXMiOmZhbHNlLCJkcm9wcGluZy1wYXJ0aWNsZSI6IiIsIm5vbi1kcm9wcGluZy1wYXJ0aWNsZSI6IiJ9LHsiZmFtaWx5IjoiWW91bmFuIiwiZ2l2ZW4iOiJSLiIsInBhcnNlLW5hbWVzIjpmYWxzZSwiZHJvcHBpbmctcGFydGljbGUiOiIiLCJub24tZHJvcHBpbmctcGFydGljbGUiOiIifSx7ImZhbWlseSI6IlphdmVyaSIsImdpdmVuIjoiUy4gUy4iLCJwYXJzZS1uYW1lcyI6ZmFsc2UsImRyb3BwaW5nLXBhcnRpY2xlIjoiIiwibm9uLWRyb3BwaW5nLXBhcnRpY2xlIjoiIn0seyJmYW1pbHkiOiJaZWgiLCJnaXZlbiI6IkguIEouIiwicGFyc2UtbmFtZXMiOmZhbHNlLCJkcm9wcGluZy1wYXJ0aWNsZSI6IiIsIm5vbi1kcm9wcGluZy1wYXJ0aWNsZSI6IiJ9LHsiZmFtaWx5IjoiQWJiYSIsImdpdmVuIjoiSi4iLCJwYXJzZS1uYW1lcyI6ZmFsc2UsImRyb3BwaW5nLXBhcnRpY2xlIjoiIiwibm9uLWRyb3BwaW5nLXBhcnRpY2xlIjoiIn0seyJmYW1pbHkiOiJBYmJvdWQiLCJnaXZlbiI6IksuIiwicGFyc2UtbmFtZXMiOmZhbHNlLCJkcm9wcGluZy1wYXJ0aWNsZSI6IiIsIm5vbi1kcm9wcGluZy1wYXJ0aWNsZSI6IiJ9LHsiZmFtaWx5IjoiQWx5YW1pIiwiZ2l2ZW4iOiJNLiIsInBhcnNlLW5hbWVzIjpmYWxzZSwiZHJvcHBpbmctcGFydGljbGUiOiIiLCJub24tZHJvcHBpbmctcGFydGljbGUiOiIifSx7ImZhbWlseSI6IkFydmlldXgiLCJnaXZlbiI6IkMuIiwicGFyc2UtbmFtZXMiOmZhbHNlLCJkcm9wcGluZy1wYXJ0aWNsZSI6IiIsIm5vbi1kcm9wcGluZy1wYXJ0aWNsZSI6IiJ9LHsiZmFtaWx5IjoiQmFrcmluIiwiZ2l2ZW4iOiJOLiIsInBhcnNlLW5hbWVzIjpmYWxzZSwiZHJvcHBpbmctcGFydGljbGUiOiIiLCJub24tZHJvcHBpbmctcGFydGljbGUiOiIifSx7ImZhbWlseSI6IkJlcmVkZXIiLCJnaXZlbiI6IkouIE0uIiwicGFyc2UtbmFtZXMiOmZhbHNlLCJkcm9wcGluZy1wYXJ0aWNsZSI6IiIsIm5vbi1kcm9wcGluZy1wYXJ0aWNsZSI6IiJ9LHsiZmFtaWx5IjoiQm91emFyZCIsImdpdmVuIjoiRC4iLCJwYXJzZS1uYW1lcyI6ZmFsc2UsImRyb3BwaW5nLXBhcnRpY2xlIjoiIiwibm9uLWRyb3BwaW5nLXBhcnRpY2xlIjoiIn0seyJmYW1pbHkiOiJCcmlnYW5kIiwiZ2l2ZW4iOiJDLiIsInBhcnNlLW5hbWVzIjpmYWxzZSwiZHJvcHBpbmctcGFydGljbGUiOiIiLCJub24tZHJvcHBpbmctcGFydGljbGUiOiIifSx7ImZhbWlseSI6IkNhcnLDqHJlIiwiZ2l2ZW4iOiJTLiIsInBhcnNlLW5hbWVzIjpmYWxzZSwiZHJvcHBpbmctcGFydGljbGUiOiIiLCJub24tZHJvcHBpbmctcGFydGljbGUiOiIifSx7ImZhbWlseSI6IkRlbHJvZXV4IiwiZ2l2ZW4iOiJELiIsInBhcnNlLW5hbWVzIjpmYWxzZSwiZHJvcHBpbmctcGFydGljbGUiOiIiLCJub24tZHJvcHBpbmctcGFydGljbGUiOiIifSx7ImZhbWlseSI6IkR1bW9udCIsImdpdmVuIjoiRi4iLCJwYXJzZS1uYW1lcyI6ZmFsc2UsImRyb3BwaW5nLXBhcnRpY2xlIjoiIiwibm9uLWRyb3BwaW5nLXBhcnRpY2xlIjoiIn0seyJmYW1pbHkiOiJFdmVubyIsImdpdmVuIjoiQy4iLCJwYXJzZS1uYW1lcyI6ZmFsc2UsImRyb3BwaW5nLXBhcnRpY2xlIjoiIiwibm9uLWRyb3BwaW5nLXBhcnRpY2xlIjoiIn0seyJmYW1pbHkiOiJGYWN5IiwiZ2l2ZW4iOiJPLiIsInBhcnNlLW5hbWVzIjpmYWxzZSwiZHJvcHBpbmctcGFydGljbGUiOiIiLCJub24tZHJvcHBpbmctcGFydGljbGUiOiIifSx7ImZhbWlseSI6Ikd1eW9uIiwiZ2l2ZW4iOiJGLiIsInBhcnNlLW5hbWVzIjpmYWxzZSwiZHJvcHBpbmctcGFydGljbGUiOiIiLCJub24tZHJvcHBpbmctcGFydGljbGUiOiIifSx7ImZhbWlseSI6IkZlcnJvbiIsImdpdmVuIjoiRy4iLCJwYXJzZS1uYW1lcyI6ZmFsc2UsImRyb3BwaW5nLXBhcnRpY2xlIjoiIiwibm9uLWRyb3BwaW5nLXBhcnRpY2xlIjoiIn0seyJmYW1pbHkiOiJLaWFubWFuZXNoIiwiZ2l2ZW4iOiJSLiIsInBhcnNlLW5hbWVzIjpmYWxzZSwiZHJvcHBpbmctcGFydGljbGUiOiIiLCJub24tZHJvcHBpbmctcGFydGljbGUiOiIifSx7ImZhbWlseSI6IkRpY28iLCJnaXZlbiI6IlIuIiwicGFyc2UtbmFtZXMiOmZhbHNlLCJkcm9wcGluZy1wYXJ0aWNsZSI6IkxvIiwibm9uLWRyb3BwaW5nLXBhcnRpY2xlIjoiIn0seyJmYW1pbHkiOiJMb3JpbWllciIsImdpdmVuIjoiRy4iLCJwYXJzZS1uYW1lcyI6ZmFsc2UsImRyb3BwaW5nLXBhcnRpY2xlIjoiIiwibm9uLWRyb3BwaW5nLXBhcnRpY2xlIjoiIn0seyJmYW1pbHkiOiJNYXJjaGFsIiwiZ2l2ZW4iOiJGLiIsInBhcnNlLW5hbWVzIjpmYWxzZSwiZHJvcHBpbmctcGFydGljbGUiOiIiLCJub24tZHJvcHBpbmctcGFydGljbGUiOiIifSx7ImZhbWlseSI6Ik1hcmlhbmkiLCJnaXZlbiI6IlAuIiwicGFyc2UtbmFtZXMiOmZhbHNlLCJkcm9wcGluZy1wYXJ0aWNsZSI6IiIsIm5vbi1kcm9wcGluZy1wYXJ0aWNsZSI6IiJ9LHsiZmFtaWx5IjoiTWVldXMiLCJnaXZlbiI6IlAuIiwicGFyc2UtbmFtZXMiOmZhbHNlLCJkcm9wcGluZy1wYXJ0aWNsZSI6IiIsIm5vbi1kcm9wcGluZy1wYXJ0aWNsZSI6IiJ9LHsiZmFtaWx5IjoiTXNpa2EiLCJnaXZlbiI6IlMuIiwicGFyc2UtbmFtZXMiOmZhbHNlLCJkcm9wcGluZy1wYXJ0aWNsZSI6IiIsIm5vbi1kcm9wcGluZy1wYXJ0aWNsZSI6IiJ9LHsiZmFtaWx5IjoiT3J0ZWdhLURlYmFsbG9uIiwiZ2l2ZW4iOiJQLiIsInBhcnNlLW5hbWVzIjpmYWxzZSwiZHJvcHBpbmctcGFydGljbGUiOiIiLCJub24tZHJvcHBpbmctcGFydGljbGUiOiIifSx7ImZhbWlseSI6IlBhcXVldHRlIiwiZ2l2ZW4iOiJCLiIsInBhcnNlLW5hbWVzIjpmYWxzZSwiZHJvcHBpbmctcGFydGljbGUiOiIiLCJub24tZHJvcHBpbmctcGFydGljbGUiOiIifSx7ImZhbWlseSI6IlBleXJhdCIsImdpdmVuIjoiUC4iLCJwYXJzZS1uYW1lcyI6ZmFsc2UsImRyb3BwaW5nLXBhcnRpY2xlIjoiIiwibm9uLWRyb3BwaW5nLXBhcnRpY2xlIjoiIn0seyJmYW1pbHkiOiJQaXJybyIsImdpdmVuIjoiTi4iLCJwYXJzZS1uYW1lcyI6ZmFsc2UsImRyb3BwaW5nLXBhcnRpY2xlIjoiIiwibm9uLWRyb3BwaW5nLXBhcnRpY2xlIjoiIn0seyJmYW1pbHkiOiJQb2NhcmQiLCJnaXZlbiI6Ik0uIiwicGFyc2UtbmFtZXMiOmZhbHNlLCJkcm9wcGluZy1wYXJ0aWNsZSI6IiIsIm5vbi1kcm9wcGluZy1wYXJ0aWNsZSI6IiJ9LHsiZmFtaWx5IjoiUG9yY2hlcm9uIiwiZ2l2ZW4iOiJKLiIsInBhcnNlLW5hbWVzIjpmYWxzZSwiZHJvcHBpbmctcGFydGljbGUiOiIiLCJub24tZHJvcHBpbmctcGFydGljbGUiOiIifSx7ImZhbWlseSI6IlF1ZW5ldCIsImdpdmVuIjoiRi4iLCJwYXJzZS1uYW1lcyI6ZmFsc2UsImRyb3BwaW5nLXBhcnRpY2xlIjoiIiwibm9uLWRyb3BwaW5nLXBhcnRpY2xlIjoiIn0seyJmYW1pbHkiOiJSYXQiLCJnaXZlbiI6IlAuIiwicGFyc2UtbmFtZXMiOmZhbHNlLCJkcm9wcGluZy1wYXJ0aWNsZSI6IiIsIm5vbi1kcm9wcGluZy1wYXJ0aWNsZSI6IiJ9LHsiZmFtaWx5IjoiU2dhcmJ1cmEiLCJnaXZlbiI6Ik8uIiwicGFyc2UtbmFtZXMiOmZhbHNlLCJkcm9wcGluZy1wYXJ0aWNsZSI6IiIsIm5vbi1kcm9wcGluZy1wYXJ0aWNsZSI6IiJ9LHsiZmFtaWx5IjoiVGhpYmF1ZGVhdSIsImdpdmVuIjoiRS4iLCJwYXJzZS1uYW1lcyI6ZmFsc2UsImRyb3BwaW5nLXBhcnRpY2xlIjoiIiwibm9uLWRyb3BwaW5nLXBhcnRpY2xlIjoiIn0seyJmYW1pbHkiOiJUdWVjaCIsImdpdmVuIjoiSi4gSi4iLCJwYXJzZS1uYW1lcyI6ZmFsc2UsImRyb3BwaW5nLXBhcnRpY2xlIjoiIiwibm9uLWRyb3BwaW5nLXBhcnRpY2xlIjoiIn0seyJmYW1pbHkiOiJaaW56aW5kb2hvdWUiLCJnaXZlbiI6IkYuIiwicGFyc2UtbmFtZXMiOmZhbHNlLCJkcm9wcGluZy1wYXJ0aWNsZSI6IiIsIm5vbi1kcm9wcGluZy1wYXJ0aWNsZSI6IiJ9XSwiY29udGFpbmVyLXRpdGxlIjoiV29ybGQgam91cm5hbCBvZiBzdXJnZXJ5IiwiY29udGFpbmVyLXRpdGxlLXNob3J0IjoiV29ybGQgSiBTdXJnIiwiRE9JIjoiMTAuMTAwNy9TMDAyNjgtMDIyLTA2NDk4LVciLCJJU1NOIjoiMTQzMi0yMzIzIiwiUE1JRCI6IjM1Mjg2NDE4IiwiaXNzdWVkIjp7ImRhdGUtcGFydHMiOltbMjAyMl1dfSwicGFnZSI6IjEzMzYtMTM0MyIsImFic3RyYWN0IjoiUHVycG9zZTogUGVyaXRvbmVhbCBjYXJjaW5vbWF0b3NpcyBmcm9tIGFwcGVuZGljZWFsIGdvYmxldCBjZWxsIGNhcmNpbm9tYSAoQS1HQ0MpIGlzIGEgcmFyZSBhbmQgYWdncmVzc2l2ZSBmb3JtIG9mIGFwcGVuZGljZWFsIHR1bW9yLiBDeXRvcmVkdWN0aXZlIHN1cmdlcnkgKENSUykgYW5kIGh5cGVydGhlcm1pYyBpbnRyYSBwZXJpdG9uZWFsIGNoZW1vdGhlcmFweSAoSElQRUMpIHdhcyByZXBvcnRlZCBhcyBhbiBpbnRlcmVzdGluZyBhbHRlcm5hdGl2ZSByZWdhcmRpbmcgc3Vydml2YWwgY29tcGFyZWQgdG8gc3VyZ2VyeSB3aXRob3V0IEhJUEVDIGFuZC9vciBzeXN0ZW1pYyBjaGVtb3RoZXJhcHkuIE91ciBhaW0gd2FzIHRvIGV2YWx1YXRlIHRoZSBpbXBhY3Qgb2YgQ1JTIGFuZCBISVBFQyBmb3IgcGF0aWVudHMgcHJlc2VudGluZyBBLUdDQyB0aHJvdWdoIGFuIGludGVybmF0aW9uYWwgcmVnaXN0cnkuIE1ldGhvZHM6IEEgcHJvc3BlY3RpdmUgbXVsdGljZW50ZXIgaW50ZXJuYXRpb25hbCBkYXRhYmFzZSB3YXMgcmV0cm9zcGVjdGl2ZWx5IHNlYXJjaGVkIHRvIGlkZW50aWZ5IGFsbCBwYXRpZW50cyB3aXRoIEEtR0NDIHR1bW9yIGFuZCBwZXJpdG9uZWFsIG1ldGFzdGFzZXMgd2hvIHVuZGVyd2VudCBDUlMgYW5kIEhJUEVDIHRocm91Z2ggdGhlIFBlcml0b25lYWwgU3VyZmFjZSBPbmNvbG9neSBHcm91cCBJbnRlcm5hdGlvbmFsIChQU09HSSkuIFRoZSBwb3N0LW9wZXJhdGl2ZSBjb21wbGljYXRpb25zLCBsb25nLXRlcm0gcmVzdWx0cywgYW5kIHByaW5jaXBhbCBwcm9nbm9zdGljIGZhY3RvcnMgd2VyZSBhbmFseXplZC4gUmVzdWx0czogVGhlIGFuYWx5c2lzIGluY2x1ZGVkIDgzIHBhdGllbnRzLiBBZnRlciBhIG1lZGlhbiBmb2xsb3ctdXAgb2YgNDfCoG1vbnRocywgdGhlIG1lZGlhbiBvdmVyYWxsIHN1cnZpdmFsIChPUykgd2FzIDM0LjbCoG1vbnRocy4gVGhlIDMtIGFuZCA1LXllYXIgT1Mgd2FzIDQ4LjUlIGFuZCAzNS43JSwgcmVzcGVjdGl2ZWx5LiBQYXRpZW50cyB3aG8gdW5kZXJ3ZW50IGNvbXBsZXRlIG1hY3Jvc2NvcGljIENSUyBoYWQgYSBzaWduaWZpY2FudGx5IGJldHRlciBzdXJ2aXZhbCB0aGFuIHRob3NlIHRyZWF0ZWQgd2l0aCBpbmNvbXBsZXRlIENSUy4gVGhlIDUteWVhciBPUyB3YXMgNDQlIGFuZCAwJSBmb3IgcGF0aWVudHMgd2hvIHVuZGVyd2VudCBjb21wbGV0ZSwgYW5kIGluY29tcGxldGUgQ1JTLCByZXNwZWN0aXZlbHkgKEhSIDkuNjUsIHAgPCAwLjAwMSkuIEx5bXBoIG5vZGUgaW52b2x2ZW1lbnQgYW5kIHByZW9wZXJhdGl2ZSBjaGVtb3RoZXJhcHkgd2VyZSBhbHNvIHByZWRpY3RpdmUgb2YgYSB3b3JzZSBwcm9nbm9zaXMuIFRoZXJlIHdlcmUgMyBwb3N0b3BlcmF0aXZlIGRlYXRocywgYW5kIDMwJSBvZiB0aGUgcGF0aWVudHMgaGFkIG1ham9yIGNvbXBsaWNhdGlvbnMuIENvbmNsdXNpb246IENSUyBhbmQgSElQRUMgbWF5IGluY3JlYXNlIGxvbmctdGVybSBzdXJ2aXZhbCBpbiBzZWxlY3RlZCBwYXRpZW50cyB3aXRoIHBlcml0b25lYWwgbWV0YXN0YXNlcyBvZiBBLUdDQyBvcmlnaW4sIGVzcGVjaWFsbHkgd2hlbiBjb21wbGV0ZSBDUlMgaXMgYWNoaWV2ZWQuIElkZWFsbHksIHJhbmRvbWl6ZWQgY29udHJvbCB0cmlhbHMgb3IgbW9yZSByZXRyb3NwZWN0aXZlIGRhdGEgYXJlIG5lZWRlZMKgdG8gY29uZmlybSBDUlMgYW5kIEhJUEVDIGFzIHRoZSBnb2xkIHN0YW5kYXJkIGluIHRoaXMgcGF0aG9sb2d5LiIsInB1Ymxpc2hlciI6IldvcmxkIEogU3VyZyIsImlzc3VlIjoiNiIsInZvbHVtZSI6IjQ2In0sImlzVGVtcG9yYXJ5IjpmYWxzZX1dfQ=="/>
          <w:id w:val="-1952380661"/>
        </w:sdtPr>
        <w:sdtContent>
          <w:r>
            <w:rPr/>
          </w:r>
          <w:r>
            <w:rPr>
              <w:color w:val="000000"/>
            </w:rPr>
            <w:t>(32)</w:t>
          </w:r>
        </w:sdtContent>
      </w:sdt>
      <w:r>
        <w:rPr/>
        <w:t>.</w:t>
      </w:r>
    </w:p>
    <w:p>
      <w:pPr>
        <w:pStyle w:val="Normal"/>
        <w:spacing w:lineRule="auto" w:line="276" w:before="0" w:after="200"/>
        <w:rPr>
          <w:b/>
          <w:bCs/>
        </w:rPr>
      </w:pPr>
      <w:r>
        <w:rPr>
          <w:b/>
          <w:bCs/>
        </w:rPr>
      </w:r>
      <w:bookmarkStart w:id="165" w:name="_Toc199583978"/>
      <w:bookmarkStart w:id="166" w:name="_Toc199583978"/>
      <w:r>
        <w:br w:type="page"/>
      </w:r>
    </w:p>
    <w:p>
      <w:pPr>
        <w:pStyle w:val="Normal"/>
        <w:spacing w:before="0" w:after="0"/>
        <w:rPr>
          <w:b/>
        </w:rPr>
      </w:pPr>
      <w:bookmarkStart w:id="167" w:name="_Toc199583978"/>
      <w:bookmarkStart w:id="168" w:name="_Toc199584613"/>
      <w:r>
        <w:rPr>
          <w:b/>
        </w:rPr>
        <w:t>Carcinomas indiferenciados y mixtos epiteliales</w:t>
      </w:r>
      <w:bookmarkEnd w:id="167"/>
      <w:bookmarkEnd w:id="168"/>
      <w:r>
        <w:rPr>
          <w:b/>
          <w:bCs/>
        </w:rPr>
        <w:t>:</w:t>
      </w:r>
    </w:p>
    <w:p>
      <w:pPr>
        <w:pStyle w:val="Normal"/>
        <w:rPr>
          <w:b/>
        </w:rPr>
      </w:pPr>
      <w:r>
        <w:rPr>
          <w:b/>
        </w:rPr>
        <w:t xml:space="preserve"> </w:t>
      </w:r>
    </w:p>
    <w:p>
      <w:pPr>
        <w:pStyle w:val="Normal"/>
        <w:rPr>
          <w:b/>
          <w:i/>
          <w:i/>
        </w:rPr>
      </w:pPr>
      <w:r>
        <w:rPr>
          <w:b/>
        </w:rPr>
        <w:t>Estadio localizado (estadios I–II, sin metástasis ganglionares o peritoneales)</w:t>
      </w:r>
    </w:p>
    <w:p>
      <w:pPr>
        <w:pStyle w:val="p1"/>
        <w:spacing w:lineRule="auto" w:line="360" w:before="280" w:after="280"/>
        <w:jc w:val="both"/>
        <w:rPr>
          <w:color w:val="000000"/>
        </w:rPr>
      </w:pPr>
      <w:r>
        <w:rPr>
          <w:rStyle w:val="s1"/>
        </w:rPr>
        <w:t xml:space="preserve">El </w:t>
      </w:r>
      <w:r>
        <w:rPr/>
        <w:t>tratamiento quirúrgico primario de elección es la colectomía derecha con linfadenectomía regional, incluso si el diagnóstico se realiza posterior a una apendicectomía inicial. Esta intervención permite asegurar márgenes negativos y una adecuada estadificación ganglionar</w:t>
      </w:r>
      <w:sdt>
        <w:sdtPr>
          <w:placeholder>
            <w:docPart w:val="DefaultPlaceholder_-1854013440"/>
          </w:placeholder>
          <w:tag w:val="MENDELEY_CITATION_v3_eyJjaXRhdGlvbklEIjoiTUVOREVMRVlfQ0lUQVRJT05fOWU2ODA5ZDMtMzdjMy00NzljLWFmZDItYWMyMWVjYThmOWNmIiwicHJvcGVydGllcyI6eyJub3RlSW5kZXgiOjB9LCJpc0VkaXRlZCI6ZmFsc2UsIm1hbnVhbE92ZXJyaWRlIjp7ImlzTWFudWFsbHlPdmVycmlkZGVuIjpmYWxzZSwiY2l0ZXByb2NUZXh0IjoiKDUxKSIsIm1hbnVhbE92ZXJyaWRlVGV4dCI6IiJ9LCJjaXRhdGlvbkl0ZW1zIjpbeyJpZCI6ImJiMTQyOThkLTU4YzUtMzY5MC05YjQxLWI2NmQ5YzlhZWJhYyIsIml0ZW1EYXRhIjp7InR5cGUiOiJhcnRpY2xlLWpvdXJuYWwiLCJpZCI6ImJiMTQyOThkLTU4YzUtMzY5MC05YjQxLWI2NmQ5YzlhZWJhYyIsInRpdGxlIjoiV2hvIHNob3VsZCBnZXQgYSByaWdodCBjb2xlY3RvbXkgaW4gbG93LWdyYWRlIGFwcGVuZGljZWFsIGFkZW5vY2FyY2lub21hcz8gQXNzb2NpYXRpb24gb2YgbHltcGhvdmFzY3VsYXIgaW52YXNpb24gYW5kIG5vZGFsIG1ldGFzdGFzZXMiLCJhdXRob3IiOlt7ImZhbWlseSI6IldhaGVlZCIsImdpdmVuIjoiTXVoYW1tYWQgVGFsaGEiLCJwYXJzZS1uYW1lcyI6ZmFsc2UsImRyb3BwaW5nLXBhcnRpY2xlIjoiIiwibm9uLWRyb3BwaW5nLXBhcnRpY2xlIjoiIn0seyJmYW1pbHkiOiJNYWxpayIsImdpdmVuIjoiSWJyYWhpbSIsInBhcnNlLW5hbWVzIjpmYWxzZSwiZHJvcHBpbmctcGFydGljbGUiOiIiLCJub24tZHJvcHBpbmctcGFydGljbGUiOiIifSx7ImZhbWlseSI6IkJsYWtlbHkiLCJnaXZlbiI6IkFuZHJldyBNLiIsInBhcnNlLW5hbWVzIjpmYWxzZSwiZHJvcHBpbmctcGFydGljbGUiOiIiLCJub24tZHJvcHBpbmctcGFydGljbGUiOiIifSx7ImZhbWlseSI6IlplcmhvdW5pIiwiZ2l2ZW4iOiJZYXNtaW5lIiwicGFyc2UtbmFtZXMiOmZhbHNlLCJkcm9wcGluZy1wYXJ0aWNsZSI6IiIsIm5vbi1kcm9wcGluZy1wYXJ0aWNsZSI6IiJ9LHsiZmFtaWx5IjoiSGFubmEiLCJnaXZlbiI6Ik1hcmsiLCJwYXJzZS1uYW1lcyI6ZmFsc2UsImRyb3BwaW5nLXBhcnRpY2xlIjoiIiwibm9uLWRyb3BwaW5nLXBhcnRpY2xlIjoiIn0seyJmYW1pbHkiOiJNZWxzdHJvbSIsImdpdmVuIjoiS3VydCIsInBhcnNlLW5hbWVzIjpmYWxzZSwiZHJvcHBpbmctcGFydGljbGUiOiIiLCJub24tZHJvcHBpbmctcGFydGljbGUiOiIifSx7ImZhbWlseSI6IkxhaSIsImdpdmVuIjoiTGlseSBMLiIsInBhcnNlLW5hbWVzIjpmYWxzZSwiZHJvcHBpbmctcGFydGljbGUiOiIiLCJub24tZHJvcHBpbmctcGFydGljbGUiOiIifSx7ImZhbWlseSI6IkthaXNlciIsImdpdmVuIjoiQW5kcmVhcyBNLiIsInBhcnNlLW5hbWVzIjpmYWxzZSwiZHJvcHBpbmctcGFydGljbGUiOiIiLCJub24tZHJvcHBpbmctcGFydGljbGUiOiIifSx7ImZhbWlseSI6IlRoaW56YXIiLCJnaXZlbiI6Ikx3aW4iLCJwYXJzZS1uYW1lcyI6ZmFsc2UsImRyb3BwaW5nLXBhcnRpY2xlIjoiIiwibm9uLWRyb3BwaW5nLXBhcnRpY2xlIjoiIn0seyJmYW1pbHkiOiJQYXoiLCJnaXZlbiI6IklzYWFjIEIuIiwicGFyc2UtbmFtZXMiOmZhbHNlLCJkcm9wcGluZy1wYXJ0aWNsZSI6IiIsIm5vbi1kcm9wcGluZy1wYXJ0aWNsZSI6IiJ9LHsiZmFtaWx5IjoiUmFvb2YiLCJnaXZlbiI6Ik11c3RhZmEiLCJwYXJzZS1uYW1lcyI6ZmFsc2UsImRyb3BwaW5nLXBhcnRpY2xlIjoiIiwibm9uLWRyb3BwaW5nLXBhcnRpY2xlIjoiIn1dLCJjb250YWluZXItdGl0bGUiOiJTdXJnZXJ5IiwiY29udGFpbmVyLXRpdGxlLXNob3J0IjoiU3VyZ2VyeSIsImFjY2Vzc2VkIjp7ImRhdGUtcGFydHMiOltbMjAyNSw0LDE4XV19LCJET0kiOiIxMC4xMDE2L0ouU1VSRy4yMDI0LjA1LjA0MCIsIklTU04iOiIxNTMyLTczNjEiLCJQTUlEIjoiMzg5ODcwOTYiLCJVUkwiOiJodHRwczovL3B1Ym1lZC5uY2JpLm5sbS5uaWguZ292LzM4OTg3MDk2LyIsImlzc3VlZCI6eyJkYXRlLXBhcnRzIjpbWzIwMjRdXX0sInBhZ2UiOiI1NjAtNTY4IiwiYWJzdHJhY3QiOiJCYWNrZ3JvdW5kOiBUaGVyZSBpcyB2YXJpYXRpb24gaW4gdGhlIHByb2JhYmlsaXR5IG9mIG5vZGFsIG1ldGFzdGFzZXMgZnJvbSBsb3ctZ3JhZGUgYXBwZW5kaWNlYWwgYWRlbm9jYXJjaW5vbWFzLCBhbmQgdGhlIHJvbGUgb2YgcmlnaHQgY29sZWN0b215IGlzIHVuY2xlYXIuIFdlIGFpbWVkIHRvIGRlZmluZSB0aGUgcHJldmFsZW5jZSBhbmQgdXRpbGl0eSBvZiBseW1waG92YXNjdWxhciBpbnZhc2lvbiBpbiBwcmVkaWN0aW5nIHRoZSByaXNrIG9mIG5vZGFsIG1ldGFzdGFzZXMgdG8gaGVscCBzdHJhdGlmeSBwYXRpZW50cyB3aG8gbWF5IGJlbmVmaXQgZnJvbSByaWdodCBoZW1pY29sZWN0b215LiBNZXRob2RzOiBQYXRpZW50cyB3aXRoIG5vbm1ldGFzdGF0aWMgbG93LWdyYWRlIGFwcGVuZGljZWFsIGFkZW5vY2FyY2lub21hcyB3ZXJlIGlkZW50aWZpZWQgZnJvbSB0aGUgTmF0aW9uYWwgQ2FuY2VyIERhdGFiYXNlICgyMDEw4oCTMjAxNykuIFRoZSBwcmltYXJ5IG91dGNvbWUgd2FzIHByb2JhYmlsaXR5IG9mIG5vZGFsIG1ldGFzdGFzZXMuIExvZ2lzdGljIHJlZ3Jlc3Npb24gd2FzIHVzZWQgdG8gaWRlbnRpZnkgaW5kZXBlbmRlbnQgcHJlZGljdG9ycyBvZiBub2RhbCBtZXRhc3Rhc2VzLiBBIDQtdGllciByaXNrIG1vZGVs4oCUdGhlIENPSCBDb21wb3NpdGUgU2NvcmXigJR3YXMgY2FsY3VsYXRlZCBieSBhc3NpZ25pbmcgMSBwb2ludCBlYWNoIGZvciBhIGhpZ2gtcmlzayBmZWF0dXJlIChseW1waG92YXNjdWxhciBpbnZhc2lvbiwgVDMvVDQgVCBzdGFnZSwgb3Igbm9ubXVjaW5vdXMgaGlzdG9sb2d5KS4gU3Vydml2YWwgYW5hbHlzaXMgd2FzIHBlcmZvcm1lZCB1c2luZyB0aGUgS2FwbGFuLU1laWVyIG1ldGhvZC4gTXVsdGl2YXJpYXRlIENveCByZWdyZXNzaW9uIGFuYWx5c2lzIHdhcyB1c2VkIHRvIGlkZW50aWZ5IGluZGVwZW5kZW50IHByZWRpY3RvcnMgb2Ygc3Vydml2YWwuIFJlc3VsdHM6IEEgdG90YWwgb2YgMSwzMDMgcGF0aWVudHMgd2l0aCBub25tZXRhc3RhdGljIGxvdy1ncmFkZSBhcHBlbmRpY2VhbCBhZGVub2NhcmNpbm9tYXMgKDY0LjIlIG11Y2lub3VzKSB3ZXJlIGlkZW50aWZpZWQuIE9mIHRoZSAxLDEzMyBwYXRpZW50cyB3aXRoIGtub3duIGx5bXBob3Zhc2N1bGFyIGludmFzaW9uIHN0YXR1cywgNzggKDYuOSUpIHdlcmUgbHltcGhvdmFzY3VsYXIgaW52YXNpb24gcG9zaXRpdmUuIEluIG11bHRpdmFyaWF0ZSBhbmFseXNpcywgbHltcGhvdmFzY3VsYXIgaW52YXNpb24gd2FzIGluZGVwZW5kZW50bHkgYXNzb2NpYXRlZCB3aXRoIG5vZGFsIG1ldGFzdGFzZXMgKG9kZHMgcmF0aW8sIDguNjg7IFAgPCAuMDAxKS4gT3ZlcmFsbCBhY2N1cmFjeSBvZiBseW1waG92YXNjdWxhciBpbnZhc2lvbiBpbiBwcmVkaWN0aW5nIG5vZGFsIG1ldGFzdGFzZXMgd2FzIDg2JS4gVGhlIENPSCBDb21wb3NpdGUgU2NvcmUgc3RyYXRpZmllZCBwYXRpZW50cyBpbiA0IGNhdGVnb3JpZXMgd2l0aCBpbmNyZWFzaW5nIHJpc2sgb2Ygbm9kYWwgbWV0YXN0YXNlcyBhbmQgaW5jcmVtZW50YWxseSB3b3JzZSBzdXJ2aXZhbC4gRm9yIHBhdGllbnRzIHdpdGggdGhlIENPSCBDb21wb3NpdGUgU2NvcmUgb2YgMCAoMTIlKSwgdGhlIG5vZGFsIG1ldGFzdGFzaXMgcmF0ZSB3YXMgMy4xJSwgYW5kIGEgcmlnaHQgaGVtaWNvbGVjdG9teSBpbiB0aGlzIGdyb3VwIGRpZCBub3QgaW1wcm92ZSBzdXJ2aXZhbC4gQ29uY2x1c2lvbjogVGhlIHByZXNlbmNlIG9mIGx5bXBob3Zhc2N1bGFyIGludmFzaW9uIGlzIHN0cm9uZ2x5IHByZWRpY3RpdmUgb2Ygbm9kYWwgbWV0YXN0YXNlcy4gTHltcGhvdmFzY3VsYXIgaW52YXNpb24gYXMgcGFydCBvZiB0aGUgQ09IIENvbXBvc2l0ZSBTY29yZSBtYXkgaGVscCBndWlkZSB0aGUgZXh0ZW50IG9mIHN1cmdlcnkgaW4gbG93LWdyYWRlIGFwcGVuZGljZWFsIGFkZW5vY2FyY2lub21hcy4iLCJwdWJsaXNoZXIiOiJTdXJnZXJ5IiwiaXNzdWUiOiIzIiwidm9sdW1lIjoiMTc2In0sImlzVGVtcG9yYXJ5IjpmYWxzZX1dfQ=="/>
          <w:id w:val="-1204016366"/>
        </w:sdtPr>
        <w:sdtContent>
          <w:r>
            <w:rPr/>
          </w:r>
          <w:r>
            <w:rPr>
              <w:color w:val="000000"/>
            </w:rPr>
            <w:t>(51)</w:t>
          </w:r>
        </w:sdtContent>
      </w:sdt>
      <w:r>
        <w:rPr/>
        <w:t xml:space="preserve">. En </w:t>
      </w:r>
      <w:r>
        <w:rPr/>
        <w:t>estos casos, se recomienda quimioterapia adyuvante en pacientes con factores de alto riesgo, como invasión linfovascular, perforación, pobre diferenciación o márgenes estrechos, aun cuando se encuentren en estadio II. Los esquemas utilizados se basan en fluoropirimidinas más oxaliplatino (FOLFOX o CAPOX), adaptados del tratamiento del cáncer de colon</w:t>
      </w:r>
      <w:sdt>
        <w:sdtPr>
          <w:placeholder>
            <w:docPart w:val="DefaultPlaceholder_-1854013440"/>
          </w:placeholder>
          <w:tag w:val="MENDELEY_CITATION_v3_eyJjaXRhdGlvbklEIjoiTUVOREVMRVlfQ0lUQVRJT05fNWE1MjRkMTctMWNhNy00NWUzLTkxNDUtY2JiYzA4NDIwZTQwIiwicHJvcGVydGllcyI6eyJub3RlSW5kZXgiOjB9LCJpc0VkaXRlZCI6ZmFsc2UsIm1hbnVhbE92ZXJyaWRlIjp7ImlzTWFudWFsbHlPdmVycmlkZGVuIjpmYWxzZSwiY2l0ZXByb2NUZXh0IjoiKDUyKSIsIm1hbnVhbE92ZXJyaWRlVGV4dCI6IiJ9LCJjaXRhdGlvbkl0ZW1zIjpbeyJpZCI6Ijg3YzhkNjNkLTUxZTQtMzdjOC1hMzhjLTM1MjQ1ZTM1NGJmMSIsIml0ZW1EYXRhIjp7InR5cGUiOiJhcnRpY2xlLWpvdXJuYWwiLCJpZCI6Ijg3YzhkNjNkLTUxZTQtMzdjOC1hMzhjLTM1MjQ1ZTM1NGJmMSIsInRpdGxlIjoiTWFuYWdlbWVudCBvZiBBcHBlbmRpeCBDYW5jZXIiLCJhdXRob3IiOlt7ImZhbWlseSI6IktlbGx5IiwiZ2l2ZW4iOiJLYWl0bHluIEouIiwicGFyc2UtbmFtZXMiOmZhbHNlLCJkcm9wcGluZy1wYXJ0aWNsZSI6IiIsIm5vbi1kcm9wcGluZy1wYXJ0aWNsZSI6IiJ9XSwiY29udGFpbmVyLXRpdGxlIjoiQ2xpbmljcyBpbiBDb2xvbiBhbmQgUmVjdGFsIFN1cmdlcnkiLCJjb250YWluZXItdGl0bGUtc2hvcnQiOiJDbGluIENvbG9uIFJlY3RhbCBTdXJnIiwiRE9JIjoiMTAuMTA1NS9zLTAwMzUtMTU2NDQzMyIsIklTU04iOiIxNTMwOTY4MSIsImlzc3VlZCI6eyJkYXRlLXBhcnRzIjpbWzIwMTVdXX0sInBhZ2UiOiIyNDctMjU1IiwiYWJzdHJhY3QiOiJQcmltYXJ5IGNhbmNlcnMgb2YgdGhlIGFwcGVuZGl4IGFyZSByYXJlIGFuZCBhcmUgZnJlcXVlbnRseSBkaWFnbm9zZWQgYWZ0ZXIgc3VyZ2VyeSBmb3IgYXBwZW5kaWNpdGlzLCBwcmVzdW1lZCBvdmFyaWFuIHByaW1hcnkgbWFsaWduYW5jeSwgb3Igb3RoZXIgaW5kaWNhdGlvbnMuIFByaW1hcnkgYXBwZW5kaXggY2FuY2VycyBhcmUgaGlzdG9sb2dpY2FsbHkgZGl2ZXJzZSwgYW5kIGNsYXNzaWZpY2F0aW9uIG9mIHRoZXNlIHR1bW9ycyBoYXMgaGlzdG9yaWNhbGx5IGJlZW4gY29uZnVzaW5nIGJlY2F1c2Ugb2YgdGhlIG5vbnN0YW5kYXJkaXplZCBub21lbmNsYXR1cmUgdGhhdCBpcyB1c2VkLiBUaGlzIHJldmlldyBhaW1lZCB0byBkZXNjcmliZSB0aGUgZXBpZGVtaW9sb2d5LCBwcmVzZW50YXRpb24sIHdvcmt1cCwgc3RhZ2luZywgYW5kIG1hbmFnZW1lbnQgb2YgcHJpbWFyeSBhcHBlbmRpeCBjYW5jZXJzIHVzaW5nIGN1cnJlbnQsIHJlY29tbWVuZGVkIG5vbWVuY2xhdHVyZS4gRm9yIHRoaXMgcHVycG9zZSwgdHVtb3JzIHdlcmUgYnJvYWRseSBjbGFzc2lmaWVkIGFzIGNvbG9uaWMtdHlwZSBvciBtdWNpbm91cyBhZGVub2NhcmNpbm9tYSwgZ29ibGV0IGNlbGwgYWRlbm9jYXJjaW5vbWEsIG9yIG5ldXJvZW5kb2NyaW5lIGNhcmNpbm9tYS4gU2lnbmV0IHJpbmcgY2VsbCBjYXJjaW5vbWEgd2FzIG5vdCByZWdhcmRlZCBhcyBhbiBpbmRpdmlkdWFsIGVudGl0eS4gVGhlIHByZXNlbmNlIG9mIHNpZ25ldCByaW5nIGNlbGxzIGlzIGEgaGlzdG9sb2dpYyBmZWF0dXJlIHRoYXQgbWF5IG9yIG1heSBub3QgYmUgcHJlc2VudCBpbiBjb2xvbmljLXR5cGUgb3IgbXVjaW5vdXMgYWRlbm9jYXJjaW5vbWEuIFRoZSBtYW5hZ2VtZW50IG9mIHByaW1hcnkgYXBwZW5kaXggY2FuY2VyIGlzIGNvbXBsZXggYW5kIGlzIGRlcGVuZGVudCBvbiB0aGUgaGlzdG9sb2dpYyBzdWJ0eXBlIGFuZCBleHRlbnQgb2YgZGlzZWFzZS4gUmFuZG9taXplZCwgcHJvc3BlY3RpdmUgdHJpYWxzIGRvIG5vdCBleGlzdCBmb3IgdGhlc2UgcmFyZSB0dW1vcnMgYW5kIG1hbmFnZW1lbnQgaXMgbGFyZ2VseSBndWlkZWQgYnkgcmV0cm9zcGVjdGl2ZSBkYXRhIGV4cGVydCBjb25zZW5zdXMgZ3VpZGVsaW5lcywgd2hpY2ggYXJlIHN1bW1hcml6ZWQgaGVyZS4iLCJwdWJsaXNoZXIiOiJUaGllbWUgTWVkaWNhbCBQdWJsaXNoZXJzLCBJbmMuIiwiaXNzdWUiOiI0Iiwidm9sdW1lIjoiMjgifSwiaXNUZW1wb3JhcnkiOmZhbHNlfV19"/>
          <w:id w:val="1408729532"/>
        </w:sdtPr>
        <w:sdtContent>
          <w:r>
            <w:rPr/>
          </w:r>
          <w:r>
            <w:rPr>
              <w:rFonts w:eastAsia="MS Mincho"/>
              <w:color w:val="000000"/>
            </w:rPr>
            <w:t>(52)</w:t>
          </w:r>
        </w:sdtContent>
      </w:sdt>
    </w:p>
    <w:p>
      <w:pPr>
        <w:pStyle w:val="Heading5"/>
        <w:spacing w:before="0" w:after="0"/>
        <w:ind w:firstLine="709" w:left="0"/>
        <w:rPr>
          <w:vanish/>
          <w:specVanish/>
        </w:rPr>
      </w:pPr>
      <w:bookmarkStart w:id="169" w:name="_Toc199584614"/>
      <w:r>
        <w:rPr/>
        <w:t>Estadios avanzados y diseminados</w:t>
      </w:r>
      <w:bookmarkEnd w:id="169"/>
      <w:r>
        <w:rPr/>
        <w:t>.</w:t>
      </w:r>
    </w:p>
    <w:p>
      <w:pPr>
        <w:pStyle w:val="p3"/>
        <w:spacing w:lineRule="auto" w:line="360" w:before="280" w:after="280"/>
        <w:jc w:val="both"/>
        <w:rPr/>
      </w:pPr>
      <w:r>
        <w:rPr/>
      </w:r>
      <w:r>
        <w:rPr/>
        <w:t xml:space="preserve"> </w:t>
      </w:r>
      <w:r>
        <w:rPr/>
        <w:t>Los estadios avanzados del cáncer apendicular comprenden aquellos casos con invasión más allá de la serosa apendicular, compromiso ganglionar, diseminación peritoneal macroscópica o metástasis a distancia. Estas presentaciones requieren un abordaje terapéutico complejo, multimodal y altamente especializado. A diferencia de los estadios iniciales, el tratamiento curativo en enfermedad avanzada solo es posible mediante una estrategia combinada, que incluye cirugía oncológica radical, quimioterapia intraperitoneal hipertérmica (HIPEC) y, en algunos casos, quimioterapia sistémica</w:t>
      </w:r>
      <w:r>
        <w:rPr>
          <w:color w:val="000000"/>
        </w:rPr>
        <w:t xml:space="preserve"> </w:t>
      </w:r>
      <w:r>
        <w:rPr>
          <w:rFonts w:eastAsia="MS Mincho"/>
          <w:color w:val="000000"/>
        </w:rPr>
        <w:t>(9).</w:t>
      </w:r>
    </w:p>
    <w:p>
      <w:pPr>
        <w:pStyle w:val="p1"/>
        <w:spacing w:lineRule="auto" w:line="360" w:before="280" w:after="280"/>
        <w:jc w:val="both"/>
        <w:rPr>
          <w:rStyle w:val="s1"/>
        </w:rPr>
      </w:pPr>
      <w:r>
        <w:rPr>
          <w:rStyle w:val="s1"/>
        </w:rPr>
        <w:t>La elección del tratamiento debe considerar el tipo histológico, la carga tumoral peritoneal (PCI), la posibilidad de lograr citorreducción completa, el estado funcional del paciente y la disponibilidad de centros especializados en cirugía peritoneal.</w:t>
      </w:r>
    </w:p>
    <w:p>
      <w:pPr>
        <w:pStyle w:val="Normal"/>
        <w:spacing w:before="0" w:after="240"/>
        <w:rPr>
          <w:b/>
          <w:sz w:val="27"/>
        </w:rPr>
      </w:pPr>
      <w:bookmarkStart w:id="170" w:name="_Toc199584615"/>
      <w:r>
        <w:rPr>
          <w:b/>
        </w:rPr>
        <w:t>Carcinomas indiferenciados y mixtos epiteliales</w:t>
      </w:r>
      <w:bookmarkEnd w:id="170"/>
    </w:p>
    <w:p>
      <w:pPr>
        <w:pStyle w:val="Normal"/>
        <w:spacing w:before="0" w:after="240"/>
        <w:rPr>
          <w:b/>
          <w:i/>
          <w:i/>
        </w:rPr>
      </w:pPr>
      <w:r>
        <w:rPr>
          <w:b/>
        </w:rPr>
        <w:t>Manejo en estadios regionales avanzados (estadios III, con metástasis ganglionares)</w:t>
      </w:r>
    </w:p>
    <w:p>
      <w:pPr>
        <w:pStyle w:val="p3"/>
        <w:spacing w:lineRule="auto" w:line="360" w:before="280" w:after="280"/>
        <w:jc w:val="both"/>
        <w:rPr/>
      </w:pPr>
      <w:r>
        <w:rPr/>
        <w:t>El tratamiento de los carcinomas indiferenciados en estadios regionalmente avanzados debe ser intensivo y multidisciplinario. La resección quirúrgica constituye el pilar del tratamiento inicial, y debe realizarse mediante colectomía derecha oncológica, con resección en bloque de estructuras contiguas si existe compromiso del ciego, mesenterio o tejidos adyacentes.</w:t>
      </w:r>
    </w:p>
    <w:p>
      <w:pPr>
        <w:pStyle w:val="p3"/>
        <w:spacing w:lineRule="auto" w:line="360" w:before="280" w:after="280"/>
        <w:jc w:val="both"/>
        <w:rPr/>
      </w:pPr>
      <w:r>
        <w:rPr/>
        <w:t>La presencia de metástasis ganglionares (N1 o N2) obliga a la administración de quimioterapia adyuvante sistémica, basada en esquemas como FOLFOX o CAPOX durante un mínimo de seis meses. Esta estrategia busca reducir el riesgo de recurrencia locorregional y controlar la posible micrometástasis sistémica.</w:t>
      </w:r>
    </w:p>
    <w:p>
      <w:pPr>
        <w:pStyle w:val="p3"/>
        <w:spacing w:lineRule="auto" w:line="360" w:before="280" w:after="280"/>
        <w:jc w:val="both"/>
        <w:rPr/>
      </w:pPr>
      <w:r>
        <w:rPr/>
        <w:t>En pacientes con características histológicas de alto riesgo para diseminación peritoneal —como infiltración serosa, perforación tumoral o alta carga ganglionar— puede valorarse, de forma individualizada, la evaluación en centros especializados en cirugía citorreductora y HIPEC. No obstante, la evidencia sugiere que el beneficio de esta estrategia en este subgrupo es limitado, debido a la alta tasa de recurrencia peritoneal y a la baja sensibilidad a tratamientos locorregionales.</w:t>
      </w:r>
    </w:p>
    <w:p>
      <w:pPr>
        <w:pStyle w:val="Normal"/>
        <w:rPr>
          <w:b/>
          <w:i/>
          <w:i/>
        </w:rPr>
      </w:pPr>
      <w:r>
        <w:rPr>
          <w:b/>
        </w:rPr>
        <w:t>Manejo en enfermedad metastásica (estadios IV)</w:t>
      </w:r>
    </w:p>
    <w:p>
      <w:pPr>
        <w:pStyle w:val="p3"/>
        <w:spacing w:lineRule="auto" w:line="360" w:before="280" w:after="280"/>
        <w:jc w:val="both"/>
        <w:rPr/>
      </w:pPr>
      <w:r>
        <w:rPr/>
        <w:t>En presencia de diseminación peritoneal o metástasis viscerales a distancia, el abordaje debe orientarse hacia el tratamiento sistémico paliativo, empleando combinaciones de fluoropirimidinas con oxaliplatino (FOLFOX) o irinotecán (FOLFIRI). Cuando el perfil molecular lo permite (RAS nativo, BRAF no mutado), pueden añadirse agentes biológicos como bevacizumab o cetuximab, siguiendo principios similares al tratamiento del cáncer colorrectal metastásico.</w:t>
      </w:r>
    </w:p>
    <w:p>
      <w:pPr>
        <w:pStyle w:val="p3"/>
        <w:spacing w:lineRule="auto" w:line="360" w:before="280" w:after="280"/>
        <w:jc w:val="both"/>
        <w:rPr/>
      </w:pPr>
      <w:r>
        <w:rPr/>
        <w:t>La indicación de cirugía citorreductora e HIPEC en este grupo debe valorarse cuidadosamente, ya que múltiples estudios han reportado menores tasas de supervivencia libre de progresión y mayor recurrencia temprana, incluso tras citorreducción completa. El comportamiento biológico agresivo de estos carcinomas, su alta tasa de mutaciones asociadas a mal pronóstico y su baja respuesta a la quimioterapia locorregional limitan los beneficios potenciales de la HIPEC en esta población.</w:t>
      </w:r>
    </w:p>
    <w:p>
      <w:pPr>
        <w:pStyle w:val="p3"/>
        <w:spacing w:lineRule="auto" w:line="360" w:before="280" w:after="280"/>
        <w:jc w:val="both"/>
        <w:rPr/>
      </w:pPr>
      <w:r>
        <w:rPr/>
        <w:t xml:space="preserve">En pacientes con enfermedad irresecable o mal estado funcional (ECOG ≥2), se debe priorizar el manejo sintomático, el control del dolor y la atención paliativa integral, con énfasis en la calidad de vida y en la toma de decisiones centrada en el paciente </w:t>
      </w:r>
      <w:r>
        <w:rPr>
          <w:color w:val="000000"/>
        </w:rPr>
        <w:t>(48).</w:t>
      </w:r>
    </w:p>
    <w:p>
      <w:pPr>
        <w:pStyle w:val="Normal"/>
        <w:rPr>
          <w:b/>
          <w:bCs/>
        </w:rPr>
      </w:pPr>
      <w:r>
        <w:rPr>
          <w:b/>
          <w:bCs/>
        </w:rPr>
      </w:r>
    </w:p>
    <w:p>
      <w:pPr>
        <w:pStyle w:val="Normal"/>
        <w:rPr>
          <w:b/>
        </w:rPr>
      </w:pPr>
      <w:r>
        <w:rPr>
          <w:b/>
        </w:rPr>
      </w:r>
    </w:p>
    <w:p>
      <w:pPr>
        <w:pStyle w:val="Normal"/>
        <w:rPr>
          <w:b/>
        </w:rPr>
      </w:pPr>
      <w:bookmarkStart w:id="171" w:name="_Toc199584616"/>
      <w:r>
        <w:rPr>
          <w:b/>
        </w:rPr>
        <w:t>Adenocarcinoma apendicular con enfermedad avanzada</w:t>
      </w:r>
      <w:bookmarkEnd w:id="171"/>
    </w:p>
    <w:p>
      <w:pPr>
        <w:pStyle w:val="p3"/>
        <w:spacing w:lineRule="auto" w:line="360" w:before="280" w:after="280"/>
        <w:jc w:val="both"/>
        <w:rPr/>
      </w:pPr>
      <w:r>
        <w:rPr/>
        <w:t>En los casos de adenocarcinoma apendicular —ya sea de tipo mucinoso o no mucinoso— con compromiso seroso, ganglionar o diseminación peritoneal, el tratamiento debe adaptarse según la extensión de la enfermedad y su resecabilidad.</w:t>
      </w:r>
    </w:p>
    <w:p>
      <w:pPr>
        <w:pStyle w:val="p3"/>
        <w:spacing w:lineRule="auto" w:line="360" w:before="280" w:after="280"/>
        <w:jc w:val="both"/>
        <w:rPr/>
      </w:pPr>
      <w:r>
        <w:rPr/>
        <w:t>Cuando la diseminación está confinada al peritoneo y la resección completa es factible, el tratamiento estándar incluye la combinación de cirugía citorreductora e HIPEC (10), especialmente en tumores bien o moderadamente diferenciados. En presencia de invasión ganglionar, histología de alto grado o componentes pobremente diferenciados, puede estar indicada la administración de quimioterapia sistémica adyuvante, particularmente con esquemas combinados basados en fluoropirimidinas y oxaliplatino (FOLFOX o CAPOX).</w:t>
      </w:r>
    </w:p>
    <w:p>
      <w:pPr>
        <w:pStyle w:val="p3"/>
        <w:spacing w:lineRule="auto" w:line="360" w:before="280" w:after="280"/>
        <w:jc w:val="both"/>
        <w:rPr/>
      </w:pPr>
      <w:r>
        <w:rPr/>
        <w:t>Por otro lado, en pacientes con enfermedad no resecable o con metástasis extraperitoneales (M1c), el manejo se centra en la quimioterapia sistémica, utilizando esquemas similares a los empleados en cáncer colorrectal avanzado. Aunque se han descrito respuestas parciales en algunos subtipos histológicos, la eficacia de estos tratamientos en neoplasias apendiculares es heterogénea y, en muchos casos, limitada.</w:t>
      </w:r>
    </w:p>
    <w:p>
      <w:pPr>
        <w:pStyle w:val="Normal"/>
        <w:rPr>
          <w:rStyle w:val="s1"/>
        </w:rPr>
      </w:pPr>
      <w:r>
        <w:rPr/>
      </w:r>
    </w:p>
    <w:p>
      <w:pPr>
        <w:pStyle w:val="Normal"/>
        <w:rPr>
          <w:b/>
        </w:rPr>
      </w:pPr>
      <w:bookmarkStart w:id="172" w:name="_Toc199584617"/>
      <w:r>
        <w:rPr>
          <w:b/>
        </w:rPr>
        <w:t>Cáncer de células caliciformes</w:t>
      </w:r>
      <w:bookmarkEnd w:id="172"/>
      <w:r>
        <w:rPr>
          <w:b/>
        </w:rPr>
        <w:t xml:space="preserve"> </w:t>
      </w:r>
    </w:p>
    <w:p>
      <w:pPr>
        <w:pStyle w:val="p3"/>
        <w:spacing w:lineRule="auto" w:line="360" w:before="280" w:after="280"/>
        <w:jc w:val="both"/>
        <w:rPr/>
      </w:pPr>
      <w:r>
        <w:rPr/>
        <w:t>En pacientes con enfermedad peritoneal resecable, especialmente aquellos con diseminación sincrónica o limitada, se ha propuesto la combinación de cirugía citorreductora y HIPEC, aunque la evidencia disponible proviene principalmente de series retrospectivas, y su eficacia permanece en evaluación.</w:t>
      </w:r>
    </w:p>
    <w:p>
      <w:pPr>
        <w:pStyle w:val="p3"/>
        <w:spacing w:lineRule="auto" w:line="360" w:before="280" w:after="280"/>
        <w:jc w:val="both"/>
        <w:rPr/>
      </w:pPr>
      <w:r>
        <w:rPr/>
        <w:t xml:space="preserve">A pesar de estas intervenciones, un porcentaje significativo de pacientes presenta enfermedad metastásica avanzada al momento del diagnóstico, por lo que el tratamiento paliativo temprano es frecuente y debe individualizarse en función del estado general, la extensión tumoral y el índice proliferativo  </w:t>
      </w:r>
      <w:sdt>
        <w:sdtPr>
          <w:placeholder>
            <w:docPart w:val="DefaultPlaceholder_-1854013440"/>
          </w:placeholder>
          <w:tag w:val="MENDELEY_CITATION_v3_eyJjaXRhdGlvbklEIjoiTUVOREVMRVlfQ0lUQVRJT05fZmY2ZjVkNjYtOGZiYy00N2I4LWE5NGYtMzdiYmM0Y2RhYzRjIiwicHJvcGVydGllcyI6eyJub3RlSW5kZXgiOjB9LCJpc0VkaXRlZCI6ZmFsc2UsIm1hbnVhbE92ZXJyaWRlIjp7ImlzTWFudWFsbHlPdmVycmlkZGVuIjpmYWxzZSwiY2l0ZXByb2NUZXh0IjoiKDMyKSIsIm1hbnVhbE92ZXJyaWRlVGV4dCI6IiJ9LCJjaXRhdGlvbkl0ZW1zIjpbeyJpZCI6ImM4MTQxMzdmLWM1NTgtM2MxOS05NDIyLTg2ZWU5Njk0ZTc2ZiIsIml0ZW1EYXRhIjp7InR5cGUiOiJhcnRpY2xlLWpvdXJuYWwiLCJpZCI6ImM4MTQxMzdmLWM1NTgtM2MxOS05NDIyLTg2ZWU5Njk0ZTc2ZiIsInRpdGxlIjoiQW4gSW50ZXJuYXRpb25hbCBSZWdpc3RyeSBvZiBQZXJpdG9uZWFsIENhcmNpbm9tYXRvc2lzIGZyb20gQXBwZW5kaWNlYWwgR29ibGV0IENlbGwgQ2FyY2lub21hIFRyZWF0ZWQgd2l0aCBDeXRvcmVkdWN0aXZlIFN1cmdlcnkgYW5kIEh5cGVydGhlcm1pYyBJbnRyYXBlcml0b25lYWwgQ2hlbW90aGVyYXB5IiwiYXV0aG9yIjpbeyJmYW1pbHkiOiJNZXJjaWVyIiwiZ2l2ZW4iOiJGcmVkZXJpYyIsInBhcnNlLW5hbWVzIjpmYWxzZSwiZHJvcHBpbmctcGFydGljbGUiOiIiLCJub24tZHJvcHBpbmctcGFydGljbGUiOiIifSx7ImZhbWlseSI6IlBhc3NvdCIsImdpdmVuIjoiR3VpbGxhdW1lIiwicGFyc2UtbmFtZXMiOmZhbHNlLCJkcm9wcGluZy1wYXJ0aWNsZSI6IiIsIm5vbi1kcm9wcGluZy1wYXJ0aWNsZSI6IiJ9LHsiZmFtaWx5IjoiQm9ubm90IiwiZ2l2ZW4iOiJQaWVycmUgRW1tYW51ZWwiLCJwYXJzZS1uYW1lcyI6ZmFsc2UsImRyb3BwaW5nLXBhcnRpY2xlIjoiIiwibm9uLWRyb3BwaW5nLXBhcnRpY2xlIjoiIn0seyJmYW1pbHkiOiJDYXNoaW4iLCJnaXZlbiI6IlBldGVyIiwicGFyc2UtbmFtZXMiOmZhbHNlLCJkcm9wcGluZy1wYXJ0aWNsZSI6IiIsIm5vbi1kcm9wcGluZy1wYXJ0aWNsZSI6IiJ9LHsiZmFtaWx5IjoiQ2VlbGVuIiwiZ2l2ZW4iOiJXaW0iLCJwYXJzZS1uYW1lcyI6ZmFsc2UsImRyb3BwaW5nLXBhcnRpY2xlIjoiIiwibm9uLWRyb3BwaW5nLXBhcnRpY2xlIjoiIn0seyJmYW1pbHkiOiJEZWN1bGxpZXIiLCJnaXZlbiI6IkV2ZWx5bmUiLCJwYXJzZS1uYW1lcyI6ZmFsc2UsImRyb3BwaW5nLXBhcnRpY2xlIjoiIiwibm9uLWRyb3BwaW5nLXBhcnRpY2xlIjoiIn0seyJmYW1pbHkiOiJWaWxsZW5ldXZlIiwiZ2l2ZW4iOiJMYXVyZW50IiwicGFyc2UtbmFtZXMiOmZhbHNlLCJkcm9wcGluZy1wYXJ0aWNsZSI6IiIsIm5vbi1kcm9wcGluZy1wYXJ0aWNsZSI6IiJ9LHsiZmFtaWx5IjoiV2FsdGVyIiwiZ2l2ZW4iOiJUaG9tYXMiLCJwYXJzZS1uYW1lcyI6ZmFsc2UsImRyb3BwaW5nLXBhcnRpY2xlIjoiIiwibm9uLWRyb3BwaW5nLXBhcnRpY2xlIjoiIn0seyJmYW1pbHkiOiJMZXZpbmUiLCJnaXZlbiI6IkVkd2FyZCBBLiIsInBhcnNlLW5hbWVzIjpmYWxzZSwiZHJvcHBpbmctcGFydGljbGUiOiIiLCJub24tZHJvcHBpbmctcGFydGljbGUiOiIifSx7ImZhbWlseSI6IkdsZWhlbiIsImdpdmVuIjoiT2xpdmllciIsInBhcnNlLW5hbWVzIjpmYWxzZSwiZHJvcHBpbmctcGFydGljbGUiOiIiLCJub24tZHJvcHBpbmctcGFydGljbGUiOiIifSx7ImZhbWlseSI6IkFocmVuZHQiLCJnaXZlbiI6IlMuIEEuIiwicGFyc2UtbmFtZXMiOmZhbHNlLCJkcm9wcGluZy1wYXJ0aWNsZSI6IiIsIm5vbi1kcm9wcGluZy1wYXJ0aWNsZSI6IiJ9LHsiZmFtaWx5IjoiQWthaXNoaSIsImdpdmVuIjoiRS4iLCJwYXJzZS1uYW1lcyI6ZmFsc2UsImRyb3BwaW5nLXBhcnRpY2xlIjoiIiwibm9uLWRyb3BwaW5nLXBhcnRpY2xlIjoiIn0seyJmYW1pbHkiOiJCYWlrIiwiZ2l2ZW4iOiJTLiBILiIsInBhcnNlLW5hbWVzIjpmYWxzZSwiZHJvcHBpbmctcGFydGljbGUiOiIiLCJub24tZHJvcHBpbmctcGFydGljbGUiOiIifSx7ImZhbWlseSI6IkJhcmF0dGkiLCJnaXZlbiI6IkQuIiwicGFyc2UtbmFtZXMiOmZhbHNlLCJkcm9wcGluZy1wYXJ0aWNsZSI6IiIsIm5vbi1kcm9wcGluZy1wYXJ0aWNsZSI6IiJ9LHsiZmFtaWx5IjoiQmhhdHQiLCJnaXZlbiI6IkEuIiwicGFyc2UtbmFtZXMiOmZhbHNlLCJkcm9wcGluZy1wYXJ0aWNsZSI6IiIsIm5vbi1kcm9wcGluZy1wYXJ0aWNsZSI6IiJ9LHsiZmFtaWx5IjoiSGluZ2giLCJnaXZlbiI6IkkuIiwicGFyc2UtbmFtZXMiOmZhbHNlLCJkcm9wcGluZy1wYXJ0aWNsZSI6IiIsIm5vbi1kcm9wcGluZy1wYXJ0aWNsZSI6IkRlIn0seyJmYW1pbHkiOiJTaW1vbmUiLCJnaXZlbiI6Ik0uIiwicGFyc2UtbmFtZXMiOmZhbHNlLCJkcm9wcGluZy1wYXJ0aWNsZSI6IiIsIm5vbi1kcm9wcGluZy1wYXJ0aWNsZSI6IkRlIn0seyJmYW1pbHkiOiJEdWLDqSIsImdpdmVuIjoiUC4iLCJwYXJzZS1uYW1lcyI6ZmFsc2UsImRyb3BwaW5nLXBhcnRpY2xlIjoiIiwibm9uLWRyb3BwaW5nLXBhcnRpY2xlIjoiIn0seyJmYW1pbHkiOiJFZHdhcmRzIiwiZ2l2ZW4iOiJSLiBQLiIsInBhcnNlLW5hbWVzIjpmYWxzZSwiZHJvcHBpbmctcGFydGljbGUiOiIiLCJub24tZHJvcHBpbmctcGFydGljbGUiOiIifSx7ImZhbWlseSI6IkZyYW5rbyIsImdpdmVuIjoiSi4iLCJwYXJzZS1uYW1lcyI6ZmFsc2UsImRyb3BwaW5nLXBhcnRpY2xlIjoiIiwibm9uLWRyb3BwaW5nLXBhcnRpY2xlIjoiIn0seyJmYW1pbHkiOiJHb256YWxlei1CYXlvbiIsImdpdmVuIjoiTC4iLCJwYXJzZS1uYW1lcyI6ZmFsc2UsImRyb3BwaW5nLXBhcnRpY2xlIjoiIiwibm9uLWRyb3BwaW5nLXBhcnRpY2xlIjoiIn0seyJmYW1pbHkiOiJHdXNoY2hpbiIsImdpdmVuIjoiVi4iLCJwYXJzZS1uYW1lcyI6ZmFsc2UsImRyb3BwaW5nLXBhcnRpY2xlIjoiIiwibm9uLWRyb3BwaW5nLXBhcnRpY2xlIjoiIn0seyJmYW1pbHkiOiJIb2x0em1hbiIsImdpdmVuIjoiTS4gUC4iLCJwYXJzZS1uYW1lcyI6ZmFsc2UsImRyb3BwaW5nLXBhcnRpY2xlIjoiIiwibm9uLWRyb3BwaW5nLXBhcnRpY2xlIjoiIn0seyJmYW1pbHkiOiJIc2llaCIsImdpdmVuIjoiTS4gQy4iLCJwYXJzZS1uYW1lcyI6ZmFsc2UsImRyb3BwaW5nLXBhcnRpY2xlIjoiIiwibm9uLWRyb3BwaW5nLXBhcnRpY2xlIjoiIn0seyJmYW1pbHkiOiJLZWNtYW5vdmljIiwiZ2l2ZW4iOiJELiIsInBhcnNlLW5hbWVzIjpmYWxzZSwiZHJvcHBpbmctcGFydGljbGUiOiIiLCJub24tZHJvcHBpbmctcGFydGljbGUiOiIifSx7ImZhbWlseSI6IkxlZSIsImdpdmVuIjoiSy4gVy4iLCJwYXJzZS1uYW1lcyI6ZmFsc2UsImRyb3BwaW5nLXBhcnRpY2xlIjoiIiwibm9uLWRyb3BwaW5nLXBhcnRpY2xlIjoiIn0seyJmYW1pbHkiOiJMZWhtYW5uIiwiZ2l2ZW4iOiJLLiIsInBhcnNlLW5hbWVzIjpmYWxzZSwiZHJvcHBpbmctcGFydGljbGUiOiIiLCJub24tZHJvcHBpbmctcGFydGljbGUiOiIifSx7ImZhbWlseSI6IkxpdSIsImdpdmVuIjoiWS4iLCJwYXJzZS1uYW1lcyI6ZmFsc2UsImRyb3BwaW5nLXBhcnRpY2xlIjoiIiwibm9uLWRyb3BwaW5nLXBhcnRpY2xlIjoiIn0seyJmYW1pbHkiOiJNZWh0YSIsImdpdmVuIjoiUy4iLCJwYXJzZS1uYW1lcyI6ZmFsc2UsImRyb3BwaW5nLXBhcnRpY2xlIjoiIiwibm9uLWRyb3BwaW5nLXBhcnRpY2xlIjoiIn0seyJmYW1pbHkiOiJNb3JyaXMiLCJnaXZlbiI6IkQuIEwuIiwicGFyc2UtbmFtZXMiOmZhbHNlLCJkcm9wcGluZy1wYXJ0aWNsZSI6IiIsIm5vbi1kcm9wcGluZy1wYXJ0aWNsZSI6IiJ9LHsiZmFtaWx5IjoiT+KAmUR3eWVyIiwiZ2l2ZW4iOiJTLiIsInBhcnNlLW5hbWVzIjpmYWxzZSwiZHJvcHBpbmctcGFydGljbGUiOiIiLCJub24tZHJvcHBpbmctcGFydGljbGUiOiIifSx7ImZhbWlseSI6Ik9yc2VuaWdvIiwiZ2l2ZW4iOiJFLiIsInBhcnNlLW5hbWVzIjpmYWxzZSwiZHJvcHBpbmctcGFydGljbGUiOiIiLCJub24tZHJvcHBpbmctcGFydGljbGUiOiIifSx7ImZhbWlseSI6IlBhbmRlIiwiZ2l2ZW4iOiJQLiBLLiIsInBhcnNlLW5hbWVzIjpmYWxzZSwiZHJvcHBpbmctcGFydGljbGUiOiIiLCJub24tZHJvcHBpbmctcGFydGljbGUiOiIifSx7ImZhbWlseSI6IlBhcmsiLCJnaXZlbiI6IkUuIEouIiwicGFyc2UtbmFtZXMiOmZhbHNlLCJkcm9wcGluZy1wYXJ0aWNsZSI6IiIsIm5vbi1kcm9wcGluZy1wYXJ0aWNsZSI6IiJ9LHsiZmFtaWx5IjoiUGluZ3BhbmsiLCJnaXZlbiI6IkouIEYuIiwicGFyc2UtbmFtZXMiOmZhbHNlLCJkcm9wcGluZy1wYXJ0aWNsZSI6IiIsIm5vbi1kcm9wcGluZy1wYXJ0aWNsZSI6IiJ9LHsiZmFtaWx5IjoiUGlzbyIsImdpdmVuIjoiUC4iLCJwYXJzZS1uYW1lcyI6ZmFsc2UsImRyb3BwaW5nLXBhcnRpY2xlIjoiIiwibm9uLWRyb3BwaW5nLXBhcnRpY2xlIjoiIn0seyJmYW1pbHkiOiJSYWphbiIsImdpdmVuIjoiRi4iLCJwYXJzZS1uYW1lcyI6ZmFsc2UsImRyb3BwaW5nLXBhcnRpY2xlIjoiIiwibm9uLWRyb3BwaW5nLXBhcnRpY2xlIjoiIn0seyJmYW1pbHkiOiJSYXUiLCJnaXZlbiI6IkIuIiwicGFyc2UtbmFtZXMiOmZhbHNlLCJkcm9wcGluZy1wYXJ0aWNsZSI6IiIsIm5vbi1kcm9wcGluZy1wYXJ0aWNsZSI6IiJ9LHsiZmFtaWx5IjoiU2FyZGkiLCJnaXZlbiI6IkEuIiwicGFyc2UtbmFtZXMiOmZhbHNlLCJkcm9wcGluZy1wYXJ0aWNsZSI6IiIsIm5vbi1kcm9wcGluZy1wYXJ0aWNsZSI6IiJ9LHsiZmFtaWx5IjoiU2lkZXJpcyIsImdpdmVuIjoiTC4iLCJwYXJzZS1uYW1lcyI6ZmFsc2UsImRyb3BwaW5nLXBhcnRpY2xlIjoiIiwibm9uLWRyb3BwaW5nLXBhcnRpY2xlIjoiIn0seyJmYW1pbHkiOiJTb21tYXJpdmEiLCJnaXZlbiI6IkEuIiwicGFyc2UtbmFtZXMiOmZhbHNlLCJkcm9wcGluZy1wYXJ0aWNsZSI6IiIsIm5vbi1kcm9wcGluZy1wYXJ0aWNsZSI6IiJ9LHsiZmFtaWx5IjoiU3BpbGlvdGlzIiwiZ2l2ZW4iOiJKLiIsInBhcnNlLW5hbWVzIjpmYWxzZSwiZHJvcHBpbmctcGFydGljbGUiOiIiLCJub24tZHJvcHBpbmctcGFydGljbGUiOiIifSx7ImZhbWlseSI6IlRlbnRlcyIsImdpdmVuIjoiQS4gQS5LLiIsInBhcnNlLW5hbWVzIjpmYWxzZSwiZHJvcHBpbmctcGFydGljbGUiOiIiLCJub24tZHJvcHBpbmctcGFydGljbGUiOiIifSx7ImZhbWlseSI6IlRlbyIsImdpdmVuIjoiTS4iLCJwYXJzZS1uYW1lcyI6ZmFsc2UsImRyb3BwaW5nLXBhcnRpY2xlIjoiIiwibm9uLWRyb3BwaW5nLXBhcnRpY2xlIjoiIn0seyJmYW1pbHkiOiJZYXJlbWEiLCJnaXZlbiI6IlIuIiwicGFyc2UtbmFtZXMiOmZhbHNlLCJkcm9wcGluZy1wYXJ0aWNsZSI6IiIsIm5vbi1kcm9wcGluZy1wYXJ0aWNsZSI6IiJ9LHsiZmFtaWx5IjoiWW91bmFuIiwiZ2l2ZW4iOiJSLiIsInBhcnNlLW5hbWVzIjpmYWxzZSwiZHJvcHBpbmctcGFydGljbGUiOiIiLCJub24tZHJvcHBpbmctcGFydGljbGUiOiIifSx7ImZhbWlseSI6IlphdmVyaSIsImdpdmVuIjoiUy4gUy4iLCJwYXJzZS1uYW1lcyI6ZmFsc2UsImRyb3BwaW5nLXBhcnRpY2xlIjoiIiwibm9uLWRyb3BwaW5nLXBhcnRpY2xlIjoiIn0seyJmYW1pbHkiOiJaZWgiLCJnaXZlbiI6IkguIEouIiwicGFyc2UtbmFtZXMiOmZhbHNlLCJkcm9wcGluZy1wYXJ0aWNsZSI6IiIsIm5vbi1kcm9wcGluZy1wYXJ0aWNsZSI6IiJ9LHsiZmFtaWx5IjoiQWJiYSIsImdpdmVuIjoiSi4iLCJwYXJzZS1uYW1lcyI6ZmFsc2UsImRyb3BwaW5nLXBhcnRpY2xlIjoiIiwibm9uLWRyb3BwaW5nLXBhcnRpY2xlIjoiIn0seyJmYW1pbHkiOiJBYmJvdWQiLCJnaXZlbiI6IksuIiwicGFyc2UtbmFtZXMiOmZhbHNlLCJkcm9wcGluZy1wYXJ0aWNsZSI6IiIsIm5vbi1kcm9wcGluZy1wYXJ0aWNsZSI6IiJ9LHsiZmFtaWx5IjoiQWx5YW1pIiwiZ2l2ZW4iOiJNLiIsInBhcnNlLW5hbWVzIjpmYWxzZSwiZHJvcHBpbmctcGFydGljbGUiOiIiLCJub24tZHJvcHBpbmctcGFydGljbGUiOiIifSx7ImZhbWlseSI6IkFydmlldXgiLCJnaXZlbiI6IkMuIiwicGFyc2UtbmFtZXMiOmZhbHNlLCJkcm9wcGluZy1wYXJ0aWNsZSI6IiIsIm5vbi1kcm9wcGluZy1wYXJ0aWNsZSI6IiJ9LHsiZmFtaWx5IjoiQmFrcmluIiwiZ2l2ZW4iOiJOLiIsInBhcnNlLW5hbWVzIjpmYWxzZSwiZHJvcHBpbmctcGFydGljbGUiOiIiLCJub24tZHJvcHBpbmctcGFydGljbGUiOiIifSx7ImZhbWlseSI6IkJlcmVkZXIiLCJnaXZlbiI6IkouIE0uIiwicGFyc2UtbmFtZXMiOmZhbHNlLCJkcm9wcGluZy1wYXJ0aWNsZSI6IiIsIm5vbi1kcm9wcGluZy1wYXJ0aWNsZSI6IiJ9LHsiZmFtaWx5IjoiQm91emFyZCIsImdpdmVuIjoiRC4iLCJwYXJzZS1uYW1lcyI6ZmFsc2UsImRyb3BwaW5nLXBhcnRpY2xlIjoiIiwibm9uLWRyb3BwaW5nLXBhcnRpY2xlIjoiIn0seyJmYW1pbHkiOiJCcmlnYW5kIiwiZ2l2ZW4iOiJDLiIsInBhcnNlLW5hbWVzIjpmYWxzZSwiZHJvcHBpbmctcGFydGljbGUiOiIiLCJub24tZHJvcHBpbmctcGFydGljbGUiOiIifSx7ImZhbWlseSI6IkNhcnLDqHJlIiwiZ2l2ZW4iOiJTLiIsInBhcnNlLW5hbWVzIjpmYWxzZSwiZHJvcHBpbmctcGFydGljbGUiOiIiLCJub24tZHJvcHBpbmctcGFydGljbGUiOiIifSx7ImZhbWlseSI6IkRlbHJvZXV4IiwiZ2l2ZW4iOiJELiIsInBhcnNlLW5hbWVzIjpmYWxzZSwiZHJvcHBpbmctcGFydGljbGUiOiIiLCJub24tZHJvcHBpbmctcGFydGljbGUiOiIifSx7ImZhbWlseSI6IkR1bW9udCIsImdpdmVuIjoiRi4iLCJwYXJzZS1uYW1lcyI6ZmFsc2UsImRyb3BwaW5nLXBhcnRpY2xlIjoiIiwibm9uLWRyb3BwaW5nLXBhcnRpY2xlIjoiIn0seyJmYW1pbHkiOiJFdmVubyIsImdpdmVuIjoiQy4iLCJwYXJzZS1uYW1lcyI6ZmFsc2UsImRyb3BwaW5nLXBhcnRpY2xlIjoiIiwibm9uLWRyb3BwaW5nLXBhcnRpY2xlIjoiIn0seyJmYW1pbHkiOiJGYWN5IiwiZ2l2ZW4iOiJPLiIsInBhcnNlLW5hbWVzIjpmYWxzZSwiZHJvcHBpbmctcGFydGljbGUiOiIiLCJub24tZHJvcHBpbmctcGFydGljbGUiOiIifSx7ImZhbWlseSI6Ikd1eW9uIiwiZ2l2ZW4iOiJGLiIsInBhcnNlLW5hbWVzIjpmYWxzZSwiZHJvcHBpbmctcGFydGljbGUiOiIiLCJub24tZHJvcHBpbmctcGFydGljbGUiOiIifSx7ImZhbWlseSI6IkZlcnJvbiIsImdpdmVuIjoiRy4iLCJwYXJzZS1uYW1lcyI6ZmFsc2UsImRyb3BwaW5nLXBhcnRpY2xlIjoiIiwibm9uLWRyb3BwaW5nLXBhcnRpY2xlIjoiIn0seyJmYW1pbHkiOiJLaWFubWFuZXNoIiwiZ2l2ZW4iOiJSLiIsInBhcnNlLW5hbWVzIjpmYWxzZSwiZHJvcHBpbmctcGFydGljbGUiOiIiLCJub24tZHJvcHBpbmctcGFydGljbGUiOiIifSx7ImZhbWlseSI6IkRpY28iLCJnaXZlbiI6IlIuIiwicGFyc2UtbmFtZXMiOmZhbHNlLCJkcm9wcGluZy1wYXJ0aWNsZSI6IkxvIiwibm9uLWRyb3BwaW5nLXBhcnRpY2xlIjoiIn0seyJmYW1pbHkiOiJMb3JpbWllciIsImdpdmVuIjoiRy4iLCJwYXJzZS1uYW1lcyI6ZmFsc2UsImRyb3BwaW5nLXBhcnRpY2xlIjoiIiwibm9uLWRyb3BwaW5nLXBhcnRpY2xlIjoiIn0seyJmYW1pbHkiOiJNYXJjaGFsIiwiZ2l2ZW4iOiJGLiIsInBhcnNlLW5hbWVzIjpmYWxzZSwiZHJvcHBpbmctcGFydGljbGUiOiIiLCJub24tZHJvcHBpbmctcGFydGljbGUiOiIifSx7ImZhbWlseSI6Ik1hcmlhbmkiLCJnaXZlbiI6IlAuIiwicGFyc2UtbmFtZXMiOmZhbHNlLCJkcm9wcGluZy1wYXJ0aWNsZSI6IiIsIm5vbi1kcm9wcGluZy1wYXJ0aWNsZSI6IiJ9LHsiZmFtaWx5IjoiTWVldXMiLCJnaXZlbiI6IlAuIiwicGFyc2UtbmFtZXMiOmZhbHNlLCJkcm9wcGluZy1wYXJ0aWNsZSI6IiIsIm5vbi1kcm9wcGluZy1wYXJ0aWNsZSI6IiJ9LHsiZmFtaWx5IjoiTXNpa2EiLCJnaXZlbiI6IlMuIiwicGFyc2UtbmFtZXMiOmZhbHNlLCJkcm9wcGluZy1wYXJ0aWNsZSI6IiIsIm5vbi1kcm9wcGluZy1wYXJ0aWNsZSI6IiJ9LHsiZmFtaWx5IjoiT3J0ZWdhLURlYmFsbG9uIiwiZ2l2ZW4iOiJQLiIsInBhcnNlLW5hbWVzIjpmYWxzZSwiZHJvcHBpbmctcGFydGljbGUiOiIiLCJub24tZHJvcHBpbmctcGFydGljbGUiOiIifSx7ImZhbWlseSI6IlBhcXVldHRlIiwiZ2l2ZW4iOiJCLiIsInBhcnNlLW5hbWVzIjpmYWxzZSwiZHJvcHBpbmctcGFydGljbGUiOiIiLCJub24tZHJvcHBpbmctcGFydGljbGUiOiIifSx7ImZhbWlseSI6IlBleXJhdCIsImdpdmVuIjoiUC4iLCJwYXJzZS1uYW1lcyI6ZmFsc2UsImRyb3BwaW5nLXBhcnRpY2xlIjoiIiwibm9uLWRyb3BwaW5nLXBhcnRpY2xlIjoiIn0seyJmYW1pbHkiOiJQaXJybyIsImdpdmVuIjoiTi4iLCJwYXJzZS1uYW1lcyI6ZmFsc2UsImRyb3BwaW5nLXBhcnRpY2xlIjoiIiwibm9uLWRyb3BwaW5nLXBhcnRpY2xlIjoiIn0seyJmYW1pbHkiOiJQb2NhcmQiLCJnaXZlbiI6Ik0uIiwicGFyc2UtbmFtZXMiOmZhbHNlLCJkcm9wcGluZy1wYXJ0aWNsZSI6IiIsIm5vbi1kcm9wcGluZy1wYXJ0aWNsZSI6IiJ9LHsiZmFtaWx5IjoiUG9yY2hlcm9uIiwiZ2l2ZW4iOiJKLiIsInBhcnNlLW5hbWVzIjpmYWxzZSwiZHJvcHBpbmctcGFydGljbGUiOiIiLCJub24tZHJvcHBpbmctcGFydGljbGUiOiIifSx7ImZhbWlseSI6IlF1ZW5ldCIsImdpdmVuIjoiRi4iLCJwYXJzZS1uYW1lcyI6ZmFsc2UsImRyb3BwaW5nLXBhcnRpY2xlIjoiIiwibm9uLWRyb3BwaW5nLXBhcnRpY2xlIjoiIn0seyJmYW1pbHkiOiJSYXQiLCJnaXZlbiI6IlAuIiwicGFyc2UtbmFtZXMiOmZhbHNlLCJkcm9wcGluZy1wYXJ0aWNsZSI6IiIsIm5vbi1kcm9wcGluZy1wYXJ0aWNsZSI6IiJ9LHsiZmFtaWx5IjoiU2dhcmJ1cmEiLCJnaXZlbiI6Ik8uIiwicGFyc2UtbmFtZXMiOmZhbHNlLCJkcm9wcGluZy1wYXJ0aWNsZSI6IiIsIm5vbi1kcm9wcGluZy1wYXJ0aWNsZSI6IiJ9LHsiZmFtaWx5IjoiVGhpYmF1ZGVhdSIsImdpdmVuIjoiRS4iLCJwYXJzZS1uYW1lcyI6ZmFsc2UsImRyb3BwaW5nLXBhcnRpY2xlIjoiIiwibm9uLWRyb3BwaW5nLXBhcnRpY2xlIjoiIn0seyJmYW1pbHkiOiJUdWVjaCIsImdpdmVuIjoiSi4gSi4iLCJwYXJzZS1uYW1lcyI6ZmFsc2UsImRyb3BwaW5nLXBhcnRpY2xlIjoiIiwibm9uLWRyb3BwaW5nLXBhcnRpY2xlIjoiIn0seyJmYW1pbHkiOiJaaW56aW5kb2hvdWUiLCJnaXZlbiI6IkYuIiwicGFyc2UtbmFtZXMiOmZhbHNlLCJkcm9wcGluZy1wYXJ0aWNsZSI6IiIsIm5vbi1kcm9wcGluZy1wYXJ0aWNsZSI6IiJ9XSwiY29udGFpbmVyLXRpdGxlIjoiV29ybGQgam91cm5hbCBvZiBzdXJnZXJ5IiwiY29udGFpbmVyLXRpdGxlLXNob3J0IjoiV29ybGQgSiBTdXJnIiwiRE9JIjoiMTAuMTAwNy9TMDAyNjgtMDIyLTA2NDk4LVciLCJJU1NOIjoiMTQzMi0yMzIzIiwiUE1JRCI6IjM1Mjg2NDE4IiwiaXNzdWVkIjp7ImRhdGUtcGFydHMiOltbMjAyMl1dfSwicGFnZSI6IjEzMzYtMTM0MyIsImFic3RyYWN0IjoiUHVycG9zZTogUGVyaXRvbmVhbCBjYXJjaW5vbWF0b3NpcyBmcm9tIGFwcGVuZGljZWFsIGdvYmxldCBjZWxsIGNhcmNpbm9tYSAoQS1HQ0MpIGlzIGEgcmFyZSBhbmQgYWdncmVzc2l2ZSBmb3JtIG9mIGFwcGVuZGljZWFsIHR1bW9yLiBDeXRvcmVkdWN0aXZlIHN1cmdlcnkgKENSUykgYW5kIGh5cGVydGhlcm1pYyBpbnRyYSBwZXJpdG9uZWFsIGNoZW1vdGhlcmFweSAoSElQRUMpIHdhcyByZXBvcnRlZCBhcyBhbiBpbnRlcmVzdGluZyBhbHRlcm5hdGl2ZSByZWdhcmRpbmcgc3Vydml2YWwgY29tcGFyZWQgdG8gc3VyZ2VyeSB3aXRob3V0IEhJUEVDIGFuZC9vciBzeXN0ZW1pYyBjaGVtb3RoZXJhcHkuIE91ciBhaW0gd2FzIHRvIGV2YWx1YXRlIHRoZSBpbXBhY3Qgb2YgQ1JTIGFuZCBISVBFQyBmb3IgcGF0aWVudHMgcHJlc2VudGluZyBBLUdDQyB0aHJvdWdoIGFuIGludGVybmF0aW9uYWwgcmVnaXN0cnkuIE1ldGhvZHM6IEEgcHJvc3BlY3RpdmUgbXVsdGljZW50ZXIgaW50ZXJuYXRpb25hbCBkYXRhYmFzZSB3YXMgcmV0cm9zcGVjdGl2ZWx5IHNlYXJjaGVkIHRvIGlkZW50aWZ5IGFsbCBwYXRpZW50cyB3aXRoIEEtR0NDIHR1bW9yIGFuZCBwZXJpdG9uZWFsIG1ldGFzdGFzZXMgd2hvIHVuZGVyd2VudCBDUlMgYW5kIEhJUEVDIHRocm91Z2ggdGhlIFBlcml0b25lYWwgU3VyZmFjZSBPbmNvbG9neSBHcm91cCBJbnRlcm5hdGlvbmFsIChQU09HSSkuIFRoZSBwb3N0LW9wZXJhdGl2ZSBjb21wbGljYXRpb25zLCBsb25nLXRlcm0gcmVzdWx0cywgYW5kIHByaW5jaXBhbCBwcm9nbm9zdGljIGZhY3RvcnMgd2VyZSBhbmFseXplZC4gUmVzdWx0czogVGhlIGFuYWx5c2lzIGluY2x1ZGVkIDgzIHBhdGllbnRzLiBBZnRlciBhIG1lZGlhbiBmb2xsb3ctdXAgb2YgNDfCoG1vbnRocywgdGhlIG1lZGlhbiBvdmVyYWxsIHN1cnZpdmFsIChPUykgd2FzIDM0LjbCoG1vbnRocy4gVGhlIDMtIGFuZCA1LXllYXIgT1Mgd2FzIDQ4LjUlIGFuZCAzNS43JSwgcmVzcGVjdGl2ZWx5LiBQYXRpZW50cyB3aG8gdW5kZXJ3ZW50IGNvbXBsZXRlIG1hY3Jvc2NvcGljIENSUyBoYWQgYSBzaWduaWZpY2FudGx5IGJldHRlciBzdXJ2aXZhbCB0aGFuIHRob3NlIHRyZWF0ZWQgd2l0aCBpbmNvbXBsZXRlIENSUy4gVGhlIDUteWVhciBPUyB3YXMgNDQlIGFuZCAwJSBmb3IgcGF0aWVudHMgd2hvIHVuZGVyd2VudCBjb21wbGV0ZSwgYW5kIGluY29tcGxldGUgQ1JTLCByZXNwZWN0aXZlbHkgKEhSIDkuNjUsIHAgPCAwLjAwMSkuIEx5bXBoIG5vZGUgaW52b2x2ZW1lbnQgYW5kIHByZW9wZXJhdGl2ZSBjaGVtb3RoZXJhcHkgd2VyZSBhbHNvIHByZWRpY3RpdmUgb2YgYSB3b3JzZSBwcm9nbm9zaXMuIFRoZXJlIHdlcmUgMyBwb3N0b3BlcmF0aXZlIGRlYXRocywgYW5kIDMwJSBvZiB0aGUgcGF0aWVudHMgaGFkIG1ham9yIGNvbXBsaWNhdGlvbnMuIENvbmNsdXNpb246IENSUyBhbmQgSElQRUMgbWF5IGluY3JlYXNlIGxvbmctdGVybSBzdXJ2aXZhbCBpbiBzZWxlY3RlZCBwYXRpZW50cyB3aXRoIHBlcml0b25lYWwgbWV0YXN0YXNlcyBvZiBBLUdDQyBvcmlnaW4sIGVzcGVjaWFsbHkgd2hlbiBjb21wbGV0ZSBDUlMgaXMgYWNoaWV2ZWQuIElkZWFsbHksIHJhbmRvbWl6ZWQgY29udHJvbCB0cmlhbHMgb3IgbW9yZSByZXRyb3NwZWN0aXZlIGRhdGEgYXJlIG5lZWRlZMKgdG8gY29uZmlybSBDUlMgYW5kIEhJUEVDIGFzIHRoZSBnb2xkIHN0YW5kYXJkIGluIHRoaXMgcGF0aG9sb2d5LiIsInB1Ymxpc2hlciI6IldvcmxkIEogU3VyZyIsImlzc3VlIjoiNiIsInZvbHVtZSI6IjQ2In0sImlzVGVtcG9yYXJ5IjpmYWxzZSwic3VwcHJlc3MtYXV0aG9yIjpmYWxzZSwiY29tcG9zaXRlIjpmYWxzZSwiYXV0aG9yLW9ubHkiOmZhbHNlfV19"/>
          <w:id w:val="-2137780253"/>
        </w:sdtPr>
        <w:sdtContent>
          <w:r>
            <w:rPr/>
          </w:r>
          <w:r>
            <w:rPr>
              <w:color w:val="000000"/>
            </w:rPr>
            <w:t>(32)</w:t>
          </w:r>
        </w:sdtContent>
      </w:sdt>
    </w:p>
    <w:p>
      <w:pPr>
        <w:pStyle w:val="Normal"/>
        <w:spacing w:lineRule="auto" w:line="276" w:before="0" w:after="200"/>
        <w:rPr>
          <w:rStyle w:val="s1"/>
        </w:rPr>
      </w:pPr>
      <w:r>
        <w:rPr/>
      </w:r>
      <w:r>
        <w:br w:type="page"/>
      </w:r>
    </w:p>
    <w:p>
      <w:pPr>
        <w:pStyle w:val="Normal"/>
        <w:spacing w:before="0" w:after="0"/>
        <w:rPr>
          <w:b/>
        </w:rPr>
      </w:pPr>
      <w:bookmarkStart w:id="173" w:name="_Toc199584618"/>
      <w:r>
        <w:rPr>
          <w:b/>
        </w:rPr>
        <w:t>Tumores neuroendocrinos apendiculares avanzados</w:t>
      </w:r>
      <w:bookmarkEnd w:id="173"/>
    </w:p>
    <w:p>
      <w:pPr>
        <w:pStyle w:val="p1"/>
        <w:spacing w:lineRule="auto" w:line="360" w:before="280" w:after="280"/>
        <w:jc w:val="both"/>
        <w:rPr/>
      </w:pPr>
      <w:r>
        <w:rPr/>
        <w:t xml:space="preserve">En casos con </w:t>
      </w:r>
      <w:r>
        <w:rPr>
          <w:rStyle w:val="s1"/>
        </w:rPr>
        <w:t>metástasis resecables</w:t>
      </w:r>
      <w:r>
        <w:rPr/>
        <w:t xml:space="preserve">, ya sea hepáticas o ganglionares, se prefiere una estrategia quirúrgica con intención curativa o citorreductora. En contraste, para pacientes con enfermedad irresecable, el manejo se basa en </w:t>
      </w:r>
      <w:r>
        <w:rPr>
          <w:rStyle w:val="s1"/>
        </w:rPr>
        <w:t>terapias médicas</w:t>
      </w:r>
      <w:r>
        <w:rPr/>
        <w:t>, incluyendo análogos de somatostatina (en tumores G1 y G2), inhibidores de mTOR, terapia con radionúclidos (PRRT), o quimioterapia convencional en los casos de tumores de alto grado (G3).</w:t>
      </w:r>
    </w:p>
    <w:p>
      <w:pPr>
        <w:pStyle w:val="p1"/>
        <w:spacing w:lineRule="auto" w:line="360" w:before="280" w:after="280"/>
        <w:jc w:val="both"/>
        <w:rPr/>
      </w:pPr>
      <w:r>
        <w:rPr/>
        <w:t xml:space="preserve">Es relevante señalar que, a diferencia de las neoplasias epiteliales mucinosas, </w:t>
      </w:r>
      <w:r>
        <w:rPr>
          <w:rStyle w:val="s1"/>
        </w:rPr>
        <w:t>la aplicación de HIPEC no está indicada en TNE</w:t>
      </w:r>
      <w:r>
        <w:rPr/>
        <w:t>, ya que estas lesiones no suelen presentar diseminación peritoneal en forma de pseudomixoma peritonei ni responden de forma significativa a tratamientos locorregionales intraabdominales.</w:t>
      </w:r>
      <w:sdt>
        <w:sdtPr>
          <w:placeholder>
            <w:docPart w:val="DefaultPlaceholder_-1854013440"/>
          </w:placeholder>
          <w:tag w:val="MENDELEY_CITATION_v3_eyJjaXRhdGlvbklEIjoiTUVOREVMRVlfQ0lUQVRJT05fOWU3MDY1OGItMTQ2Yi00YWU3LWExZjgtNmMwN2ZlOTU4NDI4IiwicHJvcGVydGllcyI6eyJub3RlSW5kZXgiOjB9LCJpc0VkaXRlZCI6ZmFsc2UsIm1hbnVhbE92ZXJyaWRlIjp7ImlzTWFudWFsbHlPdmVycmlkZGVuIjpmYWxzZSwiY2l0ZXByb2NUZXh0IjoiKDQ2KSIsIm1hbnVhbE92ZXJyaWRlVGV4dCI6IiJ9LCJjaXRhdGlvbkl0ZW1zIjpbeyJpZCI6IjBhMTBiYTk2LTUzOTItMzY5Mi04NTkxLWNmNzYzODY4ZjM0NCIsIml0ZW1EYXRhIjp7InR5cGUiOiJhcnRpY2xlLWpvdXJuYWwiLCJpZCI6IjBhMTBiYTk2LTUzOTItMzY5Mi04NTkxLWNmNzYzODY4ZjM0NCIsInRpdGxlIjoiTWFuYWdlbWVudCBvZiBBcHBlbmRpY2VhbCBOZXVyb2VuZG9jcmluZSBUdW1vcnM6IE1ldGFzdGF0aWMgUG90ZW50aWFsIG9mIFNtYWxsIFR1bW9ycyIsImF1dGhvciI6W3siZmFtaWx5IjoiTGFuZHJ5IiwiZ2l2ZW4iOiJKYWNlIFAuIiwicGFyc2UtbmFtZXMiOmZhbHNlLCJkcm9wcGluZy1wYXJ0aWNsZSI6IiIsIm5vbi1kcm9wcGluZy1wYXJ0aWNsZSI6IiJ9LHsiZmFtaWx5IjoiVm9yb3MiLCJnaXZlbiI6IkJyaWFubmUgQS4iLCJwYXJzZS1uYW1lcyI6ZmFsc2UsImRyb3BwaW5nLXBhcnRpY2xlIjoiIiwibm9uLWRyb3BwaW5nLXBhcnRpY2xlIjoiIn0seyJmYW1pbHkiOiJSYW1pcmV6IiwiZ2l2ZW4iOiJSb2JlcnQgQS4iLCJwYXJzZS1uYW1lcyI6ZmFsc2UsImRyb3BwaW5nLXBhcnRpY2xlIjoiIiwibm9uLWRyb3BwaW5nLXBhcnRpY2xlIjoiIn0seyJmYW1pbHkiOiJCb3VkcmVhdXgiLCJnaXZlbiI6IkouIFBoaWxpcCIsInBhcnNlLW5hbWVzIjpmYWxzZSwiZHJvcHBpbmctcGFydGljbGUiOiIiLCJub24tZHJvcHBpbmctcGFydGljbGUiOiIifSx7ImZhbWlseSI6IldvbHRlcmluZyIsImdpdmVuIjoiRXVnZW5lIEEuIiwicGFyc2UtbmFtZXMiOmZhbHNlLCJkcm9wcGluZy1wYXJ0aWNsZSI6IiIsIm5vbi1kcm9wcGluZy1wYXJ0aWNsZSI6IiJ9LHsiZmFtaWx5IjoiVGhpYWdhcmFqYW4iLCJnaXZlbiI6IlJhbWNoYXJhbiIsInBhcnNlLW5hbWVzIjpmYWxzZSwiZHJvcHBpbmctcGFydGljbGUiOiIiLCJub24tZHJvcHBpbmctcGFydGljbGUiOiIifV0sImNvbnRhaW5lci10aXRsZSI6IkFubmFscyBvZiBzdXJnaWNhbCBvbmNvbG9neSIsImNvbnRhaW5lci10aXRsZS1zaG9ydCI6IkFubiBTdXJnIE9uY29sIiwiRE9JIjoiMTAuMTI0NS9TMTA0MzQtMDIwLTA4NzQ4LTQiLCJJU1NOIjoiMTUzNC00NjgxIiwiUE1JRCI6IjMyNjkxMzM3IiwiaXNzdWVkIjp7ImRhdGUtcGFydHMiOltbMjAyMV1dfSwicGFnZSI6Ijc1MS03NTciLCJhYnN0cmFjdCI6IkJhY2tncm91bmQ6IEFwcGVuZGljZWFsIG5ldXJvZW5kb2NyaW5lIHR1bW9ycyAoQU5FVHMpIGFyZSByYXJlIG5lb3BsYXNtcyB1c3VhbGx5IGRpc2NvdmVyZWQgaW5jaWRlbnRhbGx5IGR1cmluZyBhcHBlbmRlY3RvbXkuIEFORVRzIDwgMsKgY20gd2VyZSB0aG91Z2h0IHRvIGhhdmUgbm8gbWV0YXN0YXRpYyBwb3RlbnRpYWwsIGFuZCB0aGlzIGRvZ21hIGhhcyBkcml2ZW4gbWFuYWdlbWVudC4gT3VyIGFpbSBpcyB0byBldmFsdWF0ZSB0aGUgbWV0YXN0YXRpYyBwb3RlbnRpYWwgb2YgQU5FVHMgPCAywqBjbS4gUGF0aWVudHMgYW5kIE1ldGhvZHM6IEEgcmV0cm9zcGVjdGl2ZSByZXZpZXcgd2FzIHBlcmZvcm1lZCBpbiBhIHNlcmllcyBvZiBwYXRpZW50cyB3aXRoIEFORVRzIHdobyBwcmVzZW50ZWQgdG8gb3VyIHRlcnRpYXJ5IHJlZmVycmFsIGNlbnRlciBmcm9tIDE5OTggdG8gMjAxOS4gRGVtb2dyYXBoaWNzLCB0dW1vciBjaGFyYWN0ZXJpc3RpY3MsIHRyZWF0bWVudCwgYW5kIGNsaW5pY2FsIG91dGNvbWVzIHdlcmUgZXZhbHVhdGVkLiBSZXN1bHRzOiBJbiB0b3RhbCwgMTE0IHBhdGllbnRzIHdlcmUgaW5jbHVkZWQuIE1lZGlhbiBmb2xsb3ctdXAgd2FzIDMuM8KgeWVhcnMgKHJhbmdlLCAyMcKgZGF5c+KAkzE1wqB5ZWFycykuIEF0IGxhc3QgZm9sbG93LXVwLCAzNCAoMzAlKSBwYXRpZW50cyBoYWQgcG9zaXRpdmUgcmVnaW9uYWwgbHltcGggbm9kZXMgYW5kIDIwICgxOCUpIHBhdGllbnRzIGhhZCBtZXRhc3RhdGljIGRpc2Vhc2UuIE9mIHRoZSAyMCBwYXRpZW50cyB3aXRoIG1ldGFzdGF0aWMgZGlzZWFzZSwgMTEgKDU1JSkgaGFkIHByaW1hcnkgQU5FVHMgPCAywqBjbS4gUGF0aWVudCBhZ2UgPiA0MMKgeWVhcnMgYXQgZGlhZ25vc2lzIGFuZCBBTkVUcyB3aXRoIHNlcm9zYWwgaW52YXNpb24sIGx5bXBob3Zhc2N1bGFyIGludmFzaW9uLCBpbnRlcm1lZGlhdGUgdHVtb3IgZ3JhZGUsIG9yIHBvc2l0aXZlIGx5bXBoIG5vZGVzIHdlcmUgZmVhdHVyZXMgc2lnbmlmaWNhbnRseSBtb3JlIGxpa2VseSB0byBwcmVzZW50IHdpdGggbWV0YXN0YXRpYyBkaXNlYXNlLiBXZSBmb3VuZCBubyBkaWZmZXJlbmNlIGluIHRoZSByYXRlIG9mIGx5bXBoIG5vZGUgcG9zaXRpdml0eSwgbWV0YXN0YXRpYyBkaXNlYXNlLCBvciBvdmVyYWxsIHN1cnZpdmFsIHdoZW4gcGF0aWVudHMgd2VyZSBzdHJhdGlmaWVkIGJ5IHR1bW9yIHNpemUgb3IgdHlwZSBvZiByZXNlY3Rpb24gKGFwcGVuZGVjdG9teSB2cy4gcmlnaHQgaGVtaWNvbGVjdG9teSkuIE9uIG11bHRpdmFyaWF0ZSBhbmFseXNpcywgcGF0aWVudHMgd2l0aCBtZXRhc3RhdGljIGRpc2Vhc2UgYXQgZGlhZ25vc2lzIGhhZCB3b3JzZSBvdmVyYWxsIHN1cnZpdmFsIChIUiA9IDI0LjQsIHAgPSAwLjAwOCkuIENvbmNsdXNpb25zOiBJbiBvdXIgY29ob3J0LCB0dW1vciBzaXplIHdhcyBub3QgYSBzaWduaWZpY2FudCByaXNrIGZhY3RvciBmb3IgbWV0YXN0YXRpYyBkaXNlYXNlIG9yIHdvcnNlIG91dGNvbWUgYXMgbWFueSBwYXRpZW50cyB3aXRoIEFORVRzIDwgMsKgY20gZGV2ZWxvcGVkIG1ldGFzdGF0aWMgZGlzZWFzZS4gQXBwZW5kZWN0b215IGFsb25lIHdhcyBzdWZmaWNpZW50IHN1cmdpY2FsIG1hbmFnZW1lbnQgZm9yIG1vc3QgQU5FVHMuIFBhdGllbnRzIHdpdGggcmlzayBmYWN0b3JzIGZvciBtZXRhc3RhdGljIGRpc2Vhc2UsIHJlZ2FyZGxlc3Mgb2YgcHJpbWFyeSBBTkVUIHNpemUsIHNob3VsZCBiZSBldmFsdWF0ZWQgdGhvcm91Z2hseSBhbmQgY291bnNlbGVkIGZvciBmdXJ0aGVyIG1hbmFnZW1lbnQgYW5kIHN1cnZlaWxsYW5jZS4iLCJwdWJsaXNoZXIiOiJBbm4gU3VyZyBPbmNvbCIsImlzc3VlIjoiMiIsInZvbHVtZSI6IjI4In0sImlzVGVtcG9yYXJ5IjpmYWxzZSwic3VwcHJlc3MtYXV0aG9yIjpmYWxzZSwiY29tcG9zaXRlIjpmYWxzZSwiYXV0aG9yLW9ubHkiOmZhbHNlfV19"/>
          <w:id w:val="-1238174040"/>
        </w:sdtPr>
        <w:sdtContent>
          <w:r>
            <w:rPr/>
          </w:r>
          <w:r>
            <w:rPr>
              <w:color w:val="000000"/>
            </w:rPr>
            <w:t>(46)</w:t>
          </w:r>
        </w:sdtContent>
      </w:sdt>
    </w:p>
    <w:p>
      <w:pPr>
        <w:pStyle w:val="Normal"/>
        <w:rPr/>
      </w:pPr>
      <w:r>
        <w:rPr/>
      </w:r>
    </w:p>
    <w:p>
      <w:pPr>
        <w:pStyle w:val="Heading4"/>
        <w:numPr>
          <w:ilvl w:val="3"/>
          <w:numId w:val="78"/>
        </w:numPr>
        <w:ind w:firstLine="709" w:left="0"/>
        <w:rPr/>
      </w:pPr>
      <w:bookmarkStart w:id="174" w:name="_Toc199584619"/>
      <w:r>
        <w:rPr/>
        <w:t>Cirugía Citorreductora y HIPEC</w:t>
      </w:r>
      <w:bookmarkEnd w:id="174"/>
    </w:p>
    <w:p>
      <w:pPr>
        <w:pStyle w:val="Normal"/>
        <w:rPr/>
      </w:pPr>
      <w:r>
        <w:rPr/>
      </w:r>
    </w:p>
    <w:p>
      <w:pPr>
        <w:pStyle w:val="Heading5"/>
        <w:spacing w:before="0" w:after="0"/>
        <w:ind w:firstLine="709" w:left="0"/>
        <w:rPr>
          <w:vanish/>
          <w:specVanish/>
        </w:rPr>
      </w:pPr>
      <w:bookmarkStart w:id="175" w:name="_Toc199584620"/>
      <w:r>
        <w:rPr/>
        <w:t>Descripción técnica</w:t>
      </w:r>
      <w:bookmarkEnd w:id="175"/>
      <w:r>
        <w:rPr/>
        <w:t>.</w:t>
      </w:r>
    </w:p>
    <w:p>
      <w:pPr>
        <w:pStyle w:val="p3"/>
        <w:spacing w:lineRule="auto" w:line="360" w:before="280" w:after="280"/>
        <w:jc w:val="both"/>
        <w:rPr/>
      </w:pPr>
      <w:r>
        <w:rPr/>
      </w:r>
      <w:r>
        <w:rPr/>
        <w:t xml:space="preserve"> </w:t>
      </w:r>
      <w:r>
        <w:rPr/>
        <w:t xml:space="preserve">La cirugía citorreductora (CRS) combinada con quimioterapia intraperitoneal hipertérmica (HIPEC) constituye una estrategia terapéutica avanzada que se fundamenta en dos principios clave: la reducibilidad completa de la carga tumoral visible (citorreducción) y el tratamiento regional intensificado con quimioterapia, aprovechando el efecto citotóxico de la hipertermia </w:t>
      </w:r>
      <w:sdt>
        <w:sdtPr>
          <w:placeholder>
            <w:docPart w:val="DefaultPlaceholder_-1854013440"/>
          </w:placeholder>
          <w:tag w:val="MENDELEY_CITATION_v3_eyJjaXRhdGlvbklEIjoiTUVOREVMRVlfQ0lUQVRJT05fNjFkMjJjMjgtZjExOC00MTdmLTg3M2UtNzI5YTU0MzdhYjE3IiwicHJvcGVydGllcyI6eyJub3RlSW5kZXgiOjB9LCJpc0VkaXRlZCI6ZmFsc2UsIm1hbnVhbE92ZXJyaWRlIjp7ImlzTWFudWFsbHlPdmVycmlkZGVuIjpmYWxzZSwiY2l0ZXByb2NUZXh0IjoiKDkpIiwibWFudWFsT3ZlcnJpZGVUZXh0IjoiIn0sImNpdGF0aW9uSXRlbXMiOlt7ImlkIjoiMzA5YjExYzYtMDA4Yi0zZTNiLWE2OGMtYjQ0ODE0ZmE3OWQ0IiwiaXRlbURhdGEiOnsidHlwZSI6ImFydGljbGUtam91cm5hbCIsImlkIjoiMzA5YjExYzYtMDA4Yi0zZTNiLWE2OGMtYjQ0ODE0ZmE3OWQ0IiwidGl0bGUiOiJUd2VudHkteWVhcnMnIGV4cGVyaWVuY2Ugd2l0aCBjeXRvcmVkdWN0aXZlIHN1cmdlcnkgKENSUykgYW5kIGh5cGVydGhlcm1pYyBpbnRyYXBlcml0b25lYWwgY2hlbW90aGVyYXB5IChISVBFQykgZm9yIHBzZXVkb215eG9tYSBwZXJpdG9uZWkgKFBNUCkiLCJhdXRob3IiOlt7ImZhbWlseSI6IlBhcGFudG9uaSIsImdpdmVuIjoiRXZhbmdlbGlhIiwicGFyc2UtbmFtZXMiOmZhbHNlLCJkcm9wcGluZy1wYXJ0aWNsZSI6IiIsIm5vbi1kcm9wcGluZy1wYXJ0aWNsZSI6IiJ9LHsiZmFtaWx5IjoiTnRhdHNpcyIsImdpdmVuIjoiS29uc3RhbnRpbm9zIiwicGFyc2UtbmFtZXMiOmZhbHNlLCJkcm9wcGluZy1wYXJ0aWNsZSI6IiIsIm5vbi1kcm9wcGluZy1wYXJ0aWNsZSI6IiJ9LHsiZmFtaWx5IjoiS3l6aXJpZGlzIiwiZ2l2ZW4iOiJEaW1pdHJpb3MiLCJwYXJzZS1uYW1lcyI6ZmFsc2UsImRyb3BwaW5nLXBhcnRpY2xlIjoiIiwibm9uLWRyb3BwaW5nLXBhcnRpY2xlIjoiIn0seyJmYW1pbHkiOiJLYWxha29uYXMiLCJnaXZlbiI6IkFwb3N0b2xvcyIsInBhcnNlLW5hbWVzIjpmYWxzZSwiZHJvcHBpbmctcGFydGljbGUiOiIiLCJub24tZHJvcHBpbmctcGFydGljbGUiOiIifSx7ImZhbWlseSI6IkhyaXN0YWtpcyIsImdpdmVuIjoiQ2hyaXN0b3MiLCJwYXJzZS1uYW1lcyI6ZmFsc2UsImRyb3BwaW5nLXBhcnRpY2xlIjoiIiwibm9uLWRyb3BwaW5nLXBhcnRpY2xlIjoiIn0seyJmYW1pbHkiOiJUZW50ZXMiLCJnaXZlbiI6IkFudG9uaW9zLUFwb3N0b2xvcyIsInBhcnNlLW5hbWVzIjpmYWxzZSwiZHJvcHBpbmctcGFydGljbGUiOiIiLCJub24tZHJvcHBpbmctcGFydGljbGUiOiIifV0sImNvbnRhaW5lci10aXRsZSI6IkpCVU9OIiwiYWNjZXNzZWQiOnsiZGF0ZS1wYXJ0cyI6W1syMDI1LDQsMThdXX0sIklTU04iOiIyMjQxLTYyOTMiLCJpc3N1ZWQiOnsiZGF0ZS1wYXJ0cyI6W1syMDIxXV19LCJwYWdlIjoiMTY0Ny0xNjUyIiwiYWJzdHJhY3QiOiJQdXJwb3NlOiB1ZG9teXhvbWEgcGVyaXRvbmVpIGlzIHRyZWF0ZWQgd2l0aCBjeXRvcmVkdWN0aXZlIHN1cmdlcnkgKENSUykgY29tYmluZWQgYW5kIGh5cGVydGhlcm1pYyBpbnRyYW9wZXJhdGl2ZSBpbnRyYXBlcml0b25lYWwgY2hlbW90aGVyYXB5IChISVBFQykuIFRoZSBwdXJwb3NlIG9mIHRoaXMgc3R1ZHkgd2FzIHRvIHJlcG9ydCB0aGUyMC15ZWFyIGV4cGVyaWVuY2Ugb2Ygb25lIHN1cmdpY2FsIHRlYW0gaW5DUlMgYW5kIEhJUEVDIGZvciBQTVAgb2YgYXBwZW5kaWNlYWwgb3JpZ2luLiBNZXRob2RzOiBSZXRyb3NwZWN0aXZlIHN0dWR5IG9mIHRoZSBmaWxlcyBvZiBwYXRpZW50cyB3aXRoIFBNUCBvZiBhcHBlbmRpY2VhbCBvcmlnaW4gdGhhdCB1bmRlcndlbnQgQ1JTK0hJUEVDLiBNb3JiaWRpdHkgYW5kIGhvc3BpdGFsIG1vcnRhbGl0eSB3ZXJlIHJlY29yZGVkLiBDbGluaWNhbCBhbmQgaGlzdG9wYXRob2xvZ2ljIHZhcmlhYmxlcyB3ZXJlIGNvcnJlbGF0ZWQgdG8gc3Vydml2YWwgYW5kIHJlY3VycmVuY2UuIFJlc3VsdHM6IFRoZSBmaWxlcyBvZiA0MSBwYXRpZW50cyB3aXRoIFBNUCBvZiBhcHBlbmRpY2VhbCBvcmlnaW4gdGhhdCB1bmRlcndlbnQgQ1JTK0hJUEVDIGZyb20gMTk5OS0yMDE4IHdlcmUgcmV0cmlldmVkLiBUaGUgbW9ydGFsaXR5IGFuZCB0aGUgbW9yYmlkaXR5IHJhdGVzIHdlcmUgMi40JSBhbmQgMjkuMyUsIHJlc3BlY3RpdmVseS4gVGhlIDUtYW5kIDgteWVhciBzdXJ2aXZhbCByYXRlIHdhcyA2OC4zJS4gVGhlIGNvbXBsZXRlbmVzcyBvZiBjeXRvcmVkdWN0aW9uLCBhbmQgdGhlIGV4dGVudCBvZiBwcmV2aW91cyBzdXJnZXJ5IHdlcmUgaWRlbnRpZmllZCBhcyB0aGUgcHJvZ25vc3RpYyBpbmRpY2F0b3JzIG9mIHN1cnZpdmFsLiBUaGUgcmVjdXJyZW5jZSByYXRlIHdhcyAzMi41JSB3aXRoIHRoZSBjb21wbGV0ZW5lc3Mgb2YgY3l0b3JlZHVjdGlvbiwgdGhlIGhpc3RvbG9naWMgdHlwZSBvZiB0aGUgdHVtb3IgYmVpbmcgdGhlIHByb2dub3N0aWMgaW5kaWNhdG9yLiBDb25jbHVzaW9uczogQ1JTIGluIGNvbWJpbmF0aW9uIHdpdGggcGVyaW9wZXJhdGl2ZSBpbnRyYS1wZXJpdG9uZWFsIGNoZW1vdGhlcmFweSBpcyBhIHNhZmUgYW5kIGVmZmVjdGl2ZSB0cmVhdG1lbnQgaW4gdGhlIG1hbmFnZW1lbnQgb2YgUE1QIG9mIGFwcGVuZGljZWFsIG9yaWdpbi4iLCJpc3N1ZSI6IjQiLCJ2b2x1bWUiOiIyNiIsImNvbnRhaW5lci10aXRsZS1zaG9ydCI6IiJ9LCJpc1RlbXBvcmFyeSI6ZmFsc2V9XX0="/>
          <w:id w:val="-81996934"/>
        </w:sdtPr>
        <w:sdtContent>
          <w:r>
            <w:rPr/>
          </w:r>
          <w:r>
            <w:rPr>
              <w:color w:val="000000"/>
            </w:rPr>
            <w:t>(9)</w:t>
          </w:r>
        </w:sdtContent>
      </w:sdt>
      <w:r>
        <w:rPr>
          <w:color w:val="000000"/>
        </w:rPr>
        <w:t xml:space="preserve"> </w:t>
      </w:r>
      <w:sdt>
        <w:sdtPr>
          <w:placeholder>
            <w:docPart w:val="DefaultPlaceholder_-1854013440"/>
          </w:placeholder>
          <w:tag w:val="MENDELEY_CITATION_v3_eyJjaXRhdGlvbklEIjoiTUVOREVMRVlfQ0lUQVRJT05fNWE1YjJkOWItMzY5Ni00YjllLTk4ZGEtYzlkYzJjMjQxYTQ1IiwicHJvcGVydGllcyI6eyJub3RlSW5kZXgiOjB9LCJpc0VkaXRlZCI6ZmFsc2UsIm1hbnVhbE92ZXJyaWRlIjp7ImlzTWFudWFsbHlPdmVycmlkZGVuIjpmYWxzZSwiY2l0ZXByb2NUZXh0IjoiKDgpIiwibWFudWFsT3ZlcnJpZGVUZXh0IjoiIn0sImNpdGF0aW9uSXRlbXMiOlt7ImlkIjoiMDNhOGU4MGUtODU2YS0zNGM1LTk1MzQtYjU1MzljMGQxNzBiIiwiaXRlbURhdGEiOnsidHlwZSI6ImFydGljbGUtam91cm5hbCIsImlkIjoiMDNhOGU4MGUtODU2YS0zNGM1LTk1MzQtYjU1MzljMGQxNzBiIiwidGl0bGUiOiJUaGUgQ2hpY2FnbyBDb25zZW5zdXMgb24gUGVyaXRvbmVhbCBTdXJmYWNlIE1hbGlnbmFuY2llczogTWFuYWdlbWVudCBvZiBBcHBlbmRpY2VhbCBOZW9wbGFzbXMiLCJhdXRob3IiOlt7ImZhbWlseSI6IlNjaHVpdGV2b2VyZGVyIiwiZ2l2ZW4iOiJEYXJyeWwiLCJwYXJzZS1uYW1lcyI6ZmFsc2UsImRyb3BwaW5nLXBhcnRpY2xlIjoiIiwibm9uLWRyb3BwaW5nLXBhcnRpY2xlIjoiIn0seyJmYW1pbHkiOiJQbGFuYSIsImdpdmVuIjoiQWxlamFuZHJvIiwicGFyc2UtbmFtZXMiOmZhbHNlLCJkcm9wcGluZy1wYXJ0aWNsZSI6IiIsIm5vbi1kcm9wcGluZy1wYXJ0aWNsZSI6IiJ9LHsiZmFtaWx5IjoiSXpxdWllcmRvIiwiZ2l2ZW4iOiJGcmFuY2lzY28gSi4iLCJwYXJzZS1uYW1lcyI6ZmFsc2UsImRyb3BwaW5nLXBhcnRpY2xlIjoiIiwibm9uLWRyb3BwaW5nLXBhcnRpY2xlIjoiIn0seyJmYW1pbHkiOiJWb3Rhbm9wb3Vsb3MiLCJnaXZlbiI6IktvbnN0YW50aW5vcyBJLiIsInBhcnNlLW5hbWVzIjpmYWxzZSwiZHJvcHBpbmctcGFydGljbGUiOiIiLCJub24tZHJvcHBpbmctcGFydGljbGUiOiIifSx7ImZhbWlseSI6IkN1c2FjayIsImdpdmVuIjoiSmFtZXMgQy4iLCJwYXJzZS1uYW1lcyI6ZmFsc2UsImRyb3BwaW5nLXBhcnRpY2xlIjoiIiwibm9uLWRyb3BwaW5nLXBhcnRpY2xlIjoiIn0seyJmYW1pbHkiOiJCaWplbGljIiwiZ2l2ZW4iOiJMYW5hIiwicGFyc2UtbmFtZXMiOmZhbHNlLCJkcm9wcGluZy1wYXJ0aWNsZSI6IiIsIm5vbi1kcm9wcGluZy1wYXJ0aWNsZSI6IiJ9LHsiZmFtaWx5IjoiQ2hvIiwiZ2l2ZW4iOiJDbGlmZm9yZCBTLiIsInBhcnNlLW5hbWVzIjpmYWxzZSwiZHJvcHBpbmctcGFydGljbGUiOiIiLCJub24tZHJvcHBpbmctcGFydGljbGUiOiIifSx7ImZhbWlseSI6IkdhbmdpIiwiZ2l2ZW4iOiJBbGV4YW5kcmEiLCJwYXJzZS1uYW1lcyI6ZmFsc2UsImRyb3BwaW5nLXBhcnRpY2xlIjoiIiwibm9uLWRyb3BwaW5nLXBhcnRpY2xlIjoiIn0seyJmYW1pbHkiOiJHaWxiZXJ0IiwiZ2l2ZW4iOiJFcmluIFcuIiwicGFyc2UtbmFtZXMiOmZhbHNlLCJkcm9wcGluZy1wYXJ0aWNsZSI6IiIsIm5vbi1kcm9wcGluZy1wYXJ0aWNsZSI6IiJ9LHsiZmFtaWx5IjoiR29vZG1hbiIsImdpdmVuIjoiTWFydGluIEQuIiwicGFyc2UtbmFtZXMiOmZhbHNlLCJkcm9wcGluZy1wYXJ0aWNsZSI6IiIsIm5vbi1kcm9wcGluZy1wYXJ0aWNsZSI6IiJ9LHsiZmFtaWx5IjoiR292aW5kYXJhamFuIiwiZ2l2ZW4iOiJBbmFuZCIsInBhcnNlLW5hbWVzIjpmYWxzZSwiZHJvcHBpbmctcGFydGljbGUiOiIiLCJub24tZHJvcHBpbmctcGFydGljbGUiOiIifSx7ImZhbWlseSI6Ikd1c2hjaGluIiwiZ2l2ZW4iOiJWYWRpbSIsInBhcnNlLW5hbWVzIjpmYWxzZSwiZHJvcHBpbmctcGFydGljbGUiOiIiLCJub24tZHJvcHBpbmctcGFydGljbGUiOiIifSx7ImZhbWlseSI6IkloZW1lbGFuZHUiLCJnaXZlbiI6IkNodWt3dWVtZWthIiwicGFyc2UtbmFtZXMiOmZhbHNlLCJkcm9wcGluZy1wYXJ0aWNsZSI6IiIsIm5vbi1kcm9wcGluZy1wYXJ0aWNsZSI6IiJ9LHsiZmFtaWx5IjoiS2VsbHkiLCJnaXZlbiI6IkthaXRseW4gSi4iLCJwYXJzZS1uYW1lcyI6ZmFsc2UsImRyb3BwaW5nLXBhcnRpY2xlIjoiIiwibm9uLWRyb3BwaW5nLXBhcnRpY2xlIjoiIn0seyJmYW1pbHkiOiJNZXJrb3ciLCJnaXZlbiI6IlJ5YW4gUC4iLCJwYXJzZS1uYW1lcyI6ZmFsc2UsImRyb3BwaW5nLXBhcnRpY2xlIjoiIiwibm9uLWRyb3BwaW5nLXBhcnRpY2xlIjoiIn0seyJmYW1pbHkiOiJQYXBwYXMiLCJnaXZlbiI6IlNhbSBHLiIsInBhcnNlLW5hbWVzIjpmYWxzZSwiZHJvcHBpbmctcGFydGljbGUiOiIiLCJub24tZHJvcHBpbmctcGFydGljbGUiOiIifSx7ImZhbWlseSI6IkFiYm90dCIsImdpdmVuIjoiRGFuaWVsIEUuIiwicGFyc2UtbmFtZXMiOmZhbHNlLCJkcm9wcGluZy1wYXJ0aWNsZSI6IiIsIm5vbi1kcm9wcGluZy1wYXJ0aWNsZSI6IiJ9LHsiZmFtaWx5IjoiQWhyZW5kdCIsImdpdmVuIjoiU3RldmVuIEEuIiwicGFyc2UtbmFtZXMiOmZhbHNlLCJkcm9wcGluZy1wYXJ0aWNsZSI6IiIsIm5vbi1kcm9wcGluZy1wYXJ0aWNsZSI6IiJ9LHsiZmFtaWx5IjoiQWwta2Fzc3Bvb2xlcyIsImdpdmVuIjoiTWF6aW4iLCJwYXJzZS1uYW1lcyI6ZmFsc2UsImRyb3BwaW5nLXBhcnRpY2xlIjoiIiwibm9uLWRyb3BwaW5nLXBhcnRpY2xlIjoiIn0seyJmYW1pbHkiOiJBbHBlcnQiLCJnaXZlbiI6IkxpbmRzYXkiLCJwYXJzZS1uYW1lcyI6ZmFsc2UsImRyb3BwaW5nLXBhcnRpY2xlIjoiIiwibm9uLWRyb3BwaW5nLXBhcnRpY2xlIjoiIn0seyJmYW1pbHkiOiJBbWVyc2kiLCJnaXZlbiI6IkZhcmluIiwicGFyc2UtbmFtZXMiOmZhbHNlLCJkcm9wcGluZy1wYXJ0aWNsZSI6IiIsIm5vbi1kcm9wcGluZy1wYXJ0aWNsZSI6IiJ9LHsiZmFtaWx5IjoiQXJyaW5ndG9uIiwiZ2l2ZW4iOiJBbWFuZGEgSy4iLCJwYXJzZS1uYW1lcyI6ZmFsc2UsImRyb3BwaW5nLXBhcnRpY2xlIjoiIiwibm9uLWRyb3BwaW5nLXBhcnRpY2xlIjoiIn0seyJmYW1pbHkiOiJCYWRnd2VsbCIsImdpdmVuIjoiQnJpYW4iLCJwYXJzZS1uYW1lcyI6ZmFsc2UsImRyb3BwaW5nLXBhcnRpY2xlIjoiIiwibm9uLWRyb3BwaW5nLXBhcnRpY2xlIjoiIn0seyJmYW1pbHkiOiJCYXJvbmUiLCJnaXZlbiI6IlJvYmVydCBNLiIsInBhcnNlLW5hbWVzIjpmYWxzZSwiZHJvcHBpbmctcGFydGljbGUiOiIiLCJub24tZHJvcHBpbmctcGFydGljbGUiOiIifSx7ImZhbWlseSI6IkJhdW1nYXJ0bmVyIiwiZ2l2ZW4iOiJKb2VsIE0uIiwicGFyc2UtbmFtZXMiOmZhbHNlLCJkcm9wcGluZy1wYXJ0aWNsZSI6IiIsIm5vbi1kcm9wcGluZy1wYXJ0aWNsZSI6IiJ9LHsiZmFtaWx5IjoiQmxhemVyIiwiZ2l2ZW4iOiJEYW4gRy4iLCJwYXJzZS1uYW1lcyI6ZmFsc2UsImRyb3BwaW5nLXBhcnRpY2xlIjoiIiwibm9uLWRyb3BwaW5nLXBhcnRpY2xlIjoiIn0seyJmYW1pbHkiOiJCZXJyaSIsImdpdmVuIjoiUmljaGFyZCBOLiIsInBhcnNlLW5hbWVzIjpmYWxzZSwiZHJvcHBpbmctcGFydGljbGUiOiIiLCJub24tZHJvcHBpbmctcGFydGljbGUiOiIifSx7ImZhbWlseSI6IkJyb3duIiwiZ2l2ZW4iOiJDaGFybGVzIEtvbWVuIiwicGFyc2UtbmFtZXMiOmZhbHNlLCJkcm9wcGluZy1wYXJ0aWNsZSI6IiIsIm5vbi1kcm9wcGluZy1wYXJ0aWNsZSI6IiJ9LHsiZmFtaWx5IjoiQ2F0ZW5hY2NpIiwiZ2l2ZW4iOiJEYW5pZWwiLCJwYXJzZS1uYW1lcyI6ZmFsc2UsImRyb3BwaW5nLXBhcnRpY2xlIjoiVi4iLCJub24tZHJvcHBpbmctcGFydGljbGUiOiIifSx7ImZhbWlseSI6IkNoYW4iLCJnaXZlbiI6IkNhcmxvcyBILkYuIiwicGFyc2UtbmFtZXMiOmZhbHNlLCJkcm9wcGluZy1wYXJ0aWNsZSI6IiIsIm5vbi1kcm9wcGluZy1wYXJ0aWNsZSI6IiJ9LHsiZmFtaWx5IjoiQ2hvdWRyeSIsImdpdmVuIjoiTS4gSGFyb29uIEEuIiwicGFyc2UtbmFtZXMiOmZhbHNlLCJkcm9wcGluZy1wYXJ0aWNsZSI6IiIsIm5vbi1kcm9wcGluZy1wYXJ0aWNsZSI6IiJ9LHsiZmFtaWx5IjoiQ2xhcmtlIiwiZ2l2ZW4iOiJDYWxsaXNpYSBOLiIsInBhcnNlLW5hbWVzIjpmYWxzZSwiZHJvcHBpbmctcGFydGljbGUiOiIiLCJub24tZHJvcHBpbmctcGFydGljbGUiOiIifSx7ImZhbWlseSI6IkNsb3lkIiwiZ2l2ZW4iOiJKb3JkYW4gTS4iLCJwYXJzZS1uYW1lcyI6ZmFsc2UsImRyb3BwaW5nLXBhcnRpY2xlIjoiIiwibm9uLWRyb3BwaW5nLXBhcnRpY2xlIjoiIn0seyJmYW1pbHkiOiJEYWNobWFuIiwiZ2l2ZW4iOiJBYnJhaGFtIEguIiwicGFyc2UtbmFtZXMiOmZhbHNlLCJkcm9wcGluZy1wYXJ0aWNsZSI6IiIsIm5vbi1kcm9wcGluZy1wYXJ0aWNsZSI6IiJ9LHsiZmFtaWx5IjoiRGVuZXZlIiwiZ2l2ZW4iOiJKZXJlbWlhaCBMLiIsInBhcnNlLW5hbWVzIjpmYWxzZSwiZHJvcHBpbmctcGFydGljbGUiOiIiLCJub24tZHJvcHBpbmctcGFydGljbGUiOiIifSx7ImZhbWlseSI6IkRpbmVlbiIsImdpdmVuIjoiU2VhbiBQLiIsInBhcnNlLW5hbWVzIjpmYWxzZSwiZHJvcHBpbmctcGFydGljbGUiOiIiLCJub24tZHJvcHBpbmctcGFydGljbGUiOiIifSx7ImZhbWlseSI6IkZlcm5hbmRleiIsImdpdmVuIjoiTGVvcG9sZG8gSi4iLCJwYXJzZS1uYW1lcyI6ZmFsc2UsImRyb3BwaW5nLXBhcnRpY2xlIjoiIiwibm9uLWRyb3BwaW5nLXBhcnRpY2xlIjoiIn0seyJmYW1pbHkiOiJFbmciLCJnaXZlbiI6Ik9saXZlciBTLiIsInBhcnNlLW5hbWVzIjpmYWxzZSwiZHJvcHBpbmctcGFydGljbGUiOiIiLCJub24tZHJvcHBpbmctcGFydGljbGUiOiIifSx7ImZhbWlseSI6IkZsZXNobWFuIiwiZ2l2ZW4iOiJKYW1lcyBXLiIsInBhcnNlLW5hbWVzIjpmYWxzZSwiZHJvcHBpbmctcGFydGljbGUiOiIiLCJub24tZHJvcHBpbmctcGFydGljbGUiOiIifSx7ImZhbWlseSI6IkNsYXJrIEdhbWJsaW4iLCJnaXZlbiI6IlQuIiwicGFyc2UtbmFtZXMiOmZhbHNlLCJkcm9wcGluZy1wYXJ0aWNsZSI6IiIsIm5vbi1kcm9wcGluZy1wYXJ0aWNsZSI6IiJ9LHsiZmFtaWx5IjoiR2Vvcmdha2lzIiwiZ2l2ZW4iOiJHZW9yZ2lvcyIsInBhcnNlLW5hbWVzIjpmYWxzZSwiZHJvcHBpbmctcGFydGljbGUiOiJWLiIsIm5vbi1kcm9wcGluZy1wYXJ0aWNsZSI6IiJ9LHsiZmFtaWx5IjoiR3JvdHoiLCJnaXZlbiI6IlRyYXZpcyBFLiIsInBhcnNlLW5hbWVzIjpmYWxzZSwiZHJvcHBpbmctcGFydGljbGUiOiIiLCJub24tZHJvcHBpbmctcGFydGljbGUiOiIifSx7ImZhbWlseSI6Ikhhbm5hIiwiZ2l2ZW4iOiJOYWRlciIsInBhcnNlLW5hbWVzIjpmYWxzZSwiZHJvcHBpbmctcGFydGljbGUiOiIiLCJub24tZHJvcHBpbmctcGFydGljbGUiOiIifSx7ImZhbWlseSI6Ikhhcm1hdGgiLCJnaXZlbiI6IkNhcmxhIiwicGFyc2UtbmFtZXMiOmZhbHNlLCJkcm9wcGluZy1wYXJ0aWNsZSI6IiIsIm5vbi1kcm9wcGluZy1wYXJ0aWNsZSI6IiJ9LHsiZmFtaWx5IjoiSGFydCIsImdpdmVuIjoiSm9obiIsInBhcnNlLW5hbWVzIjpmYWxzZSwiZHJvcHBpbmctcGFydGljbGUiOiIiLCJub24tZHJvcHBpbmctcGFydGljbGUiOiIifSx7ImZhbWlseSI6IkhheWVzLUpvcmRhbiIsImdpdmVuIjoiQW5kcmVhIiwicGFyc2UtbmFtZXMiOmZhbHNlLCJkcm9wcGluZy1wYXJ0aWNsZSI6IiIsIm5vbi1kcm9wcGluZy1wYXJ0aWNsZSI6IiJ9LHsiZmFtaWx5IjoiSHVzYWluIiwiZ2l2ZW4iOiJBbGl5YSBOLiIsInBhcnNlLW5hbWVzIjpmYWxzZSwiZHJvcHBpbmctcGFydGljbGUiOiIiLCJub24tZHJvcHBpbmctcGFydGljbGUiOiIifSx7ImZhbWlseSI6IklkcmVlcyIsImdpdmVuIjoiS2FtcmFuIiwicGFyc2UtbmFtZXMiOmZhbHNlLCJkcm9wcGluZy1wYXJ0aWNsZSI6IiIsIm5vbi1kcm9wcGluZy1wYXJ0aWNsZSI6IiJ9LHsiZmFtaWx5IjoiSW4iLCJnaXZlbiI6IkhhZWppbiIsInBhcnNlLW5hbWVzIjpmYWxzZSwiZHJvcHBpbmctcGFydGljbGUiOiIiLCJub24tZHJvcHBpbmctcGFydGljbGUiOiIifSx7ImZhbWlseSI6IkppYW5nIiwiZ2l2ZW4iOiJEYXZpZCIsInBhcnNlLW5hbWVzIjpmYWxzZSwiZHJvcHBpbmctcGFydGljbGUiOiIiLCJub24tZHJvcHBpbmctcGFydGljbGUiOiIifSx7ImZhbWlseSI6IkthbmUiLCJnaXZlbiI6IkpvaG4gTS4iLCJwYXJzZS1uYW1lcyI6ZmFsc2UsImRyb3BwaW5nLXBhcnRpY2xlIjoiIiwibm9uLWRyb3BwaW5nLXBhcnRpY2xlIjoiIn0seyJmYW1pbHkiOiJLZW5uZWR5IiwiZ2l2ZW4iOiJUaW1vdGh5IEouIiwicGFyc2UtbmFtZXMiOmZhbHNlLCJkcm9wcGluZy1wYXJ0aWNsZSI6IiIsIm5vbi1kcm9wcGluZy1wYXJ0aWNsZSI6IiJ9LHsiZmFtaWx5IjoiS2V1dGdlbiIsImdpdmVuIjoiWGF2aWVyIE0uIiwicGFyc2UtbmFtZXMiOmZhbHNlLCJkcm9wcGluZy1wYXJ0aWNsZSI6IiIsIm5vbi1kcm9wcGluZy1wYXJ0aWNsZSI6IiJ9LHsiZmFtaWx5IjoiS2luZGxlciIsImdpdmVuIjoiSGVkeSBMZWUiLCJwYXJzZS1uYW1lcyI6ZmFsc2UsImRyb3BwaW5nLXBhcnRpY2xlIjoiIiwibm9uLWRyb3BwaW5nLXBhcnRpY2xlIjoiIn0seyJmYW1pbHkiOiJMZWUiLCJnaXZlbiI6IkJ5cm5lIiwicGFyc2UtbmFtZXMiOmZhbHNlLCJkcm9wcGluZy1wYXJ0aWNsZSI6IiIsIm5vbi1kcm9wcGluZy1wYXJ0aWNsZSI6IiJ9LHsiZmFtaWx5IjoiTGlhbyIsImdpdmVuIjoiQ2hpaCBZaSIsInBhcnNlLW5hbWVzIjpmYWxzZSwiZHJvcHBpbmctcGFydGljbGUiOiIiLCJub24tZHJvcHBpbmctcGFydGljbGUiOiIifSx7ImZhbWlseSI6Ik1hZHVla3dlIiwiZ2l2ZW4iOiJVZ3d1amkgTi4iLCJwYXJzZS1uYW1lcyI6ZmFsc2UsImRyb3BwaW5nLXBhcnRpY2xlIjoiIiwibm9uLWRyb3BwaW5nLXBhcnRpY2xlIjoiIn0seyJmYW1pbHkiOiJNYWsiLCJnaXZlbiI6IkdyYWNlIFouIiwicGFyc2UtbmFtZXMiOmZhbHNlLCJkcm9wcGluZy1wYXJ0aWNsZSI6IiIsIm5vbi1kcm9wcGluZy1wYXJ0aWNsZSI6IiJ9LHsiZmFtaWx5IjoiTWFjayIsImdpdmVuIjoiTGxveWQgQS4iLCJwYXJzZS1uYW1lcyI6ZmFsc2UsImRyb3BwaW5nLXBhcnRpY2xlIjoiIiwibm9uLWRyb3BwaW5nLXBhcnRpY2xlIjoiIn0seyJmYW1pbHkiOiJNYXRoZXciLCJnaXZlbiI6Ik1lbHZ5IFNhcmFoIiwicGFyc2UtbmFtZXMiOmZhbHNlLCJkcm9wcGluZy1wYXJ0aWNsZSI6IiIsIm5vbi1kcm9wcGluZy1wYXJ0aWNsZSI6IiJ9LHsiZmFtaWx5IjoiTWVsaXMiLCJnaXZlbiI6Ik1hcmNvdmFsZXJpbyIsInBhcnNlLW5hbWVzIjpmYWxzZSwiZHJvcHBpbmctcGFydGljbGUiOiIiLCJub24tZHJvcHBpbmctcGFydGljbGUiOiIifSx7ImZhbWlseSI6Ik1lbG5pdGNob3VrIiwiZ2l2ZW4iOiJOZWx5YSIsInBhcnNlLW5hbWVzIjpmYWxzZSwiZHJvcHBpbmctcGFydGljbGUiOiIiLCJub24tZHJvcHBpbmctcGFydGljbGUiOiIifSx7ImZhbWlseSI6Ik1pc2RyYWppIiwiZ2l2ZW4iOiJKb3NlcGgiLCJwYXJzZS1uYW1lcyI6ZmFsc2UsImRyb3BwaW5nLXBhcnRpY2xlIjoiIiwibm9uLWRyb3BwaW5nLXBhcnRpY2xlIjoiIn0seyJmYW1pbHkiOiJNb2dhbCIsImdpdmVuIjoiSGFydmVzaHAiLCJwYXJzZS1uYW1lcyI6ZmFsc2UsImRyb3BwaW5nLXBhcnRpY2xlIjoiIiwibm9uLWRyb3BwaW5nLXBhcnRpY2xlIjoiIn0seyJmYW1pbHkiOiJNw7ZsbGVyIiwiZ2l2ZW4iOiJNZWNrZXIgRy4iLCJwYXJzZS1uYW1lcyI6ZmFsc2UsImRyb3BwaW5nLXBhcnRpY2xlIjoiIiwibm9uLWRyb3BwaW5nLXBhcnRpY2xlIjoiIn0seyJmYW1pbHkiOiJOYXNoIiwiZ2l2ZW4iOiJHYXJyZXR0IE0uIiwicGFyc2UtbmFtZXMiOmZhbHNlLCJkcm9wcGluZy1wYXJ0aWNsZSI6IiIsIm5vbi1kcm9wcGluZy1wYXJ0aWNsZSI6IiJ9LHsiZmFtaWx5IjoiT3RvIiwiZ2l2ZW4iOiJBeXRla2luIiwicGFyc2UtbmFtZXMiOmZhbHNlLCJkcm9wcGluZy1wYXJ0aWNsZSI6IiIsIm5vbi1kcm9wcGluZy1wYXJ0aWNsZSI6IiJ9LHsiZmFtaWx5IjoiUGFpIiwiZ2l2ZW4iOiJSZWV0ZXNoIEsuIiwicGFyc2UtbmFtZXMiOmZhbHNlLCJkcm9wcGluZy1wYXJ0aWNsZSI6IiIsIm5vbi1kcm9wcGluZy1wYXJ0aWNsZSI6IiJ9LHsiZmFtaWx5IjoiUGFtZWlqZXIiLCJnaXZlbiI6IkNvbGV0dGUgUi4iLCJwYXJzZS1uYW1lcyI6ZmFsc2UsImRyb3BwaW5nLXBhcnRpY2xlIjoiIiwibm9uLWRyb3BwaW5nLXBhcnRpY2xlIjoiIn0seyJmYW1pbHkiOiJQb2xhbmNvIiwiZ2l2ZW4iOiJQYXRyaWNpbyBNLiIsInBhcnNlLW5hbWVzIjpmYWxzZSwiZHJvcHBpbmctcGFydGljbGUiOiIiLCJub24tZHJvcHBpbmctcGFydGljbGUiOiIifSx7ImZhbWlseSI6IlBvbGl0ZSIsImdpdmVuIjoiQmxhc2UgTi4iLCJwYXJzZS1uYW1lcyI6ZmFsc2UsImRyb3BwaW5nLXBhcnRpY2xlIjoiIiwibm9uLWRyb3BwaW5nLXBhcnRpY2xlIjoiIn0seyJmYW1pbHkiOiJSZWRkeSIsImdpdmVuIjoiU2FuamF5IFMuIiwicGFyc2UtbmFtZXMiOmZhbHNlLCJkcm9wcGluZy1wYXJ0aWNsZSI6IiIsIm5vbi1kcm9wcGluZy1wYXJ0aWNsZSI6IiJ9LHsiZmFtaWx5IjoiUm95YWwiLCJnaXZlbiI6IlJpY2hhcmQiLCJwYXJzZS1uYW1lcyI6ZmFsc2UsImRyb3BwaW5nLXBhcnRpY2xlIjoiIiwibm9uLWRyb3BwaW5nLXBhcnRpY2xlIjoiIn0seyJmYW1pbHkiOiJSeWFuIiwiZ2l2ZW4iOiJEYXZpZCBQLiIsInBhcnNlLW5hbWVzIjpmYWxzZSwiZHJvcHBpbmctcGFydGljbGUiOiIiLCJub24tZHJvcHBpbmctcGFydGljbGUiOiIifSx7ImZhbWlseSI6IlNhbHRpIiwiZ2l2ZW4iOiJHZW9yZ2UiLCJwYXJzZS1uYW1lcyI6ZmFsc2UsImRyb3BwaW5nLXBhcnRpY2xlIjoiIiwibm9uLWRyb3BwaW5nLXBhcnRpY2xlIjoiIn0seyJmYW1pbHkiOiJTYXJkaSIsImdpdmVuIjoiQXJtYW5kbyIsInBhcnNlLW5hbWVzIjpmYWxzZSwiZHJvcHBpbmctcGFydGljbGUiOiIiLCJub24tZHJvcHBpbmctcGFydGljbGUiOiIifSx7ImZhbWlseSI6IlNlbnRoaWwiLCJnaXZlbiI6Ik1haGVzd2FyaSIsInBhcnNlLW5hbWVzIjpmYWxzZSwiZHJvcHBpbmctcGFydGljbGUiOiIiLCJub24tZHJvcHBpbmctcGFydGljbGUiOiIifSx7ImZhbWlseSI6IlNldGlhIiwiZ2l2ZW4iOiJOYW1yYXRhIiwicGFyc2UtbmFtZXMiOmZhbHNlLCJkcm9wcGluZy1wYXJ0aWNsZSI6IiIsIm5vbi1kcm9wcGluZy1wYXJ0aWNsZSI6IiJ9LHsiZmFtaWx5IjoiU2hlcm1hbiIsImdpdmVuIjoiU2NvdHQgSy4iLCJwYXJzZS1uYW1lcyI6ZmFsc2UsImRyb3BwaW5nLXBhcnRpY2xlIjoiIiwibm9uLWRyb3BwaW5nLXBhcnRpY2xlIjoiIn0seyJmYW1pbHkiOiJTaWRlcmlzIiwiZ2l2ZW4iOiJMdWNhcyIsInBhcnNlLW5hbWVzIjpmYWxzZSwiZHJvcHBpbmctcGFydGljbGUiOiIiLCJub24tZHJvcHBpbmctcGFydGljbGUiOiIifSx7ImZhbWlseSI6IlNraXR6a2kiLCJnaXZlbiI6Ikpvc2VwaCIsInBhcnNlLW5hbWVzIjpmYWxzZSwiZHJvcHBpbmctcGFydGljbGUiOiIiLCJub24tZHJvcHBpbmctcGFydGljbGUiOiIifSx7ImZhbWlseSI6IlZlZXJhcG9uZyIsImdpdmVuIjoiSnVsYSIsInBhcnNlLW5hbWVzIjpmYWxzZSwiZHJvcHBpbmctcGFydGljbGUiOiIiLCJub24tZHJvcHBpbmctcGFydGljbGUiOiIifSx7ImZhbWlseSI6IldoaXRlIiwiZ2l2ZW4iOiJNaWNoYWVsIEcuIiwicGFyc2UtbmFtZXMiOmZhbHNlLCJkcm9wcGluZy1wYXJ0aWNsZSI6IiIsIm5vbi1kcm9wcGluZy1wYXJ0aWNsZSI6IiJ9LHsiZmFtaWx5IjoiV2luZXIiLCJnaXZlbiI6Ikpvc2h1YSBILiIsInBhcnNlLW5hbWVzIjpmYWxzZSwiZHJvcHBpbmctcGFydGljbGUiOiIiLCJub24tZHJvcHBpbmctcGFydGljbGUiOiIifSx7ImZhbWlseSI6IlhpYW8iLCJnaXZlbiI6IlNodSBZdWFuIiwicGFyc2UtbmFtZXMiOmZhbHNlLCJkcm9wcGluZy1wYXJ0aWNsZSI6IiIsIm5vbi1kcm9wcGluZy1wYXJ0aWNsZSI6IiJ9LHsiZmFtaWx5IjoiWWFudGlzcyIsImdpdmVuIjoiUmhvbmRhIEsuIiwicGFyc2UtbmFtZXMiOmZhbHNlLCJkcm9wcGluZy1wYXJ0aWNsZSI6IiIsIm5vbi1kcm9wcGluZy1wYXJ0aWNsZSI6IiJ9LHsiZmFtaWx5IjoiQWh1amEiLCJnaXZlbiI6Ik5pdGEiLCJwYXJzZS1uYW1lcyI6ZmFsc2UsImRyb3BwaW5nLXBhcnRpY2xlIjoiIiwibm9uLWRyb3BwaW5nLXBhcnRpY2xlIjoiIn0seyJmYW1pbHkiOiJCb3duZSIsImdpdmVuIjoiV2lsYnVyIiwicGFyc2UtbmFtZXMiOmZhbHNlLCJkcm9wcGluZy1wYXJ0aWNsZSI6IiIsIm5vbi1kcm9wcGluZy1wYXJ0aWNsZSI6IiJ9LHsiZmFtaWx5IjoiTG93eSIsImdpdmVuIjoiQW5kcmV3IE0uIiwicGFyc2UtbmFtZXMiOmZhbHNlLCJkcm9wcGluZy1wYXJ0aWNsZSI6IiIsIm5vbi1kcm9wcGluZy1wYXJ0aWNsZSI6IiJ9LHsiZmFtaWx5IjoiUmljaGFyZCBBbGV4YW5kZXIiLCJnaXZlbiI6IkguIiwicGFyc2UtbmFtZXMiOmZhbHNlLCJkcm9wcGluZy1wYXJ0aWNsZSI6IiIsIm5vbi1kcm9wcGluZy1wYXJ0aWNsZSI6IiJ9LHsiZmFtaWx5IjoiRXNxdWl2ZWwiLCJnaXZlbiI6Ikplc3VzIiwicGFyc2UtbmFtZXMiOmZhbHNlLCJkcm9wcGluZy1wYXJ0aWNsZSI6IiIsIm5vbi1kcm9wcGluZy1wYXJ0aWNsZSI6IiJ9LHsiZmFtaWx5IjoiRm9zdGVyIiwiZ2l2ZW4iOiJKYXNvbiBNLiIsInBhcnNlLW5hbWVzIjpmYWxzZSwiZHJvcHBpbmctcGFydGljbGUiOiIiLCJub24tZHJvcHBpbmctcGFydGljbGUiOiIifSx7ImZhbWlseSI6IkxhYm93IiwiZ2l2ZW4iOiJEYW5pZWwgTS4iLCJwYXJzZS1uYW1lcyI6ZmFsc2UsImRyb3BwaW5nLXBhcnRpY2xlIjoiIiwibm9uLWRyb3BwaW5nLXBhcnRpY2xlIjoiIn0seyJmYW1pbHkiOiJMYW1iZXJ0IiwiZ2l2ZW4iOiJMYXVyYSBBLiIsInBhcnNlLW5hbWVzIjpmYWxzZSwiZHJvcHBpbmctcGFydGljbGUiOiIiLCJub24tZHJvcHBpbmctcGFydGljbGUiOiIifSx7ImZhbWlseSI6IkxldmluZSIsImdpdmVuIjoiRWR3YXJkIEEuIiwicGFyc2UtbmFtZXMiOmZhbHNlLCJkcm9wcGluZy1wYXJ0aWNsZSI6IiIsIm5vbi1kcm9wcGluZy1wYXJ0aWNsZSI6IiJ9LHsiZmFtaWx5IjoiU3RhbGV5IiwiZ2l2ZW4iOiJDaGFybGVzIiwicGFyc2UtbmFtZXMiOmZhbHNlLCJkcm9wcGluZy1wYXJ0aWNsZSI6IiIsIm5vbi1kcm9wcGluZy1wYXJ0aWNsZSI6IiJ9LHsiZmFtaWx5IjoiU3VnYXJiYWtlciIsImdpdmVuIjoiUGF1bCBILiIsInBhcnNlLW5hbWVzIjpmYWxzZSwiZHJvcHBpbmctcGFydGljbGUiOiIiLCJub24tZHJvcHBpbmctcGFydGljbGUiOiIifSx7ImZhbWlseSI6IkJhcnRsZXR0IiwiZ2l2ZW4iOiJEYXZpZCBMLiIsInBhcnNlLW5hbWVzIjpmYWxzZSwiZHJvcHBpbmctcGFydGljbGUiOiIiLCJub24tZHJvcHBpbmctcGFydGljbGUiOiIifSx7ImZhbWlseSI6IlR1cmFnYSIsImdpdmVuIjoiS2lyYW4iLCJwYXJzZS1uYW1lcyI6ZmFsc2UsImRyb3BwaW5nLXBhcnRpY2xlIjoiIiwibm9uLWRyb3BwaW5nLXBhcnRpY2xlIjoiIn1dLCJjb250YWluZXItdGl0bGUiOiJBbm5hbHMgb2Ygc3VyZ2ljYWwgb25jb2xvZ3kiLCJjb250YWluZXItdGl0bGUtc2hvcnQiOiJBbm4gU3VyZyBPbmNvbCIsIkRPSSI6IjEwLjEyNDUvUzEwNDM0LTAyMC0wODMxNi1XIiwiSVNTTiI6IjE1MzQtNDY4MSIsIlBNSUQiOiIzMjI4NTI3NSIsImlzc3VlZCI6eyJkYXRlLXBhcnRzIjpbWzIwMjBdXX0sInBhZ2UiOiIxNzUzLTE3NjAiLCJhYnN0cmFjdCI6IlRoZSBDaGljYWdvIENvbnNlbnN1cyBXb3JraW5nIEdyb3VwIHByb3ZpZGVzIG11bHRpZGlzY2lwbGluYXJ5IHJlY29tbWVuZGF0aW9ucyBmb3IgdGhlIG1hbmFnZW1lbnQgb2YgYXBwZW5kaWNlYWwgbmVvcGxhc21zIHNwZWNpZmljYWxseSByZWxhdGVkIHRvIHRoZSBtYW5hZ2VtZW50IG9mIHBlcml0b25lYWwgc3VyZmFjZSBtYWxpZ25hbmNpZXMuIFRoZXNlIGd1aWRlbGluZXMgYXJlIGRldmVsb3BlZCB3aXRoIGlucHV0IGZyb20gbGVhZGluZyBleHBlcnRzIGluY2x1ZGluZyBzdXJnaWNhbCBvbmNvbG9naXN0cywgbWVkaWNhbCBvbmNvbG9naXN0cywgcGF0aG9sb2dpc3RzLCByYWRpb2xvZ2lzdHMsIHBhbGxpYXRpdmUgY2FyZSBwaHlzaWNpYW5zLCBhbmQgcGhhcm1hY2lzdHMuIFRoZXNlIGd1aWRlbGluZXMgcmVjb2duaXplIGFuZCBhZGRyZXNzIHRoZSBlbWVyZ2luZyBuZWVkIGZvciBpbmNyZWFzZWQgYXdhcmVuZXNzIGluIHRoZSBhcHByb3ByaWF0ZSBtYW5hZ2VtZW50IG9mIHBlcml0b25lYWwgc3VyZmFjZSBkaXNlYXNlLiBUaGV5IGFyZSBub3QgaW50ZW5kZWQgdG8gcmVwbGFjZSB0aGUgcXVlc3QgZm9yIGhpZ2hlciBsZXZlbHMgb2YgZXZpZGVuY2UuIiwicHVibGlzaGVyIjoiQW5uIFN1cmcgT25jb2wiLCJpc3N1ZSI6IjYiLCJ2b2x1bWUiOiIyNyJ9LCJpc1RlbXBvcmFyeSI6ZmFsc2V9XX0="/>
          <w:id w:val="-1567792245"/>
        </w:sdtPr>
        <w:sdtContent>
          <w:r>
            <w:rPr>
              <w:color w:val="000000"/>
            </w:rPr>
          </w:r>
          <w:r>
            <w:rPr>
              <w:color w:val="000000"/>
            </w:rPr>
            <w:t>(8)</w:t>
          </w:r>
        </w:sdtContent>
      </w:sdt>
      <w:sdt>
        <w:sdtPr>
          <w:placeholder>
            <w:docPart w:val="DefaultPlaceholder_-1854013440"/>
          </w:placeholder>
          <w:tag w:val="MENDELEY_CITATION_v3_eyJjaXRhdGlvbklEIjoiTUVOREVMRVlfQ0lUQVRJT05fMDI2MWI0ZjAtZWJiZS00OGM0LTg0YjgtNjMxMDllYTU2OGNjIiwicHJvcGVydGllcyI6eyJub3RlSW5kZXgiOjB9LCJpc0VkaXRlZCI6ZmFsc2UsIm1hbnVhbE92ZXJyaWRlIjp7ImlzTWFudWFsbHlPdmVycmlkZGVuIjpmYWxzZSwiY2l0ZXByb2NUZXh0IjoiKDUzKSIsIm1hbnVhbE92ZXJyaWRlVGV4dCI6IiJ9LCJjaXRhdGlvbkl0ZW1zIjpbeyJpZCI6IjIzNjRlOTA3LTBiYTEtMzg1Ny05NDM3LWQ0M2IwMDNhNzcyYyIsIml0ZW1EYXRhIjp7InR5cGUiOiJhcnRpY2xlLWpvdXJuYWwiLCJpZCI6IjIzNjRlOTA3LTBiYTEtMzg1Ny05NDM3LWQ0M2IwMDNhNzcyYyIsInRpdGxlIjoiVGhlIFJvbGUgb2YgSHlwZXJ0aGVybWljIEludHJhcGVyaXRvbmVhbCBDaGVtb3RoZXJhcHkgaW4gUHNldWRvbXl4b21hIFBlcml0b25laSBBZnRlciBDeXRvcmVkdWN0aXZlIFN1cmdlcnkiLCJhdXRob3IiOlt7ImZhbWlseSI6Ikt1c2FtdXJhIiwiZ2l2ZW4iOiJTaGlnZWtpIiwicGFyc2UtbmFtZXMiOmZhbHNlLCJkcm9wcGluZy1wYXJ0aWNsZSI6IiIsIm5vbi1kcm9wcGluZy1wYXJ0aWNsZSI6IiJ9LHsiZmFtaWx5IjoiQmFycmV0dGEiLCJnaXZlbiI6IkZyYW5jZXNjbyIsInBhcnNlLW5hbWVzIjpmYWxzZSwiZHJvcHBpbmctcGFydGljbGUiOiIiLCJub24tZHJvcHBpbmctcGFydGljbGUiOiIifSx7ImZhbWlseSI6IllvbmVtdXJhIiwiZ2l2ZW4iOiJZdXRha2EiLCJwYXJzZS1uYW1lcyI6ZmFsc2UsImRyb3BwaW5nLXBhcnRpY2xlIjoiIiwibm9uLWRyb3BwaW5nLXBhcnRpY2xlIjoiIn0seyJmYW1pbHkiOiJTdWdhcmJha2VyIiwiZ2l2ZW4iOiJQYXVsIEhlbmRyaWNrIiwicGFyc2UtbmFtZXMiOmZhbHNlLCJkcm9wcGluZy1wYXJ0aWNsZSI6IiIsIm5vbi1kcm9wcGluZy1wYXJ0aWNsZSI6IiJ9LHsiZmFtaWx5IjoiTW9yYW4iLCJnaXZlbiI6IkJyZW5kYW4gSm9obiIsInBhcnNlLW5hbWVzIjpmYWxzZSwiZHJvcHBpbmctcGFydGljbGUiOiIiLCJub24tZHJvcHBpbmctcGFydGljbGUiOiIifSx7ImZhbWlseSI6IkxldmluZSIsImdpdmVuIjoiRWR3YXJkIEEuIiwicGFyc2UtbmFtZXMiOmZhbHNlLCJkcm9wcGluZy1wYXJ0aWNsZSI6IiIsIm5vbi1kcm9wcGluZy1wYXJ0aWNsZSI6IiJ9LHsiZmFtaWx5IjoiR29lcmUiLCJnaXZlbiI6IkRpYW5lIiwicGFyc2UtbmFtZXMiOmZhbHNlLCJkcm9wcGluZy1wYXJ0aWNsZSI6IiIsIm5vbi1kcm9wcGluZy1wYXJ0aWNsZSI6IiJ9LHsiZmFtaWx5IjoiQmFyYXR0aSIsImdpdmVuIjoiRGFyaW8iLCJwYXJzZS1uYW1lcyI6ZmFsc2UsImRyb3BwaW5nLXBhcnRpY2xlIjoiIiwibm9uLWRyb3BwaW5nLXBhcnRpY2xlIjoiIn0seyJmYW1pbHkiOiJOaXpyaSIsImdpdmVuIjoiRXJhbiIsInBhcnNlLW5hbWVzIjpmYWxzZSwiZHJvcHBpbmctcGFydGljbGUiOiIiLCJub24tZHJvcHBpbmctcGFydGljbGUiOiIifSx7ImZhbWlseSI6Ik1vcnJpcyIsImdpdmVuIjoiRGF2aWQgTGF3c29uIiwicGFyc2UtbmFtZXMiOmZhbHNlLCJkcm9wcGluZy1wYXJ0aWNsZSI6IiIsIm5vbi1kcm9wcGluZy1wYXJ0aWNsZSI6IiJ9LHsiZmFtaWx5IjoiR2xlaGVuIiwiZ2l2ZW4iOiJPbGl2aWVyIiwicGFyc2UtbmFtZXMiOmZhbHNlLCJkcm9wcGluZy1wYXJ0aWNsZSI6IiIsIm5vbi1kcm9wcGluZy1wYXJ0aWNsZSI6IiJ9LHsiZmFtaWx5IjoiU2FyZGkiLCJnaXZlbiI6IkFybWFuZG8iLCJwYXJzZS1uYW1lcyI6ZmFsc2UsImRyb3BwaW5nLXBhcnRpY2xlIjoiIiwibm9uLWRyb3BwaW5nLXBhcnRpY2xlIjoiIn0seyJmYW1pbHkiOiJCYXJyaW9zIiwiZ2l2ZW4iOiJQZWRybyIsInBhcnNlLW5hbWVzIjpmYWxzZSwiZHJvcHBpbmctcGFydGljbGUiOiIiLCJub24tZHJvcHBpbmctcGFydGljbGUiOiIifSx7ImZhbWlseSI6IlF1w6luZXQiLCJnaXZlbiI6IkZyYW7Dp29pcyIsInBhcnNlLW5hbWVzIjpmYWxzZSwiZHJvcHBpbmctcGFydGljbGUiOiIiLCJub24tZHJvcHBpbmctcGFydGljbGUiOiIifSx7ImZhbWlseSI6IlZpbGxlbmV1dmUiLCJnaXZlbiI6IkxhdXJlbnQiLCJwYXJzZS1uYW1lcyI6ZmFsc2UsImRyb3BwaW5nLXBhcnRpY2xlIjoiIiwibm9uLWRyb3BwaW5nLXBhcnRpY2xlIjoiIn0seyJmYW1pbHkiOiJHw7NtZXotUG9ydGlsbGEiLCJnaXZlbiI6IkFsYmVydG8iLCJwYXJzZS1uYW1lcyI6ZmFsc2UsImRyb3BwaW5nLXBhcnRpY2xlIjoiIiwibm9uLWRyb3BwaW5nLXBhcnRpY2xlIjoiIn0seyJmYW1pbHkiOiJIaW5naCIsImdpdmVuIjoiSWduYWNlIiwicGFyc2UtbmFtZXMiOmZhbHNlLCJkcm9wcGluZy1wYXJ0aWNsZSI6IiIsIm5vbi1kcm9wcGluZy1wYXJ0aWNsZSI6IkRlIn0seyJmYW1pbHkiOiJDZWVsZW4iLCJnaXZlbiI6IldpbSIsInBhcnNlLW5hbWVzIjpmYWxzZSwiZHJvcHBpbmctcGFydGljbGUiOiIiLCJub24tZHJvcHBpbmctcGFydGljbGUiOiIifSx7ImZhbWlseSI6IlBlbHoiLCJnaXZlbiI6IkpvZXJnIE8uVy4iLCJwYXJzZS1uYW1lcyI6ZmFsc2UsImRyb3BwaW5nLXBhcnRpY2xlIjoiIiwibm9uLWRyb3BwaW5nLXBhcnRpY2xlIjoiIn0seyJmYW1pbHkiOiJQaXNvIiwiZ2l2ZW4iOiJQb21waWxpdSIsInBhcnNlLW5hbWVzIjpmYWxzZSwiZHJvcHBpbmctcGFydGljbGUiOiIiLCJub24tZHJvcHBpbmctcGFydGljbGUiOiIifSx7ImZhbWlseSI6IkdvbnrDoWxlei1Nb3Jlbm8iLCJnaXZlbiI6IlNhbnRpYWdvIiwicGFyc2UtbmFtZXMiOmZhbHNlLCJkcm9wcGluZy1wYXJ0aWNsZSI6IiIsIm5vbi1kcm9wcGluZy1wYXJ0aWNsZSI6IiJ9LHsiZmFtaWx5IjoiU3BlZXRlbiIsImdpdmVuIjoiS3VydCIsInBhcnNlLW5hbWVzIjpmYWxzZSwiZHJvcHBpbmctcGFydGljbGUiOiIiLCJub24tZHJvcHBpbmctcGFydGljbGUiOiJWYW4gRGVyIn0seyJmYW1pbHkiOiJEZXJhY28iLCJnaXZlbiI6Ik1hcmNlbGxvIiwicGFyc2UtbmFtZXMiOmZhbHNlLCJkcm9wcGluZy1wYXJ0aWNsZSI6IiIsIm5vbi1kcm9wcGluZy1wYXJ0aWNsZSI6IiJ9XSwiY29udGFpbmVyLXRpdGxlIjoiSkFNQSBzdXJnZXJ5IiwiY29udGFpbmVyLXRpdGxlLXNob3J0IjoiSkFNQSBTdXJnIiwiRE9JIjoiMTAuMTAwMS9KQU1BU1VSRy4yMDIwLjYzNjMiLCJJU1NOIjoiMjE2OC02MjYyIiwiUE1JRCI6IjMzNTAyNDU1IiwiaXNzdWVkIjp7ImRhdGUtcGFydHMiOltbMjAyMV1dfSwiYWJzdHJhY3QiOiJJbXBvcnRhbmNlOiBTdHVkaWVzIG9uIHRoZSBwcm9nbm9zdGljIHJvbGUgb2YgaHlwZXJ0aGVybWljIGludHJhcGVyaXRvbmVhbCBjaGVtb3RoZXJhcHkgKEhJUEVDKSBpbiBwc2V1ZG9teXhvbWEgcGVyaXRvbmVpIChQTVApIGFyZSBjdXJyZW50bHkgbm90IGF2YWlsYWJsZS4gT2JqZWN0aXZlczogVG8gZXZhbHVhdGUgb3V0Y29tZXMgYWZ0ZXIgY3l0b3JlZHVjdGl2ZSBzdXJnZXJ5IChDUlMpIGFuZCBISVBFQyBjb21wYXJlZCB3aXRoIENSUyBhbG9uZSBpbiBwYXRpZW50cyB3aXRoIFBNUC4gRGVzaWduLCBTZXR0aW5nLCBhbmQgUGFydGljaXBhbnRzOiBUaGlzIGNvaG9ydCBzdHVkeSBhbmFseXplZCBkYXRhIGZyb20gdGhlIFBlcml0b25lYWwgU3VyZmFjZSBPbmNvbG9neSBHcm91cCBJbnRlcm5hdGlvbmFsIChQU09HSSkgcmVnaXN0cnksIGluY2x1ZGluZyAxOTI0IHBhdGllbnRzIHdpdGggaGlzdG9sb2dpY2FsbHkgY29uZmlybWVkIFBNUCBkdWUgdG8gYW4gYXBwZW5kaWNlYWwgbXVjaW5vdXMgbmVvcGxhc20uIEVsaWdpYmxlIHBhdGllbnRzIHdlcmUgdHJlYXRlZCB3aXRoIENSUyB3aXRoIG9yIHdpdGhvdXQgSElQRUMgZnJvbSBGZWJydWFyeSAxLCAxOTkzLCB0byBEZWNlbWJlciAzMSwgMjAxNywgYW5kIGhhZCBjb21wbGV0ZSBpbmZvcm1hdGlvbiBvbiB0aGUgbWFpbiBwcm9nbm9zdGljIGZhY3RvcnMgYW5kIGludHJhcGVyaXRvbmVhbCB0cmVhdG1lbnRzLiBJbnZlcnNlIHByb2JhYmlsaXR5IHRyZWF0bWVudCB3ZWlnaHRzIGJhc2VkIG9uIHRoZSBwcm9wZW5zaXR5IHNjb3JlIGZvciBISVBFQyB0cmVhdG1lbnQgY29udGFpbmluZyB0aGUgbWFpbiBwcm9nbm9zdGljIGZhY3RvcnMgd2VyZSBhcHBsaWVkIHRvIGFsbCBtb2RlbHMgdG8gYmFsYW5jZSBjb21wYXJpc29ucyBiZXR3ZWVuIHRoZSBDUlMtSElQRUMgdnMgQ1JTLWFsb25lIGdyb3VwcyBpbiB0aGUgZW50aXJlIHNlcmllcyBhbmQgaW4gdGhlIGZvbGxvd2luZyBzdWJzZXRzOiBPcHRpbWFsIGN5dG9yZWR1Y3Rpb24sIHN1Ym9wdGltYWwgY3l0b3JlZHVjdGlvbiwgaGlnaC0gQSBuZCBsb3ctZ3JhZGUgaGlzdG9sb2dpYyBmaW5kaW5ncywgYW5kIGRpZmZlcmVudCBISVBFQyBkcnVnIHJlZ2ltZW5zLiBEYXRhIHdlcmUgYW5hbHl6ZWQgZnJvbSBNYXJjaCAxIHRvIEp1bmUgMSwgMjAxOC4gSW50ZXJ2ZW50aW9uczogSElQRUMgaW5jbHVkaW5nIG94YWxpcGxhdGluIHBsdXMgY29tYmluZWQgZmx1b3JvdXJhY2lsLWxldWNvdm9yaW4sIGNpc3BsYXRpbiBwbHVzIG1pdG9teWNpbiwgbWl0b215Y2luLCBhbmQgb3RoZXIgb3hhbGlwbGF0aW4tYmFzZWQgcmVnaW1lbnMuIE1haW4gT3V0Y29tZXMgYW5kIE1lYXN1cmVzOiBPdmVyYWxsIHN1cnZpdmFsLCBzZXZlcmUgbW9yYmlkaXR5IChkZXRlcm1pbmVkIHVzaW5nIHRoZSBOYXRpb25hbCBDYW5jZXIgSW5zdGl0dXRlIENvbW1vbiBUZXJtaW5vbG9neSBmb3IgQWR2ZXJzZSBFdmVudHMsIHZlcnNpb24gMy4wKSwgcmV0dXJuIHRvIG9wZXJhdGluZyByb29tLCBhbmQgMzAtIEEgbmQgOTAtZGF5IG1vcnRhbGl0eS4gRGlmZmVyZW5jZXMgaW4gb3ZlcmFsbCBzdXJ2aXZhbCB3ZXJlIGNvbXBhcmVkIHVzaW5nIHdlaWdodGVkIEthcGxhbi1NZWllciBjdXJ2ZXMsIGxvZy1yYW5rIHRlc3RzLCBhbmQgQ294IHByb3BvcnRpb25hbCBoYXphcmRzIG11bHRpdmFyaWFibGUgbW9kZWxzLiBBIHNlbnNpdGl2aXR5IGFuYWx5c2lzIHdhcyBiYXNlZCBvbiB0aGUgRS12YWx1ZSBmcm9tIHRoZSByZXN1bHRzIG9mIHRoZSBtYWluIENveCBwcm9wb3J0aW9uYWwgaGF6YXJkcyBtb2RlbC4gRGlmZmVyZW5jZXMgaW4gc3VyZ2ljYWwgb3V0Y29tZXMgd2VyZSBjb21wYXJlZCB1c2luZyB3ZWlnaHRlZCBtdWx0aXZhcmlhYmxlIGxvZ2lzdGljIG1vZGVscy4gUmVzdWx0czogT2YgdGhlIDE5MjQgcGF0aWVudHMgaW5jbHVkZWQgaW4gdGhlIGFuYWx5c2lzICg5OTcgWzUxLjglXSBtZW47IG1lZGlhbiBhZ2UsIDU2IFtpbnRlcnF1YXJ0aWxlIHJhbmdlIGV4dHJlbWVzIChJUVJFKSwgNDUtNjVdIHllYXJzKSwgMzc2IHdlcmUgaW4gdGhlIENSUy1hbG9uZSBncm91cCBhbmQgMTU0OCBpbiB0aGUgQ1JTLUhJUEVDIGdyb3VwLiBQYXRpZW50cyB3aXRoIENSUyBhbG9uZSB3ZXJlIG9sZGVyIChtZWRpYW4gYWdlLCA2MCBbSVFSRSwgNDgtNzBdIHZzIDU0IFtJUVJFLCA0NC02M10geWVhcnMpLCBoYWQgbGVzcyBseW1waCBub2RlIGludm9sdmVtZW50ICgxNCBbMy43JV0gdnMgMTE5IFs3LjclXSksIHJlY2VpdmVkIG1vcmUgcHJlb3BlcmF0aXZlIHN5c3RlbWljIGNoZW1vdGhlcmFweSAoMTk4IFs1Mi43JV0gdnMgNTI5IFszNC4yJV0pLCBhbmQgaGFkIGhpZ2hlciBwcm9wb3J0aW9ucyBvZiBoaWdoLWdyYWRlIGRpc2Vhc2UgKDE3OSBbNDcuNiVdIHZzIDQ5MiBbMzEuOCVdKSBhbmQgc3Vib3B0aW1hbCBjeXRvcmVkdWN0aW9uIHJlc2lkdWFsIGRpc2Vhc2UgKGdyYWRlIDMsIDE3NSBbNDYuNSVdIHZzIDExNyBbNy42JV0pLiBISVBFQyB3YXMgbm90IGFzc29jaWF0ZWQgd2l0aCBhIGhpZ2hlciByaXNrIG9mIHdvcnNlIHN1cmdpY2FsIG91dGNvbWVzIGV4Y2VwdCB3aXRoIG1pdG9teWNpbiwgd2l0aCBoaWdoZXIgb2RkcyBvZiBtb3JiaWRpdHkgKDEuOTk7IDk1JSBDSSwgMS4yNS0zLjE5OyBQID0uMDA0KS4gSElQRUMgd2FzIGFzc29jaWF0ZWQgd2l0aCBhIHNpZ25pZmljYW50bHkgYmV0dGVyIG92ZXJhbGwgc3Vydml2YWwgaW4gYWxsIHN1YnNldHMgKGFkanVzdGVkIGhhemFyZCByYXRpb3MgW0hSc10sIDAuNjAtMC42OCwgd2l0aCA5NSUgQ0lzIG5vdCBjcm9zc2luZyAxLjAwKS4gVGhlIHdlaWdodGVkIDUteWVhciBvdmVyYWxsIHN1cnZpdmFsIHdhcyA1Ny44JSAoOTUlIENJLCA1MC44JS02NS43JSkgdnMgNDYuMiUgKDk1JSBDSSwgNDAuMyUtNTIuOCUpIGZvciBDUlMtSElQRUMgYW5kIENSUyBhbG9uZSwgcmVzcGVjdGl2ZWx5ICh3ZWlnaHRlZCBIUiwgMC42NTsgOTUlIENJLCAwLjUwLTAuODM7IFAgPC4wMDE7IEUtdmFsdWUsIDIuMDMpLiBTdWNoIHByb2dub3N0aWMgYWR2YW50YWdlIHdhcyBhc3NvY2lhdGVkIHdpdGggb3hhbGlwbGF0aW4gcGx1cyBmbHVvcm91cmFjaWwtbGV1Y292b3JpbiAoSFIsIDAuNDI7IDk1JSBDSSwgMC4xOS0wLjkzOyBQID0uMDMpIGFuZCBjaXNwbGF0aW4gcGx1cyBtaXRvbXljaW4gKEhSLCAwLjU3OyA5NSUgQ0ksIDAuNDItMC43ODsgUCA9LjAwMSkgc2NoZWR1bGVzLiBDb25jbHVzaW9ucyBhbmQgUmVsZXZhbmNlOiBJbiB0aGlzIGNvaG9ydCBzdHVkeSwgSElQRUMgd2FzIGFzc29jaWF0ZWQgd2l0aCBiZXR0ZXIgb3ZlcmFsbCBzdXJ2aXZhbCB3aGVuIHBlcmZvcm1lZCBhZnRlciBDUlMgaW4gUE1QLCBnZW5lcmFsbHkgd2l0aG91dCBhZHZlcnNlIGVmZmVjdHMgb24gc3VyZ2ljYWwgb3V0Y29tZXMuLiIsInB1Ymxpc2hlciI6IkpBTUEgU3VyZyIsImlzc3VlIjoiMyIsInZvbHVtZSI6IjE1NiJ9LCJpc1RlbXBvcmFyeSI6ZmFsc2V9XX0="/>
          <w:id w:val="-211430539"/>
        </w:sdtPr>
        <w:sdtContent>
          <w:r>
            <w:rPr>
              <w:color w:val="000000"/>
            </w:rPr>
          </w:r>
          <w:r>
            <w:rPr>
              <w:color w:val="000000"/>
            </w:rPr>
            <w:t>(53)</w:t>
          </w:r>
        </w:sdtContent>
      </w:sdt>
      <w:r>
        <w:rPr>
          <w:color w:val="000000"/>
        </w:rPr>
        <w:t>.</w:t>
      </w:r>
    </w:p>
    <w:p>
      <w:pPr>
        <w:pStyle w:val="Normal"/>
        <w:rPr>
          <w:rStyle w:val="s1"/>
        </w:rPr>
      </w:pPr>
      <w:r>
        <w:rPr/>
      </w:r>
    </w:p>
    <w:p>
      <w:pPr>
        <w:pStyle w:val="Normal"/>
        <w:rPr>
          <w:b/>
        </w:rPr>
      </w:pPr>
      <w:bookmarkStart w:id="176" w:name="_Toc199584621"/>
      <w:r>
        <w:rPr>
          <w:b/>
        </w:rPr>
        <w:t>Etapa quirúrgica de la citorreducción (CRS)</w:t>
      </w:r>
      <w:bookmarkEnd w:id="176"/>
    </w:p>
    <w:p>
      <w:pPr>
        <w:pStyle w:val="p1"/>
        <w:spacing w:lineRule="auto" w:line="360" w:before="280" w:after="280"/>
        <w:jc w:val="both"/>
        <w:rPr/>
      </w:pPr>
      <w:r>
        <w:rPr/>
        <w:t>La cirugía citorreductora consiste en una serie de peritonectomías sistemáticas y resecciones viscerales, según la distribución tumoral. El abordaje se adapta a las características del paciente y a la extensión de la enfermedad, calculada habitualmente mediante el índice de cáncer peritoneal (PCI).</w:t>
      </w:r>
    </w:p>
    <w:p>
      <w:pPr>
        <w:pStyle w:val="p1"/>
        <w:spacing w:lineRule="auto" w:line="360" w:before="280" w:after="280"/>
        <w:jc w:val="both"/>
        <w:rPr>
          <w:rStyle w:val="s1"/>
        </w:rPr>
      </w:pPr>
      <w:r>
        <w:rPr/>
        <w:t xml:space="preserve">La cavidad abdominal se divide en 13 regiones (9 abdominales + 4 del intestino delgado), y a cada región se le asigna un puntaje (LS) de 0 a 3 según el tamaño del mayor implante tumoral: </w:t>
      </w:r>
    </w:p>
    <w:p>
      <w:pPr>
        <w:pStyle w:val="p1"/>
        <w:numPr>
          <w:ilvl w:val="0"/>
          <w:numId w:val="43"/>
        </w:numPr>
        <w:spacing w:lineRule="auto" w:line="360" w:before="280" w:after="280"/>
        <w:jc w:val="both"/>
        <w:rPr/>
      </w:pPr>
      <w:r>
        <w:rPr/>
        <w:t>LS-0: sin tumor visible.</w:t>
      </w:r>
    </w:p>
    <w:p>
      <w:pPr>
        <w:pStyle w:val="p1"/>
        <w:spacing w:lineRule="auto" w:line="360" w:before="280" w:after="280"/>
        <w:jc w:val="both"/>
        <w:rPr/>
      </w:pPr>
      <w:r>
        <w:rPr/>
      </w:r>
    </w:p>
    <w:p>
      <w:pPr>
        <w:pStyle w:val="p1"/>
        <w:numPr>
          <w:ilvl w:val="0"/>
          <w:numId w:val="43"/>
        </w:numPr>
        <w:spacing w:lineRule="auto" w:line="360" w:before="280" w:after="0"/>
        <w:jc w:val="both"/>
        <w:rPr/>
      </w:pPr>
      <w:r>
        <w:rPr/>
        <w:t>LS-1: ≤ 0,5 cm.</w:t>
      </w:r>
    </w:p>
    <w:p>
      <w:pPr>
        <w:pStyle w:val="p1"/>
        <w:numPr>
          <w:ilvl w:val="0"/>
          <w:numId w:val="43"/>
        </w:numPr>
        <w:spacing w:lineRule="auto" w:line="360" w:before="0" w:after="0"/>
        <w:jc w:val="both"/>
        <w:rPr/>
      </w:pPr>
      <w:r>
        <w:rPr/>
        <w:t>LS-2: &gt; 0,5–5 cm.</w:t>
      </w:r>
    </w:p>
    <w:p>
      <w:pPr>
        <w:pStyle w:val="p1"/>
        <w:numPr>
          <w:ilvl w:val="0"/>
          <w:numId w:val="43"/>
        </w:numPr>
        <w:spacing w:lineRule="auto" w:line="360" w:before="0" w:after="280"/>
        <w:jc w:val="both"/>
        <w:rPr/>
      </w:pPr>
      <w:r>
        <w:rPr/>
        <w:t>LS-3: &gt; 5 cm o confluentes.</w:t>
      </w:r>
    </w:p>
    <w:p>
      <w:pPr>
        <w:pStyle w:val="p1"/>
        <w:spacing w:lineRule="auto" w:line="360" w:before="280" w:after="280"/>
        <w:jc w:val="both"/>
        <w:rPr/>
      </w:pPr>
      <w:r>
        <w:rPr/>
        <w:t>El PCI total varía de 0 a 39 puntos. Una vez establecido el puntaje, se puede orientar la conducta terapéutica a seguir.</w:t>
      </w:r>
    </w:p>
    <w:p>
      <w:pPr>
        <w:pStyle w:val="p1"/>
        <w:spacing w:lineRule="auto" w:line="360" w:before="280" w:after="280"/>
        <w:jc w:val="both"/>
        <w:rPr/>
      </w:pPr>
      <w:r>
        <w:rPr/>
        <w:t>Un PCI bajo (0–10) identifica candidatos ideales a CRS + HIPEC; un PCI intermedio (11–20) amerita evaluación individual, dependiendo del tipo histológico, y un PCI alto (&gt;20–25) indica peor pronóstico. En tumores de bajo grado aún se puede considerar CRS + HIPEC, pero en adenocarcinomas o HAMN de alto grado, suele representar una contraindicación relativa o absoluta</w:t>
      </w:r>
      <w:sdt>
        <w:sdtPr>
          <w:placeholder>
            <w:docPart w:val="9362F79D54ABA84480E8848BF0A0E4F9"/>
          </w:placeholder>
          <w:tag w:val="MENDELEY_CITATION_v3_eyJjaXRhdGlvbklEIjoiTUVOREVMRVlfQ0lUQVRJT05fMzZmMDVjMmMtMGUyYi00ZmU3LTk2YTEtMzMyZTIyYWE3MGE3IiwicHJvcGVydGllcyI6eyJub3RlSW5kZXgiOjB9LCJpc0VkaXRlZCI6ZmFsc2UsIm1hbnVhbE92ZXJyaWRlIjp7ImlzTWFudWFsbHlPdmVycmlkZGVuIjpmYWxzZSwiY2l0ZXByb2NUZXh0IjoiKDI2LDU0KSIsIm1hbnVhbE92ZXJyaWRlVGV4dCI6IiJ9LCJjaXRhdGlvbkl0ZW1zIjpbeyJpZCI6IjZjZGVhNWYzLTBiNzItMzgxNS1iYzM1LTE4ZWNlZmEzMWYzOCIsIml0ZW1EYXRhIjp7InR5cGUiOiJhcnRpY2xlLWpvdXJuYWwiLCJpZCI6IjZjZGVhNWYzLTBiNzItMzgxNS1iYzM1LTE4ZWNlZmEzMWYzOCIsInRpdGxlIjoiVGhlIExhbmRtYXJrIFNlcmllczogQXBwZW5kaWNlYWwgUHJpbWFyeSBQZXJpdG9uZWFsIFN1cmZhY2UgTWFsaWduYW5jeSIsImF1dGhvciI6W3siZmFtaWx5IjoiR2FuZ2kiLCJnaXZlbiI6IkFsZXhhbmRyYSIsInBhcnNlLW5hbWVzIjpmYWxzZSwiZHJvcHBpbmctcGFydGljbGUiOiIiLCJub24tZHJvcHBpbmctcGFydGljbGUiOiIifSx7ImZhbWlseSI6IlNoYWgiLCJnaXZlbiI6IlJ1cGVuIiwicGFyc2UtbmFtZXMiOmZhbHNlLCJkcm9wcGluZy1wYXJ0aWNsZSI6IiIsIm5vbi1kcm9wcGluZy1wYXJ0aWNsZSI6IiJ9XSwiY29udGFpbmVyLXRpdGxlIjoiQW5uYWxzIG9mIHN1cmdpY2FsIG9uY29sb2d5IiwiY29udGFpbmVyLXRpdGxlLXNob3J0IjoiQW5uIFN1cmcgT25jb2wiLCJET0kiOiIxMC4xMjQ1L1MxMDQzNC0wMjEtMTA4NTYtOCIsIklTU04iOiIxNTM0LTQ2ODEiLCJQTUlEIjoiMzQ4NTM5NDQiLCJpc3N1ZWQiOnsiZGF0ZS1wYXJ0cyI6W1syMDIyXV19LCJwYWdlIjoiMjA1Ni0yMDY4IiwiYWJzdHJhY3QiOiJBcHBlbmRpY2VhbCBwcmltYXJ5IHBlcml0b25lYWwgc3VyZmFjZSBtYWxpZ25hbmNpZXMgYXJlIHJhcmUgYW5kIGluY2x1ZGUgYSBicm9hZCBzcGVjdHJ1bSBvZiBwYXRob2xvZ2llcyByYW5naW5nIGZyb20gaW5kb2xlbnQgZGlzZWFzZSB0byBhZ2dyZXNzaXZlIGRpc2Vhc2UuIEFzIHN1Y2gsIHRoZSBkYXRhIHRoYXQgZHJpdmUgdGhlIG1hbmFnZW1lbnQgb2YgYXBwZW5kaWNlYWwgcGVyaXRvbmVhbCBzdXJmYWNlIG1hbGlnbmFuY2llcyBpcyBnZW5lcmFsbHkgbm90IGJhc2VkIG9uIHByb3NwZWN0aXZlIGNsaW5pY2FsIHRyaWFsIGRhdGEsIGJ1dCByYXRoZXIgY29uc2lzdHMgb2YgbGV2ZWwgMSBkYXRhIGJhc2VkIG9uIHJldHJvc3BlY3RpdmUgc3R1ZGllcyBhbmQgaGlnaC12b2x1bWUgaW5zdGl0dXRpb25hbCBleHBlcmllbmNlcy4gQ29tcGxldGUgc3VyZ2ljYWwgZGVidWxraW5nIHR5cGljYWxseSBvZmZlcnMgdGhlIGJlc3QgY2hhbmNlIGZvciBsb25nLXRlcm0gc3Vydml2YWwuIFRoaXMgcmV2aWV3IGhpZ2hsaWdodHMgdGhlIGxhbmRtYXJrIGFydGljbGVzIG9uIHdoaWNoIG1hbmFnZW1lbnQgb2YgcHJpbWFyeSBhcHBlbmRpY2VhbCBwZXJpdG9uZWFsIHN1cmZhY2UgbWFsaWduYW5jaWVzIGFyZSBiYXNlZC4iLCJwdWJsaXNoZXIiOiJBbm4gU3VyZyBPbmNvbCIsImlzc3VlIjoiMyIsInZvbHVtZSI6IjI5In0sImlzVGVtcG9yYXJ5IjpmYWxzZX0seyJpZCI6ImUxNmY5YmFiLWM3YmEtM2NhNS05ZTNmLTM2MzMwYzBkYjQ2NyIsIml0ZW1EYXRhIjp7InR5cGUiOiJhcnRpY2xlLWpvdXJuYWwiLCJpZCI6ImUxNmY5YmFiLWM3YmEtM2NhNS05ZTNmLTM2MzMwYzBkYjQ2NyIsInRpdGxlIjoiQXBwZW5kaWNlYWwgYWRlbm9jYXJjaW5vbWE6IEN1cnJlbnQgY29uY2VwdHMgJiBjaGFsbGVuZ2VzIiwiYXV0aG9yIjpbeyJmYW1pbHkiOiJCZWxsIiwiZ2l2ZW4iOiJQaG9lbml4IEQuIiwicGFyc2UtbmFtZXMiOmZhbHNlLCJkcm9wcGluZy1wYXJ0aWNsZSI6IiIsIm5vbi1kcm9wcGluZy1wYXJ0aWNsZSI6IiJ9XSwiY29udGFpbmVyLXRpdGxlIjoiU2VtaW5hcnMgaW4gZGlhZ25vc3RpYyBwYXRob2xvZ3kiLCJjb250YWluZXItdGl0bGUtc2hvcnQiOiJTZW1pbiBEaWFnbiBQYXRob2wiLCJET0kiOiIxMC4xMDUzL0ouU0VNRFAuMjAyNC4wOC4wMDUiLCJJU1NOIjoiMDc0MC0yNTcwIiwiUE1JRCI6IjM5MjE0NzI1IiwiaXNzdWVkIjp7ImRhdGUtcGFydHMiOltbMjAyNF1dfSwicGFnZSI6IjIxMy0yMjEiLCJhYnN0cmFjdCI6IkFwcGVuZGljZWFsIGFkZW5vY2FyY2lub21hIChBcEFDKSBpcyBhIHJhcmUgbWFsaWduYW5jeSwgY29tcHJpc2luZyBsZXNzIHRoYW4gMSAlIG9mIGFsbCBnYXN0cm9pbnRlc3RpbmFsIHR1bW9ycy4gVGhlIGN1cnJlbnQgV29ybGQgSGVhbHRoIE9yZ2FuaXphdGlvbiBjbGFzc2lmaWVzIEFwQUMgYXMgbXVjaW5vdXMgb3Igbm9ubXVjaW5vdXMuIE11Y2lub3VzIEFwQUMgYXJlIGNvbXBvc2VkIG9mIHBvb2xzIG9mIG11Y2luIGxpbmVkIGJ5IGNlbGxzIHdpdGggbG93LSBhbmQgaGlnaC1ncmFkZSBjeXRvbG9neSBhbmQgYXJlYXMgb2YgaW5maWx0cmF0aXZlIGludmFzaW9uLiBOb25tdWNpbm91cyBBcEFDIGhpc3RvbG9naWNhbGx5IHJlc2VtYmxlIGNvbnZlbnRpb25hbCBjb2xvcmVjdGFsIGFkZW5vY2FyY2lub21hcyBhbmQgaGF2ZSBhIHdvcnNlIHByb2dub3NpcyB0aGFuIHRoZWlyIG11Y2lub3VzIGNvdW50ZXJwYXJ0LiBVbmZvcnR1bmF0ZWx5LCB0aGUgbm9tZW5jbGF0dXJlIGFuZCBoaXN0b2xvZ2ljIGNsYXNzaWZpY2F0aW9uIG9mIEFwQUMsIHNwZWNpZmljYWxseSB0aGUgbXVjaW5vdXMgc3VidHlwZSwgaGFzIGNoYW5nZWQgc2V2ZXJhbCB0aW1lcyB0aHJvdWdob3V0IHRoZSB5ZWFycywgY29udHJpYnV0aW5nIHRvIGRpYWdub3N0aWMgY29uZnVzaW9uIGZvciBwYXRob2xvZ2lzdHMuIFRoZSB0cmVhdG1lbnQgZm9yIG11Y2lub3VzIEFwQUMgZGlmZmVycyBmcm9tIHRoYXQgb2Ygb3RoZXIgYXBwZW5kaWNlYWwgbXVjaW5vdXMgbmVvcGxhc21zLCB0aHVzIGFjY3VyYXRlIGRpYWdub3NpcyBpcyBrZXkgdG8gcGF0aWVudCBtYW5hZ2VtZW50IGFuZCBvdXRjb21lLiBUaGlzIHJldmlldyBkaXNjdXNzZXMgdGhlIGN1cnJlbnQgY2xhc3NpZmljYXRpb24gYW5kIHN0YWdpbmcgb2YgQXBBQyB3aXRoIGEgcGFydGljdWxhciBlbXBoYXNpcyBvbiB0aGUgbXVjaW5vdXMgc3VidHlwZSBhbmQgcGVyaXRvbmVhbCBkaXNlYXNlLCBhcyB0aGVzZSBhcmVhcyBhcmUgdGhlIG1vc3QgY2hhbGxlbmdpbmcgZm9yIHByYWN0aWNpbmcgc3VyZ2ljYWwgcGF0aG9sb2dpc3RzLiIsInB1Ymxpc2hlciI6IlNlbWluIERpYWduIFBhdGhvbCIsImlzc3VlIjoiNSIsInZvbHVtZSI6IjQxIn0sImlzVGVtcG9yYXJ5IjpmYWxzZX1dfQ=="/>
          <w:id w:val="720178254"/>
        </w:sdtPr>
        <w:sdtContent>
          <w:r>
            <w:rPr/>
          </w:r>
          <w:r>
            <w:rPr>
              <w:color w:val="000000"/>
            </w:rPr>
            <w:t>(26,54)</w:t>
          </w:r>
        </w:sdtContent>
      </w:sdt>
    </w:p>
    <w:p>
      <w:pPr>
        <w:pStyle w:val="p3"/>
        <w:spacing w:lineRule="auto" w:line="360" w:before="280" w:after="280"/>
        <w:jc w:val="both"/>
        <w:rPr/>
      </w:pPr>
      <w:r>
        <w:rPr/>
        <w:t>Las principales maniobras quirúrgicas incluyen la resección de apéndice, ciego y, cuando corresponde, hemicolectomía derecha; peritonectomías diafragmática, subfrénica, pelviana y de flancos; omentectomía mayor y menor; resecciones segmentarias de intestino delgado, colon, bazo, útero, ovarios y otros órganos afectados por implantes.</w:t>
      </w:r>
    </w:p>
    <w:p>
      <w:pPr>
        <w:pStyle w:val="p3"/>
        <w:spacing w:lineRule="auto" w:line="360" w:before="280" w:after="280"/>
        <w:jc w:val="both"/>
        <w:rPr/>
      </w:pPr>
      <w:r>
        <w:rPr/>
        <w:t xml:space="preserve">El objetivo principal de la cirugía es eliminar todo el tumor visible de la cavidad peritoneal. Según la cantidad de tumor residual al final del procedimiento, la resección puede clasificarse en tres tipos de resultado. </w:t>
      </w:r>
    </w:p>
    <w:tbl>
      <w:tblPr>
        <w:tblStyle w:val="GridTable2"/>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op w:val="nil"/>
            </w:tcBorders>
            <w:shd w:color="auto" w:fill="FFFFFF" w:themeFill="background1" w:val="clear"/>
          </w:tcPr>
          <w:p>
            <w:pPr>
              <w:pStyle w:val="Normal"/>
              <w:widowControl/>
              <w:spacing w:before="0" w:after="0"/>
              <w:jc w:val="left"/>
              <w:rPr>
                <w:b/>
                <w:bCs/>
                <w:kern w:val="0"/>
                <w:lang w:val="es-CR" w:bidi="ar-SA"/>
              </w:rPr>
            </w:pPr>
            <w:r>
              <w:rPr>
                <w:b/>
                <w:bCs/>
                <w:kern w:val="0"/>
                <w:lang w:val="es-CR" w:bidi="ar-SA"/>
              </w:rPr>
            </w:r>
          </w:p>
        </w:tc>
      </w:tr>
    </w:tbl>
    <w:p>
      <w:pPr>
        <w:pStyle w:val="Caption"/>
        <w:keepNext w:val="true"/>
        <w:rPr>
          <w:b/>
          <w:bCs/>
          <w:i w:val="false"/>
          <w:i w:val="false"/>
          <w:iCs w:val="false"/>
          <w:color w:themeColor="text1" w:val="000000"/>
        </w:rPr>
      </w:pPr>
      <w:bookmarkStart w:id="177" w:name="_Toc199964155"/>
      <w:bookmarkStart w:id="178" w:name="_Toc199964092"/>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9</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Clasificación del tipo de citorreducción</w:t>
      </w:r>
      <w:bookmarkEnd w:id="177"/>
      <w:bookmarkEnd w:id="178"/>
    </w:p>
    <w:tbl>
      <w:tblPr>
        <w:tblStyle w:val="GridTable2"/>
        <w:tblW w:w="882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8827"/>
      </w:tblGrid>
      <w:tr>
        <w:trPr>
          <w:cnfStyle w:val="100000000000" w:firstRow="1" w:lastRow="0" w:firstColumn="0" w:lastColumn="0" w:oddVBand="0" w:evenVBand="0" w:oddHBand="0"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top w:val="nil"/>
              <w:bottom w:val="single" w:sz="12" w:space="0" w:color="666666"/>
            </w:tcBorders>
            <w:shd w:color="auto" w:fill="FFFFFF" w:themeFill="background1" w:val="clear"/>
          </w:tcPr>
          <w:p>
            <w:pPr>
              <w:pStyle w:val="p1"/>
              <w:widowControl/>
              <w:numPr>
                <w:ilvl w:val="0"/>
                <w:numId w:val="15"/>
              </w:numPr>
              <w:spacing w:before="0" w:after="280"/>
              <w:jc w:val="left"/>
              <w:rPr>
                <w:sz w:val="22"/>
                <w:szCs w:val="22"/>
              </w:rPr>
            </w:pPr>
            <w:r>
              <w:rPr>
                <w:b/>
                <w:bCs/>
                <w:kern w:val="0"/>
                <w:sz w:val="22"/>
                <w:szCs w:val="22"/>
                <w:lang w:val="es-CR" w:bidi="ar-SA"/>
              </w:rPr>
              <w:t>CC-0 (Citorreducción completa 0)</w:t>
            </w:r>
            <w:r>
              <w:rPr>
                <w:rStyle w:val="s1"/>
                <w:b/>
                <w:bCs/>
                <w:kern w:val="0"/>
                <w:sz w:val="22"/>
                <w:szCs w:val="22"/>
                <w:lang w:val="es-CR" w:bidi="ar-SA"/>
              </w:rPr>
              <w:t xml:space="preserve">: </w:t>
            </w:r>
            <w:r>
              <w:rPr>
                <w:b w:val="false"/>
                <w:bCs w:val="false"/>
                <w:kern w:val="0"/>
                <w:sz w:val="22"/>
                <w:szCs w:val="22"/>
                <w:lang w:val="es-CR" w:bidi="ar-SA"/>
              </w:rPr>
              <w:t>No queda tumor macroscópico visible. Es el objetivo ideal de la cirugía.</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shd w:color="auto" w:fill="CCCCCC" w:themeFill="text1" w:themeFillTint="33" w:val="clear"/>
          </w:tcPr>
          <w:p>
            <w:pPr>
              <w:pStyle w:val="p1"/>
              <w:widowControl/>
              <w:numPr>
                <w:ilvl w:val="0"/>
                <w:numId w:val="15"/>
              </w:numPr>
              <w:spacing w:before="0" w:after="280"/>
              <w:jc w:val="left"/>
              <w:rPr>
                <w:sz w:val="22"/>
                <w:szCs w:val="22"/>
              </w:rPr>
            </w:pPr>
            <w:r>
              <w:rPr>
                <w:b/>
                <w:bCs/>
                <w:kern w:val="0"/>
                <w:sz w:val="22"/>
                <w:szCs w:val="22"/>
                <w:lang w:val="es-CR" w:bidi="ar-SA"/>
              </w:rPr>
              <w:t>CC-1 (Citorreducción completa 1)</w:t>
            </w:r>
            <w:r>
              <w:rPr>
                <w:rStyle w:val="s1"/>
                <w:b/>
                <w:bCs/>
                <w:kern w:val="0"/>
                <w:sz w:val="22"/>
                <w:szCs w:val="22"/>
                <w:lang w:val="es-CR" w:bidi="ar-SA"/>
              </w:rPr>
              <w:t xml:space="preserve">: </w:t>
            </w:r>
            <w:r>
              <w:rPr>
                <w:b w:val="false"/>
                <w:bCs w:val="false"/>
                <w:kern w:val="0"/>
                <w:sz w:val="22"/>
                <w:szCs w:val="22"/>
                <w:lang w:val="es-CR" w:bidi="ar-SA"/>
              </w:rPr>
              <w:t>Quedan nódulos tumorales residuales de ≤2.5 mm de grosor máximo. Se considera aún una citorreducción aceptable porque lesiones tan pequeñas son susceptibles de ser erradicadas por la HIPEC.</w:t>
            </w:r>
          </w:p>
        </w:tc>
      </w:tr>
      <w:tr>
        <w:trPr/>
        <w:tc>
          <w:tcPr>
            <w:tcW w:w="8827" w:type="dxa"/>
            <w:cnfStyle w:val="001000000000" w:firstRow="0" w:lastRow="0" w:firstColumn="1" w:lastColumn="0" w:oddVBand="0" w:evenVBand="0" w:oddHBand="0" w:evenHBand="0" w:firstRowFirstColumn="0" w:firstRowLastColumn="0" w:lastRowFirstColumn="0" w:lastRowLastColumn="0"/>
            <w:tcBorders/>
          </w:tcPr>
          <w:p>
            <w:pPr>
              <w:pStyle w:val="p1"/>
              <w:widowControl/>
              <w:numPr>
                <w:ilvl w:val="0"/>
                <w:numId w:val="15"/>
              </w:numPr>
              <w:spacing w:before="0" w:after="280"/>
              <w:jc w:val="left"/>
              <w:rPr>
                <w:sz w:val="22"/>
                <w:szCs w:val="22"/>
              </w:rPr>
            </w:pPr>
            <w:r>
              <w:rPr>
                <w:b/>
                <w:bCs/>
                <w:kern w:val="0"/>
                <w:sz w:val="22"/>
                <w:szCs w:val="22"/>
                <w:lang w:val="es-CR" w:bidi="ar-SA"/>
              </w:rPr>
              <w:t>CC-2 (Citorreducción incompleta 2)</w:t>
            </w:r>
            <w:r>
              <w:rPr>
                <w:rStyle w:val="s1"/>
                <w:b/>
                <w:bCs/>
                <w:kern w:val="0"/>
                <w:sz w:val="22"/>
                <w:szCs w:val="22"/>
                <w:lang w:val="es-CR" w:bidi="ar-SA"/>
              </w:rPr>
              <w:t xml:space="preserve">: </w:t>
            </w:r>
            <w:r>
              <w:rPr>
                <w:b w:val="false"/>
                <w:bCs w:val="false"/>
                <w:kern w:val="0"/>
                <w:sz w:val="22"/>
                <w:szCs w:val="22"/>
                <w:lang w:val="es-CR" w:bidi="ar-SA"/>
              </w:rPr>
              <w:t>Quedan nódulos tumorales entre 2.5 mm y 2.5 cm de tamaño. Representa una resección incompleta; disminuye significativamente la efectividad de la HIPEC y empeora el pronóstico.</w:t>
            </w:r>
          </w:p>
        </w:tc>
      </w:tr>
      <w:tr>
        <w:trPr>
          <w:cnfStyle w:val="000000100000" w:firstRow="0" w:lastRow="0" w:firstColumn="0" w:lastColumn="0" w:oddVBand="0" w:evenVBand="0" w:oddHBand="1" w:evenHBand="0" w:firstRowFirstColumn="0" w:firstRowLastColumn="0" w:lastRowFirstColumn="0" w:lastRowLastColumn="0"/>
        </w:trPr>
        <w:tc>
          <w:tcPr>
            <w:tcW w:w="8827" w:type="dxa"/>
            <w:cnfStyle w:val="001000000000" w:firstRow="0" w:lastRow="0" w:firstColumn="1" w:lastColumn="0" w:oddVBand="0" w:evenVBand="0" w:oddHBand="0" w:evenHBand="0" w:firstRowFirstColumn="0" w:firstRowLastColumn="0" w:lastRowFirstColumn="0" w:lastRowLastColumn="0"/>
            <w:tcBorders>
              <w:bottom w:val="nil"/>
            </w:tcBorders>
            <w:shd w:color="auto" w:fill="CCCCCC" w:themeFill="text1" w:themeFillTint="33" w:val="clear"/>
          </w:tcPr>
          <w:p>
            <w:pPr>
              <w:pStyle w:val="p1"/>
              <w:widowControl/>
              <w:numPr>
                <w:ilvl w:val="0"/>
                <w:numId w:val="15"/>
              </w:numPr>
              <w:spacing w:before="0" w:after="280"/>
              <w:jc w:val="left"/>
              <w:rPr>
                <w:sz w:val="22"/>
                <w:szCs w:val="22"/>
              </w:rPr>
            </w:pPr>
            <w:r>
              <w:rPr>
                <w:b/>
                <w:bCs/>
                <w:kern w:val="0"/>
                <w:sz w:val="22"/>
                <w:szCs w:val="22"/>
                <w:lang w:val="es-CR" w:bidi="ar-SA"/>
              </w:rPr>
              <w:t>CC-3 (Citorreducción incompleta 3)</w:t>
            </w:r>
            <w:r>
              <w:rPr>
                <w:rStyle w:val="s1"/>
                <w:b/>
                <w:bCs/>
                <w:kern w:val="0"/>
                <w:sz w:val="22"/>
                <w:szCs w:val="22"/>
                <w:lang w:val="es-CR" w:bidi="ar-SA"/>
              </w:rPr>
              <w:t xml:space="preserve">: </w:t>
            </w:r>
            <w:r>
              <w:rPr>
                <w:b w:val="false"/>
                <w:bCs w:val="false"/>
                <w:kern w:val="0"/>
                <w:sz w:val="22"/>
                <w:szCs w:val="22"/>
                <w:lang w:val="es-CR" w:bidi="ar-SA"/>
              </w:rPr>
              <w:t>Persisten implantes tumorales mayores a 2.5 cm o masa tumoral confluente irresecable. Se asocia con un pronóstico muy pobre.</w:t>
            </w:r>
            <w:sdt>
              <w:sdtPr>
                <w:placeholder>
                  <w:docPart w:val="F952DC79D295FF4FB98D6E79193B76F7"/>
                </w:placeholder>
                <w:tag w:val="MENDELEY_CITATION_v3_eyJjaXRhdGlvbklEIjoiTUVOREVMRVlfQ0lUQVRJT05fYjcxN2EyMjQtZmI1Yy00YTgyLWFmMjctZTk5ZTNmZGRjNDcwIiwicHJvcGVydGllcyI6eyJub3RlSW5kZXgiOjB9LCJpc0VkaXRlZCI6ZmFsc2UsIm1hbnVhbE92ZXJyaWRlIjp7ImlzTWFudWFsbHlPdmVycmlkZGVuIjpmYWxzZSwiY2l0ZXByb2NUZXh0IjoiKDgpIiwibWFudWFsT3ZlcnJpZGVUZXh0IjoiIn0sImNpdGF0aW9uSXRlbXMiOlt7ImlkIjoiMDNhOGU4MGUtODU2YS0zNGM1LTk1MzQtYjU1MzljMGQxNzBiIiwiaXRlbURhdGEiOnsidHlwZSI6ImFydGljbGUtam91cm5hbCIsImlkIjoiMDNhOGU4MGUtODU2YS0zNGM1LTk1MzQtYjU1MzljMGQxNzBiIiwidGl0bGUiOiJUaGUgQ2hpY2FnbyBDb25zZW5zdXMgb24gUGVyaXRvbmVhbCBTdXJmYWNlIE1hbGlnbmFuY2llczogTWFuYWdlbWVudCBvZiBBcHBlbmRpY2VhbCBOZW9wbGFzbXMiLCJhdXRob3IiOlt7ImZhbWlseSI6IlNjaHVpdGV2b2VyZGVyIiwiZ2l2ZW4iOiJEYXJyeWwiLCJwYXJzZS1uYW1lcyI6ZmFsc2UsImRyb3BwaW5nLXBhcnRpY2xlIjoiIiwibm9uLWRyb3BwaW5nLXBhcnRpY2xlIjoiIn0seyJmYW1pbHkiOiJQbGFuYSIsImdpdmVuIjoiQWxlamFuZHJvIiwicGFyc2UtbmFtZXMiOmZhbHNlLCJkcm9wcGluZy1wYXJ0aWNsZSI6IiIsIm5vbi1kcm9wcGluZy1wYXJ0aWNsZSI6IiJ9LHsiZmFtaWx5IjoiSXpxdWllcmRvIiwiZ2l2ZW4iOiJGcmFuY2lzY28gSi4iLCJwYXJzZS1uYW1lcyI6ZmFsc2UsImRyb3BwaW5nLXBhcnRpY2xlIjoiIiwibm9uLWRyb3BwaW5nLXBhcnRpY2xlIjoiIn0seyJmYW1pbHkiOiJWb3Rhbm9wb3Vsb3MiLCJnaXZlbiI6IktvbnN0YW50aW5vcyBJLiIsInBhcnNlLW5hbWVzIjpmYWxzZSwiZHJvcHBpbmctcGFydGljbGUiOiIiLCJub24tZHJvcHBpbmctcGFydGljbGUiOiIifSx7ImZhbWlseSI6IkN1c2FjayIsImdpdmVuIjoiSmFtZXMgQy4iLCJwYXJzZS1uYW1lcyI6ZmFsc2UsImRyb3BwaW5nLXBhcnRpY2xlIjoiIiwibm9uLWRyb3BwaW5nLXBhcnRpY2xlIjoiIn0seyJmYW1pbHkiOiJCaWplbGljIiwiZ2l2ZW4iOiJMYW5hIiwicGFyc2UtbmFtZXMiOmZhbHNlLCJkcm9wcGluZy1wYXJ0aWNsZSI6IiIsIm5vbi1kcm9wcGluZy1wYXJ0aWNsZSI6IiJ9LHsiZmFtaWx5IjoiQ2hvIiwiZ2l2ZW4iOiJDbGlmZm9yZCBTLiIsInBhcnNlLW5hbWVzIjpmYWxzZSwiZHJvcHBpbmctcGFydGljbGUiOiIiLCJub24tZHJvcHBpbmctcGFydGljbGUiOiIifSx7ImZhbWlseSI6IkdhbmdpIiwiZ2l2ZW4iOiJBbGV4YW5kcmEiLCJwYXJzZS1uYW1lcyI6ZmFsc2UsImRyb3BwaW5nLXBhcnRpY2xlIjoiIiwibm9uLWRyb3BwaW5nLXBhcnRpY2xlIjoiIn0seyJmYW1pbHkiOiJHaWxiZXJ0IiwiZ2l2ZW4iOiJFcmluIFcuIiwicGFyc2UtbmFtZXMiOmZhbHNlLCJkcm9wcGluZy1wYXJ0aWNsZSI6IiIsIm5vbi1kcm9wcGluZy1wYXJ0aWNsZSI6IiJ9LHsiZmFtaWx5IjoiR29vZG1hbiIsImdpdmVuIjoiTWFydGluIEQuIiwicGFyc2UtbmFtZXMiOmZhbHNlLCJkcm9wcGluZy1wYXJ0aWNsZSI6IiIsIm5vbi1kcm9wcGluZy1wYXJ0aWNsZSI6IiJ9LHsiZmFtaWx5IjoiR292aW5kYXJhamFuIiwiZ2l2ZW4iOiJBbmFuZCIsInBhcnNlLW5hbWVzIjpmYWxzZSwiZHJvcHBpbmctcGFydGljbGUiOiIiLCJub24tZHJvcHBpbmctcGFydGljbGUiOiIifSx7ImZhbWlseSI6Ikd1c2hjaGluIiwiZ2l2ZW4iOiJWYWRpbSIsInBhcnNlLW5hbWVzIjpmYWxzZSwiZHJvcHBpbmctcGFydGljbGUiOiIiLCJub24tZHJvcHBpbmctcGFydGljbGUiOiIifSx7ImZhbWlseSI6IkloZW1lbGFuZHUiLCJnaXZlbiI6IkNodWt3dWVtZWthIiwicGFyc2UtbmFtZXMiOmZhbHNlLCJkcm9wcGluZy1wYXJ0aWNsZSI6IiIsIm5vbi1kcm9wcGluZy1wYXJ0aWNsZSI6IiJ9LHsiZmFtaWx5IjoiS2VsbHkiLCJnaXZlbiI6IkthaXRseW4gSi4iLCJwYXJzZS1uYW1lcyI6ZmFsc2UsImRyb3BwaW5nLXBhcnRpY2xlIjoiIiwibm9uLWRyb3BwaW5nLXBhcnRpY2xlIjoiIn0seyJmYW1pbHkiOiJNZXJrb3ciLCJnaXZlbiI6IlJ5YW4gUC4iLCJwYXJzZS1uYW1lcyI6ZmFsc2UsImRyb3BwaW5nLXBhcnRpY2xlIjoiIiwibm9uLWRyb3BwaW5nLXBhcnRpY2xlIjoiIn0seyJmYW1pbHkiOiJQYXBwYXMiLCJnaXZlbiI6IlNhbSBHLiIsInBhcnNlLW5hbWVzIjpmYWxzZSwiZHJvcHBpbmctcGFydGljbGUiOiIiLCJub24tZHJvcHBpbmctcGFydGljbGUiOiIifSx7ImZhbWlseSI6IkFiYm90dCIsImdpdmVuIjoiRGFuaWVsIEUuIiwicGFyc2UtbmFtZXMiOmZhbHNlLCJkcm9wcGluZy1wYXJ0aWNsZSI6IiIsIm5vbi1kcm9wcGluZy1wYXJ0aWNsZSI6IiJ9LHsiZmFtaWx5IjoiQWhyZW5kdCIsImdpdmVuIjoiU3RldmVuIEEuIiwicGFyc2UtbmFtZXMiOmZhbHNlLCJkcm9wcGluZy1wYXJ0aWNsZSI6IiIsIm5vbi1kcm9wcGluZy1wYXJ0aWNsZSI6IiJ9LHsiZmFtaWx5IjoiQWwta2Fzc3Bvb2xlcyIsImdpdmVuIjoiTWF6aW4iLCJwYXJzZS1uYW1lcyI6ZmFsc2UsImRyb3BwaW5nLXBhcnRpY2xlIjoiIiwibm9uLWRyb3BwaW5nLXBhcnRpY2xlIjoiIn0seyJmYW1pbHkiOiJBbHBlcnQiLCJnaXZlbiI6IkxpbmRzYXkiLCJwYXJzZS1uYW1lcyI6ZmFsc2UsImRyb3BwaW5nLXBhcnRpY2xlIjoiIiwibm9uLWRyb3BwaW5nLXBhcnRpY2xlIjoiIn0seyJmYW1pbHkiOiJBbWVyc2kiLCJnaXZlbiI6IkZhcmluIiwicGFyc2UtbmFtZXMiOmZhbHNlLCJkcm9wcGluZy1wYXJ0aWNsZSI6IiIsIm5vbi1kcm9wcGluZy1wYXJ0aWNsZSI6IiJ9LHsiZmFtaWx5IjoiQXJyaW5ndG9uIiwiZ2l2ZW4iOiJBbWFuZGEgSy4iLCJwYXJzZS1uYW1lcyI6ZmFsc2UsImRyb3BwaW5nLXBhcnRpY2xlIjoiIiwibm9uLWRyb3BwaW5nLXBhcnRpY2xlIjoiIn0seyJmYW1pbHkiOiJCYWRnd2VsbCIsImdpdmVuIjoiQnJpYW4iLCJwYXJzZS1uYW1lcyI6ZmFsc2UsImRyb3BwaW5nLXBhcnRpY2xlIjoiIiwibm9uLWRyb3BwaW5nLXBhcnRpY2xlIjoiIn0seyJmYW1pbHkiOiJCYXJvbmUiLCJnaXZlbiI6IlJvYmVydCBNLiIsInBhcnNlLW5hbWVzIjpmYWxzZSwiZHJvcHBpbmctcGFydGljbGUiOiIiLCJub24tZHJvcHBpbmctcGFydGljbGUiOiIifSx7ImZhbWlseSI6IkJhdW1nYXJ0bmVyIiwiZ2l2ZW4iOiJKb2VsIE0uIiwicGFyc2UtbmFtZXMiOmZhbHNlLCJkcm9wcGluZy1wYXJ0aWNsZSI6IiIsIm5vbi1kcm9wcGluZy1wYXJ0aWNsZSI6IiJ9LHsiZmFtaWx5IjoiQmxhemVyIiwiZ2l2ZW4iOiJEYW4gRy4iLCJwYXJzZS1uYW1lcyI6ZmFsc2UsImRyb3BwaW5nLXBhcnRpY2xlIjoiIiwibm9uLWRyb3BwaW5nLXBhcnRpY2xlIjoiIn0seyJmYW1pbHkiOiJCZXJyaSIsImdpdmVuIjoiUmljaGFyZCBOLiIsInBhcnNlLW5hbWVzIjpmYWxzZSwiZHJvcHBpbmctcGFydGljbGUiOiIiLCJub24tZHJvcHBpbmctcGFydGljbGUiOiIifSx7ImZhbWlseSI6IkJyb3duIiwiZ2l2ZW4iOiJDaGFybGVzIEtvbWVuIiwicGFyc2UtbmFtZXMiOmZhbHNlLCJkcm9wcGluZy1wYXJ0aWNsZSI6IiIsIm5vbi1kcm9wcGluZy1wYXJ0aWNsZSI6IiJ9LHsiZmFtaWx5IjoiQ2F0ZW5hY2NpIiwiZ2l2ZW4iOiJEYW5pZWwiLCJwYXJzZS1uYW1lcyI6ZmFsc2UsImRyb3BwaW5nLXBhcnRpY2xlIjoiVi4iLCJub24tZHJvcHBpbmctcGFydGljbGUiOiIifSx7ImZhbWlseSI6IkNoYW4iLCJnaXZlbiI6IkNhcmxvcyBILkYuIiwicGFyc2UtbmFtZXMiOmZhbHNlLCJkcm9wcGluZy1wYXJ0aWNsZSI6IiIsIm5vbi1kcm9wcGluZy1wYXJ0aWNsZSI6IiJ9LHsiZmFtaWx5IjoiQ2hvdWRyeSIsImdpdmVuIjoiTS4gSGFyb29uIEEuIiwicGFyc2UtbmFtZXMiOmZhbHNlLCJkcm9wcGluZy1wYXJ0aWNsZSI6IiIsIm5vbi1kcm9wcGluZy1wYXJ0aWNsZSI6IiJ9LHsiZmFtaWx5IjoiQ2xhcmtlIiwiZ2l2ZW4iOiJDYWxsaXNpYSBOLiIsInBhcnNlLW5hbWVzIjpmYWxzZSwiZHJvcHBpbmctcGFydGljbGUiOiIiLCJub24tZHJvcHBpbmctcGFydGljbGUiOiIifSx7ImZhbWlseSI6IkNsb3lkIiwiZ2l2ZW4iOiJKb3JkYW4gTS4iLCJwYXJzZS1uYW1lcyI6ZmFsc2UsImRyb3BwaW5nLXBhcnRpY2xlIjoiIiwibm9uLWRyb3BwaW5nLXBhcnRpY2xlIjoiIn0seyJmYW1pbHkiOiJEYWNobWFuIiwiZ2l2ZW4iOiJBYnJhaGFtIEguIiwicGFyc2UtbmFtZXMiOmZhbHNlLCJkcm9wcGluZy1wYXJ0aWNsZSI6IiIsIm5vbi1kcm9wcGluZy1wYXJ0aWNsZSI6IiJ9LHsiZmFtaWx5IjoiRGVuZXZlIiwiZ2l2ZW4iOiJKZXJlbWlhaCBMLiIsInBhcnNlLW5hbWVzIjpmYWxzZSwiZHJvcHBpbmctcGFydGljbGUiOiIiLCJub24tZHJvcHBpbmctcGFydGljbGUiOiIifSx7ImZhbWlseSI6IkRpbmVlbiIsImdpdmVuIjoiU2VhbiBQLiIsInBhcnNlLW5hbWVzIjpmYWxzZSwiZHJvcHBpbmctcGFydGljbGUiOiIiLCJub24tZHJvcHBpbmctcGFydGljbGUiOiIifSx7ImZhbWlseSI6IkZlcm5hbmRleiIsImdpdmVuIjoiTGVvcG9sZG8gSi4iLCJwYXJzZS1uYW1lcyI6ZmFsc2UsImRyb3BwaW5nLXBhcnRpY2xlIjoiIiwibm9uLWRyb3BwaW5nLXBhcnRpY2xlIjoiIn0seyJmYW1pbHkiOiJFbmciLCJnaXZlbiI6Ik9saXZlciBTLiIsInBhcnNlLW5hbWVzIjpmYWxzZSwiZHJvcHBpbmctcGFydGljbGUiOiIiLCJub24tZHJvcHBpbmctcGFydGljbGUiOiIifSx7ImZhbWlseSI6IkZsZXNobWFuIiwiZ2l2ZW4iOiJKYW1lcyBXLiIsInBhcnNlLW5hbWVzIjpmYWxzZSwiZHJvcHBpbmctcGFydGljbGUiOiIiLCJub24tZHJvcHBpbmctcGFydGljbGUiOiIifSx7ImZhbWlseSI6IkNsYXJrIEdhbWJsaW4iLCJnaXZlbiI6IlQuIiwicGFyc2UtbmFtZXMiOmZhbHNlLCJkcm9wcGluZy1wYXJ0aWNsZSI6IiIsIm5vbi1kcm9wcGluZy1wYXJ0aWNsZSI6IiJ9LHsiZmFtaWx5IjoiR2Vvcmdha2lzIiwiZ2l2ZW4iOiJHZW9yZ2lvcyIsInBhcnNlLW5hbWVzIjpmYWxzZSwiZHJvcHBpbmctcGFydGljbGUiOiJWLiIsIm5vbi1kcm9wcGluZy1wYXJ0aWNsZSI6IiJ9LHsiZmFtaWx5IjoiR3JvdHoiLCJnaXZlbiI6IlRyYXZpcyBFLiIsInBhcnNlLW5hbWVzIjpmYWxzZSwiZHJvcHBpbmctcGFydGljbGUiOiIiLCJub24tZHJvcHBpbmctcGFydGljbGUiOiIifSx7ImZhbWlseSI6Ikhhbm5hIiwiZ2l2ZW4iOiJOYWRlciIsInBhcnNlLW5hbWVzIjpmYWxzZSwiZHJvcHBpbmctcGFydGljbGUiOiIiLCJub24tZHJvcHBpbmctcGFydGljbGUiOiIifSx7ImZhbWlseSI6Ikhhcm1hdGgiLCJnaXZlbiI6IkNhcmxhIiwicGFyc2UtbmFtZXMiOmZhbHNlLCJkcm9wcGluZy1wYXJ0aWNsZSI6IiIsIm5vbi1kcm9wcGluZy1wYXJ0aWNsZSI6IiJ9LHsiZmFtaWx5IjoiSGFydCIsImdpdmVuIjoiSm9obiIsInBhcnNlLW5hbWVzIjpmYWxzZSwiZHJvcHBpbmctcGFydGljbGUiOiIiLCJub24tZHJvcHBpbmctcGFydGljbGUiOiIifSx7ImZhbWlseSI6IkhheWVzLUpvcmRhbiIsImdpdmVuIjoiQW5kcmVhIiwicGFyc2UtbmFtZXMiOmZhbHNlLCJkcm9wcGluZy1wYXJ0aWNsZSI6IiIsIm5vbi1kcm9wcGluZy1wYXJ0aWNsZSI6IiJ9LHsiZmFtaWx5IjoiSHVzYWluIiwiZ2l2ZW4iOiJBbGl5YSBOLiIsInBhcnNlLW5hbWVzIjpmYWxzZSwiZHJvcHBpbmctcGFydGljbGUiOiIiLCJub24tZHJvcHBpbmctcGFydGljbGUiOiIifSx7ImZhbWlseSI6IklkcmVlcyIsImdpdmVuIjoiS2FtcmFuIiwicGFyc2UtbmFtZXMiOmZhbHNlLCJkcm9wcGluZy1wYXJ0aWNsZSI6IiIsIm5vbi1kcm9wcGluZy1wYXJ0aWNsZSI6IiJ9LHsiZmFtaWx5IjoiSW4iLCJnaXZlbiI6IkhhZWppbiIsInBhcnNlLW5hbWVzIjpmYWxzZSwiZHJvcHBpbmctcGFydGljbGUiOiIiLCJub24tZHJvcHBpbmctcGFydGljbGUiOiIifSx7ImZhbWlseSI6IkppYW5nIiwiZ2l2ZW4iOiJEYXZpZCIsInBhcnNlLW5hbWVzIjpmYWxzZSwiZHJvcHBpbmctcGFydGljbGUiOiIiLCJub24tZHJvcHBpbmctcGFydGljbGUiOiIifSx7ImZhbWlseSI6IkthbmUiLCJnaXZlbiI6IkpvaG4gTS4iLCJwYXJzZS1uYW1lcyI6ZmFsc2UsImRyb3BwaW5nLXBhcnRpY2xlIjoiIiwibm9uLWRyb3BwaW5nLXBhcnRpY2xlIjoiIn0seyJmYW1pbHkiOiJLZW5uZWR5IiwiZ2l2ZW4iOiJUaW1vdGh5IEouIiwicGFyc2UtbmFtZXMiOmZhbHNlLCJkcm9wcGluZy1wYXJ0aWNsZSI6IiIsIm5vbi1kcm9wcGluZy1wYXJ0aWNsZSI6IiJ9LHsiZmFtaWx5IjoiS2V1dGdlbiIsImdpdmVuIjoiWGF2aWVyIE0uIiwicGFyc2UtbmFtZXMiOmZhbHNlLCJkcm9wcGluZy1wYXJ0aWNsZSI6IiIsIm5vbi1kcm9wcGluZy1wYXJ0aWNsZSI6IiJ9LHsiZmFtaWx5IjoiS2luZGxlciIsImdpdmVuIjoiSGVkeSBMZWUiLCJwYXJzZS1uYW1lcyI6ZmFsc2UsImRyb3BwaW5nLXBhcnRpY2xlIjoiIiwibm9uLWRyb3BwaW5nLXBhcnRpY2xlIjoiIn0seyJmYW1pbHkiOiJMZWUiLCJnaXZlbiI6IkJ5cm5lIiwicGFyc2UtbmFtZXMiOmZhbHNlLCJkcm9wcGluZy1wYXJ0aWNsZSI6IiIsIm5vbi1kcm9wcGluZy1wYXJ0aWNsZSI6IiJ9LHsiZmFtaWx5IjoiTGlhbyIsImdpdmVuIjoiQ2hpaCBZaSIsInBhcnNlLW5hbWVzIjpmYWxzZSwiZHJvcHBpbmctcGFydGljbGUiOiIiLCJub24tZHJvcHBpbmctcGFydGljbGUiOiIifSx7ImZhbWlseSI6Ik1hZHVla3dlIiwiZ2l2ZW4iOiJVZ3d1amkgTi4iLCJwYXJzZS1uYW1lcyI6ZmFsc2UsImRyb3BwaW5nLXBhcnRpY2xlIjoiIiwibm9uLWRyb3BwaW5nLXBhcnRpY2xlIjoiIn0seyJmYW1pbHkiOiJNYWsiLCJnaXZlbiI6IkdyYWNlIFouIiwicGFyc2UtbmFtZXMiOmZhbHNlLCJkcm9wcGluZy1wYXJ0aWNsZSI6IiIsIm5vbi1kcm9wcGluZy1wYXJ0aWNsZSI6IiJ9LHsiZmFtaWx5IjoiTWFjayIsImdpdmVuIjoiTGxveWQgQS4iLCJwYXJzZS1uYW1lcyI6ZmFsc2UsImRyb3BwaW5nLXBhcnRpY2xlIjoiIiwibm9uLWRyb3BwaW5nLXBhcnRpY2xlIjoiIn0seyJmYW1pbHkiOiJNYXRoZXciLCJnaXZlbiI6Ik1lbHZ5IFNhcmFoIiwicGFyc2UtbmFtZXMiOmZhbHNlLCJkcm9wcGluZy1wYXJ0aWNsZSI6IiIsIm5vbi1kcm9wcGluZy1wYXJ0aWNsZSI6IiJ9LHsiZmFtaWx5IjoiTWVsaXMiLCJnaXZlbiI6Ik1hcmNvdmFsZXJpbyIsInBhcnNlLW5hbWVzIjpmYWxzZSwiZHJvcHBpbmctcGFydGljbGUiOiIiLCJub24tZHJvcHBpbmctcGFydGljbGUiOiIifSx7ImZhbWlseSI6Ik1lbG5pdGNob3VrIiwiZ2l2ZW4iOiJOZWx5YSIsInBhcnNlLW5hbWVzIjpmYWxzZSwiZHJvcHBpbmctcGFydGljbGUiOiIiLCJub24tZHJvcHBpbmctcGFydGljbGUiOiIifSx7ImZhbWlseSI6Ik1pc2RyYWppIiwiZ2l2ZW4iOiJKb3NlcGgiLCJwYXJzZS1uYW1lcyI6ZmFsc2UsImRyb3BwaW5nLXBhcnRpY2xlIjoiIiwibm9uLWRyb3BwaW5nLXBhcnRpY2xlIjoiIn0seyJmYW1pbHkiOiJNb2dhbCIsImdpdmVuIjoiSGFydmVzaHAiLCJwYXJzZS1uYW1lcyI6ZmFsc2UsImRyb3BwaW5nLXBhcnRpY2xlIjoiIiwibm9uLWRyb3BwaW5nLXBhcnRpY2xlIjoiIn0seyJmYW1pbHkiOiJNw7ZsbGVyIiwiZ2l2ZW4iOiJNZWNrZXIgRy4iLCJwYXJzZS1uYW1lcyI6ZmFsc2UsImRyb3BwaW5nLXBhcnRpY2xlIjoiIiwibm9uLWRyb3BwaW5nLXBhcnRpY2xlIjoiIn0seyJmYW1pbHkiOiJOYXNoIiwiZ2l2ZW4iOiJHYXJyZXR0IE0uIiwicGFyc2UtbmFtZXMiOmZhbHNlLCJkcm9wcGluZy1wYXJ0aWNsZSI6IiIsIm5vbi1kcm9wcGluZy1wYXJ0aWNsZSI6IiJ9LHsiZmFtaWx5IjoiT3RvIiwiZ2l2ZW4iOiJBeXRla2luIiwicGFyc2UtbmFtZXMiOmZhbHNlLCJkcm9wcGluZy1wYXJ0aWNsZSI6IiIsIm5vbi1kcm9wcGluZy1wYXJ0aWNsZSI6IiJ9LHsiZmFtaWx5IjoiUGFpIiwiZ2l2ZW4iOiJSZWV0ZXNoIEsuIiwicGFyc2UtbmFtZXMiOmZhbHNlLCJkcm9wcGluZy1wYXJ0aWNsZSI6IiIsIm5vbi1kcm9wcGluZy1wYXJ0aWNsZSI6IiJ9LHsiZmFtaWx5IjoiUGFtZWlqZXIiLCJnaXZlbiI6IkNvbGV0dGUgUi4iLCJwYXJzZS1uYW1lcyI6ZmFsc2UsImRyb3BwaW5nLXBhcnRpY2xlIjoiIiwibm9uLWRyb3BwaW5nLXBhcnRpY2xlIjoiIn0seyJmYW1pbHkiOiJQb2xhbmNvIiwiZ2l2ZW4iOiJQYXRyaWNpbyBNLiIsInBhcnNlLW5hbWVzIjpmYWxzZSwiZHJvcHBpbmctcGFydGljbGUiOiIiLCJub24tZHJvcHBpbmctcGFydGljbGUiOiIifSx7ImZhbWlseSI6IlBvbGl0ZSIsImdpdmVuIjoiQmxhc2UgTi4iLCJwYXJzZS1uYW1lcyI6ZmFsc2UsImRyb3BwaW5nLXBhcnRpY2xlIjoiIiwibm9uLWRyb3BwaW5nLXBhcnRpY2xlIjoiIn0seyJmYW1pbHkiOiJSZWRkeSIsImdpdmVuIjoiU2FuamF5IFMuIiwicGFyc2UtbmFtZXMiOmZhbHNlLCJkcm9wcGluZy1wYXJ0aWNsZSI6IiIsIm5vbi1kcm9wcGluZy1wYXJ0aWNsZSI6IiJ9LHsiZmFtaWx5IjoiUm95YWwiLCJnaXZlbiI6IlJpY2hhcmQiLCJwYXJzZS1uYW1lcyI6ZmFsc2UsImRyb3BwaW5nLXBhcnRpY2xlIjoiIiwibm9uLWRyb3BwaW5nLXBhcnRpY2xlIjoiIn0seyJmYW1pbHkiOiJSeWFuIiwiZ2l2ZW4iOiJEYXZpZCBQLiIsInBhcnNlLW5hbWVzIjpmYWxzZSwiZHJvcHBpbmctcGFydGljbGUiOiIiLCJub24tZHJvcHBpbmctcGFydGljbGUiOiIifSx7ImZhbWlseSI6IlNhbHRpIiwiZ2l2ZW4iOiJHZW9yZ2UiLCJwYXJzZS1uYW1lcyI6ZmFsc2UsImRyb3BwaW5nLXBhcnRpY2xlIjoiIiwibm9uLWRyb3BwaW5nLXBhcnRpY2xlIjoiIn0seyJmYW1pbHkiOiJTYXJkaSIsImdpdmVuIjoiQXJtYW5kbyIsInBhcnNlLW5hbWVzIjpmYWxzZSwiZHJvcHBpbmctcGFydGljbGUiOiIiLCJub24tZHJvcHBpbmctcGFydGljbGUiOiIifSx7ImZhbWlseSI6IlNlbnRoaWwiLCJnaXZlbiI6Ik1haGVzd2FyaSIsInBhcnNlLW5hbWVzIjpmYWxzZSwiZHJvcHBpbmctcGFydGljbGUiOiIiLCJub24tZHJvcHBpbmctcGFydGljbGUiOiIifSx7ImZhbWlseSI6IlNldGlhIiwiZ2l2ZW4iOiJOYW1yYXRhIiwicGFyc2UtbmFtZXMiOmZhbHNlLCJkcm9wcGluZy1wYXJ0aWNsZSI6IiIsIm5vbi1kcm9wcGluZy1wYXJ0aWNsZSI6IiJ9LHsiZmFtaWx5IjoiU2hlcm1hbiIsImdpdmVuIjoiU2NvdHQgSy4iLCJwYXJzZS1uYW1lcyI6ZmFsc2UsImRyb3BwaW5nLXBhcnRpY2xlIjoiIiwibm9uLWRyb3BwaW5nLXBhcnRpY2xlIjoiIn0seyJmYW1pbHkiOiJTaWRlcmlzIiwiZ2l2ZW4iOiJMdWNhcyIsInBhcnNlLW5hbWVzIjpmYWxzZSwiZHJvcHBpbmctcGFydGljbGUiOiIiLCJub24tZHJvcHBpbmctcGFydGljbGUiOiIifSx7ImZhbWlseSI6IlNraXR6a2kiLCJnaXZlbiI6Ikpvc2VwaCIsInBhcnNlLW5hbWVzIjpmYWxzZSwiZHJvcHBpbmctcGFydGljbGUiOiIiLCJub24tZHJvcHBpbmctcGFydGljbGUiOiIifSx7ImZhbWlseSI6IlZlZXJhcG9uZyIsImdpdmVuIjoiSnVsYSIsInBhcnNlLW5hbWVzIjpmYWxzZSwiZHJvcHBpbmctcGFydGljbGUiOiIiLCJub24tZHJvcHBpbmctcGFydGljbGUiOiIifSx7ImZhbWlseSI6IldoaXRlIiwiZ2l2ZW4iOiJNaWNoYWVsIEcuIiwicGFyc2UtbmFtZXMiOmZhbHNlLCJkcm9wcGluZy1wYXJ0aWNsZSI6IiIsIm5vbi1kcm9wcGluZy1wYXJ0aWNsZSI6IiJ9LHsiZmFtaWx5IjoiV2luZXIiLCJnaXZlbiI6Ikpvc2h1YSBILiIsInBhcnNlLW5hbWVzIjpmYWxzZSwiZHJvcHBpbmctcGFydGljbGUiOiIiLCJub24tZHJvcHBpbmctcGFydGljbGUiOiIifSx7ImZhbWlseSI6IlhpYW8iLCJnaXZlbiI6IlNodSBZdWFuIiwicGFyc2UtbmFtZXMiOmZhbHNlLCJkcm9wcGluZy1wYXJ0aWNsZSI6IiIsIm5vbi1kcm9wcGluZy1wYXJ0aWNsZSI6IiJ9LHsiZmFtaWx5IjoiWWFudGlzcyIsImdpdmVuIjoiUmhvbmRhIEsuIiwicGFyc2UtbmFtZXMiOmZhbHNlLCJkcm9wcGluZy1wYXJ0aWNsZSI6IiIsIm5vbi1kcm9wcGluZy1wYXJ0aWNsZSI6IiJ9LHsiZmFtaWx5IjoiQWh1amEiLCJnaXZlbiI6Ik5pdGEiLCJwYXJzZS1uYW1lcyI6ZmFsc2UsImRyb3BwaW5nLXBhcnRpY2xlIjoiIiwibm9uLWRyb3BwaW5nLXBhcnRpY2xlIjoiIn0seyJmYW1pbHkiOiJCb3duZSIsImdpdmVuIjoiV2lsYnVyIiwicGFyc2UtbmFtZXMiOmZhbHNlLCJkcm9wcGluZy1wYXJ0aWNsZSI6IiIsIm5vbi1kcm9wcGluZy1wYXJ0aWNsZSI6IiJ9LHsiZmFtaWx5IjoiTG93eSIsImdpdmVuIjoiQW5kcmV3IE0uIiwicGFyc2UtbmFtZXMiOmZhbHNlLCJkcm9wcGluZy1wYXJ0aWNsZSI6IiIsIm5vbi1kcm9wcGluZy1wYXJ0aWNsZSI6IiJ9LHsiZmFtaWx5IjoiUmljaGFyZCBBbGV4YW5kZXIiLCJnaXZlbiI6IkguIiwicGFyc2UtbmFtZXMiOmZhbHNlLCJkcm9wcGluZy1wYXJ0aWNsZSI6IiIsIm5vbi1kcm9wcGluZy1wYXJ0aWNsZSI6IiJ9LHsiZmFtaWx5IjoiRXNxdWl2ZWwiLCJnaXZlbiI6Ikplc3VzIiwicGFyc2UtbmFtZXMiOmZhbHNlLCJkcm9wcGluZy1wYXJ0aWNsZSI6IiIsIm5vbi1kcm9wcGluZy1wYXJ0aWNsZSI6IiJ9LHsiZmFtaWx5IjoiRm9zdGVyIiwiZ2l2ZW4iOiJKYXNvbiBNLiIsInBhcnNlLW5hbWVzIjpmYWxzZSwiZHJvcHBpbmctcGFydGljbGUiOiIiLCJub24tZHJvcHBpbmctcGFydGljbGUiOiIifSx7ImZhbWlseSI6IkxhYm93IiwiZ2l2ZW4iOiJEYW5pZWwgTS4iLCJwYXJzZS1uYW1lcyI6ZmFsc2UsImRyb3BwaW5nLXBhcnRpY2xlIjoiIiwibm9uLWRyb3BwaW5nLXBhcnRpY2xlIjoiIn0seyJmYW1pbHkiOiJMYW1iZXJ0IiwiZ2l2ZW4iOiJMYXVyYSBBLiIsInBhcnNlLW5hbWVzIjpmYWxzZSwiZHJvcHBpbmctcGFydGljbGUiOiIiLCJub24tZHJvcHBpbmctcGFydGljbGUiOiIifSx7ImZhbWlseSI6IkxldmluZSIsImdpdmVuIjoiRWR3YXJkIEEuIiwicGFyc2UtbmFtZXMiOmZhbHNlLCJkcm9wcGluZy1wYXJ0aWNsZSI6IiIsIm5vbi1kcm9wcGluZy1wYXJ0aWNsZSI6IiJ9LHsiZmFtaWx5IjoiU3RhbGV5IiwiZ2l2ZW4iOiJDaGFybGVzIiwicGFyc2UtbmFtZXMiOmZhbHNlLCJkcm9wcGluZy1wYXJ0aWNsZSI6IiIsIm5vbi1kcm9wcGluZy1wYXJ0aWNsZSI6IiJ9LHsiZmFtaWx5IjoiU3VnYXJiYWtlciIsImdpdmVuIjoiUGF1bCBILiIsInBhcnNlLW5hbWVzIjpmYWxzZSwiZHJvcHBpbmctcGFydGljbGUiOiIiLCJub24tZHJvcHBpbmctcGFydGljbGUiOiIifSx7ImZhbWlseSI6IkJhcnRsZXR0IiwiZ2l2ZW4iOiJEYXZpZCBMLiIsInBhcnNlLW5hbWVzIjpmYWxzZSwiZHJvcHBpbmctcGFydGljbGUiOiIiLCJub24tZHJvcHBpbmctcGFydGljbGUiOiIifSx7ImZhbWlseSI6IlR1cmFnYSIsImdpdmVuIjoiS2lyYW4iLCJwYXJzZS1uYW1lcyI6ZmFsc2UsImRyb3BwaW5nLXBhcnRpY2xlIjoiIiwibm9uLWRyb3BwaW5nLXBhcnRpY2xlIjoiIn1dLCJjb250YWluZXItdGl0bGUiOiJBbm5hbHMgb2Ygc3VyZ2ljYWwgb25jb2xvZ3kiLCJjb250YWluZXItdGl0bGUtc2hvcnQiOiJBbm4gU3VyZyBPbmNvbCIsIkRPSSI6IjEwLjEyNDUvUzEwNDM0LTAyMC0wODMxNi1XIiwiSVNTTiI6IjE1MzQtNDY4MSIsIlBNSUQiOiIzMjI4NTI3NSIsImlzc3VlZCI6eyJkYXRlLXBhcnRzIjpbWzIwMjBdXX0sInBhZ2UiOiIxNzUzLTE3NjAiLCJhYnN0cmFjdCI6IlRoZSBDaGljYWdvIENvbnNlbnN1cyBXb3JraW5nIEdyb3VwIHByb3ZpZGVzIG11bHRpZGlzY2lwbGluYXJ5IHJlY29tbWVuZGF0aW9ucyBmb3IgdGhlIG1hbmFnZW1lbnQgb2YgYXBwZW5kaWNlYWwgbmVvcGxhc21zIHNwZWNpZmljYWxseSByZWxhdGVkIHRvIHRoZSBtYW5hZ2VtZW50IG9mIHBlcml0b25lYWwgc3VyZmFjZSBtYWxpZ25hbmNpZXMuIFRoZXNlIGd1aWRlbGluZXMgYXJlIGRldmVsb3BlZCB3aXRoIGlucHV0IGZyb20gbGVhZGluZyBleHBlcnRzIGluY2x1ZGluZyBzdXJnaWNhbCBvbmNvbG9naXN0cywgbWVkaWNhbCBvbmNvbG9naXN0cywgcGF0aG9sb2dpc3RzLCByYWRpb2xvZ2lzdHMsIHBhbGxpYXRpdmUgY2FyZSBwaHlzaWNpYW5zLCBhbmQgcGhhcm1hY2lzdHMuIFRoZXNlIGd1aWRlbGluZXMgcmVjb2duaXplIGFuZCBhZGRyZXNzIHRoZSBlbWVyZ2luZyBuZWVkIGZvciBpbmNyZWFzZWQgYXdhcmVuZXNzIGluIHRoZSBhcHByb3ByaWF0ZSBtYW5hZ2VtZW50IG9mIHBlcml0b25lYWwgc3VyZmFjZSBkaXNlYXNlLiBUaGV5IGFyZSBub3QgaW50ZW5kZWQgdG8gcmVwbGFjZSB0aGUgcXVlc3QgZm9yIGhpZ2hlciBsZXZlbHMgb2YgZXZpZGVuY2UuIiwicHVibGlzaGVyIjoiQW5uIFN1cmcgT25jb2wiLCJpc3N1ZSI6IjYiLCJ2b2x1bWUiOiIyNyJ9LCJpc1RlbXBvcmFyeSI6ZmFsc2V9XX0="/>
                <w:id w:val="144633875"/>
              </w:sdtPr>
              <w:sdtContent>
                <w:r>
                  <w:rPr>
                    <w:b w:val="false"/>
                    <w:bCs w:val="false"/>
                    <w:kern w:val="0"/>
                    <w:sz w:val="22"/>
                    <w:szCs w:val="22"/>
                    <w:lang w:val="es-CR" w:bidi="ar-SA"/>
                  </w:rPr>
                </w:r>
                <w:r>
                  <w:rPr>
                    <w:b w:val="false"/>
                    <w:bCs w:val="false"/>
                    <w:color w:val="000000"/>
                    <w:kern w:val="0"/>
                    <w:sz w:val="22"/>
                    <w:szCs w:val="22"/>
                    <w:lang w:val="es-CR" w:bidi="ar-SA"/>
                  </w:rPr>
                  <w:t>(8)</w:t>
                </w:r>
              </w:sdtContent>
            </w:sdt>
          </w:p>
        </w:tc>
      </w:tr>
    </w:tbl>
    <w:p>
      <w:pPr>
        <w:pStyle w:val="p3"/>
        <w:spacing w:lineRule="auto" w:line="360" w:before="280" w:after="280"/>
        <w:jc w:val="both"/>
        <w:rPr/>
      </w:pPr>
      <w:r>
        <w:rPr/>
        <w:t xml:space="preserve">La meta quirúrgica es alcanzar un índice de citorreducción completo (CC-0), es decir, sin enfermedad macroscópica residual. Se puede aceptar un CC-1 si los nódulos residuales son menores de 2,5 mm, ya que pueden ser susceptibles a HIPEC </w:t>
      </w:r>
      <w:r>
        <w:rPr>
          <w:color w:val="000000"/>
        </w:rPr>
        <w:t>(56, 58).</w:t>
      </w:r>
      <w:r>
        <w:rPr/>
        <w:t xml:space="preserve"> </w:t>
      </w:r>
    </w:p>
    <w:p>
      <w:pPr>
        <w:pStyle w:val="p3"/>
        <w:spacing w:lineRule="auto" w:line="360" w:before="280" w:after="280"/>
        <w:jc w:val="both"/>
        <w:rPr/>
      </w:pPr>
      <w:r>
        <w:rPr/>
        <w:t xml:space="preserve">Estudios como el de Huang et al. han demostrado que la citorreducción incompleta (CC-2 o CC-3) no ofrece beneficio en la sobrevida y se asocia con alta recurrencia y deterioro funcional. En estos casos, la cirugía puede considerarse desproporcionada, generando morbilidad sin impacto positivo en la evolución del paciente </w:t>
      </w:r>
      <w:sdt>
        <w:sdtPr>
          <w:placeholder>
            <w:docPart w:val="DC71A1471761B24CA6E639F2DC1D438C"/>
          </w:placeholder>
          <w:tag w:val="MENDELEY_CITATION_v3_eyJjaXRhdGlvbklEIjoiTUVOREVMRVlfQ0lUQVRJT05fMDU1ZjRiZGEtMzc4NS00MzVkLWEyZDctOTdiZGE5NjkyNTc2IiwicHJvcGVydGllcyI6eyJub3RlSW5kZXgiOjB9LCJpc0VkaXRlZCI6ZmFsc2UsIm1hbnVhbE92ZXJyaWRlIjp7ImlzTWFudWFsbHlPdmVycmlkZGVuIjpmYWxzZSwiY2l0ZXByb2NUZXh0IjoiKDU1KSIsIm1hbnVhbE92ZXJyaWRlVGV4dCI6IiJ9LCJjaXRhdGlvbkl0ZW1zIjpbeyJpZCI6IjgyY2VmNzY4LTI4NjctMzM4OC04ZmUwLTgzZmE4MDVkZGJlMSIsIml0ZW1EYXRhIjp7InR5cGUiOiJhcnRpY2xlLWpvdXJuYWwiLCJpZCI6IjgyY2VmNzY4LTI4NjctMzM4OC04ZmUwLTgzZmE4MDVkZGJlMSIsInRpdGxlIjoiQ29tcGxldGUgQ3l0b3JlZHVjdGl2ZSBTdXJnZXJ5IHZzLiBEZWJ1bGtpbmcgU3VyZ2VyeSBmb3IgcHNldWRvbXl4b21hIHBlcml0b25laSBvZiBhcHBlbmRpY2VhbCBvcmlnaW46IEEgcHJvcGVuc2l0eSBzY29yZS1tYXRjaGVkIHN0dWR5IGJhc2VkIG9uIGEgc2luZ2xlLWNlbnRlciBleHBlcmllbmNlIiwiYXV0aG9yIjpbeyJmYW1pbHkiOiJNYSIsImdpdmVuIjoiUnVpcWluZyIsInBhcnNlLW5hbWVzIjpmYWxzZSwiZHJvcHBpbmctcGFydGljbGUiOiIiLCJub24tZHJvcHBpbmctcGFydGljbGUiOiIifSx7ImZhbWlseSI6Ikx1IiwiZ2l2ZW4iOiJEb25nbWVpIiwicGFyc2UtbmFtZXMiOmZhbHNlLCJkcm9wcGluZy1wYXJ0aWNsZSI6IiIsIm5vbi1kcm9wcGluZy1wYXJ0aWNsZSI6IiJ9LHsiZmFtaWx5IjoiV2FuZyIsImdpdmVuIjoiQmluZyIsInBhcnNlLW5hbWVzIjpmYWxzZSwiZHJvcHBpbmctcGFydGljbGUiOiIiLCJub24tZHJvcHBpbmctcGFydGljbGUiOiIifSx7ImZhbWlseSI6IlpoYWkiLCJnaXZlbiI6IlhpY2hhbyIsInBhcnNlLW5hbWVzIjpmYWxzZSwiZHJvcHBpbmctcGFydGljbGUiOiIiLCJub24tZHJvcHBpbmctcGFydGljbGUiOiIifSx7ImZhbWlseSI6IlhpYSIsImdpdmVuIjoiQW8iLCJwYXJzZS1uYW1lcyI6ZmFsc2UsImRyb3BwaW5nLXBhcnRpY2xlIjoiIiwibm9uLWRyb3BwaW5nLXBhcnRpY2xlIjoiIn0seyJmYW1pbHkiOiJBbiIsImdpdmVuIjoiTHViaWFvIiwicGFyc2UtbmFtZXMiOmZhbHNlLCJkcm9wcGluZy1wYXJ0aWNsZSI6IiIsIm5vbi1kcm9wcGluZy1wYXJ0aWNsZSI6IiJ9LHsiZmFtaWx5IjoiU2hpIiwiZ2l2ZW4iOiJHdWFuanVuIiwicGFyc2UtbmFtZXMiOmZhbHNlLCJkcm9wcGluZy1wYXJ0aWNsZSI6IiIsIm5vbi1kcm9wcGluZy1wYXJ0aWNsZSI6IiJ9LHsiZmFtaWx5IjoiQ2FpIiwiZ2l2ZW4iOiJZaW5nIiwicGFyc2UtbmFtZXMiOmZhbHNlLCJkcm9wcGluZy1wYXJ0aWNsZSI6IiIsIm5vbi1kcm9wcGluZy1wYXJ0aWNsZSI6IiJ9LHsiZmFtaWx5IjoiTHUiLCJnaXZlbiI6IllpeWFuIiwicGFyc2UtbmFtZXMiOmZhbHNlLCJkcm9wcGluZy1wYXJ0aWNsZSI6IiIsIm5vbi1kcm9wcGluZy1wYXJ0aWNsZSI6IiJ9LHsiZmFtaWx5IjoiUGFuZyIsImdpdmVuIjoiU2hhb2p1biIsInBhcnNlLW5hbWVzIjpmYWxzZSwiZHJvcHBpbmctcGFydGljbGUiOiIiLCJub24tZHJvcHBpbmctcGFydGljbGUiOiIifSx7ImZhbWlseSI6IkNoZW4iLCJnaXZlbiI6IkZlbmciLCJwYXJzZS1uYW1lcyI6ZmFsc2UsImRyb3BwaW5nLXBhcnRpY2xlIjoiIiwibm9uLWRyb3BwaW5nLXBhcnRpY2xlIjoiIn0seyJmYW1pbHkiOiJYdSIsImdpdmVuIjoiSG9uZ2JpbiIsInBhcnNlLW5hbWVzIjpmYWxzZSwiZHJvcHBpbmctcGFydGljbGUiOiIiLCJub24tZHJvcHBpbmctcGFydGljbGUiOiIifV0sImNvbnRhaW5lci10aXRsZSI6IkV1cm9wZWFuIGpvdXJuYWwgb2Ygc3VyZ2ljYWwgb25jb2xvZ3kgOiB0aGUgam91cm5hbCBvZiB0aGUgRXVyb3BlYW4gU29jaWV0eSBvZiBTdXJnaWNhbCBPbmNvbG9neSBhbmQgdGhlIEJyaXRpc2ggQXNzb2NpYXRpb24gb2YgU3VyZ2ljYWwgT25jb2xvZ3kiLCJjb250YWluZXItdGl0bGUtc2hvcnQiOiJFdXIgSiBTdXJnIE9uY29sIiwiYWNjZXNzZWQiOnsiZGF0ZS1wYXJ0cyI6W1syMDI1LDQsMThdXX0sIkRPSSI6IjEwLjEwMTYvSi5FSlNPLjIwMjEuMDUuMDE1IiwiSVNTTiI6IjE1MzItMjE1NyIsIlBNSUQiOiIzNDAzNDk0MiIsIlVSTCI6Imh0dHBzOi8vcHVibWVkLm5jYmkubmxtLm5paC5nb3YvMzQwMzQ5NDIvIiwiaXNzdWVkIjp7ImRhdGUtcGFydHMiOltbMjAyMSw5LDFdXX0sInBhZ2UiOiIyMzY5LTIzNzYiLCJhYnN0cmFjdCI6Ik9iamVjdGl2ZTogVGhpcyBzdHVkeSBhaW1lZCB0byByZXBvcnQgdGhlIHByb2dub3N0aWMgcHJlZGljdG9ycyBhbmQgY29tcGFyZSB0aGUgbG9uZy10ZXJtIG91dGNvbWVzIG9mIGNvbXBsZXRlIGN5dG9yZWR1Y3RpdmUgc3VyZ2VyeSAoQ0NSUykgdnMuIGRlYnVsa2luZyBzdXJnZXJ5IChEUykgaW4gcGF0aWVudHMgd2l0aCBwc2V1ZG9teXhvbWEgcGVyaXRvbmVpIChQTVApIG9mIGFwcGVuZGljZWFsIG9yaWdpbi4gTWV0aG9kczogQSByZXRyb3NwZWN0aXZlIGFuYWx5c2lzIG9mIDEwMDggY29uc2VjdXRpdmUgcGF0aWVudHMgd2l0aCBQTVAgdW5kZXJnb2luZyBwcmltYXJ5IHN1cmdlcnkgZnJvbSBKYW51YXJ5IDIwMDggdG8gRGVjZW1iZXIgMjAxOSB3YXMgcGVyZm9ybWVkLiBBIHByb3BlbnNpdHkgc2NvcmUtbWF0Y2hlZCAoUFNNKSBhbmFseXNpcyAoMToxKSB3YXMgcGVyZm9ybWVkLCBhbmQgb25jb2xvZ2ljIG91dGNvbWVzIHdlcmUgY29tcGFyZWQgYmV0d2VlbiB0aGUgQ0NSUyBhbmQgRFMgZ3JvdXBzLiBSZXN1bHRzOiBPdXQgb2YgMTAwOCBwYXRpZW50cywgMjU4IHBhdGllbnRzIHdlcmUgZXhjbHVkZWQuIEJhc2VsaW5lIGNoYXJhY3RlcmlzdGljcyBkaWZmZXJlZCBzaWduaWZpY2FudGx5IGJldHdlZW4gdGhlIENDUlMgYW5kIERTIGdyb3VwcyAodG90YWwgbiA9IDc1MCkuIEFmdGVyIFBTTSwgMTA2IHBhdGllbnRzIHdlcmUgc2VsZWN0ZWQgZnJvbSBlYWNoIGdyb3VwIGFuZCB0aGUgYmFzZWxpbmUgY2hhcmFjdGVyaXN0aWNzIHdlcmUgbWF0Y2hlZCBiZXR3ZWVuIGdyb3Vwcy4gVGhlcmUgd2VyZSBzaWduaWZpY2FudCBkaWZmZXJlbmNlcyBiZXR3ZWVuIGdyb3VwcyBpbiBvcGVyYXRpdmUgdGltZSwgdGhlIGluY2lkZW5jZSBvZiBtYWpvciBjb21wbGljYXRpb25zIChQID0gMC4wMTcpLCBhbmQgdGhlIG51bWJlcnMgb2Ygb3JnYW5zIHJlbW92ZWQuIFRoZSBtZWRpYW4gZm9sbG93LXVwIHdhcyAyOCAoMeKAkzEzMSkgbW9udGhzLiBNZWRpYW4gb3ZlcmFsbCBzdXJ2aXZhbCAoT1MpIGZvciB0aGUgMjEyIHBhdGllbnRzIHdhcyA1Mi4wIG1vbnRocyAoOTUlIENJIDQwLjLigJM2My44KSwgYW5kIDEwLXllYXIgT1Mgd2FzIDM5LjAlLiBNZWRpYW4gT1MgY291bGQgbm90IGJlIGNhbGN1bGF0ZWQgZm9yIHRoZSBDQ1JTIGdyb3VwOyBpbiB0aGUgRFMgZ3JvdXAsIHRoaXMgdmFsdWUgd2FzIDQxIG1vbnRocyAoUCA9IDAuMDEwKS4gVGhlIDEwLXllYXIgT1MgcmF0ZSB3YXMgNTQuMiUgaW4gdGhlIENDUlMgZ3JvdXAgYW5kIDMxLjIlIGluIHRoZSBEUyBncm91cC4gTXVsdGl2YXJpYXRlIGFuYWx5c2VzIGlkZW50aWZpZWQgQ0NSUyAoUCA9IDAuMDEyKSBhbmQgaGlzdG9wYXRob2xvZ2ljIHN1YnR5cGUgKFAgPCAwLjAwMSkgYXMgaW5kZXBlbmRlbnQgcHJvZ25vc3RpYyBmYWN0b3JzIGZvciBPUy4gQ29uY2x1c2lvbnM6IEluIHRoaXMgbWF0Y2hlZC1wYWlyIGFuYWx5c2lzIG9mIHBhdGllbnRzIHdpdGggYXBwZW5kaWNlYWwgUE1QLCBDQ1JTIHdhcyBzYWZlIGFuZCBhc3NvY2lhdGVkIHdpdGggYmV0dGVyIHByb2dub3NpcyB0aGFuIERTLiBUaGUgY29tcGxldGVuZXNzIG9mIGN5dG9yZWR1Y3Rpb24gYW5kIGhpc3RvcGF0aG9sb2dpYyBzdWJ0eXBlIHdlcmUgdHdvIGluZGVwZW5kZW50IHByb2dub3N0aWMgZmFjdG9ycyBmb3IgT1MuIiwicHVibGlzaGVyIjoiRXVyIEogU3VyZyBPbmNvbCIsImlzc3VlIjoiOSIsInZvbHVtZSI6IjQ3In0sImlzVGVtcG9yYXJ5IjpmYWxzZX1dfQ=="/>
          <w:id w:val="456615956"/>
        </w:sdtPr>
        <w:sdtContent>
          <w:r>
            <w:rPr/>
          </w:r>
          <w:r>
            <w:rPr>
              <w:color w:val="000000"/>
            </w:rPr>
            <w:t>(55)</w:t>
          </w:r>
        </w:sdtContent>
      </w:sdt>
      <w:r>
        <w:rPr>
          <w:color w:val="000000"/>
        </w:rPr>
        <w:t>.</w:t>
      </w:r>
    </w:p>
    <w:p>
      <w:pPr>
        <w:pStyle w:val="Normal"/>
        <w:rPr>
          <w:rStyle w:val="s1"/>
        </w:rPr>
      </w:pPr>
      <w:r>
        <w:rPr/>
      </w:r>
    </w:p>
    <w:p>
      <w:pPr>
        <w:pStyle w:val="Normal"/>
        <w:rPr>
          <w:b/>
          <w:sz w:val="27"/>
        </w:rPr>
      </w:pPr>
      <w:bookmarkStart w:id="179" w:name="_Toc199584623"/>
      <w:r>
        <w:rPr>
          <w:b/>
        </w:rPr>
        <w:t>Administración técnica de la quimioterapia intraperitoneal hipertérmica (HIPEC)</w:t>
      </w:r>
      <w:bookmarkEnd w:id="179"/>
    </w:p>
    <w:p>
      <w:pPr>
        <w:pStyle w:val="p3"/>
        <w:spacing w:lineRule="auto" w:line="360" w:before="280" w:after="280"/>
        <w:jc w:val="both"/>
        <w:rPr/>
      </w:pPr>
      <w:r>
        <w:rPr/>
        <w:t xml:space="preserve">La administración de HIPEC constituye la segunda fase del tratamiento combinado junto con la cirugía citorreductora (CRS). Su objetivo es eliminar micrometástasis peritoneales residuales tras la resección macroscópica completa de los implantes tumorales, mediante la exposición directa de la cavidad abdominal a una solución quimioterapéutica calentada entre 41 y 43 °C, durante un período prolongado, generalmente entre 60 y 90 minutos </w:t>
      </w:r>
      <w:sdt>
        <w:sdtPr>
          <w:placeholder>
            <w:docPart w:val="DefaultPlaceholder_-1854013440"/>
          </w:placeholder>
          <w:tag w:val="MENDELEY_CITATION_v3_eyJjaXRhdGlvbklEIjoiTUVOREVMRVlfQ0lUQVRJT05fZjM5MjJmODAtOGNmMy00MzljLTkwMmUtN2I5ZmQxYzM3MjFjIiwicHJvcGVydGllcyI6eyJub3RlSW5kZXgiOjB9LCJpc0VkaXRlZCI6ZmFsc2UsIm1hbnVhbE92ZXJyaWRlIjp7ImlzTWFudWFsbHlPdmVycmlkZGVuIjpmYWxzZSwiY2l0ZXByb2NUZXh0IjoiKDU0KSIsIm1hbnVhbE92ZXJyaWRlVGV4dCI6IiJ9LCJjaXRhdGlvbkl0ZW1zIjpbeyJpZCI6IjZjZGVhNWYzLTBiNzItMzgxNS1iYzM1LTE4ZWNlZmEzMWYzOCIsIml0ZW1EYXRhIjp7InR5cGUiOiJhcnRpY2xlLWpvdXJuYWwiLCJpZCI6IjZjZGVhNWYzLTBiNzItMzgxNS1iYzM1LTE4ZWNlZmEzMWYzOCIsInRpdGxlIjoiVGhlIExhbmRtYXJrIFNlcmllczogQXBwZW5kaWNlYWwgUHJpbWFyeSBQZXJpdG9uZWFsIFN1cmZhY2UgTWFsaWduYW5jeSIsImF1dGhvciI6W3siZmFtaWx5IjoiR2FuZ2kiLCJnaXZlbiI6IkFsZXhhbmRyYSIsInBhcnNlLW5hbWVzIjpmYWxzZSwiZHJvcHBpbmctcGFydGljbGUiOiIiLCJub24tZHJvcHBpbmctcGFydGljbGUiOiIifSx7ImZhbWlseSI6IlNoYWgiLCJnaXZlbiI6IlJ1cGVuIiwicGFyc2UtbmFtZXMiOmZhbHNlLCJkcm9wcGluZy1wYXJ0aWNsZSI6IiIsIm5vbi1kcm9wcGluZy1wYXJ0aWNsZSI6IiJ9XSwiY29udGFpbmVyLXRpdGxlIjoiQW5uYWxzIG9mIHN1cmdpY2FsIG9uY29sb2d5IiwiY29udGFpbmVyLXRpdGxlLXNob3J0IjoiQW5uIFN1cmcgT25jb2wiLCJET0kiOiIxMC4xMjQ1L1MxMDQzNC0wMjEtMTA4NTYtOCIsIklTU04iOiIxNTM0LTQ2ODEiLCJQTUlEIjoiMzQ4NTM5NDQiLCJpc3N1ZWQiOnsiZGF0ZS1wYXJ0cyI6W1syMDIyXV19LCJwYWdlIjoiMjA1Ni0yMDY4IiwiYWJzdHJhY3QiOiJBcHBlbmRpY2VhbCBwcmltYXJ5IHBlcml0b25lYWwgc3VyZmFjZSBtYWxpZ25hbmNpZXMgYXJlIHJhcmUgYW5kIGluY2x1ZGUgYSBicm9hZCBzcGVjdHJ1bSBvZiBwYXRob2xvZ2llcyByYW5naW5nIGZyb20gaW5kb2xlbnQgZGlzZWFzZSB0byBhZ2dyZXNzaXZlIGRpc2Vhc2UuIEFzIHN1Y2gsIHRoZSBkYXRhIHRoYXQgZHJpdmUgdGhlIG1hbmFnZW1lbnQgb2YgYXBwZW5kaWNlYWwgcGVyaXRvbmVhbCBzdXJmYWNlIG1hbGlnbmFuY2llcyBpcyBnZW5lcmFsbHkgbm90IGJhc2VkIG9uIHByb3NwZWN0aXZlIGNsaW5pY2FsIHRyaWFsIGRhdGEsIGJ1dCByYXRoZXIgY29uc2lzdHMgb2YgbGV2ZWwgMSBkYXRhIGJhc2VkIG9uIHJldHJvc3BlY3RpdmUgc3R1ZGllcyBhbmQgaGlnaC12b2x1bWUgaW5zdGl0dXRpb25hbCBleHBlcmllbmNlcy4gQ29tcGxldGUgc3VyZ2ljYWwgZGVidWxraW5nIHR5cGljYWxseSBvZmZlcnMgdGhlIGJlc3QgY2hhbmNlIGZvciBsb25nLXRlcm0gc3Vydml2YWwuIFRoaXMgcmV2aWV3IGhpZ2hsaWdodHMgdGhlIGxhbmRtYXJrIGFydGljbGVzIG9uIHdoaWNoIG1hbmFnZW1lbnQgb2YgcHJpbWFyeSBhcHBlbmRpY2VhbCBwZXJpdG9uZWFsIHN1cmZhY2UgbWFsaWduYW5jaWVzIGFyZSBiYXNlZC4iLCJwdWJsaXNoZXIiOiJBbm4gU3VyZyBPbmNvbCIsImlzc3VlIjoiMyIsInZvbHVtZSI6IjI5In0sImlzVGVtcG9yYXJ5IjpmYWxzZX1dfQ=="/>
          <w:id w:val="-667562719"/>
        </w:sdtPr>
        <w:sdtContent>
          <w:r>
            <w:rPr/>
          </w:r>
          <w:r>
            <w:rPr>
              <w:color w:val="000000"/>
            </w:rPr>
            <w:t>(54)</w:t>
          </w:r>
        </w:sdtContent>
      </w:sdt>
    </w:p>
    <w:p>
      <w:pPr>
        <w:pStyle w:val="p3"/>
        <w:spacing w:lineRule="auto" w:line="360" w:before="280" w:after="280"/>
        <w:jc w:val="both"/>
        <w:rPr/>
      </w:pPr>
      <w:r>
        <w:rPr/>
        <w:t xml:space="preserve">El rol de la hipertermia potencia la acción de la quimioterapia mediante múltiples mecanismos, ya que aumenta la permeabilidad de la membrana celular, favorece la penetración de los fármacos (2–3 mm), induce apoptosis tumoral directa y ejerce un efecto sinérgico con mitomicina y platinos </w:t>
      </w:r>
      <w:r>
        <w:rPr>
          <w:rFonts w:eastAsia="MS Mincho"/>
          <w:color w:val="000000"/>
        </w:rPr>
        <w:t>(60).</w:t>
      </w:r>
    </w:p>
    <w:p>
      <w:pPr>
        <w:pStyle w:val="p3"/>
        <w:spacing w:lineRule="auto" w:line="360" w:before="280" w:after="280"/>
        <w:jc w:val="both"/>
        <w:rPr/>
      </w:pPr>
      <w:r>
        <w:rPr/>
        <w:t>La administración puede realizarse mediante dos técnicas principales:</w:t>
      </w:r>
    </w:p>
    <w:p>
      <w:pPr>
        <w:pStyle w:val="p3"/>
        <w:numPr>
          <w:ilvl w:val="0"/>
          <w:numId w:val="44"/>
        </w:numPr>
        <w:spacing w:lineRule="auto" w:line="360" w:before="280" w:after="0"/>
        <w:jc w:val="both"/>
        <w:rPr/>
      </w:pPr>
      <w:r>
        <w:rPr/>
        <w:t>Técnica cerrada, que se realiza con el abdomen completamente cerrado. Ofrece mayor seguridad para el equipo quirúrgico y mantiene una temperatura más homogénea.</w:t>
      </w:r>
    </w:p>
    <w:p>
      <w:pPr>
        <w:pStyle w:val="p3"/>
        <w:numPr>
          <w:ilvl w:val="0"/>
          <w:numId w:val="44"/>
        </w:numPr>
        <w:spacing w:lineRule="auto" w:line="360" w:before="0" w:after="280"/>
        <w:jc w:val="both"/>
        <w:rPr/>
      </w:pPr>
      <w:r>
        <w:rPr/>
        <w:t>Técnica abierta (Coliseo), en la cual el abdomen permanece abierto, protegido por una lámina de plástico estéril. Permite la manipulación de las asas intestinales durante la perfusión, aunque con mayor riesgo de fuga de vapor y exposición ambiental.</w:t>
      </w:r>
    </w:p>
    <w:p>
      <w:pPr>
        <w:pStyle w:val="p3"/>
        <w:spacing w:lineRule="auto" w:line="360" w:before="280" w:after="280"/>
        <w:jc w:val="both"/>
        <w:rPr/>
      </w:pPr>
      <w:r>
        <w:rPr/>
        <w:t>Ambas técnicas han demostrado resultados clínicos comparables, y su elección depende de la experiencia del centro quirúrgico.</w:t>
      </w:r>
    </w:p>
    <w:p>
      <w:pPr>
        <w:pStyle w:val="p3"/>
        <w:spacing w:lineRule="auto" w:line="360" w:before="280" w:after="280"/>
        <w:jc w:val="both"/>
        <w:rPr/>
      </w:pPr>
      <w:r>
        <w:rPr/>
        <w:t>Los fármacos utilizados durante HIPEC varían según el tipo histológico del tumor, la experiencia institucional y los protocolos internacionales. La elección del agente debe considerar la biología tumoral, la toxicidad esperada y la evidencia de eficacia locorregional. En neoplasias apendiculares, se han estandarizado principalmente los siguientes:</w:t>
      </w:r>
    </w:p>
    <w:p>
      <w:pPr>
        <w:pStyle w:val="p1"/>
        <w:numPr>
          <w:ilvl w:val="0"/>
          <w:numId w:val="18"/>
        </w:numPr>
        <w:spacing w:lineRule="auto" w:line="360" w:before="280" w:after="0"/>
        <w:jc w:val="both"/>
        <w:rPr/>
      </w:pPr>
      <w:r>
        <w:rPr>
          <w:b/>
          <w:bCs/>
        </w:rPr>
        <w:t>Mitomicina C</w:t>
      </w:r>
      <w:r>
        <w:rPr>
          <w:rStyle w:val="s1"/>
        </w:rPr>
        <w:t xml:space="preserve">: </w:t>
      </w:r>
      <w:r>
        <w:rPr/>
        <w:t xml:space="preserve">Dosis de 35 mg/m² en una única aplicación o dividida en 2–3 bolos, con un tiempo de perfusión de 90 minutos. Usada especialmente en pseudomixoma peritonei y LAMN </w:t>
      </w:r>
      <w:sdt>
        <w:sdtPr>
          <w:placeholder>
            <w:docPart w:val="DefaultPlaceholder_-1854013440"/>
          </w:placeholder>
          <w:tag w:val="MENDELEY_CITATION_v3_eyJjaXRhdGlvbklEIjoiTUVOREVMRVlfQ0lUQVRJT05fOTYwZDM4M2YtODYxNC00YWI4LTk1OGUtNDNiYzY1MTI5YTI3IiwicHJvcGVydGllcyI6eyJub3RlSW5kZXgiOjB9LCJpc0VkaXRlZCI6ZmFsc2UsIm1hbnVhbE92ZXJyaWRlIjp7ImlzTWFudWFsbHlPdmVycmlkZGVuIjpmYWxzZSwiY2l0ZXByb2NUZXh0IjoiKDUzKSIsIm1hbnVhbE92ZXJyaWRlVGV4dCI6IiJ9LCJjaXRhdGlvbkl0ZW1zIjpbeyJpZCI6IjIzNjRlOTA3LTBiYTEtMzg1Ny05NDM3LWQ0M2IwMDNhNzcyYyIsIml0ZW1EYXRhIjp7InR5cGUiOiJhcnRpY2xlLWpvdXJuYWwiLCJpZCI6IjIzNjRlOTA3LTBiYTEtMzg1Ny05NDM3LWQ0M2IwMDNhNzcyYyIsInRpdGxlIjoiVGhlIFJvbGUgb2YgSHlwZXJ0aGVybWljIEludHJhcGVyaXRvbmVhbCBDaGVtb3RoZXJhcHkgaW4gUHNldWRvbXl4b21hIFBlcml0b25laSBBZnRlciBDeXRvcmVkdWN0aXZlIFN1cmdlcnkiLCJhdXRob3IiOlt7ImZhbWlseSI6Ikt1c2FtdXJhIiwiZ2l2ZW4iOiJTaGlnZWtpIiwicGFyc2UtbmFtZXMiOmZhbHNlLCJkcm9wcGluZy1wYXJ0aWNsZSI6IiIsIm5vbi1kcm9wcGluZy1wYXJ0aWNsZSI6IiJ9LHsiZmFtaWx5IjoiQmFycmV0dGEiLCJnaXZlbiI6IkZyYW5jZXNjbyIsInBhcnNlLW5hbWVzIjpmYWxzZSwiZHJvcHBpbmctcGFydGljbGUiOiIiLCJub24tZHJvcHBpbmctcGFydGljbGUiOiIifSx7ImZhbWlseSI6IllvbmVtdXJhIiwiZ2l2ZW4iOiJZdXRha2EiLCJwYXJzZS1uYW1lcyI6ZmFsc2UsImRyb3BwaW5nLXBhcnRpY2xlIjoiIiwibm9uLWRyb3BwaW5nLXBhcnRpY2xlIjoiIn0seyJmYW1pbHkiOiJTdWdhcmJha2VyIiwiZ2l2ZW4iOiJQYXVsIEhlbmRyaWNrIiwicGFyc2UtbmFtZXMiOmZhbHNlLCJkcm9wcGluZy1wYXJ0aWNsZSI6IiIsIm5vbi1kcm9wcGluZy1wYXJ0aWNsZSI6IiJ9LHsiZmFtaWx5IjoiTW9yYW4iLCJnaXZlbiI6IkJyZW5kYW4gSm9obiIsInBhcnNlLW5hbWVzIjpmYWxzZSwiZHJvcHBpbmctcGFydGljbGUiOiIiLCJub24tZHJvcHBpbmctcGFydGljbGUiOiIifSx7ImZhbWlseSI6IkxldmluZSIsImdpdmVuIjoiRWR3YXJkIEEuIiwicGFyc2UtbmFtZXMiOmZhbHNlLCJkcm9wcGluZy1wYXJ0aWNsZSI6IiIsIm5vbi1kcm9wcGluZy1wYXJ0aWNsZSI6IiJ9LHsiZmFtaWx5IjoiR29lcmUiLCJnaXZlbiI6IkRpYW5lIiwicGFyc2UtbmFtZXMiOmZhbHNlLCJkcm9wcGluZy1wYXJ0aWNsZSI6IiIsIm5vbi1kcm9wcGluZy1wYXJ0aWNsZSI6IiJ9LHsiZmFtaWx5IjoiQmFyYXR0aSIsImdpdmVuIjoiRGFyaW8iLCJwYXJzZS1uYW1lcyI6ZmFsc2UsImRyb3BwaW5nLXBhcnRpY2xlIjoiIiwibm9uLWRyb3BwaW5nLXBhcnRpY2xlIjoiIn0seyJmYW1pbHkiOiJOaXpyaSIsImdpdmVuIjoiRXJhbiIsInBhcnNlLW5hbWVzIjpmYWxzZSwiZHJvcHBpbmctcGFydGljbGUiOiIiLCJub24tZHJvcHBpbmctcGFydGljbGUiOiIifSx7ImZhbWlseSI6Ik1vcnJpcyIsImdpdmVuIjoiRGF2aWQgTGF3c29uIiwicGFyc2UtbmFtZXMiOmZhbHNlLCJkcm9wcGluZy1wYXJ0aWNsZSI6IiIsIm5vbi1kcm9wcGluZy1wYXJ0aWNsZSI6IiJ9LHsiZmFtaWx5IjoiR2xlaGVuIiwiZ2l2ZW4iOiJPbGl2aWVyIiwicGFyc2UtbmFtZXMiOmZhbHNlLCJkcm9wcGluZy1wYXJ0aWNsZSI6IiIsIm5vbi1kcm9wcGluZy1wYXJ0aWNsZSI6IiJ9LHsiZmFtaWx5IjoiU2FyZGkiLCJnaXZlbiI6IkFybWFuZG8iLCJwYXJzZS1uYW1lcyI6ZmFsc2UsImRyb3BwaW5nLXBhcnRpY2xlIjoiIiwibm9uLWRyb3BwaW5nLXBhcnRpY2xlIjoiIn0seyJmYW1pbHkiOiJCYXJyaW9zIiwiZ2l2ZW4iOiJQZWRybyIsInBhcnNlLW5hbWVzIjpmYWxzZSwiZHJvcHBpbmctcGFydGljbGUiOiIiLCJub24tZHJvcHBpbmctcGFydGljbGUiOiIifSx7ImZhbWlseSI6IlF1w6luZXQiLCJnaXZlbiI6IkZyYW7Dp29pcyIsInBhcnNlLW5hbWVzIjpmYWxzZSwiZHJvcHBpbmctcGFydGljbGUiOiIiLCJub24tZHJvcHBpbmctcGFydGljbGUiOiIifSx7ImZhbWlseSI6IlZpbGxlbmV1dmUiLCJnaXZlbiI6IkxhdXJlbnQiLCJwYXJzZS1uYW1lcyI6ZmFsc2UsImRyb3BwaW5nLXBhcnRpY2xlIjoiIiwibm9uLWRyb3BwaW5nLXBhcnRpY2xlIjoiIn0seyJmYW1pbHkiOiJHw7NtZXotUG9ydGlsbGEiLCJnaXZlbiI6IkFsYmVydG8iLCJwYXJzZS1uYW1lcyI6ZmFsc2UsImRyb3BwaW5nLXBhcnRpY2xlIjoiIiwibm9uLWRyb3BwaW5nLXBhcnRpY2xlIjoiIn0seyJmYW1pbHkiOiJIaW5naCIsImdpdmVuIjoiSWduYWNlIiwicGFyc2UtbmFtZXMiOmZhbHNlLCJkcm9wcGluZy1wYXJ0aWNsZSI6IiIsIm5vbi1kcm9wcGluZy1wYXJ0aWNsZSI6IkRlIn0seyJmYW1pbHkiOiJDZWVsZW4iLCJnaXZlbiI6IldpbSIsInBhcnNlLW5hbWVzIjpmYWxzZSwiZHJvcHBpbmctcGFydGljbGUiOiIiLCJub24tZHJvcHBpbmctcGFydGljbGUiOiIifSx7ImZhbWlseSI6IlBlbHoiLCJnaXZlbiI6IkpvZXJnIE8uVy4iLCJwYXJzZS1uYW1lcyI6ZmFsc2UsImRyb3BwaW5nLXBhcnRpY2xlIjoiIiwibm9uLWRyb3BwaW5nLXBhcnRpY2xlIjoiIn0seyJmYW1pbHkiOiJQaXNvIiwiZ2l2ZW4iOiJQb21waWxpdSIsInBhcnNlLW5hbWVzIjpmYWxzZSwiZHJvcHBpbmctcGFydGljbGUiOiIiLCJub24tZHJvcHBpbmctcGFydGljbGUiOiIifSx7ImZhbWlseSI6IkdvbnrDoWxlei1Nb3Jlbm8iLCJnaXZlbiI6IlNhbnRpYWdvIiwicGFyc2UtbmFtZXMiOmZhbHNlLCJkcm9wcGluZy1wYXJ0aWNsZSI6IiIsIm5vbi1kcm9wcGluZy1wYXJ0aWNsZSI6IiJ9LHsiZmFtaWx5IjoiU3BlZXRlbiIsImdpdmVuIjoiS3VydCIsInBhcnNlLW5hbWVzIjpmYWxzZSwiZHJvcHBpbmctcGFydGljbGUiOiIiLCJub24tZHJvcHBpbmctcGFydGljbGUiOiJWYW4gRGVyIn0seyJmYW1pbHkiOiJEZXJhY28iLCJnaXZlbiI6Ik1hcmNlbGxvIiwicGFyc2UtbmFtZXMiOmZhbHNlLCJkcm9wcGluZy1wYXJ0aWNsZSI6IiIsIm5vbi1kcm9wcGluZy1wYXJ0aWNsZSI6IiJ9XSwiY29udGFpbmVyLXRpdGxlIjoiSkFNQSBzdXJnZXJ5IiwiY29udGFpbmVyLXRpdGxlLXNob3J0IjoiSkFNQSBTdXJnIiwiRE9JIjoiMTAuMTAwMS9KQU1BU1VSRy4yMDIwLjYzNjMiLCJJU1NOIjoiMjE2OC02MjYyIiwiUE1JRCI6IjMzNTAyNDU1IiwiaXNzdWVkIjp7ImRhdGUtcGFydHMiOltbMjAyMV1dfSwiYWJzdHJhY3QiOiJJbXBvcnRhbmNlOiBTdHVkaWVzIG9uIHRoZSBwcm9nbm9zdGljIHJvbGUgb2YgaHlwZXJ0aGVybWljIGludHJhcGVyaXRvbmVhbCBjaGVtb3RoZXJhcHkgKEhJUEVDKSBpbiBwc2V1ZG9teXhvbWEgcGVyaXRvbmVpIChQTVApIGFyZSBjdXJyZW50bHkgbm90IGF2YWlsYWJsZS4gT2JqZWN0aXZlczogVG8gZXZhbHVhdGUgb3V0Y29tZXMgYWZ0ZXIgY3l0b3JlZHVjdGl2ZSBzdXJnZXJ5IChDUlMpIGFuZCBISVBFQyBjb21wYXJlZCB3aXRoIENSUyBhbG9uZSBpbiBwYXRpZW50cyB3aXRoIFBNUC4gRGVzaWduLCBTZXR0aW5nLCBhbmQgUGFydGljaXBhbnRzOiBUaGlzIGNvaG9ydCBzdHVkeSBhbmFseXplZCBkYXRhIGZyb20gdGhlIFBlcml0b25lYWwgU3VyZmFjZSBPbmNvbG9neSBHcm91cCBJbnRlcm5hdGlvbmFsIChQU09HSSkgcmVnaXN0cnksIGluY2x1ZGluZyAxOTI0IHBhdGllbnRzIHdpdGggaGlzdG9sb2dpY2FsbHkgY29uZmlybWVkIFBNUCBkdWUgdG8gYW4gYXBwZW5kaWNlYWwgbXVjaW5vdXMgbmVvcGxhc20uIEVsaWdpYmxlIHBhdGllbnRzIHdlcmUgdHJlYXRlZCB3aXRoIENSUyB3aXRoIG9yIHdpdGhvdXQgSElQRUMgZnJvbSBGZWJydWFyeSAxLCAxOTkzLCB0byBEZWNlbWJlciAzMSwgMjAxNywgYW5kIGhhZCBjb21wbGV0ZSBpbmZvcm1hdGlvbiBvbiB0aGUgbWFpbiBwcm9nbm9zdGljIGZhY3RvcnMgYW5kIGludHJhcGVyaXRvbmVhbCB0cmVhdG1lbnRzLiBJbnZlcnNlIHByb2JhYmlsaXR5IHRyZWF0bWVudCB3ZWlnaHRzIGJhc2VkIG9uIHRoZSBwcm9wZW5zaXR5IHNjb3JlIGZvciBISVBFQyB0cmVhdG1lbnQgY29udGFpbmluZyB0aGUgbWFpbiBwcm9nbm9zdGljIGZhY3RvcnMgd2VyZSBhcHBsaWVkIHRvIGFsbCBtb2RlbHMgdG8gYmFsYW5jZSBjb21wYXJpc29ucyBiZXR3ZWVuIHRoZSBDUlMtSElQRUMgdnMgQ1JTLWFsb25lIGdyb3VwcyBpbiB0aGUgZW50aXJlIHNlcmllcyBhbmQgaW4gdGhlIGZvbGxvd2luZyBzdWJzZXRzOiBPcHRpbWFsIGN5dG9yZWR1Y3Rpb24sIHN1Ym9wdGltYWwgY3l0b3JlZHVjdGlvbiwgaGlnaC0gQSBuZCBsb3ctZ3JhZGUgaGlzdG9sb2dpYyBmaW5kaW5ncywgYW5kIGRpZmZlcmVudCBISVBFQyBkcnVnIHJlZ2ltZW5zLiBEYXRhIHdlcmUgYW5hbHl6ZWQgZnJvbSBNYXJjaCAxIHRvIEp1bmUgMSwgMjAxOC4gSW50ZXJ2ZW50aW9uczogSElQRUMgaW5jbHVkaW5nIG94YWxpcGxhdGluIHBsdXMgY29tYmluZWQgZmx1b3JvdXJhY2lsLWxldWNvdm9yaW4sIGNpc3BsYXRpbiBwbHVzIG1pdG9teWNpbiwgbWl0b215Y2luLCBhbmQgb3RoZXIgb3hhbGlwbGF0aW4tYmFzZWQgcmVnaW1lbnMuIE1haW4gT3V0Y29tZXMgYW5kIE1lYXN1cmVzOiBPdmVyYWxsIHN1cnZpdmFsLCBzZXZlcmUgbW9yYmlkaXR5IChkZXRlcm1pbmVkIHVzaW5nIHRoZSBOYXRpb25hbCBDYW5jZXIgSW5zdGl0dXRlIENvbW1vbiBUZXJtaW5vbG9neSBmb3IgQWR2ZXJzZSBFdmVudHMsIHZlcnNpb24gMy4wKSwgcmV0dXJuIHRvIG9wZXJhdGluZyByb29tLCBhbmQgMzAtIEEgbmQgOTAtZGF5IG1vcnRhbGl0eS4gRGlmZmVyZW5jZXMgaW4gb3ZlcmFsbCBzdXJ2aXZhbCB3ZXJlIGNvbXBhcmVkIHVzaW5nIHdlaWdodGVkIEthcGxhbi1NZWllciBjdXJ2ZXMsIGxvZy1yYW5rIHRlc3RzLCBhbmQgQ294IHByb3BvcnRpb25hbCBoYXphcmRzIG11bHRpdmFyaWFibGUgbW9kZWxzLiBBIHNlbnNpdGl2aXR5IGFuYWx5c2lzIHdhcyBiYXNlZCBvbiB0aGUgRS12YWx1ZSBmcm9tIHRoZSByZXN1bHRzIG9mIHRoZSBtYWluIENveCBwcm9wb3J0aW9uYWwgaGF6YXJkcyBtb2RlbC4gRGlmZmVyZW5jZXMgaW4gc3VyZ2ljYWwgb3V0Y29tZXMgd2VyZSBjb21wYXJlZCB1c2luZyB3ZWlnaHRlZCBtdWx0aXZhcmlhYmxlIGxvZ2lzdGljIG1vZGVscy4gUmVzdWx0czogT2YgdGhlIDE5MjQgcGF0aWVudHMgaW5jbHVkZWQgaW4gdGhlIGFuYWx5c2lzICg5OTcgWzUxLjglXSBtZW47IG1lZGlhbiBhZ2UsIDU2IFtpbnRlcnF1YXJ0aWxlIHJhbmdlIGV4dHJlbWVzIChJUVJFKSwgNDUtNjVdIHllYXJzKSwgMzc2IHdlcmUgaW4gdGhlIENSUy1hbG9uZSBncm91cCBhbmQgMTU0OCBpbiB0aGUgQ1JTLUhJUEVDIGdyb3VwLiBQYXRpZW50cyB3aXRoIENSUyBhbG9uZSB3ZXJlIG9sZGVyIChtZWRpYW4gYWdlLCA2MCBbSVFSRSwgNDgtNzBdIHZzIDU0IFtJUVJFLCA0NC02M10geWVhcnMpLCBoYWQgbGVzcyBseW1waCBub2RlIGludm9sdmVtZW50ICgxNCBbMy43JV0gdnMgMTE5IFs3LjclXSksIHJlY2VpdmVkIG1vcmUgcHJlb3BlcmF0aXZlIHN5c3RlbWljIGNoZW1vdGhlcmFweSAoMTk4IFs1Mi43JV0gdnMgNTI5IFszNC4yJV0pLCBhbmQgaGFkIGhpZ2hlciBwcm9wb3J0aW9ucyBvZiBoaWdoLWdyYWRlIGRpc2Vhc2UgKDE3OSBbNDcuNiVdIHZzIDQ5MiBbMzEuOCVdKSBhbmQgc3Vib3B0aW1hbCBjeXRvcmVkdWN0aW9uIHJlc2lkdWFsIGRpc2Vhc2UgKGdyYWRlIDMsIDE3NSBbNDYuNSVdIHZzIDExNyBbNy42JV0pLiBISVBFQyB3YXMgbm90IGFzc29jaWF0ZWQgd2l0aCBhIGhpZ2hlciByaXNrIG9mIHdvcnNlIHN1cmdpY2FsIG91dGNvbWVzIGV4Y2VwdCB3aXRoIG1pdG9teWNpbiwgd2l0aCBoaWdoZXIgb2RkcyBvZiBtb3JiaWRpdHkgKDEuOTk7IDk1JSBDSSwgMS4yNS0zLjE5OyBQID0uMDA0KS4gSElQRUMgd2FzIGFzc29jaWF0ZWQgd2l0aCBhIHNpZ25pZmljYW50bHkgYmV0dGVyIG92ZXJhbGwgc3Vydml2YWwgaW4gYWxsIHN1YnNldHMgKGFkanVzdGVkIGhhemFyZCByYXRpb3MgW0hSc10sIDAuNjAtMC42OCwgd2l0aCA5NSUgQ0lzIG5vdCBjcm9zc2luZyAxLjAwKS4gVGhlIHdlaWdodGVkIDUteWVhciBvdmVyYWxsIHN1cnZpdmFsIHdhcyA1Ny44JSAoOTUlIENJLCA1MC44JS02NS43JSkgdnMgNDYuMiUgKDk1JSBDSSwgNDAuMyUtNTIuOCUpIGZvciBDUlMtSElQRUMgYW5kIENSUyBhbG9uZSwgcmVzcGVjdGl2ZWx5ICh3ZWlnaHRlZCBIUiwgMC42NTsgOTUlIENJLCAwLjUwLTAuODM7IFAgPC4wMDE7IEUtdmFsdWUsIDIuMDMpLiBTdWNoIHByb2dub3N0aWMgYWR2YW50YWdlIHdhcyBhc3NvY2lhdGVkIHdpdGggb3hhbGlwbGF0aW4gcGx1cyBmbHVvcm91cmFjaWwtbGV1Y292b3JpbiAoSFIsIDAuNDI7IDk1JSBDSSwgMC4xOS0wLjkzOyBQID0uMDMpIGFuZCBjaXNwbGF0aW4gcGx1cyBtaXRvbXljaW4gKEhSLCAwLjU3OyA5NSUgQ0ksIDAuNDItMC43ODsgUCA9LjAwMSkgc2NoZWR1bGVzLiBDb25jbHVzaW9ucyBhbmQgUmVsZXZhbmNlOiBJbiB0aGlzIGNvaG9ydCBzdHVkeSwgSElQRUMgd2FzIGFzc29jaWF0ZWQgd2l0aCBiZXR0ZXIgb3ZlcmFsbCBzdXJ2aXZhbCB3aGVuIHBlcmZvcm1lZCBhZnRlciBDUlMgaW4gUE1QLCBnZW5lcmFsbHkgd2l0aG91dCBhZHZlcnNlIGVmZmVjdHMgb24gc3VyZ2ljYWwgb3V0Y29tZXMuLiIsInB1Ymxpc2hlciI6IkpBTUEgU3VyZyIsImlzc3VlIjoiMyIsInZvbHVtZSI6IjE1NiJ9LCJpc1RlbXBvcmFyeSI6ZmFsc2V9XX0="/>
          <w:id w:val="-1153826094"/>
        </w:sdtPr>
        <w:sdtContent>
          <w:r>
            <w:rPr/>
          </w:r>
          <w:r>
            <w:rPr>
              <w:rFonts w:eastAsia="MS Mincho"/>
              <w:color w:val="000000"/>
            </w:rPr>
            <w:t>(53)</w:t>
          </w:r>
        </w:sdtContent>
      </w:sdt>
    </w:p>
    <w:p>
      <w:pPr>
        <w:pStyle w:val="p1"/>
        <w:numPr>
          <w:ilvl w:val="0"/>
          <w:numId w:val="18"/>
        </w:numPr>
        <w:spacing w:lineRule="auto" w:line="360" w:before="0" w:after="0"/>
        <w:jc w:val="both"/>
        <w:rPr/>
      </w:pPr>
      <w:r>
        <w:rPr>
          <w:b/>
          <w:bCs/>
        </w:rPr>
        <w:t>Oxaliplatino</w:t>
      </w:r>
      <w:r>
        <w:rPr>
          <w:rStyle w:val="s1"/>
        </w:rPr>
        <w:t xml:space="preserve">: </w:t>
      </w:r>
      <w:r>
        <w:rPr/>
        <w:t>Dosis de 460 mg/m² en perfusión de 30–60 minutos. Requiere pretratamiento con infusión sistémica de 5-FU y leucovorina. Indicado principalmente en adenocarcinomas mucinosos o de alto grado</w:t>
      </w:r>
      <w:sdt>
        <w:sdtPr>
          <w:placeholder>
            <w:docPart w:val="DefaultPlaceholder_-1854013440"/>
          </w:placeholder>
          <w:tag w:val="MENDELEY_CITATION_v3_eyJjaXRhdGlvbklEIjoiTUVOREVMRVlfQ0lUQVRJT05fNjJlNGM3YTgtN2E3MC00MDMzLTk0ZDAtYjUzNDcxZGU3MjM1IiwicHJvcGVydGllcyI6eyJub3RlSW5kZXgiOjB9LCJpc0VkaXRlZCI6ZmFsc2UsIm1hbnVhbE92ZXJyaWRlIjp7ImlzTWFudWFsbHlPdmVycmlkZGVuIjpmYWxzZSwiY2l0ZXByb2NUZXh0IjoiKDU0KSIsIm1hbnVhbE92ZXJyaWRlVGV4dCI6IiJ9LCJjaXRhdGlvbkl0ZW1zIjpbeyJpZCI6IjZjZGVhNWYzLTBiNzItMzgxNS1iYzM1LTE4ZWNlZmEzMWYzOCIsIml0ZW1EYXRhIjp7InR5cGUiOiJhcnRpY2xlLWpvdXJuYWwiLCJpZCI6IjZjZGVhNWYzLTBiNzItMzgxNS1iYzM1LTE4ZWNlZmEzMWYzOCIsInRpdGxlIjoiVGhlIExhbmRtYXJrIFNlcmllczogQXBwZW5kaWNlYWwgUHJpbWFyeSBQZXJpdG9uZWFsIFN1cmZhY2UgTWFsaWduYW5jeSIsImF1dGhvciI6W3siZmFtaWx5IjoiR2FuZ2kiLCJnaXZlbiI6IkFsZXhhbmRyYSIsInBhcnNlLW5hbWVzIjpmYWxzZSwiZHJvcHBpbmctcGFydGljbGUiOiIiLCJub24tZHJvcHBpbmctcGFydGljbGUiOiIifSx7ImZhbWlseSI6IlNoYWgiLCJnaXZlbiI6IlJ1cGVuIiwicGFyc2UtbmFtZXMiOmZhbHNlLCJkcm9wcGluZy1wYXJ0aWNsZSI6IiIsIm5vbi1kcm9wcGluZy1wYXJ0aWNsZSI6IiJ9XSwiY29udGFpbmVyLXRpdGxlIjoiQW5uYWxzIG9mIHN1cmdpY2FsIG9uY29sb2d5IiwiY29udGFpbmVyLXRpdGxlLXNob3J0IjoiQW5uIFN1cmcgT25jb2wiLCJET0kiOiIxMC4xMjQ1L1MxMDQzNC0wMjEtMTA4NTYtOCIsIklTU04iOiIxNTM0LTQ2ODEiLCJQTUlEIjoiMzQ4NTM5NDQiLCJpc3N1ZWQiOnsiZGF0ZS1wYXJ0cyI6W1syMDIyXV19LCJwYWdlIjoiMjA1Ni0yMDY4IiwiYWJzdHJhY3QiOiJBcHBlbmRpY2VhbCBwcmltYXJ5IHBlcml0b25lYWwgc3VyZmFjZSBtYWxpZ25hbmNpZXMgYXJlIHJhcmUgYW5kIGluY2x1ZGUgYSBicm9hZCBzcGVjdHJ1bSBvZiBwYXRob2xvZ2llcyByYW5naW5nIGZyb20gaW5kb2xlbnQgZGlzZWFzZSB0byBhZ2dyZXNzaXZlIGRpc2Vhc2UuIEFzIHN1Y2gsIHRoZSBkYXRhIHRoYXQgZHJpdmUgdGhlIG1hbmFnZW1lbnQgb2YgYXBwZW5kaWNlYWwgcGVyaXRvbmVhbCBzdXJmYWNlIG1hbGlnbmFuY2llcyBpcyBnZW5lcmFsbHkgbm90IGJhc2VkIG9uIHByb3NwZWN0aXZlIGNsaW5pY2FsIHRyaWFsIGRhdGEsIGJ1dCByYXRoZXIgY29uc2lzdHMgb2YgbGV2ZWwgMSBkYXRhIGJhc2VkIG9uIHJldHJvc3BlY3RpdmUgc3R1ZGllcyBhbmQgaGlnaC12b2x1bWUgaW5zdGl0dXRpb25hbCBleHBlcmllbmNlcy4gQ29tcGxldGUgc3VyZ2ljYWwgZGVidWxraW5nIHR5cGljYWxseSBvZmZlcnMgdGhlIGJlc3QgY2hhbmNlIGZvciBsb25nLXRlcm0gc3Vydml2YWwuIFRoaXMgcmV2aWV3IGhpZ2hsaWdodHMgdGhlIGxhbmRtYXJrIGFydGljbGVzIG9uIHdoaWNoIG1hbmFnZW1lbnQgb2YgcHJpbWFyeSBhcHBlbmRpY2VhbCBwZXJpdG9uZWFsIHN1cmZhY2UgbWFsaWduYW5jaWVzIGFyZSBiYXNlZC4iLCJwdWJsaXNoZXIiOiJBbm4gU3VyZyBPbmNvbCIsImlzc3VlIjoiMyIsInZvbHVtZSI6IjI5In0sImlzVGVtcG9yYXJ5IjpmYWxzZX1dfQ=="/>
          <w:id w:val="442965380"/>
        </w:sdtPr>
        <w:sdtContent>
          <w:r>
            <w:rPr/>
          </w:r>
          <w:r>
            <w:rPr>
              <w:rFonts w:eastAsia="MS Mincho"/>
              <w:color w:val="000000"/>
            </w:rPr>
            <w:t>(54)</w:t>
          </w:r>
        </w:sdtContent>
      </w:sdt>
    </w:p>
    <w:p>
      <w:pPr>
        <w:pStyle w:val="p1"/>
        <w:numPr>
          <w:ilvl w:val="0"/>
          <w:numId w:val="18"/>
        </w:numPr>
        <w:spacing w:lineRule="auto" w:line="360" w:before="0" w:after="280"/>
        <w:jc w:val="both"/>
        <w:rPr/>
      </w:pPr>
      <w:r>
        <w:rPr>
          <w:b/>
          <w:bCs/>
        </w:rPr>
        <w:t>Cisplatino y doxorrubicina</w:t>
      </w:r>
      <w:r>
        <w:rPr>
          <w:rStyle w:val="s1"/>
        </w:rPr>
        <w:t xml:space="preserve">: </w:t>
      </w:r>
      <w:r>
        <w:rPr/>
        <w:t>Utilizados como alternativas, especialmente en protocolos extrapolados de otros tumores peritoneales, aunque su uso en neoplasias apendiculares es menos frecuente.</w:t>
      </w:r>
    </w:p>
    <w:p>
      <w:pPr>
        <w:pStyle w:val="p3"/>
        <w:spacing w:lineRule="auto" w:line="360" w:before="280" w:after="280"/>
        <w:jc w:val="both"/>
        <w:rPr>
          <w:rStyle w:val="s1"/>
        </w:rPr>
      </w:pPr>
      <w:r>
        <w:rPr/>
        <w:t>La recuperación incluye manejo intensivo de líquidos, soporte nutricional y vigilancia por complicaciones quirúrgicas o hematológicas. La morbilidad posquirúrgica puede ser significativa, por lo que el procedimiento debe realizarse en centros con experiencia y equipos multidisciplinarios capacitados</w:t>
      </w:r>
      <w:sdt>
        <w:sdtPr>
          <w:placeholder>
            <w:docPart w:val="DefaultPlaceholder_-1854013440"/>
          </w:placeholder>
          <w:tag w:val="MENDELEY_CITATION_v3_eyJjaXRhdGlvbklEIjoiTUVOREVMRVlfQ0lUQVRJT05fNzYxNTMyYTEtYTNmYy00MjEyLTg0NzctNmYyM2Q4ODNlYWQwIiwicHJvcGVydGllcyI6eyJub3RlSW5kZXgiOjB9LCJpc0VkaXRlZCI6ZmFsc2UsIm1hbnVhbE92ZXJyaWRlIjp7ImlzTWFudWFsbHlPdmVycmlkZGVuIjpmYWxzZSwiY2l0ZXByb2NUZXh0IjoiKDU2KSIsIm1hbnVhbE92ZXJyaWRlVGV4dCI6IiJ9LCJjaXRhdGlvbkl0ZW1zIjpbeyJpZCI6IjliM2E3ZmRmLTc0NjQtM2MxNi05MTgyLWU3MDQ2MjEzODdiYSIsIml0ZW1EYXRhIjp7InR5cGUiOiJhcnRpY2xlLWpvdXJuYWwiLCJpZCI6IjliM2E3ZmRmLTc0NjQtM2MxNi05MTgyLWU3MDQ2MjEzODdiYSIsInRpdGxlIjoiTGVhcm5pbmcgQ3VydmUgb2YgQ3l0b3JlZHVjdGl2ZSBTdXJnZXJ5IGFuZCBIeXBlcnRoZXJtaWMgSW50cmFwZXJpdG9uZWFsIENoZW1vdGhlcmFweSAtIGFuIEFuYWx5c2lzIG9mIENyaXRpY2FsIFBlcmlvcGVyYXRpdmUgYW5kIFN1cmdpY2FsIE91dGNvbWVzIGFtb25nIDE1NSBQZXJpdG9uZWFsIFN1cmZhY2UgTWFsaWduYW5jeSBQYXRpZW50cyBUcmVhdGVkIGF0IGEgVGVydGlhcnkgQ2FyZSBDYW5jZXIgQ2VudHJlIiwiYXV0aG9yIjpbeyJmYW1pbHkiOiJTYWlraWEiLCJnaXZlbiI6IkouIiwicGFyc2UtbmFtZXMiOmZhbHNlLCJkcm9wcGluZy1wYXJ0aWNsZSI6IiIsIm5vbi1kcm9wcGluZy1wYXJ0aWNsZSI6IiJ9LHsiZmFtaWx5IjoiRGVvIiwiZ2l2ZW4iOiJTLiIsInBhcnNlLW5hbWVzIjpmYWxzZSwiZHJvcHBpbmctcGFydGljbGUiOiIiLCJub24tZHJvcHBpbmctcGFydGljbGUiOiIifSx7ImZhbWlseSI6IlJheSIsImdpdmVuIjoiTS4iLCJwYXJzZS1uYW1lcyI6ZmFsc2UsImRyb3BwaW5nLXBhcnRpY2xlIjoiIiwibm9uLWRyb3BwaW5nLXBhcnRpY2xlIjoiIn0seyJmYW1pbHkiOiJNaXNocmEiLCJnaXZlbiI6IkEuIiwicGFyc2UtbmFtZXMiOmZhbHNlLCJkcm9wcGluZy1wYXJ0aWNsZSI6IiIsIm5vbi1kcm9wcGluZy1wYXJ0aWNsZSI6IiJ9LHsiZmFtaWx5IjoiQmFuc2FsIiwiZ2l2ZW4iOiJCLiIsInBhcnNlLW5hbWVzIjpmYWxzZSwiZHJvcHBpbmctcGFydGljbGUiOiIiLCJub24tZHJvcHBpbmctcGFydGljbGUiOiIifSx7ImZhbWlseSI6IkJob3Jpd2FsIiwiZ2l2ZW4iOiJTLiIsInBhcnNlLW5hbWVzIjpmYWxzZSwiZHJvcHBpbmctcGFydGljbGUiOiIiLCJub24tZHJvcHBpbmctcGFydGljbGUiOiIifSx7ImZhbWlseSI6IkJoYXRuYWdhciIsImdpdmVuIjoiUy4iLCJwYXJzZS1uYW1lcyI6ZmFsc2UsImRyb3BwaW5nLXBhcnRpY2xlIjoiIiwibm9uLWRyb3BwaW5nLXBhcnRpY2xlIjoiIn0seyJmYW1pbHkiOiJNaXNocmEiLCJnaXZlbiI6IlMuIiwicGFyc2UtbmFtZXMiOmZhbHNlLCJkcm9wcGluZy1wYXJ0aWNsZSI6IiIsIm5vbi1kcm9wcGluZy1wYXJ0aWNsZSI6IiJ9LHsiZmFtaWx5IjoiQmhhcnRpIiwiZ2l2ZW4iOiJTLiBKLiIsInBhcnNlLW5hbWVzIjpmYWxzZSwiZHJvcHBpbmctcGFydGljbGUiOiIiLCJub24tZHJvcHBpbmctcGFydGljbGUiOiIifSx7ImZhbWlseSI6Ikt1bWFyIiwiZ2l2ZW4iOiJWLiIsInBhcnNlLW5hbWVzIjpmYWxzZSwiZHJvcHBpbmctcGFydGljbGUiOiIiLCJub24tZHJvcHBpbmctcGFydGljbGUiOiIifSx7ImZhbWlseSI6Ikt1bWFyIiwiZ2l2ZW4iOiJNLiIsInBhcnNlLW5hbWVzIjpmYWxzZSwiZHJvcHBpbmctcGFydGljbGUiOiIiLCJub24tZHJvcHBpbmctcGFydGljbGUiOiIifV0sImNvbnRhaW5lci10aXRsZSI6IkNsaW5pY2FsIG9uY29sb2d5IChSb3lhbCBDb2xsZWdlIG9mIFJhZGlvbG9naXN0cyAoR3JlYXQgQnJpdGFpbikpIiwiY29udGFpbmVyLXRpdGxlLXNob3J0IjoiQ2xpbiBPbmNvbCAoUiBDb2xsIFJhZGlvbCkiLCJET0kiOiIxMC4xMDE2L0ouQ0xPTi4yMDIyLjAzLjAwMyIsIklTU04iOiIxNDMzLTI5ODEiLCJQTUlEIjoiMzUzNzk1MjMiLCJpc3N1ZWQiOnsiZGF0ZS1wYXJ0cyI6W1syMDIyXV19LCJwYWdlIjoiZTMwNS1lMzExIiwiYWJzdHJhY3QiOiJBaW1zOiBWYXJpb3VzIGZhY3RvcnMgY2FuIGluZmx1ZW5jZSB0aGUgbGVhcm5pbmcgY3VydmUgb2YgY3l0b3JlZHVjdGl2ZSBzdXJnZXJ5IChDUlMpIGFuZCBoeXBlcnRoZXJtaWMgaW50cmFwZXJpdG9uZWFsIGNoZW1vdGhlcmFweSAoSElQRUMpLiBJbml0aWF0aW5nIENSUyBhbmQgSElQRUMgcHJvZ3JhbW1lcyBpbiBsb3ctIGFuZCBtaWRkbGUtaW5jb21lIGNvdW50cmllcyBpcyBjaGFsbGVuZ2luZyBkdWUgdG8gcmVzb3VyY2UgY29uc3RyYWludHMgYW5kIGxpbWl0ZWQgYXZhaWxhYmlsaXR5IG9mIGV4cGVydGlzZS4gV2UgcHJlc2VudCBvdXIgZXhwZXJpZW5jZSBvZiBDUlMgYW5kIEhJUEVDIGZyb20gYSBsZWFybmluZyBjdXJ2ZSBwZXJzcGVjdGl2ZSBhbW9uZyBhIGNvaG9ydCAxNTUgcGVyaXRvbmVhbCBzdXJmYWNlIG1hbGlnbmFuY3kgcGF0aWVudHMuIE1hdGVyaWFscyBhbmQgbWV0aG9kczogUGF0aWVudHMgdW5kZXJnb2luZyBDUlMgYW5kIEhJUEVDIGJldHdlZW4gTWF5IDIwMTUgYW5kIEZlYnJ1YXJ5IDIwMTkgd2VyZSBpbmNsdWRlZCBpbiB0aGUgc3R1ZHkuIFBhdGllbnRzIHdlcmUgZGl2aWRlZCBpbnRvIHR3byBjb25zZWN1dGl2ZSBjb2hvcnRzOiB0aGUgZmlyc3QgNzMgY2FzZXMgY29tcHJpc2VkIHRoZSBsZWFybmluZyBwaGFzZSwgZ3JvdXAgMTsgdGhlIHN1YnNlcXVlbnQgY29ob3J0IG9mIDgyIHBhdGllbnRzIHdlcmUgY29uc2lkZXJlZCBhcyB0aGUgaW1wbGVtZW50YXRpb24gcGhhc2UsIGdyb3VwIDIuIEEgY29tcGFyYXRpdmUgYW5hbHlzaXMgb2YgY2xpbmljYWwgYW5kIHN1cmdpY2FsIG91dGNvbWUgcGFyYW1ldGVycyB3YXMgY2FycmllZCBvdXQgYmV0d2VlbiB0aGUgdHdvIGdyb3Vwcy4gUmVzdWx0czogVGhlIGNsaW5pY2FsIHNwZWN0cnVtIHdhcyBjb21wYXJhYmxlIGFtb25nIGdyb3VwIDEvZ3JvdXAgMi4gTW9zdCB3ZXJlIG92YXJpYW4gKDU2LjglKSwgY29sb3JlY3RhbCAoMTMuNSUpIGFuZCBhcHBlbmRpY2VhbCAoMTEuMCUpIG1hbGlnbmFuY2llcy4gR3JvdXAgMiBoYWQgYSBoaWdoZXIgbnVtYmVyIG9mIG1vZGVyYXRlIHRvIGhpZ2ggcGVyaXRvbmVhbCBjYW5jZXIgaW5kZXggcGF0aWVudHMgKDM0LjElIHZlcnN1cyAxOS4xJSksIHRvdGFsIHBlcml0b25lY3RvbWllcyAoNDguOCUgdmVyc3VzIDQ1LjIlKSwgbXVsdGktdmlzY2VyYWwgcmVzZWN0aW9ucyAoY29sb25pYyA0MS41JSB2ZXJzdXMgMjcuNCUsIHNtYWxsIGJvd2VsIDI1LjYlIHZlcnN1cyAxOS4xJSwgZGlhcGhyYWdtYXRpYyA4LjUlIHZlcnN1cyA2LjUlIGFuZCBoZXBhdGljIHJlc2VjdGlvbnMgOC41JSB2ZXJzdXMgMi43JSkgYW5kIGNvbXBsZXRlbmVzcyBvZiBjeXRvcmVkdWN0aW9uIDAvMSByYXRlcyAoOTcuNiUgdmVyc3VzIDkzLjElKS4gQSBsb3dlciBpbmNpZGVuY2Ugb2YgaW50cmFvcGVyYXRpdmUgdXJvbG9naWNhbCBpbmp1cmllcyAoMi42JSB2ZXJzdXMgMTIuMyUpIHdhcyBub3RpY2VkIGluIGdyb3VwIDIgKFAgPSAwLjAwNykuIE5vbi1zaWduaWZpY2FudCBpbXByb3ZlbWVudHMgc2VlbiBpbiBncm91cCAyIGluY2x1ZGVkIHN1cmdlcnkgZHVyYXRpb24gKDYuMCDCsSAxLjMgaCB2ZXJzdXMgNi40IMKxIDEuNyBoKSwgaW50ZW5zaXZlIGNhcmUgdW5pdCBzdGF5ICgxLjMgwrEgMS4xIGRheXMgdmVyc3VzIDEuOCDCsSAxLjUgZGF5cyksIG92ZXJhbGwgaG9zcGl0YWwgc3RheSAoOC4xIMKxIDAuOSBkYXlzIHZlcnN1cyA4LjggwrEgMS40IGRheXMpIGFuZCByZWR1Y3Rpb24gaW4gQ2xhdmllbi1EaW5kbyBncmFkZSAz4oCTNCBjb21wbGljYXRpb25zICgyNS40JSB2ZXJzdXMgMzYuOSUpLiBDb25jbHVzaW9uczogVGhlIHJlc3VsdHMgb2YgdGhlIGN1cnJlbnQgc3R1ZHkgaW5kaWNhdGUgdGhhdCBieSBpbXBsZW1lbnRpbmcgc3RhbmRhcmQgcHJvdG9jb2xzIGFuZCBtZW50b3JpbmcgYnkgYW4gZXhwZXJpZW5jZWQgdGVhbSwgYSBsZWFybmluZyBjdXJ2ZSBvZiBDUlMgYW5kIEhJUEVDIGNhbiBiZSBhY2hpZXZlZCBpbiBmZXdlciB0aGFuIDc1IGNhc2VzLiBUaGUgYmFzZWxpbmUgZXhwZXJ0aXNlIG9mIHRoZSB0cmVhdGluZyB0ZWFtIGNhbiBhbHNvIGluZmx1ZW5jZSB0aGUgbGVhcm5pbmcgY3VydmUuIiwicHVibGlzaGVyIjoiQ2xpbiBPbmNvbCAoUiBDb2xsIFJhZGlvbCkiLCJpc3N1ZSI6IjciLCJ2b2x1bWUiOiIzNCJ9LCJpc1RlbXBvcmFyeSI6ZmFsc2V9XX0="/>
          <w:id w:val="-732075953"/>
        </w:sdtPr>
        <w:sdtContent>
          <w:r>
            <w:rPr/>
          </w:r>
          <w:r>
            <w:rPr>
              <w:color w:val="000000"/>
            </w:rPr>
            <w:t>(56)</w:t>
          </w:r>
        </w:sdtContent>
      </w:sdt>
    </w:p>
    <w:p>
      <w:pPr>
        <w:pStyle w:val="Normal"/>
        <w:rPr>
          <w:b/>
        </w:rPr>
      </w:pPr>
      <w:bookmarkStart w:id="180" w:name="_Toc199584624"/>
      <w:r>
        <w:rPr>
          <w:b/>
        </w:rPr>
        <w:t>Selección de pacientes</w:t>
      </w:r>
      <w:bookmarkEnd w:id="180"/>
    </w:p>
    <w:p>
      <w:pPr>
        <w:pStyle w:val="p3"/>
        <w:spacing w:lineRule="auto" w:line="360" w:before="280" w:after="280"/>
        <w:jc w:val="both"/>
        <w:rPr/>
      </w:pPr>
      <w:r>
        <w:rPr/>
        <w:t>Los candidatos ideales a CRS + HIPEC deben cumplir con los siguientes parámetros:</w:t>
      </w:r>
    </w:p>
    <w:p>
      <w:pPr>
        <w:pStyle w:val="p1"/>
        <w:numPr>
          <w:ilvl w:val="0"/>
          <w:numId w:val="19"/>
        </w:numPr>
        <w:spacing w:lineRule="auto" w:line="360" w:before="280" w:after="0"/>
        <w:jc w:val="both"/>
        <w:rPr/>
      </w:pPr>
      <w:r>
        <w:rPr>
          <w:rStyle w:val="s1"/>
          <w:b/>
          <w:bCs/>
        </w:rPr>
        <w:t>Estado funcional adecuado</w:t>
      </w:r>
      <w:r>
        <w:rPr/>
        <w:t>: generalmente ECOG ≤1. Pacientes con ECOG 2 pueden considerarse si no presentan comorbilidades mayores y mantienen capacidad funcional independiente.</w:t>
      </w:r>
    </w:p>
    <w:p>
      <w:pPr>
        <w:pStyle w:val="p1"/>
        <w:numPr>
          <w:ilvl w:val="0"/>
          <w:numId w:val="19"/>
        </w:numPr>
        <w:spacing w:lineRule="auto" w:line="360" w:before="0" w:after="0"/>
        <w:jc w:val="both"/>
        <w:rPr/>
      </w:pPr>
      <w:r>
        <w:rPr>
          <w:rStyle w:val="s1"/>
          <w:b/>
          <w:bCs/>
        </w:rPr>
        <w:t>Ausencia de comorbilidades graves</w:t>
      </w:r>
      <w:r>
        <w:rPr/>
        <w:t>: especialmente cardiopulmonares o hepatorrenales, que aumenten el riesgo perioperatorio significativo.</w:t>
      </w:r>
    </w:p>
    <w:p>
      <w:pPr>
        <w:pStyle w:val="p1"/>
        <w:numPr>
          <w:ilvl w:val="0"/>
          <w:numId w:val="19"/>
        </w:numPr>
        <w:spacing w:lineRule="auto" w:line="360" w:before="0" w:after="0"/>
        <w:jc w:val="both"/>
        <w:rPr/>
      </w:pPr>
      <w:r>
        <w:rPr>
          <w:rStyle w:val="s1"/>
          <w:b/>
          <w:bCs/>
        </w:rPr>
        <w:t>Nutrición adecuada</w:t>
      </w:r>
      <w:r>
        <w:rPr/>
        <w:t>: con albúmina &gt;3.0 g/dL y sin pérdida de peso significativa (&gt;10% en 6 meses).</w:t>
      </w:r>
    </w:p>
    <w:p>
      <w:pPr>
        <w:pStyle w:val="p1"/>
        <w:numPr>
          <w:ilvl w:val="0"/>
          <w:numId w:val="19"/>
        </w:numPr>
        <w:spacing w:lineRule="auto" w:line="360" w:before="0" w:after="0"/>
        <w:jc w:val="both"/>
        <w:rPr/>
      </w:pPr>
      <w:r>
        <w:rPr>
          <w:rStyle w:val="s1"/>
          <w:b/>
          <w:bCs/>
        </w:rPr>
        <w:t>Edad fisiológica aceptable</w:t>
      </w:r>
      <w:r>
        <w:rPr/>
        <w:t>: aunque no hay un límite estricto, pacientes mayores de 75 años se seleccionan con mayor precaución</w:t>
      </w:r>
      <w:sdt>
        <w:sdtPr>
          <w:placeholder>
            <w:docPart w:val="DefaultPlaceholder_-1854013440"/>
          </w:placeholder>
          <w:tag w:val="MENDELEY_CITATION_v3_eyJjaXRhdGlvbklEIjoiTUVOREVMRVlfQ0lUQVRJT05fMWJkZjljNGMtY2IxNC00ZTdjLWI4MTUtOGU2ZmJlOGNhMGNjIiwicHJvcGVydGllcyI6eyJub3RlSW5kZXgiOjB9LCJpc0VkaXRlZCI6ZmFsc2UsIm1hbnVhbE92ZXJyaWRlIjp7ImlzTWFudWFsbHlPdmVycmlkZGVuIjpmYWxzZSwiY2l0ZXByb2NUZXh0IjoiKDU3KSIsIm1hbnVhbE92ZXJyaWRlVGV4dCI6IiJ9LCJjaXRhdGlvbkl0ZW1zIjpbeyJpZCI6IjFhZjI1ZGQ2LTM0ZWMtMzc1OC1iMzkzLTNhMjY1OTA5NTY3ZSIsIml0ZW1EYXRhIjp7InR5cGUiOiJhcnRpY2xlLWpvdXJuYWwiLCJpZCI6IjFhZjI1ZGQ2LTM0ZWMtMzc1OC1iMzkzLTNhMjY1OTA5NTY3ZSIsInRpdGxlIjoiTXVjaW5vdXMgYXBwZW5kaWNlYWwgbmVvcGxhc21zIHdpdGggb3Igd2l0aG91dCBwc2V1ZG9teXhvbWEgcGVyaXRvbmVpOiBhIHJldmlldyIsImF1dGhvciI6W3siZmFtaWx5IjoiU291Y2lzc2UiLCJnaXZlbiI6Ik1pa2FlbCBMLiIsInBhcnNlLW5hbWVzIjpmYWxzZSwiZHJvcHBpbmctcGFydGljbGUiOiIiLCJub24tZHJvcHBpbmctcGFydGljbGUiOiIifSx7ImZhbWlseSI6IkxhbnNvbSIsImdpdmVuIjoiSm9zaHVhIiwicGFyc2UtbmFtZXMiOmZhbHNlLCJkcm9wcGluZy1wYXJ0aWNsZSI6IiIsIm5vbi1kcm9wcGluZy1wYXJ0aWNsZSI6IiJ9LHsiZmFtaWx5IjoiQWxzaGFocmFuaSIsImdpdmVuIjoiTW9oYW1tYWQgUy4iLCJwYXJzZS1uYW1lcyI6ZmFsc2UsImRyb3BwaW5nLXBhcnRpY2xlIjoiIiwibm9uLWRyb3BwaW5nLXBhcnRpY2xlIjoiIn0seyJmYW1pbHkiOiJNb3JyaXMiLCJnaXZlbiI6IkRhdmlkIEwuIiwicGFyc2UtbmFtZXMiOmZhbHNlLCJkcm9wcGluZy1wYXJ0aWNsZSI6IiIsIm5vbi1kcm9wcGluZy1wYXJ0aWNsZSI6IiJ9XSwiY29udGFpbmVyLXRpdGxlIjoiQU5aIGpvdXJuYWwgb2Ygc3VyZ2VyeSIsImNvbnRhaW5lci10aXRsZS1zaG9ydCI6IkFOWiBKIFN1cmciLCJhY2Nlc3NlZCI6eyJkYXRlLXBhcnRzIjpbWzIwMjUsNCwxNl1dfSwiRE9JIjoiMTAuMTExMS9BTlMuMTYxODUiLCJJU1NOIjoiMTQ0NS0yMTk3IiwiUE1JRCI6IjMyNzYxNzkwIiwiVVJMIjoiaHR0cHM6Ly9wdWJtZWQubmNiaS5ubG0ubmloLmdvdi8zMjc2MTc5MC8iLCJpc3N1ZWQiOnsiZGF0ZS1wYXJ0cyI6W1syMDIwLDEwLDFdXX0sInBhZ2UiOiIxODg4LTE4OTQiLCJhYnN0cmFjdCI6Ik11Y2lub3VzIGFwcGVuZGljZWFsIG5lb3BsYXNtcyAoTUFOcykgYXJlIHJhcmUgdHVtb3VycyBhbmQgdGhlIHByaW1hcnkgY2F1c2Ugb2YgcHNldWRvbXl4b21hIHBlcml0b25laS4gVGhlc2UgdHVtb3VycyBoYXZlIGEgbXVjaCBtb3JlIGJlbmlnbiBjb3Vyc2UgdGhhbiB0eXBpY2FsIGNvbG9yZWN0YWwgY2FuY2VycywgZ2VuZXJhbGx5IGdyb3dpbmcgZm9yIG1hbnkgeWVhcnMgYmVmb3JlIGdpdmluZyBhbnkgY2xpbmljYWwgc2lnbnMuIFRoZSBzcGVjdHJ1bSBvZiBwcmVzZW50YXRpb25zLCB0dW1vdXIgc3RhZ2VzIGFuZCB0aGUgdW5kZXJseWluZyBjeXRvbG9neSBpcyB2ZXJ5IHdpZGUsIHdhcnJhbnRpbmcgZnJvbSB0aGUgc2ltcGxlc3Qgb3BlcmF0aW9uIGxpa2UgYW4gYXBwZW5kaWNlY3RvbXkgdG8gdGhlIG1vc3QgY29tcGxpY2F0ZWQgb3BlcmF0aW9uIGxpa2UgYSBjb21wbGV0ZSBjeXRvcmVkdWN0aW9uIHN1cmdlcnkgYW5kIGh5cGVydGhlcm1pYyBpbnRyYXBlcml0b25lYWwgY2hlbW90aGVyYXB5LiBGb3J0dW5hdGVseSwgbW9zdCBwYXRpZW50cyBjYW4gYmUgb2ZmZXJlZCBhIGN1cmF0aXZlIHRyZWF0bWVudCwgYnV0IGxpbWl0aW5nIG9wZXJhdGl2ZSBtb3JiaWRpdHkgd2l0aG91dCBjb21wcm9taXNpbmcgb25jb2xvZ2ljIG91dGNvbWVzIGlzIHRoZSBiaWdnZXN0IGNoYWxsZW5nZSBpbiBtYW5hZ2luZyB0aGVzZSBwYXRpZW50cy4gSGlzdG9wYXRob2xvZ3kgaXMgdGhlIGNvcm5lcnN0b25lIG9mIGRlY2lzaW9uIG1ha2luZyBmb3IgTUFOcywgYnV0IGlzIGFsc28gc3ViamVjdCB0byBvbmdvaW5nIGRlYmF0ZSBiZWNhdXNlIG9mIGEgbGFjayBvZiB0ZXJtaW5vbG9neSBjb25zZW5zdXMgYW1vbmdzdCBwYXRob2xvZ2lzdHMuIENvbWJpbmVkIHdpdGggdGhlIHJhcml0eSBvZiB0aGlzIGRpc2Vhc2UsIHRoZSBtdWx0aXBsZSBoaXN0b3BhdGhvbG9naWMgY2xhc3NpZmljYXRpb24gdXBkYXRlcyBvZiBNQU5zIGV4cGxhaW4gdGhlIG9uZ29pbmcgY29uZnVzaW9uIGFtb25nc3QgY2xpbmljaWFucyBpbiByZWdhcmQgdG8gaW5kaXZpZHVhbCBvcHRpbWFsIHRyZWF0bWVudC4gVGhpcyByZXZpZXcgd2lsbCBjb3ZlciB0aGUgbW9zdCByZWNlbnQgaGlzdG9sb2dpY2FsIGNsYXNzaWZpY2F0aW9uIG9mIE1BTnMgYW5kIGF0dGVtcHQgdG8gY2xhcmlmeSBvcHRpbWFsIG1hbmFnZW1lbnQgb2YgcGF0aWVudHMgd2l0aCBkaWZmZXJlbnQgY2xpbmljYWwgcHJlc2VudGF0aW9uIGFuZCBoaXN0b2xvZ2ljIGNvbWJpbmF0aW9ucy4iLCJwdWJsaXNoZXIiOiJBTlogSiBTdXJnIiwiaXNzdWUiOiIxMCIsInZvbHVtZSI6IjkwIn0sImlzVGVtcG9yYXJ5IjpmYWxzZX1dfQ=="/>
          <w:id w:val="-166412016"/>
        </w:sdtPr>
        <w:sdtContent>
          <w:r>
            <w:rPr/>
          </w:r>
          <w:r>
            <w:rPr>
              <w:color w:val="000000"/>
            </w:rPr>
            <w:t>(57)</w:t>
          </w:r>
        </w:sdtContent>
      </w:sdt>
      <w:r>
        <w:rPr/>
        <w:t>.</w:t>
      </w:r>
    </w:p>
    <w:p>
      <w:pPr>
        <w:pStyle w:val="p1"/>
        <w:numPr>
          <w:ilvl w:val="0"/>
          <w:numId w:val="19"/>
        </w:numPr>
        <w:spacing w:lineRule="auto" w:line="360" w:before="0" w:after="0"/>
        <w:jc w:val="both"/>
        <w:rPr/>
      </w:pPr>
      <w:r>
        <w:rPr>
          <w:b/>
          <w:bCs/>
        </w:rPr>
        <w:t>Enfermedad extraabdominal</w:t>
      </w:r>
      <w:r>
        <w:rPr/>
        <w:t xml:space="preserve"> (pulmón, hueso, SNC) o compromiso hepático extenso.</w:t>
      </w:r>
    </w:p>
    <w:p>
      <w:pPr>
        <w:pStyle w:val="p1"/>
        <w:numPr>
          <w:ilvl w:val="0"/>
          <w:numId w:val="19"/>
        </w:numPr>
        <w:spacing w:lineRule="auto" w:line="360" w:before="0" w:after="280"/>
        <w:jc w:val="both"/>
        <w:rPr/>
      </w:pPr>
      <w:r>
        <w:rPr>
          <w:rStyle w:val="s1"/>
          <w:b/>
          <w:bCs/>
        </w:rPr>
        <w:t>No tener PCI muy elevado (&gt;25–30)</w:t>
      </w:r>
      <w:r>
        <w:rPr/>
        <w:t xml:space="preserve"> en tumores de alto grado o histologías agresivas.</w:t>
      </w:r>
    </w:p>
    <w:p>
      <w:pPr>
        <w:pStyle w:val="p3"/>
        <w:spacing w:lineRule="auto" w:line="360" w:before="280" w:after="280"/>
        <w:jc w:val="both"/>
        <w:rPr>
          <w:rStyle w:val="s1"/>
        </w:rPr>
      </w:pPr>
      <w:r>
        <w:rPr/>
        <w:t xml:space="preserve">El factor pronóstico más importante en la selección de candidatos es la posibilidad de lograr una citorreducción completa. Para ello, se evalúan la distribución y el volumen de la enfermedad peritoneal, el compromiso del mesenterio o intestino delgado, la ausencia de metástasis hepáticas, pulmonares o extraabdominales, así como la factibilidad técnica de resección multivisceral. </w:t>
      </w:r>
    </w:p>
    <w:p>
      <w:pPr>
        <w:pStyle w:val="Heading5"/>
        <w:numPr>
          <w:ilvl w:val="4"/>
          <w:numId w:val="79"/>
        </w:numPr>
        <w:ind w:firstLine="709" w:left="0"/>
        <w:rPr>
          <w:sz w:val="36"/>
        </w:rPr>
      </w:pPr>
      <w:bookmarkStart w:id="181" w:name="_Toc199584625"/>
      <w:r>
        <w:rPr/>
        <w:t>Rol de la cirugía citorreductora + HIPEC en enfermedad recidivante</w:t>
      </w:r>
      <w:bookmarkEnd w:id="181"/>
    </w:p>
    <w:p>
      <w:pPr>
        <w:pStyle w:val="p1"/>
        <w:spacing w:lineRule="auto" w:line="360" w:before="280" w:after="280"/>
        <w:jc w:val="both"/>
        <w:rPr/>
      </w:pPr>
      <w:r>
        <w:rPr/>
        <w:t>La recaída peritoneal posterior a una cirugía citorreductora (CRS) con HIPEC en pacientes con neoplasias apendiculares representa un desafío clínico importante. A pesar de una resección completa inicial, un porcentaje significativo de pacientes —particularmente aquellos con pseudomixoma peritonei de bajo o alto grado— pueden presentar recurrencia locorregional, debido al comportamiento biológico de estas neoplasias y la dificultad técnica para lograr una eliminación tumoral microscópica universal.</w:t>
      </w:r>
    </w:p>
    <w:p>
      <w:pPr>
        <w:pStyle w:val="p1"/>
        <w:spacing w:lineRule="auto" w:line="360" w:before="280" w:after="280"/>
        <w:jc w:val="both"/>
        <w:rPr>
          <w:rStyle w:val="s2"/>
        </w:rPr>
      </w:pPr>
      <w:r>
        <w:rPr/>
        <w:t xml:space="preserve">En este contexto, la reintervención con intento de nueva citorreducción más HIPEC (re-CRS/HIPEC) ha emergido como una estrategia viable y segura en centros experimentados, especialmente para tumores de bajo grado y diseminación peritoneal limitada </w:t>
      </w:r>
      <w:sdt>
        <w:sdtPr>
          <w:placeholder>
            <w:docPart w:val="DefaultPlaceholder_-1854013440"/>
          </w:placeholder>
          <w:tag w:val="MENDELEY_CITATION_v3_eyJjaXRhdGlvbklEIjoiTUVOREVMRVlfQ0lUQVRJT05fNThjNmZkY2MtNmRiYy00NDc4LTkwYzQtNmM0MGJjNjIwNWNlIiwicHJvcGVydGllcyI6eyJub3RlSW5kZXgiOjB9LCJpc0VkaXRlZCI6ZmFsc2UsIm1hbnVhbE92ZXJyaWRlIjp7ImlzTWFudWFsbHlPdmVycmlkZGVuIjpmYWxzZSwiY2l0ZXByb2NUZXh0IjoiKDkpIiwibWFudWFsT3ZlcnJpZGVUZXh0IjoiIn0sImNpdGF0aW9uSXRlbXMiOlt7ImlkIjoiMzA5YjExYzYtMDA4Yi0zZTNiLWE2OGMtYjQ0ODE0ZmE3OWQ0IiwiaXRlbURhdGEiOnsidHlwZSI6ImFydGljbGUtam91cm5hbCIsImlkIjoiMzA5YjExYzYtMDA4Yi0zZTNiLWE2OGMtYjQ0ODE0ZmE3OWQ0IiwidGl0bGUiOiJUd2VudHkteWVhcnMnIGV4cGVyaWVuY2Ugd2l0aCBjeXRvcmVkdWN0aXZlIHN1cmdlcnkgKENSUykgYW5kIGh5cGVydGhlcm1pYyBpbnRyYXBlcml0b25lYWwgY2hlbW90aGVyYXB5IChISVBFQykgZm9yIHBzZXVkb215eG9tYSBwZXJpdG9uZWkgKFBNUCkiLCJhdXRob3IiOlt7ImZhbWlseSI6IlBhcGFudG9uaSIsImdpdmVuIjoiRXZhbmdlbGlhIiwicGFyc2UtbmFtZXMiOmZhbHNlLCJkcm9wcGluZy1wYXJ0aWNsZSI6IiIsIm5vbi1kcm9wcGluZy1wYXJ0aWNsZSI6IiJ9LHsiZmFtaWx5IjoiTnRhdHNpcyIsImdpdmVuIjoiS29uc3RhbnRpbm9zIiwicGFyc2UtbmFtZXMiOmZhbHNlLCJkcm9wcGluZy1wYXJ0aWNsZSI6IiIsIm5vbi1kcm9wcGluZy1wYXJ0aWNsZSI6IiJ9LHsiZmFtaWx5IjoiS3l6aXJpZGlzIiwiZ2l2ZW4iOiJEaW1pdHJpb3MiLCJwYXJzZS1uYW1lcyI6ZmFsc2UsImRyb3BwaW5nLXBhcnRpY2xlIjoiIiwibm9uLWRyb3BwaW5nLXBhcnRpY2xlIjoiIn0seyJmYW1pbHkiOiJLYWxha29uYXMiLCJnaXZlbiI6IkFwb3N0b2xvcyIsInBhcnNlLW5hbWVzIjpmYWxzZSwiZHJvcHBpbmctcGFydGljbGUiOiIiLCJub24tZHJvcHBpbmctcGFydGljbGUiOiIifSx7ImZhbWlseSI6IkhyaXN0YWtpcyIsImdpdmVuIjoiQ2hyaXN0b3MiLCJwYXJzZS1uYW1lcyI6ZmFsc2UsImRyb3BwaW5nLXBhcnRpY2xlIjoiIiwibm9uLWRyb3BwaW5nLXBhcnRpY2xlIjoiIn0seyJmYW1pbHkiOiJUZW50ZXMiLCJnaXZlbiI6IkFudG9uaW9zLUFwb3N0b2xvcyIsInBhcnNlLW5hbWVzIjpmYWxzZSwiZHJvcHBpbmctcGFydGljbGUiOiIiLCJub24tZHJvcHBpbmctcGFydGljbGUiOiIifV0sImNvbnRhaW5lci10aXRsZSI6IkpCVU9OIiwiYWNjZXNzZWQiOnsiZGF0ZS1wYXJ0cyI6W1syMDI1LDQsMThdXX0sIklTU04iOiIyMjQxLTYyOTMiLCJpc3N1ZWQiOnsiZGF0ZS1wYXJ0cyI6W1syMDIxXV19LCJwYWdlIjoiMTY0Ny0xNjUyIiwiYWJzdHJhY3QiOiJQdXJwb3NlOiB1ZG9teXhvbWEgcGVyaXRvbmVpIGlzIHRyZWF0ZWQgd2l0aCBjeXRvcmVkdWN0aXZlIHN1cmdlcnkgKENSUykgY29tYmluZWQgYW5kIGh5cGVydGhlcm1pYyBpbnRyYW9wZXJhdGl2ZSBpbnRyYXBlcml0b25lYWwgY2hlbW90aGVyYXB5IChISVBFQykuIFRoZSBwdXJwb3NlIG9mIHRoaXMgc3R1ZHkgd2FzIHRvIHJlcG9ydCB0aGUyMC15ZWFyIGV4cGVyaWVuY2Ugb2Ygb25lIHN1cmdpY2FsIHRlYW0gaW5DUlMgYW5kIEhJUEVDIGZvciBQTVAgb2YgYXBwZW5kaWNlYWwgb3JpZ2luLiBNZXRob2RzOiBSZXRyb3NwZWN0aXZlIHN0dWR5IG9mIHRoZSBmaWxlcyBvZiBwYXRpZW50cyB3aXRoIFBNUCBvZiBhcHBlbmRpY2VhbCBvcmlnaW4gdGhhdCB1bmRlcndlbnQgQ1JTK0hJUEVDLiBNb3JiaWRpdHkgYW5kIGhvc3BpdGFsIG1vcnRhbGl0eSB3ZXJlIHJlY29yZGVkLiBDbGluaWNhbCBhbmQgaGlzdG9wYXRob2xvZ2ljIHZhcmlhYmxlcyB3ZXJlIGNvcnJlbGF0ZWQgdG8gc3Vydml2YWwgYW5kIHJlY3VycmVuY2UuIFJlc3VsdHM6IFRoZSBmaWxlcyBvZiA0MSBwYXRpZW50cyB3aXRoIFBNUCBvZiBhcHBlbmRpY2VhbCBvcmlnaW4gdGhhdCB1bmRlcndlbnQgQ1JTK0hJUEVDIGZyb20gMTk5OS0yMDE4IHdlcmUgcmV0cmlldmVkLiBUaGUgbW9ydGFsaXR5IGFuZCB0aGUgbW9yYmlkaXR5IHJhdGVzIHdlcmUgMi40JSBhbmQgMjkuMyUsIHJlc3BlY3RpdmVseS4gVGhlIDUtYW5kIDgteWVhciBzdXJ2aXZhbCByYXRlIHdhcyA2OC4zJS4gVGhlIGNvbXBsZXRlbmVzcyBvZiBjeXRvcmVkdWN0aW9uLCBhbmQgdGhlIGV4dGVudCBvZiBwcmV2aW91cyBzdXJnZXJ5IHdlcmUgaWRlbnRpZmllZCBhcyB0aGUgcHJvZ25vc3RpYyBpbmRpY2F0b3JzIG9mIHN1cnZpdmFsLiBUaGUgcmVjdXJyZW5jZSByYXRlIHdhcyAzMi41JSB3aXRoIHRoZSBjb21wbGV0ZW5lc3Mgb2YgY3l0b3JlZHVjdGlvbiwgdGhlIGhpc3RvbG9naWMgdHlwZSBvZiB0aGUgdHVtb3IgYmVpbmcgdGhlIHByb2dub3N0aWMgaW5kaWNhdG9yLiBDb25jbHVzaW9uczogQ1JTIGluIGNvbWJpbmF0aW9uIHdpdGggcGVyaW9wZXJhdGl2ZSBpbnRyYS1wZXJpdG9uZWFsIGNoZW1vdGhlcmFweSBpcyBhIHNhZmUgYW5kIGVmZmVjdGl2ZSB0cmVhdG1lbnQgaW4gdGhlIG1hbmFnZW1lbnQgb2YgUE1QIG9mIGFwcGVuZGljZWFsIG9yaWdpbi4iLCJpc3N1ZSI6IjQiLCJ2b2x1bWUiOiIyNiIsImNvbnRhaW5lci10aXRsZS1zaG9ydCI6IiJ9LCJpc1RlbXBvcmFyeSI6ZmFsc2V9XX0="/>
          <w:id w:val="915975047"/>
        </w:sdtPr>
        <w:sdtContent>
          <w:r>
            <w:rPr/>
          </w:r>
          <w:r>
            <w:rPr>
              <w:rFonts w:eastAsia="MS Mincho"/>
              <w:color w:val="000000"/>
            </w:rPr>
            <w:t>(9)</w:t>
          </w:r>
        </w:sdtContent>
      </w:sdt>
      <w:r>
        <w:rPr/>
        <w:t>.</w:t>
      </w:r>
    </w:p>
    <w:p>
      <w:pPr>
        <w:pStyle w:val="Normal"/>
        <w:rPr>
          <w:b/>
        </w:rPr>
      </w:pPr>
      <w:bookmarkStart w:id="182" w:name="_Toc199584626"/>
      <w:r>
        <w:rPr>
          <w:b/>
        </w:rPr>
        <w:t>Indicaciones para re-CRS + HIPEC</w:t>
      </w:r>
      <w:bookmarkEnd w:id="182"/>
    </w:p>
    <w:p>
      <w:pPr>
        <w:pStyle w:val="p1"/>
        <w:spacing w:lineRule="auto" w:line="360" w:before="280" w:after="280"/>
        <w:jc w:val="both"/>
        <w:rPr/>
      </w:pPr>
      <w:r>
        <w:rPr/>
        <w:t>Los candidatos ideales para reintervención cumplen características similares a las del tratamiento inicial:</w:t>
      </w:r>
    </w:p>
    <w:p>
      <w:pPr>
        <w:pStyle w:val="p1"/>
        <w:numPr>
          <w:ilvl w:val="0"/>
          <w:numId w:val="20"/>
        </w:numPr>
        <w:spacing w:lineRule="auto" w:line="360" w:before="280" w:after="0"/>
        <w:jc w:val="both"/>
        <w:rPr/>
      </w:pPr>
      <w:r>
        <w:rPr/>
        <w:t>Histología de bajo grado (LAMN o HAMN sin progresión dediferenciada)</w:t>
      </w:r>
      <w:r>
        <w:rPr>
          <w:rStyle w:val="s1"/>
        </w:rPr>
        <w:t>.</w:t>
      </w:r>
    </w:p>
    <w:p>
      <w:pPr>
        <w:pStyle w:val="p1"/>
        <w:numPr>
          <w:ilvl w:val="0"/>
          <w:numId w:val="20"/>
        </w:numPr>
        <w:spacing w:lineRule="auto" w:line="360" w:before="0" w:after="0"/>
        <w:jc w:val="both"/>
        <w:rPr/>
      </w:pPr>
      <w:r>
        <w:rPr/>
        <w:t>Recurrencia localizada exclusivamente a peritoneo</w:t>
      </w:r>
      <w:r>
        <w:rPr>
          <w:rStyle w:val="s1"/>
        </w:rPr>
        <w:t>, sin metástasis hepáticas ni a distancia.</w:t>
      </w:r>
    </w:p>
    <w:p>
      <w:pPr>
        <w:pStyle w:val="p1"/>
        <w:numPr>
          <w:ilvl w:val="0"/>
          <w:numId w:val="20"/>
        </w:numPr>
        <w:spacing w:lineRule="auto" w:line="360" w:before="0" w:after="0"/>
        <w:jc w:val="both"/>
        <w:rPr/>
      </w:pPr>
      <w:r>
        <w:rPr>
          <w:rStyle w:val="s1"/>
        </w:rPr>
        <w:t>Intervalo libre de enfermedad &gt;12-18 meses</w:t>
      </w:r>
      <w:r>
        <w:rPr/>
        <w:t>, lo que predice mejor pronóstico post retratamiento.</w:t>
      </w:r>
    </w:p>
    <w:p>
      <w:pPr>
        <w:pStyle w:val="p1"/>
        <w:numPr>
          <w:ilvl w:val="0"/>
          <w:numId w:val="20"/>
        </w:numPr>
        <w:spacing w:lineRule="auto" w:line="360" w:before="0" w:after="0"/>
        <w:jc w:val="both"/>
        <w:rPr/>
      </w:pPr>
      <w:r>
        <w:rPr>
          <w:rStyle w:val="s1"/>
        </w:rPr>
        <w:t>Buen estado funcional (ECOG ≤1)</w:t>
      </w:r>
      <w:r>
        <w:rPr/>
        <w:t xml:space="preserve"> y adecuada reserva fisiológica.</w:t>
      </w:r>
    </w:p>
    <w:p>
      <w:pPr>
        <w:pStyle w:val="p1"/>
        <w:numPr>
          <w:ilvl w:val="0"/>
          <w:numId w:val="20"/>
        </w:numPr>
        <w:spacing w:lineRule="auto" w:line="360" w:before="0" w:after="0"/>
        <w:jc w:val="both"/>
        <w:rPr>
          <w:rStyle w:val="s1"/>
        </w:rPr>
      </w:pPr>
      <w:r>
        <w:rPr/>
        <w:t>Posibilidad de lograr nueva citorreducción completa (CC-0 o CC-1)</w:t>
      </w:r>
      <w:r>
        <w:rPr>
          <w:rStyle w:val="s1"/>
        </w:rPr>
        <w:t xml:space="preserve"> según imagenología o laparoscopía exploratoria.</w:t>
      </w:r>
    </w:p>
    <w:p>
      <w:pPr>
        <w:pStyle w:val="p1"/>
        <w:numPr>
          <w:ilvl w:val="0"/>
          <w:numId w:val="20"/>
        </w:numPr>
        <w:spacing w:lineRule="auto" w:line="360" w:before="0" w:after="280"/>
        <w:jc w:val="both"/>
        <w:rPr/>
      </w:pPr>
      <w:r>
        <w:rPr/>
        <w:t>Ausencia de deterioro funcional progresivo.</w:t>
      </w:r>
    </w:p>
    <w:p>
      <w:pPr>
        <w:pStyle w:val="p1"/>
        <w:spacing w:lineRule="auto" w:line="360" w:before="280" w:after="280"/>
        <w:jc w:val="both"/>
        <w:rPr/>
      </w:pPr>
      <w:r>
        <w:rPr/>
        <w:t xml:space="preserve">En estos pacientes, la repetición del procedimiento puede mejorar la supervivencia global, proporcionando un control sintomático eficaz y baja mortalidad operatoria en manos expertas </w:t>
      </w:r>
      <w:sdt>
        <w:sdtPr>
          <w:placeholder>
            <w:docPart w:val="DefaultPlaceholder_-1854013440"/>
          </w:placeholder>
          <w:tag w:val="MENDELEY_CITATION_v3_eyJjaXRhdGlvbklEIjoiTUVOREVMRVlfQ0lUQVRJT05fZGQ1NGIwZWQtMjMyMy00YWNhLWI2YmItZTBjZTdkYWEzMjI4IiwicHJvcGVydGllcyI6eyJub3RlSW5kZXgiOjB9LCJpc0VkaXRlZCI6ZmFsc2UsIm1hbnVhbE92ZXJyaWRlIjp7ImlzTWFudWFsbHlPdmVycmlkZGVuIjpmYWxzZSwiY2l0ZXByb2NUZXh0IjoiKDU4KSIsIm1hbnVhbE92ZXJyaWRlVGV4dCI6IiJ9LCJjaXRhdGlvbkl0ZW1zIjpbeyJpZCI6ImE1ODRhN2VhLWZkMmItMzM2NS04OTM4LTllMzM3MWE1ZTJlYSIsIml0ZW1EYXRhIjp7InR5cGUiOiJhcnRpY2xlLWpvdXJuYWwiLCJpZCI6ImE1ODRhN2VhLWZkMmItMzM2NS04OTM4LTllMzM3MWE1ZTJlYSIsInRpdGxlIjoiUHJvbG9uZ2VkIFN1cnZpdmFsIGluIFBlcml0b25lYWwgTWV0YXN0YXRpYyBBcHBlbmRpY2VhbCBDYXJjaW5vbWEgUGF0aWVudHMgVHJlYXRlZCBXaXRoIENvbWJpbmVkIEN5dG9yZWR1Y3RpdmUgU3VyZ2VyeSBhbmQgSHlwZXJ0aGVybWljIEludHJhcGVyaXRvbmVhbCBDaGVtb3RoZXJhcHkiLCJhdXRob3IiOlt7ImZhbWlseSI6IkFjcyIsImdpdmVuIjoiTWlrbG9zIiwicGFyc2UtbmFtZXMiOmZhbHNlLCJkcm9wcGluZy1wYXJ0aWNsZSI6IiIsIm5vbi1kcm9wcGluZy1wYXJ0aWNsZSI6IiJ9LHsiZmFtaWx5IjoiR2Vya2VuIiwiZ2l2ZW4iOiJNaWNoYWVsIiwicGFyc2UtbmFtZXMiOmZhbHNlLCJkcm9wcGluZy1wYXJ0aWNsZSI6IiIsIm5vbi1kcm9wcGluZy1wYXJ0aWNsZSI6IiJ9LHsiZmFtaWx5IjoiWnVzdGluIiwiZ2l2ZW4iOiJKb3plZiIsInBhcnNlLW5hbWVzIjpmYWxzZSwiZHJvcHBpbmctcGFydGljbGUiOiIiLCJub24tZHJvcHBpbmctcGFydGljbGUiOiIifSx7ImZhbWlseSI6IkJsYWoiLCJnaXZlbiI6IlNlYmFzdGlhbiIsInBhcnNlLW5hbWVzIjpmYWxzZSwiZHJvcHBpbmctcGFydGljbGUiOiIiLCJub24tZHJvcHBpbmctcGFydGljbGUiOiIifSx7ImZhbWlseSI6IklzZ2FuZGFyb3ZhIiwiZ2l2ZW4iOiJTYWJpbmEiLCJwYXJzZS1uYW1lcyI6ZmFsc2UsImRyb3BwaW5nLXBhcnRpY2xlIjoiIiwibm9uLWRyb3BwaW5nLXBhcnRpY2xlIjoiIn0seyJmYW1pbHkiOiJQaXNvIiwiZ2l2ZW4iOiJQb21waWxpdSIsInBhcnNlLW5hbWVzIjpmYWxzZSwiZHJvcHBpbmctcGFydGljbGUiOiIiLCJub24tZHJvcHBpbmctcGFydGljbGUiOiIifV0sImNvbnRhaW5lci10aXRsZSI6IlRoZSBKb3VybmFsIG9mIHN1cmdpY2FsIHJlc2VhcmNoIiwiY29udGFpbmVyLXRpdGxlLXNob3J0IjoiSiBTdXJnIFJlcyIsIkRPSSI6IjEwLjEwMTYvSi5KU1MuMjAyMi4xMC4wODMiLCJJU1NOIjoiMTA5NS04NjczIiwiUE1JRCI6IjM2OTE1MDExIiwiaXNzdWVkIjp7ImRhdGUtcGFydHMiOltbMjAyM11dfSwicGFnZSI6IjgzOS04NTIiLCJhYnN0cmFjdCI6IkludHJvZHVjdGlvbjogUHJpbWFyeSB0cmVhdG1lbnQgZm9yIHBlcml0b25lYWwgZGlzc2VtaW5hdGlvbiBvZiBhcHBlbmRpY2VhbCBjYW5jZXIgaXMgdGhlIGNvbWJpbmF0aW9uIG9mIGN5dG9yZWR1Y3RpdmUgc3VyZ2VyeSBhbmQgaHlwZXJ0aGVybWljIGludHJhcGVyaXRvbmVhbCBjaGVtb3RoZXJhcHkuIFRoZSBlbmRwb2ludHMgd2VyZSBvdmVyYWxsIHN1cnZpdmFsIGFuZCBldmFsdWF0aW9uIG9mIHByb2dub3N0aWMgZmFjdG9ycy4gTWV0aG9kczogQ2xpbmljb3BhdGhvbG9naWNhbCBhbmQgdHJlYXRtZW50LXJlbGF0ZWQgZmFjdG9ycyB3ZXJlIG9idGFpbmVkIGZyb20gYSBwcm9zcGVjdGl2ZSBkYXRhYmFzZS4gQSB0b3RhbCBvZiA4NCBwYXRpZW50cywgNTUgKDY1JSkgcHJpbWFyeSBhbmQgMjkgKDM1JSkgcmVjdXJyZW50IG1hbGlnbmFudCBhcHBlbmRpY2VhbCBjYXJjaW5vbWFzIHdpdGggc3luY2hyb25vdXMgYW5kIG1ldGFjaHJvbm91cyBwZXJpdG9uZWFsIG1ldGFzdGFzZXMsIHVuZGVyd2VudCBtdWx0aW1vZGFsIHRyZWF0bWVudCBiZXR3ZWVuIDIwMTEgYW5kIDIwMjEuIFRoZSBlbmRwb2ludHMgb2YgdGhlIHN0dWR5IHdlcmUgb3ZlcmFsbCBzdXJ2aXZhbCBhbmQgZXZhbHVhdGlvbiBvZiBwcm9nbm9zdGljIGZhY3RvcnMuIFJlc3VsdHM6IFRoZSBtZWRpYW4gZm9sbG93LXVwIHdhcyA0LjggeTsgdGhlIG1lYW4gYWdlIHdhcyA1NC41IHkgKHJhbmdlIDI1LTc3KSwgd2l0aCBhIHNleCBkaXN0cmlidXRpb24gb2YgNjklIGZlbWFsZSBhbmQgMzElIG1hbGUuIFRoZSBtZWFuIHBlcml0b25lYWwgY2FuY2VyIGluZGV4IHdhcyAxMS4zLiBUaGUgcHJvcG9ydGlvbiBvZiBtdWNpbm91cywgaW50ZXN0aW5hbC10eXBlLCBzaWduZXQgcmluZyBjZWxsLCBhbmQgZ29ibGV0IGNlbGwgY2FyY2lub21hIHdhcyA1NiUsIDIzJSwgMTElLCBhbmQgMTAlLCByZXNwZWN0aXZlbHkuIFRoZSA1LXkgc3Vydml2YWwgcmF0ZSBvZiB0aGUgd2hvbGUgY29ob3J0IHdhcyA1Ni43JS4gSW4gcHJpbWFyeSBhbmQgcmVjdXJyZW50IGRpc2Vhc2VzLCB0aGUgb3ZlcmFsbCBtZWRpYW4gc3Vydml2YWwgd2FzIDguNCBhbmQgNC45IHkuIFNpZ25pZmljYW50bHkgaW1wcm92ZWQgc3Vydml2YWwgd2FzIGRldGVjdGVkIGFmdGVyIGNvbXBsZXRlIGN5dG9yZWR1Y3Rpb24gcmVzZWN0aW9uIChoYXphcmQgcmF0aW8gW0hSXSBmb3IgQ0NSLTIgdmVyc3VzIENDUi0wOiA5LjM4OCwgOTUlIGNvbmZpZGVuY2UgaW50ZXJ2YWwgW0NJXSAzLjAyNi0yOS4xMjQsIFAgPSAwLjAwMSkgYW5kIGluaXRpYWwgbG9jYWwgb3BlcmF0aW9uIHdpdGggdW5kZWxheWVkIGFkbWlzc2lvbiB0byB0aGUgY2VudGVyIChIUiAwLjI2MiwgOTUlIENJIDAuMDg5LTAuNzczOyBQID0gMC4wMTUpLiBUaGUgZml2ZSBpbmRlcGVuZGVudCBmYWN0b3JzIGluIEthcGxhbuKAk01laWVyIGFuYWx5c2lzIGFuZCB1bml2YXJpYWJsZSBDb3ggcmVncmVzc2lvbiBhbmFseXNpcyBhc3NvY2lhdGVkIHdpdGggc2lnbmlmaWNhbnQgYWR2ZXJzZSBzdXJ2aXZhbCB3ZXJlIGNhbmNlciBhbnRpZ2VuIChDQSkgMTktOSBvdmVyIDM3IElVL21MLCBzaWduZXQgcmluZyBjZWxsIGFuZCBpbnRlc3RpbmFsLXR5cGUgaGlzdG9sb2d5LCBwb3NpdGl2ZSBub2RhbCBzdGF0dXMsIGdyYWRpbmcsIGFuZCBwZXJpdG9uZWFsIGNhbmNlciBpbmRleCA+MjAuIE5lb2FkanV2YW50IGNoZW1vdGhlcmFweSBhZG1pbmlzdHJhdGlvbiBkaWQgbm90IGltcGFjdCBzdXJ2aXZhbCAoSFIgMS4yMjAsIDk1JSBDSSAwLjYxMi0yLjQzMiwgUCA9IDAuNTcxKS4gQ29uY2x1c2lvbnM6IFdpdGggbXVsdGltb2RhbCB0cmVhdG1lbnQsIHByb2xvbmdlZCBzdXJ2aXZhbCBpcyBhdHRhaW5hYmxlIGluIHN0YWdlIElWIHByaW1hcnkgYW5kIHJlY3VycmVudCBhcHBlbmRpY2VhbCBjYXJjaW5vbWEgd2l0aCBwZXJpdG9uZWFsIGRpc3NlbWluYXRpb24uIERpcmVjdCByZWZlcnJhbCB0byBzcGVjaWFsaXplZCBjZW50ZXJzIGFmdGVyIGNvbmZpcm1hdGlvbiBvZiBwZXJpdG9uZWFsIG1ldGFzdGFzaXMgaXMgcmVjb21tZW5kZWQgYmVjYXVzZSBwcm9tcHQgZGVmaW5pdGl2ZSB0cmVhdG1lbnQgbWF5IHNpZ25pZmljYW50bHkgaW1wcm92ZSBzdXJ2aXZhbC4iLCJwdWJsaXNoZXIiOiJKIFN1cmcgUmVzIiwidm9sdW1lIjoiMjgzIn0sImlzVGVtcG9yYXJ5IjpmYWxzZX1dfQ=="/>
          <w:id w:val="2055739489"/>
        </w:sdtPr>
        <w:sdtContent>
          <w:r>
            <w:rPr/>
          </w:r>
          <w:r>
            <w:rPr>
              <w:rFonts w:eastAsia="MS Mincho"/>
              <w:color w:val="000000"/>
            </w:rPr>
            <w:t>(58)</w:t>
          </w:r>
        </w:sdtContent>
      </w:sdt>
      <w:r>
        <w:rPr/>
        <w:t xml:space="preserve">. </w:t>
      </w:r>
      <w:r>
        <w:rPr/>
        <w:t>Se alcanzan tasas de citorreducción completa (CC-0) de hasta 60–70 % en pacientes seleccionados, manteniendo tasas de complicaciones similares a las de la cirugía inicial. Se recomienda un PCI estimado bajo o intermedio.</w:t>
      </w:r>
    </w:p>
    <w:p>
      <w:pPr>
        <w:pStyle w:val="Heading5"/>
        <w:numPr>
          <w:ilvl w:val="4"/>
          <w:numId w:val="80"/>
        </w:numPr>
        <w:ind w:firstLine="709" w:left="0"/>
        <w:rPr>
          <w:sz w:val="36"/>
        </w:rPr>
      </w:pPr>
      <w:bookmarkStart w:id="183" w:name="_Toc199584627"/>
      <w:r>
        <w:rPr/>
        <w:t>Rol de la cirugía citorreductora + HIPEC profiláctico</w:t>
      </w:r>
      <w:bookmarkEnd w:id="183"/>
    </w:p>
    <w:p>
      <w:pPr>
        <w:pStyle w:val="p3"/>
        <w:spacing w:lineRule="auto" w:line="360" w:before="280" w:after="280"/>
        <w:jc w:val="both"/>
        <w:rPr/>
      </w:pPr>
      <w:r>
        <w:rPr/>
        <w:t>El uso de quimioterapia intraperitoneal hipertérmica (HIPEC) como estrategia profiláctica en pacientes con neoplasias mucinosas apendiculares de bajo o alto grado, sin evidencia macroscópica de diseminación peritoneal, es un tema que ha generado considerable controversia.</w:t>
      </w:r>
    </w:p>
    <w:p>
      <w:pPr>
        <w:pStyle w:val="p3"/>
        <w:spacing w:lineRule="auto" w:line="360" w:before="280" w:after="280"/>
        <w:jc w:val="both"/>
        <w:rPr/>
      </w:pPr>
      <w:r>
        <w:rPr/>
        <w:t>Entre los argumentos a favor del uso profiláctico de HIPEC destaca la alta tasa de diseminación microscópica no detectable por imagen, que afecta a un porcentaje nada despreciable (25–30 %) de pacientes con LAMN perforado o con mucina acellular extraluminal, quienes pueden desarrollar pseudomixoma peritonei a mediano plazo, a pesar de no presentar implantes visibles en el momento de la resección</w:t>
      </w:r>
      <w:r>
        <w:rPr>
          <w:color w:val="000000"/>
        </w:rPr>
        <w:t xml:space="preserve"> </w:t>
      </w:r>
      <w:r>
        <w:rPr>
          <w:rFonts w:eastAsia="MS Mincho"/>
          <w:color w:val="000000"/>
        </w:rPr>
        <w:t>(62)</w:t>
      </w:r>
      <w:r>
        <w:rPr/>
        <w:t xml:space="preserve">. </w:t>
      </w:r>
    </w:p>
    <w:p>
      <w:pPr>
        <w:pStyle w:val="p3"/>
        <w:spacing w:lineRule="auto" w:line="360" w:before="280" w:after="280"/>
        <w:jc w:val="both"/>
        <w:rPr>
          <w:color w:val="000000"/>
        </w:rPr>
      </w:pPr>
      <w:bookmarkStart w:id="184" w:name="_Toc199584628"/>
      <w:r>
        <w:rPr/>
        <w:t>Asimismo, se destacan la prevención de recurrencias clínicas y la reducción de la necesidad de cirugías futuras, así como los resultados favorables en cohortes seleccionadas, en las que se han observado tasas de recurrencia cercanas al 0 % en pacientes con LAMN perforado que recibieron HIPEC profiláctico, en comparación con tasas superiores al 20 % en aquellos bajo vigilancia únicamente</w:t>
      </w:r>
      <w:r>
        <w:rPr>
          <w:color w:val="000000"/>
        </w:rPr>
        <w:t xml:space="preserve"> </w:t>
      </w:r>
      <w:r>
        <w:rPr>
          <w:rFonts w:eastAsia="MS Mincho"/>
          <w:color w:val="000000"/>
        </w:rPr>
        <w:t>(63)</w:t>
      </w:r>
      <w:r>
        <w:rPr>
          <w:color w:val="000000"/>
        </w:rPr>
        <w:t xml:space="preserve">. </w:t>
      </w:r>
    </w:p>
    <w:p>
      <w:pPr>
        <w:pStyle w:val="p3"/>
        <w:spacing w:lineRule="auto" w:line="360" w:before="280" w:after="280"/>
        <w:jc w:val="both"/>
        <w:rPr/>
      </w:pPr>
      <w:r>
        <w:rPr>
          <w:color w:val="000000"/>
        </w:rPr>
        <w:t>Por otro lado, existe una fuerte oposición debido a la morbilidad del procedimiento, la ausencia de ensayos aleatorizados con un volumen adecuado de pacientes (falta de evidencia de nivel I) y la existencia de estrategias alternativas de vigilancia activa mediante tomografía axial computarizada (TAC) y marcadores tumorales</w:t>
      </w:r>
      <w:r>
        <w:rPr/>
        <w:t>.</w:t>
      </w:r>
    </w:p>
    <w:p>
      <w:pPr>
        <w:pStyle w:val="Heading5"/>
        <w:numPr>
          <w:ilvl w:val="4"/>
          <w:numId w:val="81"/>
        </w:numPr>
        <w:ind w:firstLine="709" w:left="0"/>
        <w:rPr>
          <w:sz w:val="36"/>
        </w:rPr>
      </w:pPr>
      <w:bookmarkStart w:id="185" w:name="_Toc199584628"/>
      <w:r>
        <w:rPr/>
        <w:t>Estudios a favor de la cirugía citorreductora + HIPEC</w:t>
      </w:r>
      <w:bookmarkEnd w:id="185"/>
    </w:p>
    <w:p>
      <w:pPr>
        <w:pStyle w:val="p3"/>
        <w:spacing w:lineRule="auto" w:line="360" w:before="280" w:after="280"/>
        <w:jc w:val="both"/>
        <w:rPr/>
      </w:pPr>
      <w:r>
        <w:rPr/>
        <w:t xml:space="preserve">A pesar de la ausencia de ensayos clínicos aleatorizados de gran escala en el contexto específico de las neoplasias apendiculares con diseminación peritoneal, la evidencia acumulada en las últimas dos décadas —proveniente de </w:t>
      </w:r>
      <w:r>
        <w:rPr>
          <w:rStyle w:val="s2"/>
        </w:rPr>
        <w:t>estudios retrospectivos, cohortes multicéntricas, registros internacionales y experiencias institucionales</w:t>
      </w:r>
      <w:r>
        <w:rPr/>
        <w:t xml:space="preserve">— ha consolidado la </w:t>
      </w:r>
      <w:r>
        <w:rPr>
          <w:rStyle w:val="s2"/>
        </w:rPr>
        <w:t>cirugía citorreductora (CRS) asociada a HIPEC</w:t>
      </w:r>
      <w:r>
        <w:rPr/>
        <w:t xml:space="preserve"> como el tratamiento estándar en pacientes seleccionados. </w:t>
      </w:r>
    </w:p>
    <w:p>
      <w:pPr>
        <w:pStyle w:val="Normal"/>
        <w:rPr>
          <w:b/>
        </w:rPr>
      </w:pPr>
      <w:bookmarkStart w:id="186" w:name="_Toc199584629"/>
      <w:r>
        <w:rPr>
          <w:b/>
        </w:rPr>
        <w:t>Supervivencia global y libre de enfermedad</w:t>
      </w:r>
      <w:bookmarkEnd w:id="186"/>
    </w:p>
    <w:p>
      <w:pPr>
        <w:pStyle w:val="p1"/>
        <w:spacing w:lineRule="auto" w:line="360" w:before="280" w:after="280"/>
        <w:jc w:val="both"/>
        <w:rPr/>
      </w:pPr>
      <w:r>
        <w:rPr/>
        <w:t xml:space="preserve">El estudio </w:t>
      </w:r>
      <w:r>
        <w:rPr>
          <w:rStyle w:val="Emphasis"/>
        </w:rPr>
        <w:t>Twenty-years’ experience with CRS and HIPEC for pseudomyxoma peritonei (PMP)</w:t>
      </w:r>
      <w:r>
        <w:rPr/>
        <w:t xml:space="preserve"> reportó una mediana de supervivencia global de 16.3 años, con tasas de supervivencia a 5 años de 74.6 % y a 10 años de 63.2 % en pacientes con LAMN tratados con CRS + HIPEC. El beneficio fue particularmente marcado en quienes lograron una citorreducción completa (CC-0)</w:t>
      </w:r>
      <w:sdt>
        <w:sdtPr>
          <w:placeholder>
            <w:docPart w:val="DefaultPlaceholder_-1854013440"/>
          </w:placeholder>
          <w:tag w:val="MENDELEY_CITATION_v3_eyJjaXRhdGlvbklEIjoiTUVOREVMRVlfQ0lUQVRJT05fYWI2MmQ0MmMtZTczOS00YWJlLWFmMzUtYzM5MDA2NDgyMjZiIiwicHJvcGVydGllcyI6eyJub3RlSW5kZXgiOjB9LCJpc0VkaXRlZCI6ZmFsc2UsIm1hbnVhbE92ZXJyaWRlIjp7ImlzTWFudWFsbHlPdmVycmlkZGVuIjpmYWxzZSwiY2l0ZXByb2NUZXh0IjoiKDkpIiwibWFudWFsT3ZlcnJpZGVUZXh0IjoiIn0sImNpdGF0aW9uSXRlbXMiOlt7ImlkIjoiMzA5YjExYzYtMDA4Yi0zZTNiLWE2OGMtYjQ0ODE0ZmE3OWQ0IiwiaXRlbURhdGEiOnsidHlwZSI6ImFydGljbGUtam91cm5hbCIsImlkIjoiMzA5YjExYzYtMDA4Yi0zZTNiLWE2OGMtYjQ0ODE0ZmE3OWQ0IiwidGl0bGUiOiJUd2VudHkteWVhcnMnIGV4cGVyaWVuY2Ugd2l0aCBjeXRvcmVkdWN0aXZlIHN1cmdlcnkgKENSUykgYW5kIGh5cGVydGhlcm1pYyBpbnRyYXBlcml0b25lYWwgY2hlbW90aGVyYXB5IChISVBFQykgZm9yIHBzZXVkb215eG9tYSBwZXJpdG9uZWkgKFBNUCkiLCJhdXRob3IiOlt7ImZhbWlseSI6IlBhcGFudG9uaSIsImdpdmVuIjoiRXZhbmdlbGlhIiwicGFyc2UtbmFtZXMiOmZhbHNlLCJkcm9wcGluZy1wYXJ0aWNsZSI6IiIsIm5vbi1kcm9wcGluZy1wYXJ0aWNsZSI6IiJ9LHsiZmFtaWx5IjoiTnRhdHNpcyIsImdpdmVuIjoiS29uc3RhbnRpbm9zIiwicGFyc2UtbmFtZXMiOmZhbHNlLCJkcm9wcGluZy1wYXJ0aWNsZSI6IiIsIm5vbi1kcm9wcGluZy1wYXJ0aWNsZSI6IiJ9LHsiZmFtaWx5IjoiS3l6aXJpZGlzIiwiZ2l2ZW4iOiJEaW1pdHJpb3MiLCJwYXJzZS1uYW1lcyI6ZmFsc2UsImRyb3BwaW5nLXBhcnRpY2xlIjoiIiwibm9uLWRyb3BwaW5nLXBhcnRpY2xlIjoiIn0seyJmYW1pbHkiOiJLYWxha29uYXMiLCJnaXZlbiI6IkFwb3N0b2xvcyIsInBhcnNlLW5hbWVzIjpmYWxzZSwiZHJvcHBpbmctcGFydGljbGUiOiIiLCJub24tZHJvcHBpbmctcGFydGljbGUiOiIifSx7ImZhbWlseSI6IkhyaXN0YWtpcyIsImdpdmVuIjoiQ2hyaXN0b3MiLCJwYXJzZS1uYW1lcyI6ZmFsc2UsImRyb3BwaW5nLXBhcnRpY2xlIjoiIiwibm9uLWRyb3BwaW5nLXBhcnRpY2xlIjoiIn0seyJmYW1pbHkiOiJUZW50ZXMiLCJnaXZlbiI6IkFudG9uaW9zLUFwb3N0b2xvcyIsInBhcnNlLW5hbWVzIjpmYWxzZSwiZHJvcHBpbmctcGFydGljbGUiOiIiLCJub24tZHJvcHBpbmctcGFydGljbGUiOiIifV0sImNvbnRhaW5lci10aXRsZSI6IkpCVU9OIiwiYWNjZXNzZWQiOnsiZGF0ZS1wYXJ0cyI6W1syMDI1LDQsMThdXX0sIklTU04iOiIyMjQxLTYyOTMiLCJpc3N1ZWQiOnsiZGF0ZS1wYXJ0cyI6W1syMDIxXV19LCJwYWdlIjoiMTY0Ny0xNjUyIiwiYWJzdHJhY3QiOiJQdXJwb3NlOiB1ZG9teXhvbWEgcGVyaXRvbmVpIGlzIHRyZWF0ZWQgd2l0aCBjeXRvcmVkdWN0aXZlIHN1cmdlcnkgKENSUykgY29tYmluZWQgYW5kIGh5cGVydGhlcm1pYyBpbnRyYW9wZXJhdGl2ZSBpbnRyYXBlcml0b25lYWwgY2hlbW90aGVyYXB5IChISVBFQykuIFRoZSBwdXJwb3NlIG9mIHRoaXMgc3R1ZHkgd2FzIHRvIHJlcG9ydCB0aGUyMC15ZWFyIGV4cGVyaWVuY2Ugb2Ygb25lIHN1cmdpY2FsIHRlYW0gaW5DUlMgYW5kIEhJUEVDIGZvciBQTVAgb2YgYXBwZW5kaWNlYWwgb3JpZ2luLiBNZXRob2RzOiBSZXRyb3NwZWN0aXZlIHN0dWR5IG9mIHRoZSBmaWxlcyBvZiBwYXRpZW50cyB3aXRoIFBNUCBvZiBhcHBlbmRpY2VhbCBvcmlnaW4gdGhhdCB1bmRlcndlbnQgQ1JTK0hJUEVDLiBNb3JiaWRpdHkgYW5kIGhvc3BpdGFsIG1vcnRhbGl0eSB3ZXJlIHJlY29yZGVkLiBDbGluaWNhbCBhbmQgaGlzdG9wYXRob2xvZ2ljIHZhcmlhYmxlcyB3ZXJlIGNvcnJlbGF0ZWQgdG8gc3Vydml2YWwgYW5kIHJlY3VycmVuY2UuIFJlc3VsdHM6IFRoZSBmaWxlcyBvZiA0MSBwYXRpZW50cyB3aXRoIFBNUCBvZiBhcHBlbmRpY2VhbCBvcmlnaW4gdGhhdCB1bmRlcndlbnQgQ1JTK0hJUEVDIGZyb20gMTk5OS0yMDE4IHdlcmUgcmV0cmlldmVkLiBUaGUgbW9ydGFsaXR5IGFuZCB0aGUgbW9yYmlkaXR5IHJhdGVzIHdlcmUgMi40JSBhbmQgMjkuMyUsIHJlc3BlY3RpdmVseS4gVGhlIDUtYW5kIDgteWVhciBzdXJ2aXZhbCByYXRlIHdhcyA2OC4zJS4gVGhlIGNvbXBsZXRlbmVzcyBvZiBjeXRvcmVkdWN0aW9uLCBhbmQgdGhlIGV4dGVudCBvZiBwcmV2aW91cyBzdXJnZXJ5IHdlcmUgaWRlbnRpZmllZCBhcyB0aGUgcHJvZ25vc3RpYyBpbmRpY2F0b3JzIG9mIHN1cnZpdmFsLiBUaGUgcmVjdXJyZW5jZSByYXRlIHdhcyAzMi41JSB3aXRoIHRoZSBjb21wbGV0ZW5lc3Mgb2YgY3l0b3JlZHVjdGlvbiwgdGhlIGhpc3RvbG9naWMgdHlwZSBvZiB0aGUgdHVtb3IgYmVpbmcgdGhlIHByb2dub3N0aWMgaW5kaWNhdG9yLiBDb25jbHVzaW9uczogQ1JTIGluIGNvbWJpbmF0aW9uIHdpdGggcGVyaW9wZXJhdGl2ZSBpbnRyYS1wZXJpdG9uZWFsIGNoZW1vdGhlcmFweSBpcyBhIHNhZmUgYW5kIGVmZmVjdGl2ZSB0cmVhdG1lbnQgaW4gdGhlIG1hbmFnZW1lbnQgb2YgUE1QIG9mIGFwcGVuZGljZWFsIG9yaWdpbi4iLCJpc3N1ZSI6IjQiLCJ2b2x1bWUiOiIyNiIsImNvbnRhaW5lci10aXRsZS1zaG9ydCI6IiJ9LCJpc1RlbXBvcmFyeSI6ZmFsc2V9XX0="/>
          <w:id w:val="-360431630"/>
        </w:sdtPr>
        <w:sdtContent>
          <w:r>
            <w:rPr/>
          </w:r>
          <w:r>
            <w:rPr>
              <w:color w:val="000000"/>
            </w:rPr>
            <w:t>(9)</w:t>
          </w:r>
        </w:sdtContent>
      </w:sdt>
    </w:p>
    <w:p>
      <w:pPr>
        <w:pStyle w:val="p1"/>
        <w:spacing w:lineRule="auto" w:line="360" w:before="280" w:after="280"/>
        <w:jc w:val="both"/>
        <w:rPr/>
      </w:pPr>
      <w:r>
        <w:rPr/>
        <w:t xml:space="preserve">En la serie </w:t>
      </w:r>
      <w:r>
        <w:rPr>
          <w:rStyle w:val="Emphasis"/>
        </w:rPr>
        <w:t>Prolonged Survival in Peritoneal Metastatic Appendiceal Carcinoma Patients Treated With Combined CRS and HIPEC</w:t>
      </w:r>
      <w:r>
        <w:rPr/>
        <w:t xml:space="preserve"> se documentó una supervivencia media de 102 meses en pacientes con pseudomixoma peritonei tratados de forma agresiva, incluso con procedimientos repetidos. Se demostró que la repetición del procedimiento no disminuye significativamente los beneficios si se mantienen criterios de selección estrictos</w:t>
      </w:r>
      <w:sdt>
        <w:sdtPr>
          <w:placeholder>
            <w:docPart w:val="DefaultPlaceholder_-1854013440"/>
          </w:placeholder>
          <w:tag w:val="MENDELEY_CITATION_v3_eyJjaXRhdGlvbklEIjoiTUVOREVMRVlfQ0lUQVRJT05fYjExYmViNTAtYWZjNi00ZWExLWFlOWEtMzRlMDJjNjZiNzc4IiwicHJvcGVydGllcyI6eyJub3RlSW5kZXgiOjB9LCJpc0VkaXRlZCI6ZmFsc2UsIm1hbnVhbE92ZXJyaWRlIjp7ImlzTWFudWFsbHlPdmVycmlkZGVuIjpmYWxzZSwiY2l0ZXByb2NUZXh0IjoiKDU4KSIsIm1hbnVhbE92ZXJyaWRlVGV4dCI6IiJ9LCJjaXRhdGlvbkl0ZW1zIjpbeyJpZCI6ImE1ODRhN2VhLWZkMmItMzM2NS04OTM4LTllMzM3MWE1ZTJlYSIsIml0ZW1EYXRhIjp7InR5cGUiOiJhcnRpY2xlLWpvdXJuYWwiLCJpZCI6ImE1ODRhN2VhLWZkMmItMzM2NS04OTM4LTllMzM3MWE1ZTJlYSIsInRpdGxlIjoiUHJvbG9uZ2VkIFN1cnZpdmFsIGluIFBlcml0b25lYWwgTWV0YXN0YXRpYyBBcHBlbmRpY2VhbCBDYXJjaW5vbWEgUGF0aWVudHMgVHJlYXRlZCBXaXRoIENvbWJpbmVkIEN5dG9yZWR1Y3RpdmUgU3VyZ2VyeSBhbmQgSHlwZXJ0aGVybWljIEludHJhcGVyaXRvbmVhbCBDaGVtb3RoZXJhcHkiLCJhdXRob3IiOlt7ImZhbWlseSI6IkFjcyIsImdpdmVuIjoiTWlrbG9zIiwicGFyc2UtbmFtZXMiOmZhbHNlLCJkcm9wcGluZy1wYXJ0aWNsZSI6IiIsIm5vbi1kcm9wcGluZy1wYXJ0aWNsZSI6IiJ9LHsiZmFtaWx5IjoiR2Vya2VuIiwiZ2l2ZW4iOiJNaWNoYWVsIiwicGFyc2UtbmFtZXMiOmZhbHNlLCJkcm9wcGluZy1wYXJ0aWNsZSI6IiIsIm5vbi1kcm9wcGluZy1wYXJ0aWNsZSI6IiJ9LHsiZmFtaWx5IjoiWnVzdGluIiwiZ2l2ZW4iOiJKb3plZiIsInBhcnNlLW5hbWVzIjpmYWxzZSwiZHJvcHBpbmctcGFydGljbGUiOiIiLCJub24tZHJvcHBpbmctcGFydGljbGUiOiIifSx7ImZhbWlseSI6IkJsYWoiLCJnaXZlbiI6IlNlYmFzdGlhbiIsInBhcnNlLW5hbWVzIjpmYWxzZSwiZHJvcHBpbmctcGFydGljbGUiOiIiLCJub24tZHJvcHBpbmctcGFydGljbGUiOiIifSx7ImZhbWlseSI6IklzZ2FuZGFyb3ZhIiwiZ2l2ZW4iOiJTYWJpbmEiLCJwYXJzZS1uYW1lcyI6ZmFsc2UsImRyb3BwaW5nLXBhcnRpY2xlIjoiIiwibm9uLWRyb3BwaW5nLXBhcnRpY2xlIjoiIn0seyJmYW1pbHkiOiJQaXNvIiwiZ2l2ZW4iOiJQb21waWxpdSIsInBhcnNlLW5hbWVzIjpmYWxzZSwiZHJvcHBpbmctcGFydGljbGUiOiIiLCJub24tZHJvcHBpbmctcGFydGljbGUiOiIifV0sImNvbnRhaW5lci10aXRsZSI6IlRoZSBKb3VybmFsIG9mIHN1cmdpY2FsIHJlc2VhcmNoIiwiY29udGFpbmVyLXRpdGxlLXNob3J0IjoiSiBTdXJnIFJlcyIsIkRPSSI6IjEwLjEwMTYvSi5KU1MuMjAyMi4xMC4wODMiLCJJU1NOIjoiMTA5NS04NjczIiwiUE1JRCI6IjM2OTE1MDExIiwiaXNzdWVkIjp7ImRhdGUtcGFydHMiOltbMjAyM11dfSwicGFnZSI6IjgzOS04NTIiLCJhYnN0cmFjdCI6IkludHJvZHVjdGlvbjogUHJpbWFyeSB0cmVhdG1lbnQgZm9yIHBlcml0b25lYWwgZGlzc2VtaW5hdGlvbiBvZiBhcHBlbmRpY2VhbCBjYW5jZXIgaXMgdGhlIGNvbWJpbmF0aW9uIG9mIGN5dG9yZWR1Y3RpdmUgc3VyZ2VyeSBhbmQgaHlwZXJ0aGVybWljIGludHJhcGVyaXRvbmVhbCBjaGVtb3RoZXJhcHkuIFRoZSBlbmRwb2ludHMgd2VyZSBvdmVyYWxsIHN1cnZpdmFsIGFuZCBldmFsdWF0aW9uIG9mIHByb2dub3N0aWMgZmFjdG9ycy4gTWV0aG9kczogQ2xpbmljb3BhdGhvbG9naWNhbCBhbmQgdHJlYXRtZW50LXJlbGF0ZWQgZmFjdG9ycyB3ZXJlIG9idGFpbmVkIGZyb20gYSBwcm9zcGVjdGl2ZSBkYXRhYmFzZS4gQSB0b3RhbCBvZiA4NCBwYXRpZW50cywgNTUgKDY1JSkgcHJpbWFyeSBhbmQgMjkgKDM1JSkgcmVjdXJyZW50IG1hbGlnbmFudCBhcHBlbmRpY2VhbCBjYXJjaW5vbWFzIHdpdGggc3luY2hyb25vdXMgYW5kIG1ldGFjaHJvbm91cyBwZXJpdG9uZWFsIG1ldGFzdGFzZXMsIHVuZGVyd2VudCBtdWx0aW1vZGFsIHRyZWF0bWVudCBiZXR3ZWVuIDIwMTEgYW5kIDIwMjEuIFRoZSBlbmRwb2ludHMgb2YgdGhlIHN0dWR5IHdlcmUgb3ZlcmFsbCBzdXJ2aXZhbCBhbmQgZXZhbHVhdGlvbiBvZiBwcm9nbm9zdGljIGZhY3RvcnMuIFJlc3VsdHM6IFRoZSBtZWRpYW4gZm9sbG93LXVwIHdhcyA0LjggeTsgdGhlIG1lYW4gYWdlIHdhcyA1NC41IHkgKHJhbmdlIDI1LTc3KSwgd2l0aCBhIHNleCBkaXN0cmlidXRpb24gb2YgNjklIGZlbWFsZSBhbmQgMzElIG1hbGUuIFRoZSBtZWFuIHBlcml0b25lYWwgY2FuY2VyIGluZGV4IHdhcyAxMS4zLiBUaGUgcHJvcG9ydGlvbiBvZiBtdWNpbm91cywgaW50ZXN0aW5hbC10eXBlLCBzaWduZXQgcmluZyBjZWxsLCBhbmQgZ29ibGV0IGNlbGwgY2FyY2lub21hIHdhcyA1NiUsIDIzJSwgMTElLCBhbmQgMTAlLCByZXNwZWN0aXZlbHkuIFRoZSA1LXkgc3Vydml2YWwgcmF0ZSBvZiB0aGUgd2hvbGUgY29ob3J0IHdhcyA1Ni43JS4gSW4gcHJpbWFyeSBhbmQgcmVjdXJyZW50IGRpc2Vhc2VzLCB0aGUgb3ZlcmFsbCBtZWRpYW4gc3Vydml2YWwgd2FzIDguNCBhbmQgNC45IHkuIFNpZ25pZmljYW50bHkgaW1wcm92ZWQgc3Vydml2YWwgd2FzIGRldGVjdGVkIGFmdGVyIGNvbXBsZXRlIGN5dG9yZWR1Y3Rpb24gcmVzZWN0aW9uIChoYXphcmQgcmF0aW8gW0hSXSBmb3IgQ0NSLTIgdmVyc3VzIENDUi0wOiA5LjM4OCwgOTUlIGNvbmZpZGVuY2UgaW50ZXJ2YWwgW0NJXSAzLjAyNi0yOS4xMjQsIFAgPSAwLjAwMSkgYW5kIGluaXRpYWwgbG9jYWwgb3BlcmF0aW9uIHdpdGggdW5kZWxheWVkIGFkbWlzc2lvbiB0byB0aGUgY2VudGVyIChIUiAwLjI2MiwgOTUlIENJIDAuMDg5LTAuNzczOyBQID0gMC4wMTUpLiBUaGUgZml2ZSBpbmRlcGVuZGVudCBmYWN0b3JzIGluIEthcGxhbuKAk01laWVyIGFuYWx5c2lzIGFuZCB1bml2YXJpYWJsZSBDb3ggcmVncmVzc2lvbiBhbmFseXNpcyBhc3NvY2lhdGVkIHdpdGggc2lnbmlmaWNhbnQgYWR2ZXJzZSBzdXJ2aXZhbCB3ZXJlIGNhbmNlciBhbnRpZ2VuIChDQSkgMTktOSBvdmVyIDM3IElVL21MLCBzaWduZXQgcmluZyBjZWxsIGFuZCBpbnRlc3RpbmFsLXR5cGUgaGlzdG9sb2d5LCBwb3NpdGl2ZSBub2RhbCBzdGF0dXMsIGdyYWRpbmcsIGFuZCBwZXJpdG9uZWFsIGNhbmNlciBpbmRleCA+MjAuIE5lb2FkanV2YW50IGNoZW1vdGhlcmFweSBhZG1pbmlzdHJhdGlvbiBkaWQgbm90IGltcGFjdCBzdXJ2aXZhbCAoSFIgMS4yMjAsIDk1JSBDSSAwLjYxMi0yLjQzMiwgUCA9IDAuNTcxKS4gQ29uY2x1c2lvbnM6IFdpdGggbXVsdGltb2RhbCB0cmVhdG1lbnQsIHByb2xvbmdlZCBzdXJ2aXZhbCBpcyBhdHRhaW5hYmxlIGluIHN0YWdlIElWIHByaW1hcnkgYW5kIHJlY3VycmVudCBhcHBlbmRpY2VhbCBjYXJjaW5vbWEgd2l0aCBwZXJpdG9uZWFsIGRpc3NlbWluYXRpb24uIERpcmVjdCByZWZlcnJhbCB0byBzcGVjaWFsaXplZCBjZW50ZXJzIGFmdGVyIGNvbmZpcm1hdGlvbiBvZiBwZXJpdG9uZWFsIG1ldGFzdGFzaXMgaXMgcmVjb21tZW5kZWQgYmVjYXVzZSBwcm9tcHQgZGVmaW5pdGl2ZSB0cmVhdG1lbnQgbWF5IHNpZ25pZmljYW50bHkgaW1wcm92ZSBzdXJ2aXZhbC4iLCJwdWJsaXNoZXIiOiJKIFN1cmcgUmVzIiwidm9sdW1lIjoiMjgzIn0sImlzVGVtcG9yYXJ5IjpmYWxzZX1dfQ=="/>
          <w:id w:val="-953401608"/>
        </w:sdtPr>
        <w:sdtContent>
          <w:r>
            <w:rPr/>
          </w:r>
          <w:r>
            <w:rPr>
              <w:color w:val="000000"/>
            </w:rPr>
            <w:t>(58)</w:t>
          </w:r>
        </w:sdtContent>
      </w:sdt>
    </w:p>
    <w:p>
      <w:pPr>
        <w:pStyle w:val="Normal"/>
        <w:rPr>
          <w:b/>
        </w:rPr>
      </w:pPr>
      <w:bookmarkStart w:id="187" w:name="_Toc199584630"/>
      <w:r>
        <w:rPr>
          <w:b/>
        </w:rPr>
        <w:t>Resultados según grado histológico</w:t>
      </w:r>
      <w:bookmarkEnd w:id="187"/>
    </w:p>
    <w:p>
      <w:pPr>
        <w:pStyle w:val="p1"/>
        <w:spacing w:lineRule="auto" w:line="360" w:before="280" w:after="280"/>
        <w:jc w:val="both"/>
        <w:rPr/>
      </w:pPr>
      <w:r>
        <w:rPr/>
        <w:t xml:space="preserve">En el estudio </w:t>
      </w:r>
      <w:r>
        <w:rPr>
          <w:rStyle w:val="Emphasis"/>
        </w:rPr>
        <w:t>Similar Survival Among All Subtypes of Mucinous Appendiceal Adenocarcinoma Except the Intermediate Subtype, Which Shows an Improved Survival</w:t>
      </w:r>
      <w:r>
        <w:rPr/>
        <w:t xml:space="preserve"> se identificó que los pacientes con adenocarcinoma mucinoso de tipo intermedio tratados con CRS + HIPEC presentaron mejores resultados que aquellos con tipos de alto grado. Este hallazgo respalda la utilidad de una estrategia individualizada según el subtipo histológico </w:t>
      </w:r>
      <w:sdt>
        <w:sdtPr>
          <w:placeholder>
            <w:docPart w:val="DefaultPlaceholder_-1854013440"/>
          </w:placeholder>
          <w:tag w:val="MENDELEY_CITATION_v3_eyJjaXRhdGlvbklEIjoiTUVOREVMRVlfQ0lUQVRJT05fY2FjMTIyZjQtYjY2ZC00ZjRjLTg3ZjAtYTAzMmJiYjBjNjUzIiwicHJvcGVydGllcyI6eyJub3RlSW5kZXgiOjB9LCJpc0VkaXRlZCI6ZmFsc2UsIm1hbnVhbE92ZXJyaWRlIjp7ImlzTWFudWFsbHlPdmVycmlkZGVuIjpmYWxzZSwiY2l0ZXByb2NUZXh0IjoiKDU5KSIsIm1hbnVhbE92ZXJyaWRlVGV4dCI6IiJ9LCJjaXRhdGlvbkl0ZW1zIjpbeyJpZCI6IjM0NmU1ZGMxLTgxYjEtMzE4Ny1hZDlmLWIxNzZjN2ZmOTE1NCIsIml0ZW1EYXRhIjp7InR5cGUiOiJhcnRpY2xlLWpvdXJuYWwiLCJpZCI6IjM0NmU1ZGMxLTgxYjEtMzE4Ny1hZDlmLWIxNzZjN2ZmOTE1NCIsInRpdGxlIjoiU2ltaWxhciBTdXJ2aXZhbCBBbW9uZyBBbGwgU3VidHlwZXMgb2YgTXVjaW5vdXMgQXBwZW5kaWNlYWwgQWRlbm9jYXJjaW5vbWEgRXhjZXB0IHRoZSBJbnRlcm1lZGlhdGUgU3VidHlwZSwgV2hpY2ggU2hvd3MgYW4gSW1wcm92ZWQgU3Vydml2YWwiLCJhdXRob3IiOlt7ImZhbWlseSI6IlN1Z2FyYmFrZXIiLCJnaXZlbiI6IlBhdWwgSC4iLCJwYXJzZS1uYW1lcyI6ZmFsc2UsImRyb3BwaW5nLXBhcnRpY2xlIjoiIiwibm9uLWRyb3BwaW5nLXBhcnRpY2xlIjoiIn0seyJmYW1pbHkiOiJDaGFuZyIsImdpdmVuIjoiRGF2aWQiLCJwYXJzZS1uYW1lcyI6ZmFsc2UsImRyb3BwaW5nLXBhcnRpY2xlIjoiIiwibm9uLWRyb3BwaW5nLXBhcnRpY2xlIjoiIn0seyJmYW1pbHkiOiJMaWFuZyIsImdpdmVuIjoiSm9obiBKLiIsInBhcnNlLW5hbWVzIjpmYWxzZSwiZHJvcHBpbmctcGFydGljbGUiOiIiLCJub24tZHJvcHBpbmctcGFydGljbGUiOiIifV0sImNvbnRhaW5lci10aXRsZSI6IkFubmFscyBvZiBzdXJnaWNhbCBvbmNvbG9neSIsImNvbnRhaW5lci10aXRsZS1zaG9ydCI6IkFubiBTdXJnIE9uY29sIiwiRE9JIjoiMTAuMTI0NS9TMTA0MzQtMDIyLTEyODY0LTgiLCJJU1NOIjoiMTUzNC00NjgxIiwiUE1JRCI6IjM2NTQyMjQ2IiwiaXNzdWVkIjp7ImRhdGUtcGFydHMiOltbMjAyMywzXV19LCJwYWdlIjoiMTg3NC0xODg1IiwiYWJzdHJhY3QiOiJCYWNrZ3JvdW5kOiBMaW1pdGVkIHN1Y2Nlc3MgaW4gdGhlIG1hbmFnZW1lbnQgb2YgbXVjaW5vdXMgYXBwZW5kaWNlYWwgYWRlbm9jYXJjaW5vbWEgKE1BQ0EpIGhhcyBiZWVuIHJlcG9ydGVkLiBNZXRob2RzOiBDeXRvcmVkdWN0aXZlIHN1cmdlcnkgd2l0aCBwZXJpb3BlcmF0aXZlIGludHJhcGVyaXRvbmVhbCBjaGVtb3RoZXJhcHkgd2FzIHVzZWQgdG8gdHJlYXQgYSBjb2hvcnQgb2YgcGF0aWVudHMgd2l0aCBwZXJpdG9uZWFsIGRpc3NlbWluYXRpb24gb2YgTUFDQS4gVGhlIGNsaW5pY2FsIGFuZCBoaXN0b3BhdGhvbG9naWMgdmFyaWFibGVzIHdlcmUgYXNzZXNzZWQgZm9yIHRoZWlyIGltcGFjdCBvbiBvdmVyYWxsIHN1cnZpdmFsLiBSZXN1bHRzOiBUaGUgc3R1ZHkgYW5hbHl6ZWQgMTk2IHBhdGllbnRzIGR1cmluZyBhIG1lZGlhbiBmb2xsb3ctdXAgcGVyaW9kIG9mIDggeWVhcnMuIFRoZSBwYXRpZW50cyBoYWQgYSBtZWRpYW4gYWdlIHdhcyA0NiB5ZWFycywgYSBtZWRpYW4gc3Vydml2YWwgb2YgMTIgeWVhcnMsIGFuZCBhIG1lYW4gc3Vydml2YWwgb2YgMTIuNCB5ZWFycy4gUHJlb3BlcmF0aXZlIHN5c3RlbWljIGNoZW1vdGhlcmFweSBhbmQgYSBoaWdoIHByaW9yIHN1cmdpY2FsIHNjb3JlIGhhZCBhIG5lZ2F0aXZlIGltcGFjdCBvbiBwcm9nbm9zaXMuIFN1cnZpdmFsIHdhcyBiZXR0ZXIgZm9yIDM3IHBhdGllbnRzICgxOC45JSkgd2l0aCBtdWNpbm91cyBhcHBlbmRpY2VhbCBhZGVub2NhcmNpbm9tYS1JbnRlcm1lZGlhdGUgKE1BQ0EtSW50KSBoaXN0b2xvZ3kgdGhhbiBmb3IgMTU5IHBhdGllbnRzICg4MS4xJSkgd2l0aCBNQUNBIGdyYWRlIDEsIDIsIG9yIDMsIG9yIHNpZ25ldCByaW5nIGNlbGxzIChTKSAocCA9IDAuMDAwNCkuIEFsdGhvdWdoIE1BQ0EtMSBhbmQgTUFDQS0yIHZlcnN1cyBNQUNBLTMgYW5kIE1BQ0EtUyBoYWQgYSBkaWZmZXJlbmNlIGluIHN1cnZpdmFsIG9mIDYzLjkgdmVyc3VzIDQzLjIgeWVhcnMgYXQgNSB5ZWFycywgd2l0aCBsb25nLXRlcm0gZm9sbG93LXVwIGV2YWx1YXRpb24sIHRoZSBkaWZmZXJlbmNlcyBpbiBzdXJ2aXZhbCBiZWNhbWUgaW5zaWduaWZpY2FudCAocCA9IDAuNTg0MSkuIENvbmNsdXNpb246IFRoZSBoaXN0b2xvZ2ljIHN1YnR5cGUgb2YgTUFDQS1JbnQgaGFkIGEgMTAteWVhciBzdXJ2aXZhbCBvZiA4MS4xJSwgd2hpY2ggd2FzIG1hcmtlZGx5IHN1cGVyaW9yIHRvIHRoYXQgb2YgTUFDQS0xLCAtMiwgLTMsIG9yIC1TICgzMi43JSkuIFdpdGggbG9uZy10ZXJtIGZvbGxvdy11cCBldmFsdWF0aW9uLCBNQUNBLTEsIC0yLCAtMywgYW5kIC1TIGRpZCBub3QgZGlmZmVyIHNpZ25pZmljYW50bHkgaW4gc3Vydml2YWwuIiwicHVibGlzaGVyIjoiQW5uIFN1cmcgT25jb2wiLCJpc3N1ZSI6IjMiLCJ2b2x1bWUiOiIzMCJ9LCJpc1RlbXBvcmFyeSI6ZmFsc2V9XX0="/>
          <w:id w:val="400492756"/>
        </w:sdtPr>
        <w:sdtContent>
          <w:r>
            <w:rPr/>
          </w:r>
          <w:r>
            <w:rPr>
              <w:rStyle w:val="s1"/>
              <w:bCs/>
              <w:color w:val="000000"/>
            </w:rPr>
            <w:t>(59)</w:t>
          </w:r>
        </w:sdtContent>
      </w:sdt>
    </w:p>
    <w:p>
      <w:pPr>
        <w:pStyle w:val="Normal"/>
        <w:rPr>
          <w:b/>
        </w:rPr>
      </w:pPr>
      <w:bookmarkStart w:id="188" w:name="_Toc199584631"/>
      <w:r>
        <w:rPr>
          <w:b/>
        </w:rPr>
        <w:t>Control locorregional y calidad de vida</w:t>
      </w:r>
      <w:bookmarkEnd w:id="188"/>
    </w:p>
    <w:p>
      <w:pPr>
        <w:pStyle w:val="p1"/>
        <w:spacing w:lineRule="auto" w:line="360" w:before="280" w:after="280"/>
        <w:jc w:val="both"/>
        <w:rPr/>
      </w:pPr>
      <w:r>
        <w:rPr/>
        <w:t xml:space="preserve">La revisión </w:t>
      </w:r>
      <w:r>
        <w:rPr>
          <w:rStyle w:val="Emphasis"/>
        </w:rPr>
        <w:t>The Landmark Series: Appendiceal Primary Peritoneal Surface Malignancy</w:t>
      </w:r>
      <w:r>
        <w:rPr/>
        <w:t xml:space="preserve"> resume múltiples series que muestran una mejoría significativa en síntomas abdominales, funcionalidad gastrointestinal y control locorregional posterior a CRS + HIPEC, especialmente en pacientes con diseminación mucinosa. Se ha observado que, incluso en escenarios paliativos selectos, este tratamiento mejora la calidad de vida al reducir la carga de mucina y ascitis</w:t>
      </w:r>
      <w:sdt>
        <w:sdtPr>
          <w:placeholder>
            <w:docPart w:val="DefaultPlaceholder_-1854013440"/>
          </w:placeholder>
          <w:tag w:val="MENDELEY_CITATION_v3_eyJjaXRhdGlvbklEIjoiTUVOREVMRVlfQ0lUQVRJT05fZTNkNGNiYzktYmU1Yi00MmRjLWI3YmEtN2I4NDc0Y2E4NTYyIiwicHJvcGVydGllcyI6eyJub3RlSW5kZXgiOjB9LCJpc0VkaXRlZCI6ZmFsc2UsIm1hbnVhbE92ZXJyaWRlIjp7ImlzTWFudWFsbHlPdmVycmlkZGVuIjpmYWxzZSwiY2l0ZXByb2NUZXh0IjoiKDU0KSIsIm1hbnVhbE92ZXJyaWRlVGV4dCI6IiJ9LCJjaXRhdGlvbkl0ZW1zIjpbeyJpZCI6IjZjZGVhNWYzLTBiNzItMzgxNS1iYzM1LTE4ZWNlZmEzMWYzOCIsIml0ZW1EYXRhIjp7InR5cGUiOiJhcnRpY2xlLWpvdXJuYWwiLCJpZCI6IjZjZGVhNWYzLTBiNzItMzgxNS1iYzM1LTE4ZWNlZmEzMWYzOCIsInRpdGxlIjoiVGhlIExhbmRtYXJrIFNlcmllczogQXBwZW5kaWNlYWwgUHJpbWFyeSBQZXJpdG9uZWFsIFN1cmZhY2UgTWFsaWduYW5jeSIsImF1dGhvciI6W3siZmFtaWx5IjoiR2FuZ2kiLCJnaXZlbiI6IkFsZXhhbmRyYSIsInBhcnNlLW5hbWVzIjpmYWxzZSwiZHJvcHBpbmctcGFydGljbGUiOiIiLCJub24tZHJvcHBpbmctcGFydGljbGUiOiIifSx7ImZhbWlseSI6IlNoYWgiLCJnaXZlbiI6IlJ1cGVuIiwicGFyc2UtbmFtZXMiOmZhbHNlLCJkcm9wcGluZy1wYXJ0aWNsZSI6IiIsIm5vbi1kcm9wcGluZy1wYXJ0aWNsZSI6IiJ9XSwiY29udGFpbmVyLXRpdGxlIjoiQW5uYWxzIG9mIHN1cmdpY2FsIG9uY29sb2d5IiwiY29udGFpbmVyLXRpdGxlLXNob3J0IjoiQW5uIFN1cmcgT25jb2wiLCJET0kiOiIxMC4xMjQ1L1MxMDQzNC0wMjEtMTA4NTYtOCIsIklTU04iOiIxNTM0LTQ2ODEiLCJQTUlEIjoiMzQ4NTM5NDQiLCJpc3N1ZWQiOnsiZGF0ZS1wYXJ0cyI6W1syMDIyXV19LCJwYWdlIjoiMjA1Ni0yMDY4IiwiYWJzdHJhY3QiOiJBcHBlbmRpY2VhbCBwcmltYXJ5IHBlcml0b25lYWwgc3VyZmFjZSBtYWxpZ25hbmNpZXMgYXJlIHJhcmUgYW5kIGluY2x1ZGUgYSBicm9hZCBzcGVjdHJ1bSBvZiBwYXRob2xvZ2llcyByYW5naW5nIGZyb20gaW5kb2xlbnQgZGlzZWFzZSB0byBhZ2dyZXNzaXZlIGRpc2Vhc2UuIEFzIHN1Y2gsIHRoZSBkYXRhIHRoYXQgZHJpdmUgdGhlIG1hbmFnZW1lbnQgb2YgYXBwZW5kaWNlYWwgcGVyaXRvbmVhbCBzdXJmYWNlIG1hbGlnbmFuY2llcyBpcyBnZW5lcmFsbHkgbm90IGJhc2VkIG9uIHByb3NwZWN0aXZlIGNsaW5pY2FsIHRyaWFsIGRhdGEsIGJ1dCByYXRoZXIgY29uc2lzdHMgb2YgbGV2ZWwgMSBkYXRhIGJhc2VkIG9uIHJldHJvc3BlY3RpdmUgc3R1ZGllcyBhbmQgaGlnaC12b2x1bWUgaW5zdGl0dXRpb25hbCBleHBlcmllbmNlcy4gQ29tcGxldGUgc3VyZ2ljYWwgZGVidWxraW5nIHR5cGljYWxseSBvZmZlcnMgdGhlIGJlc3QgY2hhbmNlIGZvciBsb25nLXRlcm0gc3Vydml2YWwuIFRoaXMgcmV2aWV3IGhpZ2hsaWdodHMgdGhlIGxhbmRtYXJrIGFydGljbGVzIG9uIHdoaWNoIG1hbmFnZW1lbnQgb2YgcHJpbWFyeSBhcHBlbmRpY2VhbCBwZXJpdG9uZWFsIHN1cmZhY2UgbWFsaWduYW5jaWVzIGFyZSBiYXNlZC4iLCJwdWJsaXNoZXIiOiJBbm4gU3VyZyBPbmNvbCIsImlzc3VlIjoiMyIsInZvbHVtZSI6IjI5In0sImlzVGVtcG9yYXJ5IjpmYWxzZX1dfQ=="/>
          <w:id w:val="-1471054883"/>
        </w:sdtPr>
        <w:sdtContent>
          <w:r>
            <w:rPr/>
          </w:r>
          <w:r>
            <w:rPr>
              <w:color w:val="000000"/>
            </w:rPr>
            <w:t>(54)</w:t>
          </w:r>
        </w:sdtContent>
      </w:sdt>
    </w:p>
    <w:p>
      <w:pPr>
        <w:pStyle w:val="Normal"/>
        <w:rPr>
          <w:b/>
        </w:rPr>
      </w:pPr>
      <w:bookmarkStart w:id="189" w:name="_Toc199584632"/>
      <w:r>
        <w:rPr>
          <w:b/>
        </w:rPr>
        <w:t>Registros multicéntricos y consensos</w:t>
      </w:r>
      <w:bookmarkEnd w:id="189"/>
    </w:p>
    <w:p>
      <w:pPr>
        <w:pStyle w:val="p1"/>
        <w:spacing w:lineRule="auto" w:line="360" w:before="280" w:after="280"/>
        <w:jc w:val="both"/>
        <w:rPr/>
      </w:pPr>
      <w:r>
        <w:rPr/>
        <w:t xml:space="preserve">El consenso </w:t>
      </w:r>
      <w:r>
        <w:rPr>
          <w:rStyle w:val="Emphasis"/>
        </w:rPr>
        <w:t>The Chicago Consensus on Peritoneal Surface Malignancies</w:t>
      </w:r>
      <w:r>
        <w:rPr/>
        <w:t xml:space="preserve"> establece CRS + HIPEC como el estándar terapéutico para pseudomixoma peritonei de origen apendicular, basado en los resultados favorables observados a lo largo de más de tres décadas. Recomienda su uso como primera línea en pacientes con enfermedad peritoneal limitada y resecable, con o sin HIPEC, según las características histológicas</w:t>
      </w:r>
      <w:sdt>
        <w:sdtPr>
          <w:placeholder>
            <w:docPart w:val="DefaultPlaceholder_-1854013440"/>
          </w:placeholder>
          <w:tag w:val="MENDELEY_CITATION_v3_eyJjaXRhdGlvbklEIjoiTUVOREVMRVlfQ0lUQVRJT05fMjQ1YzY4MTQtMzFlMy00NzQ0LWJkYWUtZmFkNTAyNDQxZDRhIiwicHJvcGVydGllcyI6eyJub3RlSW5kZXgiOjB9LCJpc0VkaXRlZCI6ZmFsc2UsIm1hbnVhbE92ZXJyaWRlIjp7ImlzTWFudWFsbHlPdmVycmlkZGVuIjpmYWxzZSwiY2l0ZXByb2NUZXh0IjoiKDgpIiwibWFudWFsT3ZlcnJpZGVUZXh0IjoiIn0sImNpdGF0aW9uSXRlbXMiOlt7ImlkIjoiMDNhOGU4MGUtODU2YS0zNGM1LTk1MzQtYjU1MzljMGQxNzBiIiwiaXRlbURhdGEiOnsidHlwZSI6ImFydGljbGUtam91cm5hbCIsImlkIjoiMDNhOGU4MGUtODU2YS0zNGM1LTk1MzQtYjU1MzljMGQxNzBiIiwidGl0bGUiOiJUaGUgQ2hpY2FnbyBDb25zZW5zdXMgb24gUGVyaXRvbmVhbCBTdXJmYWNlIE1hbGlnbmFuY2llczogTWFuYWdlbWVudCBvZiBBcHBlbmRpY2VhbCBOZW9wbGFzbXMiLCJhdXRob3IiOlt7ImZhbWlseSI6IlNjaHVpdGV2b2VyZGVyIiwiZ2l2ZW4iOiJEYXJyeWwiLCJwYXJzZS1uYW1lcyI6ZmFsc2UsImRyb3BwaW5nLXBhcnRpY2xlIjoiIiwibm9uLWRyb3BwaW5nLXBhcnRpY2xlIjoiIn0seyJmYW1pbHkiOiJQbGFuYSIsImdpdmVuIjoiQWxlamFuZHJvIiwicGFyc2UtbmFtZXMiOmZhbHNlLCJkcm9wcGluZy1wYXJ0aWNsZSI6IiIsIm5vbi1kcm9wcGluZy1wYXJ0aWNsZSI6IiJ9LHsiZmFtaWx5IjoiSXpxdWllcmRvIiwiZ2l2ZW4iOiJGcmFuY2lzY28gSi4iLCJwYXJzZS1uYW1lcyI6ZmFsc2UsImRyb3BwaW5nLXBhcnRpY2xlIjoiIiwibm9uLWRyb3BwaW5nLXBhcnRpY2xlIjoiIn0seyJmYW1pbHkiOiJWb3Rhbm9wb3Vsb3MiLCJnaXZlbiI6IktvbnN0YW50aW5vcyBJLiIsInBhcnNlLW5hbWVzIjpmYWxzZSwiZHJvcHBpbmctcGFydGljbGUiOiIiLCJub24tZHJvcHBpbmctcGFydGljbGUiOiIifSx7ImZhbWlseSI6IkN1c2FjayIsImdpdmVuIjoiSmFtZXMgQy4iLCJwYXJzZS1uYW1lcyI6ZmFsc2UsImRyb3BwaW5nLXBhcnRpY2xlIjoiIiwibm9uLWRyb3BwaW5nLXBhcnRpY2xlIjoiIn0seyJmYW1pbHkiOiJCaWplbGljIiwiZ2l2ZW4iOiJMYW5hIiwicGFyc2UtbmFtZXMiOmZhbHNlLCJkcm9wcGluZy1wYXJ0aWNsZSI6IiIsIm5vbi1kcm9wcGluZy1wYXJ0aWNsZSI6IiJ9LHsiZmFtaWx5IjoiQ2hvIiwiZ2l2ZW4iOiJDbGlmZm9yZCBTLiIsInBhcnNlLW5hbWVzIjpmYWxzZSwiZHJvcHBpbmctcGFydGljbGUiOiIiLCJub24tZHJvcHBpbmctcGFydGljbGUiOiIifSx7ImZhbWlseSI6IkdhbmdpIiwiZ2l2ZW4iOiJBbGV4YW5kcmEiLCJwYXJzZS1uYW1lcyI6ZmFsc2UsImRyb3BwaW5nLXBhcnRpY2xlIjoiIiwibm9uLWRyb3BwaW5nLXBhcnRpY2xlIjoiIn0seyJmYW1pbHkiOiJHaWxiZXJ0IiwiZ2l2ZW4iOiJFcmluIFcuIiwicGFyc2UtbmFtZXMiOmZhbHNlLCJkcm9wcGluZy1wYXJ0aWNsZSI6IiIsIm5vbi1kcm9wcGluZy1wYXJ0aWNsZSI6IiJ9LHsiZmFtaWx5IjoiR29vZG1hbiIsImdpdmVuIjoiTWFydGluIEQuIiwicGFyc2UtbmFtZXMiOmZhbHNlLCJkcm9wcGluZy1wYXJ0aWNsZSI6IiIsIm5vbi1kcm9wcGluZy1wYXJ0aWNsZSI6IiJ9LHsiZmFtaWx5IjoiR292aW5kYXJhamFuIiwiZ2l2ZW4iOiJBbmFuZCIsInBhcnNlLW5hbWVzIjpmYWxzZSwiZHJvcHBpbmctcGFydGljbGUiOiIiLCJub24tZHJvcHBpbmctcGFydGljbGUiOiIifSx7ImZhbWlseSI6Ikd1c2hjaGluIiwiZ2l2ZW4iOiJWYWRpbSIsInBhcnNlLW5hbWVzIjpmYWxzZSwiZHJvcHBpbmctcGFydGljbGUiOiIiLCJub24tZHJvcHBpbmctcGFydGljbGUiOiIifSx7ImZhbWlseSI6IkloZW1lbGFuZHUiLCJnaXZlbiI6IkNodWt3dWVtZWthIiwicGFyc2UtbmFtZXMiOmZhbHNlLCJkcm9wcGluZy1wYXJ0aWNsZSI6IiIsIm5vbi1kcm9wcGluZy1wYXJ0aWNsZSI6IiJ9LHsiZmFtaWx5IjoiS2VsbHkiLCJnaXZlbiI6IkthaXRseW4gSi4iLCJwYXJzZS1uYW1lcyI6ZmFsc2UsImRyb3BwaW5nLXBhcnRpY2xlIjoiIiwibm9uLWRyb3BwaW5nLXBhcnRpY2xlIjoiIn0seyJmYW1pbHkiOiJNZXJrb3ciLCJnaXZlbiI6IlJ5YW4gUC4iLCJwYXJzZS1uYW1lcyI6ZmFsc2UsImRyb3BwaW5nLXBhcnRpY2xlIjoiIiwibm9uLWRyb3BwaW5nLXBhcnRpY2xlIjoiIn0seyJmYW1pbHkiOiJQYXBwYXMiLCJnaXZlbiI6IlNhbSBHLiIsInBhcnNlLW5hbWVzIjpmYWxzZSwiZHJvcHBpbmctcGFydGljbGUiOiIiLCJub24tZHJvcHBpbmctcGFydGljbGUiOiIifSx7ImZhbWlseSI6IkFiYm90dCIsImdpdmVuIjoiRGFuaWVsIEUuIiwicGFyc2UtbmFtZXMiOmZhbHNlLCJkcm9wcGluZy1wYXJ0aWNsZSI6IiIsIm5vbi1kcm9wcGluZy1wYXJ0aWNsZSI6IiJ9LHsiZmFtaWx5IjoiQWhyZW5kdCIsImdpdmVuIjoiU3RldmVuIEEuIiwicGFyc2UtbmFtZXMiOmZhbHNlLCJkcm9wcGluZy1wYXJ0aWNsZSI6IiIsIm5vbi1kcm9wcGluZy1wYXJ0aWNsZSI6IiJ9LHsiZmFtaWx5IjoiQWwta2Fzc3Bvb2xlcyIsImdpdmVuIjoiTWF6aW4iLCJwYXJzZS1uYW1lcyI6ZmFsc2UsImRyb3BwaW5nLXBhcnRpY2xlIjoiIiwibm9uLWRyb3BwaW5nLXBhcnRpY2xlIjoiIn0seyJmYW1pbHkiOiJBbHBlcnQiLCJnaXZlbiI6IkxpbmRzYXkiLCJwYXJzZS1uYW1lcyI6ZmFsc2UsImRyb3BwaW5nLXBhcnRpY2xlIjoiIiwibm9uLWRyb3BwaW5nLXBhcnRpY2xlIjoiIn0seyJmYW1pbHkiOiJBbWVyc2kiLCJnaXZlbiI6IkZhcmluIiwicGFyc2UtbmFtZXMiOmZhbHNlLCJkcm9wcGluZy1wYXJ0aWNsZSI6IiIsIm5vbi1kcm9wcGluZy1wYXJ0aWNsZSI6IiJ9LHsiZmFtaWx5IjoiQXJyaW5ndG9uIiwiZ2l2ZW4iOiJBbWFuZGEgSy4iLCJwYXJzZS1uYW1lcyI6ZmFsc2UsImRyb3BwaW5nLXBhcnRpY2xlIjoiIiwibm9uLWRyb3BwaW5nLXBhcnRpY2xlIjoiIn0seyJmYW1pbHkiOiJCYWRnd2VsbCIsImdpdmVuIjoiQnJpYW4iLCJwYXJzZS1uYW1lcyI6ZmFsc2UsImRyb3BwaW5nLXBhcnRpY2xlIjoiIiwibm9uLWRyb3BwaW5nLXBhcnRpY2xlIjoiIn0seyJmYW1pbHkiOiJCYXJvbmUiLCJnaXZlbiI6IlJvYmVydCBNLiIsInBhcnNlLW5hbWVzIjpmYWxzZSwiZHJvcHBpbmctcGFydGljbGUiOiIiLCJub24tZHJvcHBpbmctcGFydGljbGUiOiIifSx7ImZhbWlseSI6IkJhdW1nYXJ0bmVyIiwiZ2l2ZW4iOiJKb2VsIE0uIiwicGFyc2UtbmFtZXMiOmZhbHNlLCJkcm9wcGluZy1wYXJ0aWNsZSI6IiIsIm5vbi1kcm9wcGluZy1wYXJ0aWNsZSI6IiJ9LHsiZmFtaWx5IjoiQmxhemVyIiwiZ2l2ZW4iOiJEYW4gRy4iLCJwYXJzZS1uYW1lcyI6ZmFsc2UsImRyb3BwaW5nLXBhcnRpY2xlIjoiIiwibm9uLWRyb3BwaW5nLXBhcnRpY2xlIjoiIn0seyJmYW1pbHkiOiJCZXJyaSIsImdpdmVuIjoiUmljaGFyZCBOLiIsInBhcnNlLW5hbWVzIjpmYWxzZSwiZHJvcHBpbmctcGFydGljbGUiOiIiLCJub24tZHJvcHBpbmctcGFydGljbGUiOiIifSx7ImZhbWlseSI6IkJyb3duIiwiZ2l2ZW4iOiJDaGFybGVzIEtvbWVuIiwicGFyc2UtbmFtZXMiOmZhbHNlLCJkcm9wcGluZy1wYXJ0aWNsZSI6IiIsIm5vbi1kcm9wcGluZy1wYXJ0aWNsZSI6IiJ9LHsiZmFtaWx5IjoiQ2F0ZW5hY2NpIiwiZ2l2ZW4iOiJEYW5pZWwiLCJwYXJzZS1uYW1lcyI6ZmFsc2UsImRyb3BwaW5nLXBhcnRpY2xlIjoiVi4iLCJub24tZHJvcHBpbmctcGFydGljbGUiOiIifSx7ImZhbWlseSI6IkNoYW4iLCJnaXZlbiI6IkNhcmxvcyBILkYuIiwicGFyc2UtbmFtZXMiOmZhbHNlLCJkcm9wcGluZy1wYXJ0aWNsZSI6IiIsIm5vbi1kcm9wcGluZy1wYXJ0aWNsZSI6IiJ9LHsiZmFtaWx5IjoiQ2hvdWRyeSIsImdpdmVuIjoiTS4gSGFyb29uIEEuIiwicGFyc2UtbmFtZXMiOmZhbHNlLCJkcm9wcGluZy1wYXJ0aWNsZSI6IiIsIm5vbi1kcm9wcGluZy1wYXJ0aWNsZSI6IiJ9LHsiZmFtaWx5IjoiQ2xhcmtlIiwiZ2l2ZW4iOiJDYWxsaXNpYSBOLiIsInBhcnNlLW5hbWVzIjpmYWxzZSwiZHJvcHBpbmctcGFydGljbGUiOiIiLCJub24tZHJvcHBpbmctcGFydGljbGUiOiIifSx7ImZhbWlseSI6IkNsb3lkIiwiZ2l2ZW4iOiJKb3JkYW4gTS4iLCJwYXJzZS1uYW1lcyI6ZmFsc2UsImRyb3BwaW5nLXBhcnRpY2xlIjoiIiwibm9uLWRyb3BwaW5nLXBhcnRpY2xlIjoiIn0seyJmYW1pbHkiOiJEYWNobWFuIiwiZ2l2ZW4iOiJBYnJhaGFtIEguIiwicGFyc2UtbmFtZXMiOmZhbHNlLCJkcm9wcGluZy1wYXJ0aWNsZSI6IiIsIm5vbi1kcm9wcGluZy1wYXJ0aWNsZSI6IiJ9LHsiZmFtaWx5IjoiRGVuZXZlIiwiZ2l2ZW4iOiJKZXJlbWlhaCBMLiIsInBhcnNlLW5hbWVzIjpmYWxzZSwiZHJvcHBpbmctcGFydGljbGUiOiIiLCJub24tZHJvcHBpbmctcGFydGljbGUiOiIifSx7ImZhbWlseSI6IkRpbmVlbiIsImdpdmVuIjoiU2VhbiBQLiIsInBhcnNlLW5hbWVzIjpmYWxzZSwiZHJvcHBpbmctcGFydGljbGUiOiIiLCJub24tZHJvcHBpbmctcGFydGljbGUiOiIifSx7ImZhbWlseSI6IkZlcm5hbmRleiIsImdpdmVuIjoiTGVvcG9sZG8gSi4iLCJwYXJzZS1uYW1lcyI6ZmFsc2UsImRyb3BwaW5nLXBhcnRpY2xlIjoiIiwibm9uLWRyb3BwaW5nLXBhcnRpY2xlIjoiIn0seyJmYW1pbHkiOiJFbmciLCJnaXZlbiI6Ik9saXZlciBTLiIsInBhcnNlLW5hbWVzIjpmYWxzZSwiZHJvcHBpbmctcGFydGljbGUiOiIiLCJub24tZHJvcHBpbmctcGFydGljbGUiOiIifSx7ImZhbWlseSI6IkZsZXNobWFuIiwiZ2l2ZW4iOiJKYW1lcyBXLiIsInBhcnNlLW5hbWVzIjpmYWxzZSwiZHJvcHBpbmctcGFydGljbGUiOiIiLCJub24tZHJvcHBpbmctcGFydGljbGUiOiIifSx7ImZhbWlseSI6IkNsYXJrIEdhbWJsaW4iLCJnaXZlbiI6IlQuIiwicGFyc2UtbmFtZXMiOmZhbHNlLCJkcm9wcGluZy1wYXJ0aWNsZSI6IiIsIm5vbi1kcm9wcGluZy1wYXJ0aWNsZSI6IiJ9LHsiZmFtaWx5IjoiR2Vvcmdha2lzIiwiZ2l2ZW4iOiJHZW9yZ2lvcyIsInBhcnNlLW5hbWVzIjpmYWxzZSwiZHJvcHBpbmctcGFydGljbGUiOiJWLiIsIm5vbi1kcm9wcGluZy1wYXJ0aWNsZSI6IiJ9LHsiZmFtaWx5IjoiR3JvdHoiLCJnaXZlbiI6IlRyYXZpcyBFLiIsInBhcnNlLW5hbWVzIjpmYWxzZSwiZHJvcHBpbmctcGFydGljbGUiOiIiLCJub24tZHJvcHBpbmctcGFydGljbGUiOiIifSx7ImZhbWlseSI6Ikhhbm5hIiwiZ2l2ZW4iOiJOYWRlciIsInBhcnNlLW5hbWVzIjpmYWxzZSwiZHJvcHBpbmctcGFydGljbGUiOiIiLCJub24tZHJvcHBpbmctcGFydGljbGUiOiIifSx7ImZhbWlseSI6Ikhhcm1hdGgiLCJnaXZlbiI6IkNhcmxhIiwicGFyc2UtbmFtZXMiOmZhbHNlLCJkcm9wcGluZy1wYXJ0aWNsZSI6IiIsIm5vbi1kcm9wcGluZy1wYXJ0aWNsZSI6IiJ9LHsiZmFtaWx5IjoiSGFydCIsImdpdmVuIjoiSm9obiIsInBhcnNlLW5hbWVzIjpmYWxzZSwiZHJvcHBpbmctcGFydGljbGUiOiIiLCJub24tZHJvcHBpbmctcGFydGljbGUiOiIifSx7ImZhbWlseSI6IkhheWVzLUpvcmRhbiIsImdpdmVuIjoiQW5kcmVhIiwicGFyc2UtbmFtZXMiOmZhbHNlLCJkcm9wcGluZy1wYXJ0aWNsZSI6IiIsIm5vbi1kcm9wcGluZy1wYXJ0aWNsZSI6IiJ9LHsiZmFtaWx5IjoiSHVzYWluIiwiZ2l2ZW4iOiJBbGl5YSBOLiIsInBhcnNlLW5hbWVzIjpmYWxzZSwiZHJvcHBpbmctcGFydGljbGUiOiIiLCJub24tZHJvcHBpbmctcGFydGljbGUiOiIifSx7ImZhbWlseSI6IklkcmVlcyIsImdpdmVuIjoiS2FtcmFuIiwicGFyc2UtbmFtZXMiOmZhbHNlLCJkcm9wcGluZy1wYXJ0aWNsZSI6IiIsIm5vbi1kcm9wcGluZy1wYXJ0aWNsZSI6IiJ9LHsiZmFtaWx5IjoiSW4iLCJnaXZlbiI6IkhhZWppbiIsInBhcnNlLW5hbWVzIjpmYWxzZSwiZHJvcHBpbmctcGFydGljbGUiOiIiLCJub24tZHJvcHBpbmctcGFydGljbGUiOiIifSx7ImZhbWlseSI6IkppYW5nIiwiZ2l2ZW4iOiJEYXZpZCIsInBhcnNlLW5hbWVzIjpmYWxzZSwiZHJvcHBpbmctcGFydGljbGUiOiIiLCJub24tZHJvcHBpbmctcGFydGljbGUiOiIifSx7ImZhbWlseSI6IkthbmUiLCJnaXZlbiI6IkpvaG4gTS4iLCJwYXJzZS1uYW1lcyI6ZmFsc2UsImRyb3BwaW5nLXBhcnRpY2xlIjoiIiwibm9uLWRyb3BwaW5nLXBhcnRpY2xlIjoiIn0seyJmYW1pbHkiOiJLZW5uZWR5IiwiZ2l2ZW4iOiJUaW1vdGh5IEouIiwicGFyc2UtbmFtZXMiOmZhbHNlLCJkcm9wcGluZy1wYXJ0aWNsZSI6IiIsIm5vbi1kcm9wcGluZy1wYXJ0aWNsZSI6IiJ9LHsiZmFtaWx5IjoiS2V1dGdlbiIsImdpdmVuIjoiWGF2aWVyIE0uIiwicGFyc2UtbmFtZXMiOmZhbHNlLCJkcm9wcGluZy1wYXJ0aWNsZSI6IiIsIm5vbi1kcm9wcGluZy1wYXJ0aWNsZSI6IiJ9LHsiZmFtaWx5IjoiS2luZGxlciIsImdpdmVuIjoiSGVkeSBMZWUiLCJwYXJzZS1uYW1lcyI6ZmFsc2UsImRyb3BwaW5nLXBhcnRpY2xlIjoiIiwibm9uLWRyb3BwaW5nLXBhcnRpY2xlIjoiIn0seyJmYW1pbHkiOiJMZWUiLCJnaXZlbiI6IkJ5cm5lIiwicGFyc2UtbmFtZXMiOmZhbHNlLCJkcm9wcGluZy1wYXJ0aWNsZSI6IiIsIm5vbi1kcm9wcGluZy1wYXJ0aWNsZSI6IiJ9LHsiZmFtaWx5IjoiTGlhbyIsImdpdmVuIjoiQ2hpaCBZaSIsInBhcnNlLW5hbWVzIjpmYWxzZSwiZHJvcHBpbmctcGFydGljbGUiOiIiLCJub24tZHJvcHBpbmctcGFydGljbGUiOiIifSx7ImZhbWlseSI6Ik1hZHVla3dlIiwiZ2l2ZW4iOiJVZ3d1amkgTi4iLCJwYXJzZS1uYW1lcyI6ZmFsc2UsImRyb3BwaW5nLXBhcnRpY2xlIjoiIiwibm9uLWRyb3BwaW5nLXBhcnRpY2xlIjoiIn0seyJmYW1pbHkiOiJNYWsiLCJnaXZlbiI6IkdyYWNlIFouIiwicGFyc2UtbmFtZXMiOmZhbHNlLCJkcm9wcGluZy1wYXJ0aWNsZSI6IiIsIm5vbi1kcm9wcGluZy1wYXJ0aWNsZSI6IiJ9LHsiZmFtaWx5IjoiTWFjayIsImdpdmVuIjoiTGxveWQgQS4iLCJwYXJzZS1uYW1lcyI6ZmFsc2UsImRyb3BwaW5nLXBhcnRpY2xlIjoiIiwibm9uLWRyb3BwaW5nLXBhcnRpY2xlIjoiIn0seyJmYW1pbHkiOiJNYXRoZXciLCJnaXZlbiI6Ik1lbHZ5IFNhcmFoIiwicGFyc2UtbmFtZXMiOmZhbHNlLCJkcm9wcGluZy1wYXJ0aWNsZSI6IiIsIm5vbi1kcm9wcGluZy1wYXJ0aWNsZSI6IiJ9LHsiZmFtaWx5IjoiTWVsaXMiLCJnaXZlbiI6Ik1hcmNvdmFsZXJpbyIsInBhcnNlLW5hbWVzIjpmYWxzZSwiZHJvcHBpbmctcGFydGljbGUiOiIiLCJub24tZHJvcHBpbmctcGFydGljbGUiOiIifSx7ImZhbWlseSI6Ik1lbG5pdGNob3VrIiwiZ2l2ZW4iOiJOZWx5YSIsInBhcnNlLW5hbWVzIjpmYWxzZSwiZHJvcHBpbmctcGFydGljbGUiOiIiLCJub24tZHJvcHBpbmctcGFydGljbGUiOiIifSx7ImZhbWlseSI6Ik1pc2RyYWppIiwiZ2l2ZW4iOiJKb3NlcGgiLCJwYXJzZS1uYW1lcyI6ZmFsc2UsImRyb3BwaW5nLXBhcnRpY2xlIjoiIiwibm9uLWRyb3BwaW5nLXBhcnRpY2xlIjoiIn0seyJmYW1pbHkiOiJNb2dhbCIsImdpdmVuIjoiSGFydmVzaHAiLCJwYXJzZS1uYW1lcyI6ZmFsc2UsImRyb3BwaW5nLXBhcnRpY2xlIjoiIiwibm9uLWRyb3BwaW5nLXBhcnRpY2xlIjoiIn0seyJmYW1pbHkiOiJNw7ZsbGVyIiwiZ2l2ZW4iOiJNZWNrZXIgRy4iLCJwYXJzZS1uYW1lcyI6ZmFsc2UsImRyb3BwaW5nLXBhcnRpY2xlIjoiIiwibm9uLWRyb3BwaW5nLXBhcnRpY2xlIjoiIn0seyJmYW1pbHkiOiJOYXNoIiwiZ2l2ZW4iOiJHYXJyZXR0IE0uIiwicGFyc2UtbmFtZXMiOmZhbHNlLCJkcm9wcGluZy1wYXJ0aWNsZSI6IiIsIm5vbi1kcm9wcGluZy1wYXJ0aWNsZSI6IiJ9LHsiZmFtaWx5IjoiT3RvIiwiZ2l2ZW4iOiJBeXRla2luIiwicGFyc2UtbmFtZXMiOmZhbHNlLCJkcm9wcGluZy1wYXJ0aWNsZSI6IiIsIm5vbi1kcm9wcGluZy1wYXJ0aWNsZSI6IiJ9LHsiZmFtaWx5IjoiUGFpIiwiZ2l2ZW4iOiJSZWV0ZXNoIEsuIiwicGFyc2UtbmFtZXMiOmZhbHNlLCJkcm9wcGluZy1wYXJ0aWNsZSI6IiIsIm5vbi1kcm9wcGluZy1wYXJ0aWNsZSI6IiJ9LHsiZmFtaWx5IjoiUGFtZWlqZXIiLCJnaXZlbiI6IkNvbGV0dGUgUi4iLCJwYXJzZS1uYW1lcyI6ZmFsc2UsImRyb3BwaW5nLXBhcnRpY2xlIjoiIiwibm9uLWRyb3BwaW5nLXBhcnRpY2xlIjoiIn0seyJmYW1pbHkiOiJQb2xhbmNvIiwiZ2l2ZW4iOiJQYXRyaWNpbyBNLiIsInBhcnNlLW5hbWVzIjpmYWxzZSwiZHJvcHBpbmctcGFydGljbGUiOiIiLCJub24tZHJvcHBpbmctcGFydGljbGUiOiIifSx7ImZhbWlseSI6IlBvbGl0ZSIsImdpdmVuIjoiQmxhc2UgTi4iLCJwYXJzZS1uYW1lcyI6ZmFsc2UsImRyb3BwaW5nLXBhcnRpY2xlIjoiIiwibm9uLWRyb3BwaW5nLXBhcnRpY2xlIjoiIn0seyJmYW1pbHkiOiJSZWRkeSIsImdpdmVuIjoiU2FuamF5IFMuIiwicGFyc2UtbmFtZXMiOmZhbHNlLCJkcm9wcGluZy1wYXJ0aWNsZSI6IiIsIm5vbi1kcm9wcGluZy1wYXJ0aWNsZSI6IiJ9LHsiZmFtaWx5IjoiUm95YWwiLCJnaXZlbiI6IlJpY2hhcmQiLCJwYXJzZS1uYW1lcyI6ZmFsc2UsImRyb3BwaW5nLXBhcnRpY2xlIjoiIiwibm9uLWRyb3BwaW5nLXBhcnRpY2xlIjoiIn0seyJmYW1pbHkiOiJSeWFuIiwiZ2l2ZW4iOiJEYXZpZCBQLiIsInBhcnNlLW5hbWVzIjpmYWxzZSwiZHJvcHBpbmctcGFydGljbGUiOiIiLCJub24tZHJvcHBpbmctcGFydGljbGUiOiIifSx7ImZhbWlseSI6IlNhbHRpIiwiZ2l2ZW4iOiJHZW9yZ2UiLCJwYXJzZS1uYW1lcyI6ZmFsc2UsImRyb3BwaW5nLXBhcnRpY2xlIjoiIiwibm9uLWRyb3BwaW5nLXBhcnRpY2xlIjoiIn0seyJmYW1pbHkiOiJTYXJkaSIsImdpdmVuIjoiQXJtYW5kbyIsInBhcnNlLW5hbWVzIjpmYWxzZSwiZHJvcHBpbmctcGFydGljbGUiOiIiLCJub24tZHJvcHBpbmctcGFydGljbGUiOiIifSx7ImZhbWlseSI6IlNlbnRoaWwiLCJnaXZlbiI6Ik1haGVzd2FyaSIsInBhcnNlLW5hbWVzIjpmYWxzZSwiZHJvcHBpbmctcGFydGljbGUiOiIiLCJub24tZHJvcHBpbmctcGFydGljbGUiOiIifSx7ImZhbWlseSI6IlNldGlhIiwiZ2l2ZW4iOiJOYW1yYXRhIiwicGFyc2UtbmFtZXMiOmZhbHNlLCJkcm9wcGluZy1wYXJ0aWNsZSI6IiIsIm5vbi1kcm9wcGluZy1wYXJ0aWNsZSI6IiJ9LHsiZmFtaWx5IjoiU2hlcm1hbiIsImdpdmVuIjoiU2NvdHQgSy4iLCJwYXJzZS1uYW1lcyI6ZmFsc2UsImRyb3BwaW5nLXBhcnRpY2xlIjoiIiwibm9uLWRyb3BwaW5nLXBhcnRpY2xlIjoiIn0seyJmYW1pbHkiOiJTaWRlcmlzIiwiZ2l2ZW4iOiJMdWNhcyIsInBhcnNlLW5hbWVzIjpmYWxzZSwiZHJvcHBpbmctcGFydGljbGUiOiIiLCJub24tZHJvcHBpbmctcGFydGljbGUiOiIifSx7ImZhbWlseSI6IlNraXR6a2kiLCJnaXZlbiI6Ikpvc2VwaCIsInBhcnNlLW5hbWVzIjpmYWxzZSwiZHJvcHBpbmctcGFydGljbGUiOiIiLCJub24tZHJvcHBpbmctcGFydGljbGUiOiIifSx7ImZhbWlseSI6IlZlZXJhcG9uZyIsImdpdmVuIjoiSnVsYSIsInBhcnNlLW5hbWVzIjpmYWxzZSwiZHJvcHBpbmctcGFydGljbGUiOiIiLCJub24tZHJvcHBpbmctcGFydGljbGUiOiIifSx7ImZhbWlseSI6IldoaXRlIiwiZ2l2ZW4iOiJNaWNoYWVsIEcuIiwicGFyc2UtbmFtZXMiOmZhbHNlLCJkcm9wcGluZy1wYXJ0aWNsZSI6IiIsIm5vbi1kcm9wcGluZy1wYXJ0aWNsZSI6IiJ9LHsiZmFtaWx5IjoiV2luZXIiLCJnaXZlbiI6Ikpvc2h1YSBILiIsInBhcnNlLW5hbWVzIjpmYWxzZSwiZHJvcHBpbmctcGFydGljbGUiOiIiLCJub24tZHJvcHBpbmctcGFydGljbGUiOiIifSx7ImZhbWlseSI6IlhpYW8iLCJnaXZlbiI6IlNodSBZdWFuIiwicGFyc2UtbmFtZXMiOmZhbHNlLCJkcm9wcGluZy1wYXJ0aWNsZSI6IiIsIm5vbi1kcm9wcGluZy1wYXJ0aWNsZSI6IiJ9LHsiZmFtaWx5IjoiWWFudGlzcyIsImdpdmVuIjoiUmhvbmRhIEsuIiwicGFyc2UtbmFtZXMiOmZhbHNlLCJkcm9wcGluZy1wYXJ0aWNsZSI6IiIsIm5vbi1kcm9wcGluZy1wYXJ0aWNsZSI6IiJ9LHsiZmFtaWx5IjoiQWh1amEiLCJnaXZlbiI6Ik5pdGEiLCJwYXJzZS1uYW1lcyI6ZmFsc2UsImRyb3BwaW5nLXBhcnRpY2xlIjoiIiwibm9uLWRyb3BwaW5nLXBhcnRpY2xlIjoiIn0seyJmYW1pbHkiOiJCb3duZSIsImdpdmVuIjoiV2lsYnVyIiwicGFyc2UtbmFtZXMiOmZhbHNlLCJkcm9wcGluZy1wYXJ0aWNsZSI6IiIsIm5vbi1kcm9wcGluZy1wYXJ0aWNsZSI6IiJ9LHsiZmFtaWx5IjoiTG93eSIsImdpdmVuIjoiQW5kcmV3IE0uIiwicGFyc2UtbmFtZXMiOmZhbHNlLCJkcm9wcGluZy1wYXJ0aWNsZSI6IiIsIm5vbi1kcm9wcGluZy1wYXJ0aWNsZSI6IiJ9LHsiZmFtaWx5IjoiUmljaGFyZCBBbGV4YW5kZXIiLCJnaXZlbiI6IkguIiwicGFyc2UtbmFtZXMiOmZhbHNlLCJkcm9wcGluZy1wYXJ0aWNsZSI6IiIsIm5vbi1kcm9wcGluZy1wYXJ0aWNsZSI6IiJ9LHsiZmFtaWx5IjoiRXNxdWl2ZWwiLCJnaXZlbiI6Ikplc3VzIiwicGFyc2UtbmFtZXMiOmZhbHNlLCJkcm9wcGluZy1wYXJ0aWNsZSI6IiIsIm5vbi1kcm9wcGluZy1wYXJ0aWNsZSI6IiJ9LHsiZmFtaWx5IjoiRm9zdGVyIiwiZ2l2ZW4iOiJKYXNvbiBNLiIsInBhcnNlLW5hbWVzIjpmYWxzZSwiZHJvcHBpbmctcGFydGljbGUiOiIiLCJub24tZHJvcHBpbmctcGFydGljbGUiOiIifSx7ImZhbWlseSI6IkxhYm93IiwiZ2l2ZW4iOiJEYW5pZWwgTS4iLCJwYXJzZS1uYW1lcyI6ZmFsc2UsImRyb3BwaW5nLXBhcnRpY2xlIjoiIiwibm9uLWRyb3BwaW5nLXBhcnRpY2xlIjoiIn0seyJmYW1pbHkiOiJMYW1iZXJ0IiwiZ2l2ZW4iOiJMYXVyYSBBLiIsInBhcnNlLW5hbWVzIjpmYWxzZSwiZHJvcHBpbmctcGFydGljbGUiOiIiLCJub24tZHJvcHBpbmctcGFydGljbGUiOiIifSx7ImZhbWlseSI6IkxldmluZSIsImdpdmVuIjoiRWR3YXJkIEEuIiwicGFyc2UtbmFtZXMiOmZhbHNlLCJkcm9wcGluZy1wYXJ0aWNsZSI6IiIsIm5vbi1kcm9wcGluZy1wYXJ0aWNsZSI6IiJ9LHsiZmFtaWx5IjoiU3RhbGV5IiwiZ2l2ZW4iOiJDaGFybGVzIiwicGFyc2UtbmFtZXMiOmZhbHNlLCJkcm9wcGluZy1wYXJ0aWNsZSI6IiIsIm5vbi1kcm9wcGluZy1wYXJ0aWNsZSI6IiJ9LHsiZmFtaWx5IjoiU3VnYXJiYWtlciIsImdpdmVuIjoiUGF1bCBILiIsInBhcnNlLW5hbWVzIjpmYWxzZSwiZHJvcHBpbmctcGFydGljbGUiOiIiLCJub24tZHJvcHBpbmctcGFydGljbGUiOiIifSx7ImZhbWlseSI6IkJhcnRsZXR0IiwiZ2l2ZW4iOiJEYXZpZCBMLiIsInBhcnNlLW5hbWVzIjpmYWxzZSwiZHJvcHBpbmctcGFydGljbGUiOiIiLCJub24tZHJvcHBpbmctcGFydGljbGUiOiIifSx7ImZhbWlseSI6IlR1cmFnYSIsImdpdmVuIjoiS2lyYW4iLCJwYXJzZS1uYW1lcyI6ZmFsc2UsImRyb3BwaW5nLXBhcnRpY2xlIjoiIiwibm9uLWRyb3BwaW5nLXBhcnRpY2xlIjoiIn1dLCJjb250YWluZXItdGl0bGUiOiJBbm5hbHMgb2Ygc3VyZ2ljYWwgb25jb2xvZ3kiLCJjb250YWluZXItdGl0bGUtc2hvcnQiOiJBbm4gU3VyZyBPbmNvbCIsIkRPSSI6IjEwLjEyNDUvUzEwNDM0LTAyMC0wODMxNi1XIiwiSVNTTiI6IjE1MzQtNDY4MSIsIlBNSUQiOiIzMjI4NTI3NSIsImlzc3VlZCI6eyJkYXRlLXBhcnRzIjpbWzIwMjBdXX0sInBhZ2UiOiIxNzUzLTE3NjAiLCJhYnN0cmFjdCI6IlRoZSBDaGljYWdvIENvbnNlbnN1cyBXb3JraW5nIEdyb3VwIHByb3ZpZGVzIG11bHRpZGlzY2lwbGluYXJ5IHJlY29tbWVuZGF0aW9ucyBmb3IgdGhlIG1hbmFnZW1lbnQgb2YgYXBwZW5kaWNlYWwgbmVvcGxhc21zIHNwZWNpZmljYWxseSByZWxhdGVkIHRvIHRoZSBtYW5hZ2VtZW50IG9mIHBlcml0b25lYWwgc3VyZmFjZSBtYWxpZ25hbmNpZXMuIFRoZXNlIGd1aWRlbGluZXMgYXJlIGRldmVsb3BlZCB3aXRoIGlucHV0IGZyb20gbGVhZGluZyBleHBlcnRzIGluY2x1ZGluZyBzdXJnaWNhbCBvbmNvbG9naXN0cywgbWVkaWNhbCBvbmNvbG9naXN0cywgcGF0aG9sb2dpc3RzLCByYWRpb2xvZ2lzdHMsIHBhbGxpYXRpdmUgY2FyZSBwaHlzaWNpYW5zLCBhbmQgcGhhcm1hY2lzdHMuIFRoZXNlIGd1aWRlbGluZXMgcmVjb2duaXplIGFuZCBhZGRyZXNzIHRoZSBlbWVyZ2luZyBuZWVkIGZvciBpbmNyZWFzZWQgYXdhcmVuZXNzIGluIHRoZSBhcHByb3ByaWF0ZSBtYW5hZ2VtZW50IG9mIHBlcml0b25lYWwgc3VyZmFjZSBkaXNlYXNlLiBUaGV5IGFyZSBub3QgaW50ZW5kZWQgdG8gcmVwbGFjZSB0aGUgcXVlc3QgZm9yIGhpZ2hlciBsZXZlbHMgb2YgZXZpZGVuY2UuIiwicHVibGlzaGVyIjoiQW5uIFN1cmcgT25jb2wiLCJpc3N1ZSI6IjYiLCJ2b2x1bWUiOiIyNyJ9LCJpc1RlbXBvcmFyeSI6ZmFsc2V9XX0="/>
          <w:id w:val="-775170953"/>
        </w:sdtPr>
        <w:sdtContent>
          <w:r>
            <w:rPr/>
          </w:r>
          <w:r>
            <w:rPr>
              <w:color w:val="000000"/>
            </w:rPr>
            <w:t>(8)</w:t>
          </w:r>
        </w:sdtContent>
      </w:sdt>
    </w:p>
    <w:p>
      <w:pPr>
        <w:pStyle w:val="Heading2"/>
        <w:numPr>
          <w:ilvl w:val="1"/>
          <w:numId w:val="82"/>
        </w:numPr>
        <w:rPr/>
      </w:pPr>
      <w:bookmarkStart w:id="190" w:name="_Toc199584633"/>
      <w:bookmarkStart w:id="191" w:name="_Toc200580245"/>
      <w:r>
        <w:rPr/>
        <w:t>Seguimiento del cáncer apendicular</w:t>
      </w:r>
      <w:bookmarkEnd w:id="190"/>
      <w:bookmarkEnd w:id="191"/>
    </w:p>
    <w:p>
      <w:pPr>
        <w:pStyle w:val="p3"/>
        <w:spacing w:lineRule="auto" w:line="360" w:before="280" w:after="280"/>
        <w:jc w:val="both"/>
        <w:rPr/>
      </w:pPr>
      <w:r>
        <w:rPr/>
        <w:t>El seguimiento oncológico de pacientes tratados por neoplasias apendiculares, ya sea mediante cirugía simple, hemicolectomía o procedimientos más complejos, como la cirugía citorreductora (CRS) con HIPEC, constituye una fase crítica para la detección precoz de recidivas, la evaluación de secuelas funcionales y la monitorización de marcadores pronósticos.</w:t>
      </w:r>
    </w:p>
    <w:p>
      <w:pPr>
        <w:pStyle w:val="p3"/>
        <w:spacing w:lineRule="auto" w:line="360" w:before="280" w:after="280"/>
        <w:jc w:val="both"/>
        <w:rPr/>
      </w:pPr>
      <w:r>
        <w:rPr/>
        <w:t>Las estrategias de vigilancia deben adaptarse al tipo histológico, al grado de diseminación y al tratamiento recibido. Aunque no existen guías universales estandarizadas, múltiples sociedades científicas y grupos expertos han propuesto esquemas racionales basados en el riesgo de recurrencia y en la evolución natural de cada subtipo.</w:t>
      </w:r>
    </w:p>
    <w:p>
      <w:pPr>
        <w:pStyle w:val="Heading3"/>
        <w:numPr>
          <w:ilvl w:val="2"/>
          <w:numId w:val="83"/>
        </w:numPr>
        <w:spacing w:before="40" w:after="240"/>
        <w:rPr/>
      </w:pPr>
      <w:bookmarkStart w:id="192" w:name="_Toc199584634"/>
      <w:bookmarkStart w:id="193" w:name="_Toc200580246"/>
      <w:r>
        <w:rPr/>
        <w:t>Frecuencia y duración del seguimiento</w:t>
      </w:r>
      <w:bookmarkEnd w:id="192"/>
      <w:bookmarkEnd w:id="193"/>
    </w:p>
    <w:p>
      <w:pPr>
        <w:pStyle w:val="Heading4"/>
        <w:numPr>
          <w:ilvl w:val="3"/>
          <w:numId w:val="84"/>
        </w:numPr>
        <w:ind w:firstLine="709" w:left="0"/>
        <w:rPr/>
      </w:pPr>
      <w:r>
        <w:rPr/>
        <w:t>LAMN o HAMN sin diseminación</w:t>
      </w:r>
    </w:p>
    <w:p>
      <w:pPr>
        <w:pStyle w:val="p1"/>
        <w:numPr>
          <w:ilvl w:val="0"/>
          <w:numId w:val="21"/>
        </w:numPr>
        <w:spacing w:lineRule="auto" w:line="360" w:before="280" w:after="0"/>
        <w:jc w:val="both"/>
        <w:rPr/>
      </w:pPr>
      <w:r>
        <w:rPr/>
        <w:t xml:space="preserve">TAC + marcadores cada </w:t>
      </w:r>
      <w:r>
        <w:rPr>
          <w:rStyle w:val="s1"/>
        </w:rPr>
        <w:t>6–12 meses por 3 años</w:t>
      </w:r>
      <w:r>
        <w:rPr/>
        <w:t>, luego anual hasta completar 5 años.</w:t>
      </w:r>
    </w:p>
    <w:p>
      <w:pPr>
        <w:pStyle w:val="p1"/>
        <w:numPr>
          <w:ilvl w:val="0"/>
          <w:numId w:val="21"/>
        </w:numPr>
        <w:spacing w:lineRule="auto" w:line="360" w:before="0" w:after="0"/>
        <w:jc w:val="both"/>
        <w:rPr/>
      </w:pPr>
      <w:r>
        <w:rPr/>
        <w:t>Si resección completa y márgenes negativos → algunos protocolos consideran suspensión tras 3 años sin hallazgos.</w:t>
      </w:r>
    </w:p>
    <w:p>
      <w:pPr>
        <w:pStyle w:val="Heading4"/>
        <w:numPr>
          <w:ilvl w:val="3"/>
          <w:numId w:val="85"/>
        </w:numPr>
        <w:ind w:firstLine="709" w:left="0"/>
        <w:rPr/>
      </w:pPr>
      <w:r>
        <w:rPr/>
        <w:t>LAMN/HAMN con pseudomixoma peritonei tratado con CRS + HIPEC</w:t>
      </w:r>
    </w:p>
    <w:p>
      <w:pPr>
        <w:pStyle w:val="p1"/>
        <w:numPr>
          <w:ilvl w:val="0"/>
          <w:numId w:val="22"/>
        </w:numPr>
        <w:spacing w:lineRule="auto" w:line="360" w:before="280" w:after="0"/>
        <w:jc w:val="both"/>
        <w:rPr/>
      </w:pPr>
      <w:r>
        <w:rPr/>
        <w:t>Imagen + marcadores tumorales cada 6 meses</w:t>
      </w:r>
      <w:r>
        <w:rPr>
          <w:rStyle w:val="s1"/>
        </w:rPr>
        <w:t xml:space="preserve"> durante los primeros 5 años.</w:t>
      </w:r>
    </w:p>
    <w:p>
      <w:pPr>
        <w:pStyle w:val="p1"/>
        <w:numPr>
          <w:ilvl w:val="0"/>
          <w:numId w:val="22"/>
        </w:numPr>
        <w:spacing w:lineRule="auto" w:line="360" w:before="0" w:after="0"/>
        <w:jc w:val="both"/>
        <w:rPr/>
      </w:pPr>
      <w:r>
        <w:rPr/>
        <w:t xml:space="preserve">Luego, </w:t>
      </w:r>
      <w:r>
        <w:rPr>
          <w:rStyle w:val="s1"/>
        </w:rPr>
        <w:t>anual de por vida</w:t>
      </w:r>
      <w:r>
        <w:rPr/>
        <w:t>, dado el riesgo de recurrencia tardía (incluso &gt;10 años post cirugía)</w:t>
      </w:r>
      <w:sdt>
        <w:sdtPr>
          <w:placeholder>
            <w:docPart w:val="DefaultPlaceholder_-1854013440"/>
          </w:placeholder>
          <w:tag w:val="MENDELEY_CITATION_v3_eyJjaXRhdGlvbklEIjoiTUVOREVMRVlfQ0lUQVRJT05fNzdkNGM3NTctODAzNi00N2RlLWIyYTAtZDQ5ODY1OTY4Zjg4IiwicHJvcGVydGllcyI6eyJub3RlSW5kZXgiOjB9LCJpc0VkaXRlZCI6ZmFsc2UsIm1hbnVhbE92ZXJyaWRlIjp7ImlzTWFudWFsbHlPdmVycmlkZGVuIjpmYWxzZSwiY2l0ZXByb2NUZXh0IjoiKDYwKSIsIm1hbnVhbE92ZXJyaWRlVGV4dCI6IiJ9LCJjaXRhdGlvbkl0ZW1zIjpbeyJpZCI6ImFiNGVjZDE1LTE3MTMtMzIzYy1iMTdkLWNlNzk1YWI0YjRmZCIsIml0ZW1EYXRhIjp7InR5cGUiOiJhcnRpY2xlLWpvdXJuYWwiLCJpZCI6ImFiNGVjZDE1LTE3MTMtMzIzYy1iMTdkLWNlNzk1YWI0YjRmZCIsInRpdGxlIjoiTmVjZXNzaXR5IG9mIHBvc3R0cmVhdG1lbnQgc3VydmVpbGxhbmNlIGZvciBsb3ctZ3JhZGUgYXBwZW5kaWNlYWwgbXVjaW5vdXMgbmVvcGxhc21zIiwiYXV0aG9yIjpbeyJmYW1pbHkiOiJHdXB0YSIsImdpdmVuIjoiQWFrYXNoIFIuIiwicGFyc2UtbmFtZXMiOmZhbHNlLCJkcm9wcGluZy1wYXJ0aWNsZSI6IiIsIm5vbi1kcm9wcGluZy1wYXJ0aWNsZSI6IiJ9LHsiZmFtaWx5IjoiQnJhamNpY2giLCJnaXZlbiI6IkJyaWFuIEMuIiwicGFyc2UtbmFtZXMiOmZhbHNlLCJkcm9wcGluZy1wYXJ0aWNsZSI6IiIsIm5vbi1kcm9wcGluZy1wYXJ0aWNsZSI6IiJ9LHsiZmFtaWx5IjoiWWFuZyIsImdpdmVuIjoiQW50aG9ueSBELiIsInBhcnNlLW5hbWVzIjpmYWxzZSwiZHJvcHBpbmctcGFydGljbGUiOiIiLCJub24tZHJvcHBpbmctcGFydGljbGUiOiIifSx7ImZhbWlseSI6IkJlbnRyZW0iLCJnaXZlbiI6IkRhdmlkIEouIiwicGFyc2UtbmFtZXMiOmZhbHNlLCJkcm9wcGluZy1wYXJ0aWNsZSI6IiIsIm5vbi1kcm9wcGluZy1wYXJ0aWNsZSI6IiJ9LHsiZmFtaWx5IjoiTWVya293IiwiZ2l2ZW4iOiJSeWFuIFAuIiwicGFyc2UtbmFtZXMiOmZhbHNlLCJkcm9wcGluZy1wYXJ0aWNsZSI6IiIsIm5vbi1kcm9wcGluZy1wYXJ0aWNsZSI6IiJ9XSwiY29udGFpbmVyLXRpdGxlIjoiSm91cm5hbCBvZiBzdXJnaWNhbCBvbmNvbG9neSIsImNvbnRhaW5lci10aXRsZS1zaG9ydCI6IkogU3VyZyBPbmNvbCIsIkRPSSI6IjEwLjEwMDIvSlNPLjI2NjIxIiwiSVNTTiI6IjEwOTYtOTA5OCIsIlBNSUQiOiIzNDMzMzc4NSIsImlzc3VlZCI6eyJkYXRlLXBhcnRzIjpbWzIwMjEsMTJdXX0sInBhZ2UiOiIxMTE1LTExMjAiLCJhYnN0cmFjdCI6IkJhY2tncm91bmQgYW5kIE9iamVjdGl2ZXM6IExvdy1ncmFkZSBhcHBlbmRpY2VhbCBtdWNpbm91cyBuZW9wbGFzbXMgKExBTU5zKSBhcmUgZ2VuZXJhbGx5IHRyZWF0ZWQgYnkgc3VyZ2ljYWwgcmVzZWN0aW9uLCBidXQgcG9zdHRyZWF0bWVudCBzdXJ2ZWlsbGFuY2UgcHJvdG9jb2xzIGFyZSBub3Qgd2VsbC1lc3RhYmxpc2hlZC4gVGhlIG9iamVjdGl2ZXMgb2YgdGhpcyBzdHVkeSB3ZXJlIHRvIGNoYXJhY3Rlcml6ZSBwb3N0dHJlYXRtZW50IHN1cnZlaWxsYW5jZSBhbmQgZGV0ZXJtaW5lIHRoZSByaXNrIG9mIHJlY3VycmVuY2UgZm9sbG93aW5nIHN1cmdpY2FsIHJlc2VjdGlvbiBvZiBMQU1OLiBNZXRob2RzOiBQYXRpZW50cyB3aG8gdW5kZXJ3ZW50IHN1cmdpY2FsIHJlc2VjdGlvbiBvZiBsb2NhbGl6ZWQgTEFNTnMgaW4gYW4gMTEtaG9zcGl0YWwgcmVnaW9uYWwgaGVhbHRoY2FyZSBzeXN0ZW0gZnJvbSAyMDAwIHRvIDIwMTkgd2VyZSBpZGVudGlmaWVkLiBQb3N0dHJlYXRtZW50IHN1cnZlaWxsYW5jZSByZWdpbWVucyB3ZXJlIGNoYXJhY3Rlcml6ZWQsIGFuZCByYXRlcyBvZiBkaXNlYXNlIHJlY3VycmVuY2Ugd2VyZSBldmFsdWF0ZWQuIFJlc3VsdHM6IEEgdG90YWwgb2YgMTE0IHBhdGllbnRzIHdpdGggTEFNTnMgd2VyZSBpZGVudGlmaWVkLiBULWNhdGVnb3J5IHdhcyBwVGlzIGZvciA5MiBwYXRpZW50cyAoODAuNyUpLCBwVDMgZm9yIDcgKDYuMSUpLCBwVDRhIGZvciAxNCAoMTIuMyUpLCBhbmQgcFQ0YiBmb3IgMSAoMC45JSkuIFR3byBwYXRpZW50cyAoMS44JSkgaGFkIGEgcG9zaXRpdmUgcmVzZWN0aW9uIG1hcmdpbi4gUG9zdHRyZWF0bWVudCBzdXJ2ZWlsbGFuY2Ugd2FzIHBlcmZvcm1lZCBmb3IgMzkgKDM0LjIlKSBwYXRpZW50cyBhbmQgY29uc2lzdGVkIG9mIG9mZmljZSB2aXNpdHMgZm9yIDMyICg4MiUpIHBhdGllbnRzLCBjb21wdXRlcml6ZWQgdG9tb2dyYXBoeSBpbWFnaW5nIGZvciAzMCAoNzclKSwgbWFnbmV0aWMgcmVzb25hbmNlIGltYWdpbmcgZm9yIDUgKDEzJSksIGNvbG9ub3Njb3B5IGZvciAxNSAoMzglKSwgYW5kIHNlcnVtIHR1bW9yIG1hcmtlciBtZWFzdXJlbWVudCBmb3IgMTIgKDMxJSkuIEFmdGVyIGEgbWVhbiBmb2xsb3ctdXAgZHVyYXRpb24gb2YgNC43IHllYXJzLCBubyBwYXRpZW50cyBleHBlcmllbmNlZCB0dW1vciByZWN1cnJlbmNlLiBDb25jbHVzaW9uczogUG9zdHRyZWF0bWVudCBzdXJ2ZWlsbGFuY2UgaXMgY29tbW9uIGFtb25nIHBhdGllbnRzIHdpdGggTEFNTnMuIEhvd2V2ZXIsIG5vIHBhdGllbnRzIGV4cGVyaWVuY2VkIHR1bW9yIHJlY3VycmVuY2UsIHJlZ2FyZGxlc3Mgb2YgVC1jYXRlZ29yeSBvciBtYXJnaW4gc3RhdHVzLCBzdWdnZXN0aW5nIHRoYXQgcm91dGluZSBzdXJ2ZWlsbGFuY2UgZm9sbG93aW5nIHN1cmdpY2FsIHJlc2VjdGlvbiBvZiBMQU1OIG1heSBiZSB1bm5lY2Vzc2FyeS4iLCJwdWJsaXNoZXIiOiJKIFN1cmcgT25jb2wiLCJpc3N1ZSI6IjciLCJ2b2x1bWUiOiIxMjQifSwiaXNUZW1wb3JhcnkiOmZhbHNlfV19"/>
          <w:id w:val="-364824226"/>
        </w:sdtPr>
        <w:sdtContent>
          <w:r>
            <w:rPr/>
          </w:r>
          <w:r>
            <w:rPr>
              <w:color w:val="000000"/>
            </w:rPr>
            <w:t>(60)</w:t>
          </w:r>
        </w:sdtContent>
      </w:sdt>
      <w:r>
        <w:rPr/>
        <w:t>.</w:t>
      </w:r>
    </w:p>
    <w:p>
      <w:pPr>
        <w:pStyle w:val="Heading4"/>
        <w:numPr>
          <w:ilvl w:val="3"/>
          <w:numId w:val="86"/>
        </w:numPr>
        <w:ind w:firstLine="709" w:left="0"/>
        <w:rPr/>
      </w:pPr>
      <w:r>
        <w:rPr/>
        <w:t>Adenocarcinomas apendiculares (incluyendo mucinosos)</w:t>
      </w:r>
    </w:p>
    <w:p>
      <w:pPr>
        <w:pStyle w:val="p1"/>
        <w:numPr>
          <w:ilvl w:val="0"/>
          <w:numId w:val="23"/>
        </w:numPr>
        <w:spacing w:lineRule="auto" w:line="360" w:before="280" w:after="0"/>
        <w:jc w:val="both"/>
        <w:rPr/>
      </w:pPr>
      <w:r>
        <w:rPr/>
        <w:t xml:space="preserve">TAC y marcadores cada </w:t>
      </w:r>
      <w:r>
        <w:rPr>
          <w:rStyle w:val="s1"/>
        </w:rPr>
        <w:t>3–6 meses por 3 años</w:t>
      </w:r>
      <w:r>
        <w:rPr/>
        <w:t>, luego cada 6–12 meses hasta los 5 años.</w:t>
      </w:r>
    </w:p>
    <w:p>
      <w:pPr>
        <w:pStyle w:val="p1"/>
        <w:numPr>
          <w:ilvl w:val="0"/>
          <w:numId w:val="23"/>
        </w:numPr>
        <w:spacing w:lineRule="auto" w:line="360" w:before="0" w:after="0"/>
        <w:jc w:val="both"/>
        <w:rPr/>
      </w:pPr>
      <w:r>
        <w:rPr/>
        <w:t>En alto riesgo (N+, márgenes positivos, tumor T4): seguimiento más estrecho los primeros 24 meses.</w:t>
      </w:r>
    </w:p>
    <w:p>
      <w:pPr>
        <w:pStyle w:val="Heading4"/>
        <w:numPr>
          <w:ilvl w:val="3"/>
          <w:numId w:val="87"/>
        </w:numPr>
        <w:ind w:firstLine="709" w:left="0"/>
        <w:rPr/>
      </w:pPr>
      <w:r>
        <w:rPr/>
        <w:t>Cáncer de células caliciformes / MANEC</w:t>
      </w:r>
    </w:p>
    <w:p>
      <w:pPr>
        <w:pStyle w:val="p1"/>
        <w:numPr>
          <w:ilvl w:val="0"/>
          <w:numId w:val="24"/>
        </w:numPr>
        <w:spacing w:lineRule="auto" w:line="360" w:before="280" w:after="0"/>
        <w:jc w:val="both"/>
        <w:rPr/>
      </w:pPr>
      <w:r>
        <w:rPr/>
        <w:t>Mayor riesgo de metástasis sistémicas → incluir TAC de tórax.</w:t>
      </w:r>
    </w:p>
    <w:p>
      <w:pPr>
        <w:pStyle w:val="p1"/>
        <w:numPr>
          <w:ilvl w:val="0"/>
          <w:numId w:val="24"/>
        </w:numPr>
        <w:spacing w:lineRule="auto" w:line="360" w:before="0" w:after="0"/>
        <w:jc w:val="both"/>
        <w:rPr/>
      </w:pPr>
      <w:r>
        <w:rPr/>
        <w:t xml:space="preserve">Controles </w:t>
      </w:r>
      <w:r>
        <w:rPr>
          <w:rStyle w:val="s1"/>
        </w:rPr>
        <w:t>cada 3–4 meses por 2 años</w:t>
      </w:r>
      <w:r>
        <w:rPr/>
        <w:t>, luego cada 6 meses hasta 5 años.</w:t>
      </w:r>
    </w:p>
    <w:p>
      <w:pPr>
        <w:pStyle w:val="p1"/>
        <w:numPr>
          <w:ilvl w:val="0"/>
          <w:numId w:val="24"/>
        </w:numPr>
        <w:spacing w:lineRule="auto" w:line="360" w:before="0" w:after="0"/>
        <w:jc w:val="both"/>
        <w:rPr/>
      </w:pPr>
      <w:r>
        <w:rPr/>
        <w:t>Algunos autores sugieren vigilancia hasta 10 años si el paciente permanece libre de enfermedad</w:t>
      </w:r>
      <w:sdt>
        <w:sdtPr>
          <w:placeholder>
            <w:docPart w:val="DefaultPlaceholder_-1854013440"/>
          </w:placeholder>
          <w:tag w:val="MENDELEY_CITATION_v3_eyJjaXRhdGlvbklEIjoiTUVOREVMRVlfQ0lUQVRJT05fMGU2ZTg5Y2QtODNlOC00YTEyLWEwY2ItNTVkM2ZlMTlmNjc3IiwicHJvcGVydGllcyI6eyJub3RlSW5kZXgiOjB9LCJpc0VkaXRlZCI6ZmFsc2UsIm1hbnVhbE92ZXJyaWRlIjp7ImlzTWFudWFsbHlPdmVycmlkZGVuIjpmYWxzZSwiY2l0ZXByb2NUZXh0IjoiKDQ2KSIsIm1hbnVhbE92ZXJyaWRlVGV4dCI6IiJ9LCJjaXRhdGlvbkl0ZW1zIjpbeyJpZCI6IjBhMTBiYTk2LTUzOTItMzY5Mi04NTkxLWNmNzYzODY4ZjM0NCIsIml0ZW1EYXRhIjp7InR5cGUiOiJhcnRpY2xlLWpvdXJuYWwiLCJpZCI6IjBhMTBiYTk2LTUzOTItMzY5Mi04NTkxLWNmNzYzODY4ZjM0NCIsInRpdGxlIjoiTWFuYWdlbWVudCBvZiBBcHBlbmRpY2VhbCBOZXVyb2VuZG9jcmluZSBUdW1vcnM6IE1ldGFzdGF0aWMgUG90ZW50aWFsIG9mIFNtYWxsIFR1bW9ycyIsImF1dGhvciI6W3siZmFtaWx5IjoiTGFuZHJ5IiwiZ2l2ZW4iOiJKYWNlIFAuIiwicGFyc2UtbmFtZXMiOmZhbHNlLCJkcm9wcGluZy1wYXJ0aWNsZSI6IiIsIm5vbi1kcm9wcGluZy1wYXJ0aWNsZSI6IiJ9LHsiZmFtaWx5IjoiVm9yb3MiLCJnaXZlbiI6IkJyaWFubmUgQS4iLCJwYXJzZS1uYW1lcyI6ZmFsc2UsImRyb3BwaW5nLXBhcnRpY2xlIjoiIiwibm9uLWRyb3BwaW5nLXBhcnRpY2xlIjoiIn0seyJmYW1pbHkiOiJSYW1pcmV6IiwiZ2l2ZW4iOiJSb2JlcnQgQS4iLCJwYXJzZS1uYW1lcyI6ZmFsc2UsImRyb3BwaW5nLXBhcnRpY2xlIjoiIiwibm9uLWRyb3BwaW5nLXBhcnRpY2xlIjoiIn0seyJmYW1pbHkiOiJCb3VkcmVhdXgiLCJnaXZlbiI6IkouIFBoaWxpcCIsInBhcnNlLW5hbWVzIjpmYWxzZSwiZHJvcHBpbmctcGFydGljbGUiOiIiLCJub24tZHJvcHBpbmctcGFydGljbGUiOiIifSx7ImZhbWlseSI6IldvbHRlcmluZyIsImdpdmVuIjoiRXVnZW5lIEEuIiwicGFyc2UtbmFtZXMiOmZhbHNlLCJkcm9wcGluZy1wYXJ0aWNsZSI6IiIsIm5vbi1kcm9wcGluZy1wYXJ0aWNsZSI6IiJ9LHsiZmFtaWx5IjoiVGhpYWdhcmFqYW4iLCJnaXZlbiI6IlJhbWNoYXJhbiIsInBhcnNlLW5hbWVzIjpmYWxzZSwiZHJvcHBpbmctcGFydGljbGUiOiIiLCJub24tZHJvcHBpbmctcGFydGljbGUiOiIifV0sImNvbnRhaW5lci10aXRsZSI6IkFubmFscyBvZiBzdXJnaWNhbCBvbmNvbG9neSIsImNvbnRhaW5lci10aXRsZS1zaG9ydCI6IkFubiBTdXJnIE9uY29sIiwiRE9JIjoiMTAuMTI0NS9TMTA0MzQtMDIwLTA4NzQ4LTQiLCJJU1NOIjoiMTUzNC00NjgxIiwiUE1JRCI6IjMyNjkxMzM3IiwiaXNzdWVkIjp7ImRhdGUtcGFydHMiOltbMjAyMV1dfSwicGFnZSI6Ijc1MS03NTciLCJhYnN0cmFjdCI6IkJhY2tncm91bmQ6IEFwcGVuZGljZWFsIG5ldXJvZW5kb2NyaW5lIHR1bW9ycyAoQU5FVHMpIGFyZSByYXJlIG5lb3BsYXNtcyB1c3VhbGx5IGRpc2NvdmVyZWQgaW5jaWRlbnRhbGx5IGR1cmluZyBhcHBlbmRlY3RvbXkuIEFORVRzIDwgMsKgY20gd2VyZSB0aG91Z2h0IHRvIGhhdmUgbm8gbWV0YXN0YXRpYyBwb3RlbnRpYWwsIGFuZCB0aGlzIGRvZ21hIGhhcyBkcml2ZW4gbWFuYWdlbWVudC4gT3VyIGFpbSBpcyB0byBldmFsdWF0ZSB0aGUgbWV0YXN0YXRpYyBwb3RlbnRpYWwgb2YgQU5FVHMgPCAywqBjbS4gUGF0aWVudHMgYW5kIE1ldGhvZHM6IEEgcmV0cm9zcGVjdGl2ZSByZXZpZXcgd2FzIHBlcmZvcm1lZCBpbiBhIHNlcmllcyBvZiBwYXRpZW50cyB3aXRoIEFORVRzIHdobyBwcmVzZW50ZWQgdG8gb3VyIHRlcnRpYXJ5IHJlZmVycmFsIGNlbnRlciBmcm9tIDE5OTggdG8gMjAxOS4gRGVtb2dyYXBoaWNzLCB0dW1vciBjaGFyYWN0ZXJpc3RpY3MsIHRyZWF0bWVudCwgYW5kIGNsaW5pY2FsIG91dGNvbWVzIHdlcmUgZXZhbHVhdGVkLiBSZXN1bHRzOiBJbiB0b3RhbCwgMTE0IHBhdGllbnRzIHdlcmUgaW5jbHVkZWQuIE1lZGlhbiBmb2xsb3ctdXAgd2FzIDMuM8KgeWVhcnMgKHJhbmdlLCAyMcKgZGF5c+KAkzE1wqB5ZWFycykuIEF0IGxhc3QgZm9sbG93LXVwLCAzNCAoMzAlKSBwYXRpZW50cyBoYWQgcG9zaXRpdmUgcmVnaW9uYWwgbHltcGggbm9kZXMgYW5kIDIwICgxOCUpIHBhdGllbnRzIGhhZCBtZXRhc3RhdGljIGRpc2Vhc2UuIE9mIHRoZSAyMCBwYXRpZW50cyB3aXRoIG1ldGFzdGF0aWMgZGlzZWFzZSwgMTEgKDU1JSkgaGFkIHByaW1hcnkgQU5FVHMgPCAywqBjbS4gUGF0aWVudCBhZ2UgPiA0MMKgeWVhcnMgYXQgZGlhZ25vc2lzIGFuZCBBTkVUcyB3aXRoIHNlcm9zYWwgaW52YXNpb24sIGx5bXBob3Zhc2N1bGFyIGludmFzaW9uLCBpbnRlcm1lZGlhdGUgdHVtb3IgZ3JhZGUsIG9yIHBvc2l0aXZlIGx5bXBoIG5vZGVzIHdlcmUgZmVhdHVyZXMgc2lnbmlmaWNhbnRseSBtb3JlIGxpa2VseSB0byBwcmVzZW50IHdpdGggbWV0YXN0YXRpYyBkaXNlYXNlLiBXZSBmb3VuZCBubyBkaWZmZXJlbmNlIGluIHRoZSByYXRlIG9mIGx5bXBoIG5vZGUgcG9zaXRpdml0eSwgbWV0YXN0YXRpYyBkaXNlYXNlLCBvciBvdmVyYWxsIHN1cnZpdmFsIHdoZW4gcGF0aWVudHMgd2VyZSBzdHJhdGlmaWVkIGJ5IHR1bW9yIHNpemUgb3IgdHlwZSBvZiByZXNlY3Rpb24gKGFwcGVuZGVjdG9teSB2cy4gcmlnaHQgaGVtaWNvbGVjdG9teSkuIE9uIG11bHRpdmFyaWF0ZSBhbmFseXNpcywgcGF0aWVudHMgd2l0aCBtZXRhc3RhdGljIGRpc2Vhc2UgYXQgZGlhZ25vc2lzIGhhZCB3b3JzZSBvdmVyYWxsIHN1cnZpdmFsIChIUiA9IDI0LjQsIHAgPSAwLjAwOCkuIENvbmNsdXNpb25zOiBJbiBvdXIgY29ob3J0LCB0dW1vciBzaXplIHdhcyBub3QgYSBzaWduaWZpY2FudCByaXNrIGZhY3RvciBmb3IgbWV0YXN0YXRpYyBkaXNlYXNlIG9yIHdvcnNlIG91dGNvbWUgYXMgbWFueSBwYXRpZW50cyB3aXRoIEFORVRzIDwgMsKgY20gZGV2ZWxvcGVkIG1ldGFzdGF0aWMgZGlzZWFzZS4gQXBwZW5kZWN0b215IGFsb25lIHdhcyBzdWZmaWNpZW50IHN1cmdpY2FsIG1hbmFnZW1lbnQgZm9yIG1vc3QgQU5FVHMuIFBhdGllbnRzIHdpdGggcmlzayBmYWN0b3JzIGZvciBtZXRhc3RhdGljIGRpc2Vhc2UsIHJlZ2FyZGxlc3Mgb2YgcHJpbWFyeSBBTkVUIHNpemUsIHNob3VsZCBiZSBldmFsdWF0ZWQgdGhvcm91Z2hseSBhbmQgY291bnNlbGVkIGZvciBmdXJ0aGVyIG1hbmFnZW1lbnQgYW5kIHN1cnZlaWxsYW5jZS4iLCJwdWJsaXNoZXIiOiJBbm4gU3VyZyBPbmNvbCIsImlzc3VlIjoiMiIsInZvbHVtZSI6IjI4In0sImlzVGVtcG9yYXJ5IjpmYWxzZX1dfQ=="/>
          <w:id w:val="-1288046600"/>
        </w:sdtPr>
        <w:sdtContent>
          <w:r>
            <w:rPr/>
          </w:r>
          <w:r>
            <w:rPr>
              <w:color w:val="000000"/>
            </w:rPr>
            <w:t>(46)</w:t>
          </w:r>
        </w:sdtContent>
      </w:sdt>
      <w:r>
        <w:rPr/>
        <w:t>.</w:t>
      </w:r>
    </w:p>
    <w:p>
      <w:pPr>
        <w:pStyle w:val="Heading4"/>
        <w:numPr>
          <w:ilvl w:val="3"/>
          <w:numId w:val="88"/>
        </w:numPr>
        <w:ind w:firstLine="709" w:left="0"/>
        <w:rPr/>
      </w:pPr>
      <w:r>
        <w:rPr/>
        <w:t xml:space="preserve">Carcinomas indiferenciados y mixtos epiteliales </w:t>
      </w:r>
    </w:p>
    <w:p>
      <w:pPr>
        <w:pStyle w:val="p1"/>
        <w:numPr>
          <w:ilvl w:val="0"/>
          <w:numId w:val="26"/>
        </w:numPr>
        <w:spacing w:lineRule="auto" w:line="360" w:before="280" w:after="0"/>
        <w:jc w:val="both"/>
        <w:rPr/>
      </w:pPr>
      <w:r>
        <w:rPr>
          <w:b/>
          <w:bCs/>
        </w:rPr>
        <w:t>Frecuencia durante los primeros 3 años:</w:t>
      </w:r>
    </w:p>
    <w:p>
      <w:pPr>
        <w:pStyle w:val="p1"/>
        <w:numPr>
          <w:ilvl w:val="1"/>
          <w:numId w:val="26"/>
        </w:numPr>
        <w:spacing w:lineRule="auto" w:line="360" w:before="0" w:after="0"/>
        <w:jc w:val="both"/>
        <w:rPr/>
      </w:pPr>
      <w:r>
        <w:rPr>
          <w:rStyle w:val="s1"/>
        </w:rPr>
        <w:t>Consulta clínica</w:t>
      </w:r>
      <w:r>
        <w:rPr/>
        <w:t xml:space="preserve"> cada 3 a 6 meses.</w:t>
      </w:r>
    </w:p>
    <w:p>
      <w:pPr>
        <w:pStyle w:val="p1"/>
        <w:numPr>
          <w:ilvl w:val="1"/>
          <w:numId w:val="26"/>
        </w:numPr>
        <w:spacing w:lineRule="auto" w:line="360" w:before="0" w:after="0"/>
        <w:jc w:val="both"/>
        <w:rPr/>
      </w:pPr>
      <w:r>
        <w:rPr>
          <w:rStyle w:val="s1"/>
        </w:rPr>
        <w:t>Marcadores tumorales (CEA, CA 19-9)</w:t>
      </w:r>
      <w:r>
        <w:rPr/>
        <w:t xml:space="preserve"> cada 3 a 6 meses si fueron elevados al diagnóstico.</w:t>
      </w:r>
    </w:p>
    <w:p>
      <w:pPr>
        <w:pStyle w:val="p1"/>
        <w:numPr>
          <w:ilvl w:val="1"/>
          <w:numId w:val="26"/>
        </w:numPr>
        <w:spacing w:lineRule="auto" w:line="360" w:before="0" w:after="0"/>
        <w:jc w:val="both"/>
        <w:rPr/>
      </w:pPr>
      <w:r>
        <w:rPr>
          <w:rStyle w:val="s1"/>
        </w:rPr>
        <w:t>Imágenes de control</w:t>
      </w:r>
      <w:r>
        <w:rPr/>
        <w:t xml:space="preserve"> (TAC de tórax, abdomen y pelvis con contraste) cada 6 meses.</w:t>
      </w:r>
    </w:p>
    <w:p>
      <w:pPr>
        <w:pStyle w:val="p1"/>
        <w:numPr>
          <w:ilvl w:val="0"/>
          <w:numId w:val="26"/>
        </w:numPr>
        <w:spacing w:lineRule="auto" w:line="360" w:before="0" w:after="0"/>
        <w:jc w:val="both"/>
        <w:rPr/>
      </w:pPr>
      <w:r>
        <w:rPr>
          <w:b/>
          <w:bCs/>
        </w:rPr>
        <w:t>Del año 4 al 5:</w:t>
      </w:r>
    </w:p>
    <w:p>
      <w:pPr>
        <w:pStyle w:val="p1"/>
        <w:numPr>
          <w:ilvl w:val="1"/>
          <w:numId w:val="26"/>
        </w:numPr>
        <w:spacing w:lineRule="auto" w:line="360" w:before="0" w:after="0"/>
        <w:jc w:val="both"/>
        <w:rPr/>
      </w:pPr>
      <w:r>
        <w:rPr/>
        <w:t>Consultas cada 6 a 12 meses.</w:t>
      </w:r>
    </w:p>
    <w:p>
      <w:pPr>
        <w:pStyle w:val="p1"/>
        <w:numPr>
          <w:ilvl w:val="1"/>
          <w:numId w:val="26"/>
        </w:numPr>
        <w:spacing w:lineRule="auto" w:line="360" w:before="0" w:after="0"/>
        <w:jc w:val="both"/>
        <w:rPr/>
      </w:pPr>
      <w:r>
        <w:rPr/>
        <w:t>TAC anual.</w:t>
      </w:r>
    </w:p>
    <w:p>
      <w:pPr>
        <w:pStyle w:val="p1"/>
        <w:numPr>
          <w:ilvl w:val="1"/>
          <w:numId w:val="26"/>
        </w:numPr>
        <w:spacing w:lineRule="auto" w:line="360" w:before="0" w:after="0"/>
        <w:jc w:val="both"/>
        <w:rPr/>
      </w:pPr>
      <w:r>
        <w:rPr/>
        <w:t>Colonoscopía cada 3–5 años si no se ha hecho o según hallazgos previos.</w:t>
      </w:r>
    </w:p>
    <w:p>
      <w:pPr>
        <w:pStyle w:val="p1"/>
        <w:numPr>
          <w:ilvl w:val="0"/>
          <w:numId w:val="26"/>
        </w:numPr>
        <w:spacing w:lineRule="auto" w:line="360" w:before="0" w:after="0"/>
        <w:jc w:val="both"/>
        <w:rPr/>
      </w:pPr>
      <w:r>
        <w:rPr>
          <w:b/>
          <w:bCs/>
        </w:rPr>
        <w:t>Después de 5 años:</w:t>
      </w:r>
    </w:p>
    <w:p>
      <w:pPr>
        <w:pStyle w:val="p1"/>
        <w:numPr>
          <w:ilvl w:val="1"/>
          <w:numId w:val="26"/>
        </w:numPr>
        <w:spacing w:lineRule="auto" w:line="360" w:before="0" w:after="280"/>
        <w:jc w:val="both"/>
        <w:rPr/>
      </w:pPr>
      <w:r>
        <w:rPr/>
        <w:t>El seguimiento puede espaciarse si no hay recurrencia, pero debe continuar al menos 7–10 años, ya que algunos subtipos presentan recurrencias tardías, especialmente aquellos con patrón en anillo de sello o pobre diferenciación.</w:t>
      </w:r>
    </w:p>
    <w:p>
      <w:pPr>
        <w:pStyle w:val="p1"/>
        <w:spacing w:lineRule="auto" w:line="360" w:before="280" w:after="280"/>
        <w:jc w:val="both"/>
        <w:rPr/>
      </w:pPr>
      <w:r>
        <w:rPr/>
        <w:t xml:space="preserve">En casos con resección incompleta o enfermedad indolente residual, el seguimiento debe ser indefinido. Se recomienda la coordinación con unidades de oncología clínica, cirugía, nutrición y cuidados paliativos, según evolución  </w:t>
      </w:r>
      <w:sdt>
        <w:sdtPr>
          <w:placeholder>
            <w:docPart w:val="DefaultPlaceholder_-1854013440"/>
          </w:placeholder>
          <w:tag w:val="MENDELEY_CITATION_v3_eyJjaXRhdGlvbklEIjoiTUVOREVMRVlfQ0lUQVRJT05fYmI5YWI4ZjEtY2ZhNC00MmE1LTg1MTItZDcyYTBhNWY5MDAzIiwicHJvcGVydGllcyI6eyJub3RlSW5kZXgiOjB9LCJpc0VkaXRlZCI6ZmFsc2UsIm1hbnVhbE92ZXJyaWRlIjp7ImlzTWFudWFsbHlPdmVycmlkZGVuIjpmYWxzZSwiY2l0ZXByb2NUZXh0IjoiKDI2KSIsIm1hbnVhbE92ZXJyaWRlVGV4dCI6IiJ9LCJjaXRhdGlvbkl0ZW1zIjpbeyJpZCI6ImUxNmY5YmFiLWM3YmEtM2NhNS05ZTNmLTM2MzMwYzBkYjQ2NyIsIml0ZW1EYXRhIjp7InR5cGUiOiJhcnRpY2xlLWpvdXJuYWwiLCJpZCI6ImUxNmY5YmFiLWM3YmEtM2NhNS05ZTNmLTM2MzMwYzBkYjQ2NyIsInRpdGxlIjoiQXBwZW5kaWNlYWwgYWRlbm9jYXJjaW5vbWE6IEN1cnJlbnQgY29uY2VwdHMgJiBjaGFsbGVuZ2VzIiwiYXV0aG9yIjpbeyJmYW1pbHkiOiJCZWxsIiwiZ2l2ZW4iOiJQaG9lbml4IEQuIiwicGFyc2UtbmFtZXMiOmZhbHNlLCJkcm9wcGluZy1wYXJ0aWNsZSI6IiIsIm5vbi1kcm9wcGluZy1wYXJ0aWNsZSI6IiJ9XSwiY29udGFpbmVyLXRpdGxlIjoiU2VtaW5hcnMgaW4gZGlhZ25vc3RpYyBwYXRob2xvZ3kiLCJjb250YWluZXItdGl0bGUtc2hvcnQiOiJTZW1pbiBEaWFnbiBQYXRob2wiLCJET0kiOiIxMC4xMDUzL0ouU0VNRFAuMjAyNC4wOC4wMDUiLCJJU1NOIjoiMDc0MC0yNTcwIiwiUE1JRCI6IjM5MjE0NzI1IiwiaXNzdWVkIjp7ImRhdGUtcGFydHMiOltbMjAyNF1dfSwicGFnZSI6IjIxMy0yMjEiLCJhYnN0cmFjdCI6IkFwcGVuZGljZWFsIGFkZW5vY2FyY2lub21hIChBcEFDKSBpcyBhIHJhcmUgbWFsaWduYW5jeSwgY29tcHJpc2luZyBsZXNzIHRoYW4gMSAlIG9mIGFsbCBnYXN0cm9pbnRlc3RpbmFsIHR1bW9ycy4gVGhlIGN1cnJlbnQgV29ybGQgSGVhbHRoIE9yZ2FuaXphdGlvbiBjbGFzc2lmaWVzIEFwQUMgYXMgbXVjaW5vdXMgb3Igbm9ubXVjaW5vdXMuIE11Y2lub3VzIEFwQUMgYXJlIGNvbXBvc2VkIG9mIHBvb2xzIG9mIG11Y2luIGxpbmVkIGJ5IGNlbGxzIHdpdGggbG93LSBhbmQgaGlnaC1ncmFkZSBjeXRvbG9neSBhbmQgYXJlYXMgb2YgaW5maWx0cmF0aXZlIGludmFzaW9uLiBOb25tdWNpbm91cyBBcEFDIGhpc3RvbG9naWNhbGx5IHJlc2VtYmxlIGNvbnZlbnRpb25hbCBjb2xvcmVjdGFsIGFkZW5vY2FyY2lub21hcyBhbmQgaGF2ZSBhIHdvcnNlIHByb2dub3NpcyB0aGFuIHRoZWlyIG11Y2lub3VzIGNvdW50ZXJwYXJ0LiBVbmZvcnR1bmF0ZWx5LCB0aGUgbm9tZW5jbGF0dXJlIGFuZCBoaXN0b2xvZ2ljIGNsYXNzaWZpY2F0aW9uIG9mIEFwQUMsIHNwZWNpZmljYWxseSB0aGUgbXVjaW5vdXMgc3VidHlwZSwgaGFzIGNoYW5nZWQgc2V2ZXJhbCB0aW1lcyB0aHJvdWdob3V0IHRoZSB5ZWFycywgY29udHJpYnV0aW5nIHRvIGRpYWdub3N0aWMgY29uZnVzaW9uIGZvciBwYXRob2xvZ2lzdHMuIFRoZSB0cmVhdG1lbnQgZm9yIG11Y2lub3VzIEFwQUMgZGlmZmVycyBmcm9tIHRoYXQgb2Ygb3RoZXIgYXBwZW5kaWNlYWwgbXVjaW5vdXMgbmVvcGxhc21zLCB0aHVzIGFjY3VyYXRlIGRpYWdub3NpcyBpcyBrZXkgdG8gcGF0aWVudCBtYW5hZ2VtZW50IGFuZCBvdXRjb21lLiBUaGlzIHJldmlldyBkaXNjdXNzZXMgdGhlIGN1cnJlbnQgY2xhc3NpZmljYXRpb24gYW5kIHN0YWdpbmcgb2YgQXBBQyB3aXRoIGEgcGFydGljdWxhciBlbXBoYXNpcyBvbiB0aGUgbXVjaW5vdXMgc3VidHlwZSBhbmQgcGVyaXRvbmVhbCBkaXNlYXNlLCBhcyB0aGVzZSBhcmVhcyBhcmUgdGhlIG1vc3QgY2hhbGxlbmdpbmcgZm9yIHByYWN0aWNpbmcgc3VyZ2ljYWwgcGF0aG9sb2dpc3RzLiIsInB1Ymxpc2hlciI6IlNlbWluIERpYWduIFBhdGhvbCIsImlzc3VlIjoiNSIsInZvbHVtZSI6IjQxIn0sImlzVGVtcG9yYXJ5IjpmYWxzZX1dfQ=="/>
          <w:id w:val="-797072987"/>
        </w:sdtPr>
        <w:sdtContent>
          <w:r>
            <w:rPr/>
          </w:r>
          <w:r>
            <w:rPr>
              <w:color w:val="000000"/>
            </w:rPr>
            <w:t>(26)</w:t>
          </w:r>
        </w:sdtContent>
      </w:sdt>
    </w:p>
    <w:p>
      <w:pPr>
        <w:pStyle w:val="Heading2"/>
        <w:numPr>
          <w:ilvl w:val="1"/>
          <w:numId w:val="89"/>
        </w:numPr>
        <w:rPr>
          <w:lang w:val="es-ES"/>
        </w:rPr>
      </w:pPr>
      <w:bookmarkStart w:id="194" w:name="_Toc200580247"/>
      <w:r>
        <w:rPr>
          <w:lang w:val="es-ES"/>
        </w:rPr>
        <w:t>Manejo Paliativo</w:t>
      </w:r>
      <w:bookmarkEnd w:id="194"/>
    </w:p>
    <w:p>
      <w:pPr>
        <w:pStyle w:val="p3"/>
        <w:spacing w:lineRule="auto" w:line="360" w:before="280" w:after="280"/>
        <w:jc w:val="both"/>
        <w:rPr/>
      </w:pPr>
      <w:r>
        <w:rPr/>
        <w:t>El manejo paliativo del cáncer apendicular está indicado en pacientes con enfermedad irresecable, progresión sistémica avanzada o en aquellos cuyo estado funcional y comorbilidades contraindican tratamientos quirúrgicos o sistémicos agresivos. En este contexto, el objetivo principal deja de ser la curación oncológica y se centra en aliviar síntomas, preservar la calidad de vida y respetar las metas del paciente.</w:t>
      </w:r>
    </w:p>
    <w:p>
      <w:pPr>
        <w:pStyle w:val="p3"/>
        <w:spacing w:lineRule="auto" w:line="360" w:before="280" w:after="280"/>
        <w:jc w:val="both"/>
        <w:rPr/>
      </w:pPr>
      <w:r>
        <w:rPr/>
        <w:t>Dado que muchas neoplasias apendiculares —especialmente las mucinosas de bajo grado— tienden a crecer lentamente pero con compromiso peritoneal extenso, el abordaje paliativo puede requerir un enfoque multidimensional y progresivo, que incluya intervenciones quirúrgicas limitadas, manejo médico sintomático y soporte psicosocial.</w:t>
        <w:tab/>
      </w:r>
    </w:p>
    <w:p>
      <w:pPr>
        <w:pStyle w:val="Normal"/>
        <w:tabs>
          <w:tab w:val="clear" w:pos="708"/>
          <w:tab w:val="left" w:pos="3048" w:leader="none"/>
        </w:tabs>
        <w:rPr/>
      </w:pPr>
      <w:r>
        <w:rPr/>
      </w:r>
    </w:p>
    <w:p>
      <w:pPr>
        <w:pStyle w:val="Normal"/>
        <w:spacing w:lineRule="auto" w:line="276" w:before="0" w:after="200"/>
        <w:rPr/>
      </w:pPr>
      <w:r>
        <w:rPr/>
      </w:r>
      <w:bookmarkStart w:id="195" w:name="_Toc199584635"/>
      <w:bookmarkStart w:id="196" w:name="_Toc199584635"/>
      <w:r>
        <w:br w:type="page"/>
      </w:r>
    </w:p>
    <w:p>
      <w:pPr>
        <w:pStyle w:val="Heading1"/>
        <w:numPr>
          <w:ilvl w:val="0"/>
          <w:numId w:val="42"/>
        </w:numPr>
        <w:spacing w:before="0" w:after="0"/>
        <w:rPr/>
      </w:pPr>
      <w:bookmarkStart w:id="197" w:name="_Toc199584635"/>
      <w:bookmarkStart w:id="198" w:name="_Toc200580272"/>
      <w:bookmarkStart w:id="199" w:name="_Toc200580271"/>
      <w:bookmarkStart w:id="200" w:name="_Toc200580270"/>
      <w:bookmarkStart w:id="201" w:name="_Toc200580269"/>
      <w:bookmarkStart w:id="202" w:name="_Toc200580268"/>
      <w:bookmarkStart w:id="203" w:name="_Toc200580267"/>
      <w:bookmarkStart w:id="204" w:name="_Toc200580266"/>
      <w:bookmarkStart w:id="205" w:name="_Toc200580265"/>
      <w:bookmarkStart w:id="206" w:name="_Toc200580264"/>
      <w:bookmarkStart w:id="207" w:name="_Toc200580263"/>
      <w:bookmarkStart w:id="208" w:name="_Toc200580262"/>
      <w:bookmarkStart w:id="209" w:name="_Toc200580261"/>
      <w:bookmarkStart w:id="210" w:name="_Toc200580260"/>
      <w:bookmarkStart w:id="211" w:name="_Toc200580259"/>
      <w:bookmarkStart w:id="212" w:name="_Toc200580258"/>
      <w:bookmarkStart w:id="213" w:name="_Toc200580257"/>
      <w:bookmarkStart w:id="214" w:name="_Toc200580256"/>
      <w:bookmarkStart w:id="215" w:name="_Toc200580255"/>
      <w:bookmarkStart w:id="216" w:name="_Toc200580254"/>
      <w:bookmarkStart w:id="217" w:name="_Toc200580253"/>
      <w:bookmarkStart w:id="218" w:name="_Toc200580252"/>
      <w:bookmarkStart w:id="219" w:name="_Toc200580251"/>
      <w:bookmarkStart w:id="220" w:name="_Toc200580250"/>
      <w:bookmarkStart w:id="221" w:name="_Toc200580249"/>
      <w:bookmarkStart w:id="222" w:name="_Toc20058024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Pr/>
        <w:t>Epidemiología del cáncer apendicular en Costa Rica</w:t>
      </w:r>
      <w:bookmarkEnd w:id="197"/>
      <w:bookmarkEnd w:id="198"/>
    </w:p>
    <w:p>
      <w:pPr>
        <w:pStyle w:val="Normal"/>
        <w:rPr/>
      </w:pPr>
      <w:r>
        <w:rPr/>
      </w:r>
    </w:p>
    <w:p>
      <w:pPr>
        <w:pStyle w:val="Heading2"/>
        <w:numPr>
          <w:ilvl w:val="1"/>
          <w:numId w:val="90"/>
        </w:numPr>
        <w:rPr/>
      </w:pPr>
      <w:bookmarkStart w:id="223" w:name="_Toc199584636"/>
      <w:bookmarkStart w:id="224" w:name="_Toc200580273"/>
      <w:r>
        <w:rPr/>
        <w:t>Incidencia y tendencias del cáncer apendicular en Costa Rica (2000–2022)</w:t>
      </w:r>
      <w:bookmarkEnd w:id="223"/>
      <w:bookmarkEnd w:id="224"/>
    </w:p>
    <w:p>
      <w:pPr>
        <w:pStyle w:val="p3"/>
        <w:spacing w:lineRule="auto" w:line="360" w:before="280" w:after="280"/>
        <w:jc w:val="both"/>
        <w:rPr/>
      </w:pPr>
      <w:r>
        <w:rPr/>
        <w:t>Durante el período comprendido entre los años 2000 y 2022, se registraron en Costa Rica un total de 71 casos de cáncer apendicular en hombres y 89 casos en mujeres, para un total de 160 casos, según datos oficiales proporcionados por el Registro Nacional de Tumores (RNT) del Ministerio de Salud. Estas cifras reflejan la baja frecuencia de esta entidad en la población nacional, con un promedio estimado de tres casos anuales por sexo.</w:t>
      </w:r>
    </w:p>
    <w:p>
      <w:pPr>
        <w:pStyle w:val="Heading3"/>
        <w:numPr>
          <w:ilvl w:val="2"/>
          <w:numId w:val="91"/>
        </w:numPr>
        <w:rPr>
          <w:sz w:val="27"/>
        </w:rPr>
      </w:pPr>
      <w:bookmarkStart w:id="225" w:name="_Toc199584637"/>
      <w:bookmarkStart w:id="226" w:name="_Toc200580274"/>
      <w:r>
        <w:rPr/>
        <w:t>Tendencias temporales generales</w:t>
      </w:r>
      <w:bookmarkEnd w:id="225"/>
      <w:bookmarkEnd w:id="226"/>
    </w:p>
    <w:p>
      <w:pPr>
        <w:pStyle w:val="p1"/>
        <w:spacing w:lineRule="auto" w:line="360" w:before="280" w:after="280"/>
        <w:jc w:val="both"/>
        <w:rPr/>
      </w:pPr>
      <w:r>
        <w:rPr/>
        <w:t>Con los datos publicados previamente, el análisis de la información recopilada del Registro Nacional de Tumores permite delinear un panorama inicial sobre la incidencia y las tendencias temporales del cáncer apendicular en Costa Rica durante el período 2000–2022. Aunque la enfermedad mantiene su carácter de neoplasia rara dentro del espectro digestivo, el comportamiento observado a lo largo de los años evidencia un cambio en su incidencia, con variaciones en la línea de tendencia que se describen a continuación.</w:t>
      </w:r>
    </w:p>
    <w:p>
      <w:pPr>
        <w:pStyle w:val="p1"/>
        <w:spacing w:lineRule="auto" w:line="360" w:before="280" w:after="280"/>
        <w:jc w:val="both"/>
        <w:rPr/>
      </w:pPr>
      <w:r>
        <w:rPr/>
        <w:t>Para evaluar formalmente la tendencia a lo largo del tiempo, se aplicó un modelo de regresión lineal simple a tres series de datos. Este análisis permitió estimar la pendiente de cada línea de mejor ajuste y determinar si los cambios observados fueron estadísticamente significativos mediante una prueba de tendencia sobre la pendiente. Se utilizó un valor de p &lt; 0.05 como umbral de significancia.</w:t>
      </w:r>
    </w:p>
    <w:p>
      <w:pPr>
        <w:pStyle w:val="p1"/>
        <w:keepNext w:val="true"/>
        <w:spacing w:before="280" w:after="280"/>
        <w:rPr/>
      </w:pPr>
      <w:r>
        <w:rPr/>
        <w:drawing>
          <wp:inline distT="0" distB="0" distL="0" distR="0">
            <wp:extent cx="5611495" cy="2635250"/>
            <wp:effectExtent l="0" t="0" r="0" b="0"/>
            <wp:docPr id="3" name="Imagen 7" descr="Gráfico, Gráfico de líne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7" descr="Gráfico, Gráfico de líneas&#10;&#10;El contenido generado por IA puede ser incorrecto."/>
                    <pic:cNvPicPr>
                      <a:picLocks noChangeAspect="1" noChangeArrowheads="1"/>
                    </pic:cNvPicPr>
                  </pic:nvPicPr>
                  <pic:blipFill>
                    <a:blip r:embed="rId7"/>
                    <a:stretch>
                      <a:fillRect/>
                    </a:stretch>
                  </pic:blipFill>
                  <pic:spPr bwMode="auto">
                    <a:xfrm>
                      <a:off x="0" y="0"/>
                      <a:ext cx="5611495" cy="2635250"/>
                    </a:xfrm>
                    <a:prstGeom prst="rect">
                      <a:avLst/>
                    </a:prstGeom>
                    <a:noFill/>
                  </pic:spPr>
                </pic:pic>
              </a:graphicData>
            </a:graphic>
          </wp:inline>
        </w:drawing>
      </w:r>
    </w:p>
    <w:p>
      <w:pPr>
        <w:pStyle w:val="Caption"/>
        <w:rPr>
          <w:b/>
          <w:bCs/>
          <w:i w:val="false"/>
          <w:i w:val="false"/>
          <w:iCs w:val="false"/>
          <w:color w:themeColor="text1" w:val="000000"/>
        </w:rPr>
      </w:pPr>
      <w:bookmarkStart w:id="227" w:name="_Toc200580365"/>
      <w:bookmarkStart w:id="228" w:name="_Toc199964173"/>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2</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Incidencia total anual (ambos sexos combinados). Fuente: Elaboración propia con datos del Registro Nacional de Tumores (RNT) 2025</w:t>
      </w:r>
      <w:bookmarkEnd w:id="228"/>
      <w:r>
        <w:rPr>
          <w:i w:val="false"/>
          <w:iCs w:val="false"/>
          <w:color w:themeColor="text1" w:val="000000"/>
        </w:rPr>
        <w:t>.</w:t>
      </w:r>
      <w:bookmarkEnd w:id="227"/>
    </w:p>
    <w:p>
      <w:pPr>
        <w:pStyle w:val="p1"/>
        <w:keepNext w:val="true"/>
        <w:spacing w:before="280" w:after="280"/>
        <w:rPr/>
      </w:pPr>
      <w:r>
        <w:rPr/>
        <w:drawing>
          <wp:inline distT="0" distB="0" distL="0" distR="0">
            <wp:extent cx="5611495" cy="3026410"/>
            <wp:effectExtent l="0" t="0" r="0" b="0"/>
            <wp:docPr id="4" name="Imagen 8" descr="Gráfico, Gráfico de líne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8" descr="Gráfico, Gráfico de líneas&#10;&#10;El contenido generado por IA puede ser incorrecto."/>
                    <pic:cNvPicPr>
                      <a:picLocks noChangeAspect="1" noChangeArrowheads="1"/>
                    </pic:cNvPicPr>
                  </pic:nvPicPr>
                  <pic:blipFill>
                    <a:blip r:embed="rId8"/>
                    <a:stretch>
                      <a:fillRect/>
                    </a:stretch>
                  </pic:blipFill>
                  <pic:spPr bwMode="auto">
                    <a:xfrm>
                      <a:off x="0" y="0"/>
                      <a:ext cx="5611495" cy="3026410"/>
                    </a:xfrm>
                    <a:prstGeom prst="rect">
                      <a:avLst/>
                    </a:prstGeom>
                    <a:noFill/>
                  </pic:spPr>
                </pic:pic>
              </a:graphicData>
            </a:graphic>
          </wp:inline>
        </w:drawing>
      </w:r>
    </w:p>
    <w:p>
      <w:pPr>
        <w:pStyle w:val="Caption"/>
        <w:rPr>
          <w:b/>
          <w:bCs/>
          <w:i w:val="false"/>
          <w:i w:val="false"/>
          <w:iCs w:val="false"/>
          <w:color w:themeColor="text1" w:val="000000"/>
        </w:rPr>
      </w:pPr>
      <w:bookmarkStart w:id="229" w:name="_Toc200580366"/>
      <w:bookmarkStart w:id="230" w:name="_Toc199964174"/>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3</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Incidencia total en sexo masculino. Fuente: Elaboración propia con datos del Registro Nacional de Tumores (RNT) 2025</w:t>
      </w:r>
      <w:bookmarkEnd w:id="230"/>
      <w:r>
        <w:rPr>
          <w:i w:val="false"/>
          <w:iCs w:val="false"/>
          <w:color w:themeColor="text1" w:val="000000"/>
        </w:rPr>
        <w:t>.</w:t>
      </w:r>
      <w:bookmarkEnd w:id="229"/>
    </w:p>
    <w:p>
      <w:pPr>
        <w:pStyle w:val="p1"/>
        <w:keepNext w:val="true"/>
        <w:spacing w:before="280" w:after="280"/>
        <w:rPr/>
      </w:pPr>
      <w:r>
        <w:rPr/>
        <w:drawing>
          <wp:inline distT="0" distB="0" distL="0" distR="0">
            <wp:extent cx="5611495" cy="3010535"/>
            <wp:effectExtent l="0" t="0" r="0" b="0"/>
            <wp:docPr id="5" name="Imagen 9" descr="Gráfico, Gráfico de líne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9" descr="Gráfico, Gráfico de líneas&#10;&#10;El contenido generado por IA puede ser incorrecto."/>
                    <pic:cNvPicPr>
                      <a:picLocks noChangeAspect="1" noChangeArrowheads="1"/>
                    </pic:cNvPicPr>
                  </pic:nvPicPr>
                  <pic:blipFill>
                    <a:blip r:embed="rId9"/>
                    <a:stretch>
                      <a:fillRect/>
                    </a:stretch>
                  </pic:blipFill>
                  <pic:spPr bwMode="auto">
                    <a:xfrm>
                      <a:off x="0" y="0"/>
                      <a:ext cx="5611495" cy="3010535"/>
                    </a:xfrm>
                    <a:prstGeom prst="rect">
                      <a:avLst/>
                    </a:prstGeom>
                    <a:noFill/>
                  </pic:spPr>
                </pic:pic>
              </a:graphicData>
            </a:graphic>
          </wp:inline>
        </w:drawing>
      </w:r>
    </w:p>
    <w:p>
      <w:pPr>
        <w:pStyle w:val="Caption"/>
        <w:rPr>
          <w:b/>
          <w:bCs/>
          <w:i w:val="false"/>
          <w:i w:val="false"/>
          <w:iCs w:val="false"/>
          <w:color w:themeColor="text1" w:val="000000"/>
          <w:highlight w:val="yellow"/>
        </w:rPr>
      </w:pPr>
      <w:bookmarkStart w:id="231" w:name="_Toc200580367"/>
      <w:bookmarkStart w:id="232" w:name="_Toc199964175"/>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4</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Incidencia total en el género femenino. Fuente: Elaboración propia con datos del Registro Nacional de Tumores (RNT) 2025</w:t>
      </w:r>
      <w:bookmarkEnd w:id="232"/>
      <w:r>
        <w:rPr>
          <w:i w:val="false"/>
          <w:iCs w:val="false"/>
          <w:color w:themeColor="text1" w:val="000000"/>
        </w:rPr>
        <w:t>.</w:t>
      </w:r>
      <w:bookmarkEnd w:id="231"/>
    </w:p>
    <w:p>
      <w:pPr>
        <w:pStyle w:val="p1"/>
        <w:spacing w:lineRule="auto" w:line="360" w:before="280" w:after="280"/>
        <w:jc w:val="both"/>
        <w:rPr/>
      </w:pPr>
      <w:r>
        <w:rPr/>
        <w:t>De la información obtenida en el análisis temporal se desprende una tendencia relativamente estable en la incidencia anual de cáncer apendicular en Costa Rica durante el período 2000–2022, aunque se observaron variaciones interanuales significativas, claves en el resultado de la incidencia poblacional. En el grupo masculino, los años con mayor número de diagnósticos fueron 2014, 2018 y 2021 (6 casos por año), así como 2017, 2019 y 2020 (7 casos por año). En contraste, en mujeres se registraron picos de incidencia mayores en 2021 (10 casos) y 2022 (14 casos), con años previos en los que la notificación fue mínima o incluso nula. La incidencia global entre los años 2000 y 2020 fue de 3.16 por cada 100,000 habitantes, según los cálculos poblacionales obtenidos del INEC.</w:t>
      </w:r>
    </w:p>
    <w:p>
      <w:pPr>
        <w:pStyle w:val="p1"/>
        <w:spacing w:lineRule="auto" w:line="360" w:before="280" w:after="280"/>
        <w:jc w:val="both"/>
        <w:rPr/>
      </w:pPr>
      <w:r>
        <w:rPr/>
        <w:t xml:space="preserve">La distribución no sugiere un crecimiento exponencial sostenido; sin embargo, la pendiente positiva refleja un aumento en la detección de casos, similar a lo descrito en algunos países con sistemas robustos de detección sistemática. </w:t>
      </w:r>
    </w:p>
    <w:p>
      <w:pPr>
        <w:pStyle w:val="p1"/>
        <w:spacing w:lineRule="auto" w:line="360" w:before="280" w:after="280"/>
        <w:jc w:val="both"/>
        <w:rPr/>
      </w:pPr>
      <w:r>
        <w:rPr/>
        <w:t xml:space="preserve">En las últimas dos décadas, los estudios epidemiológicos internacionales han evidenciado un aumento sostenido en la incidencia de las neoplasias apendiculares, particularmente en relación con los tumores neuroendocrinos del apéndice (aNETs). Un análisis reciente, basado en datos del SEER (Surveillance, Epidemiology and End Results) de Estados Unidos, mostró que entre 2000 y 2017 la incidencia global de tumores apendiculares en ese país se incrementó de 0.47 a 1.72 casos por 100,000 personas-año (crecimiento exponencial). Este incremento fue impulsado fundamentalmente por el aumento de los aNETs, cuya incidencia creció casi 30 veces en ese mismo periodo, mientras que las tasas de adenocarcinomas colónicos y mucinosos permanecieron relativamente estables </w:t>
      </w:r>
      <w:sdt>
        <w:sdtPr>
          <w:placeholder>
            <w:docPart w:val="DefaultPlaceholder_-1854013440"/>
          </w:placeholder>
          <w:tag w:val="MENDELEY_CITATION_v3_eyJjaXRhdGlvbklEIjoiTUVOREVMRVlfQ0lUQVRJT05fMDgxYzk3YjYtMmFiNC00ZWUzLTg4MDQtYjhhMDc0Njg5MjFh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381713271"/>
        </w:sdtPr>
        <w:sdtContent>
          <w:r>
            <w:rPr/>
          </w:r>
          <w:r>
            <w:rPr>
              <w:color w:val="000000"/>
            </w:rPr>
            <w:t>(4)</w:t>
          </w:r>
        </w:sdtContent>
      </w:sdt>
    </w:p>
    <w:p>
      <w:pPr>
        <w:pStyle w:val="p1"/>
        <w:spacing w:lineRule="auto" w:line="360" w:before="280" w:after="280"/>
        <w:jc w:val="both"/>
        <w:rPr/>
      </w:pPr>
      <w:r>
        <w:rPr/>
        <w:t xml:space="preserve">Estos hallazgos concuerdan con el reporte de Singh et al., quienes documentaron un aumento anual del 2.5 % en la incidencia de tumores malignos de apéndice entre 1995 y 2015 en Estados Unidos y Canadá </w:t>
      </w:r>
      <w:sdt>
        <w:sdtPr>
          <w:placeholder>
            <w:docPart w:val="DefaultPlaceholder_-1854013440"/>
          </w:placeholder>
          <w:tag w:val="MENDELEY_CITATION_v3_eyJjaXRhdGlvbklEIjoiTUVOREVMRVlfQ0lUQVRJT05fZDRmMjhkYmEtY2IxMC00YWFjLWJkYWYtOGYzOGUzZWNlMjM4IiwicHJvcGVydGllcyI6eyJub3RlSW5kZXgiOjB9LCJpc0VkaXRlZCI6ZmFsc2UsIm1hbnVhbE92ZXJyaWRlIjp7ImlzTWFudWFsbHlPdmVycmlkZGVuIjpmYWxzZSwiY2l0ZXByb2NUZXh0IjoiKDMpIiwibWFudWFsT3ZlcnJpZGVUZXh0IjoiIn0sImNpdGF0aW9uSXRlbXMiOlt7ImlkIjoiMTY3NzkzYzgtNjAwYy0zOGMzLWFlMzgtNWNlNTQ3MGIxYjY0IiwiaXRlbURhdGEiOnsidHlwZSI6ImFydGljbGUtam91cm5hbCIsImlkIjoiMTY3NzkzYzgtNjAwYy0zOGMzLWFlMzgtNWNlNTQ3MGIxYjY0IiwidGl0bGUiOiJDb250aW51ZWQgaW5jcmVhc2luZyBpbmNpZGVuY2Ugb2YgbWFsaWduYW50IGFwcGVuZGljZWFsIHR1bW9ycyBpbiBDYW5hZGEgYW5kIHRoZSBVbml0ZWQgU3RhdGVzOiBBIHBvcHVsYXRpb24tYmFzZWQgc3R1ZHkiLCJhdXRob3IiOlt7ImZhbWlseSI6IlNpbmdoIiwiZ2l2ZW4iOiJIYXJtaW5kZXIiLCJwYXJzZS1uYW1lcyI6ZmFsc2UsImRyb3BwaW5nLXBhcnRpY2xlIjoiIiwibm9uLWRyb3BwaW5nLXBhcnRpY2xlIjoiIn0seyJmYW1pbHkiOiJLb29tc29uIiwiZ2l2ZW4iOiJBbmFuZGEgUy4iLCJwYXJzZS1uYW1lcyI6ZmFsc2UsImRyb3BwaW5nLXBhcnRpY2xlIjoiIiwibm9uLWRyb3BwaW5nLXBhcnRpY2xlIjoiIn0seyJmYW1pbHkiOiJEZWNrZXIiLCJnaXZlbiI6IkthdGhsZWVuIE0uIiwicGFyc2UtbmFtZXMiOmZhbHNlLCJkcm9wcGluZy1wYXJ0aWNsZSI6IiIsIm5vbi1kcm9wcGluZy1wYXJ0aWNsZSI6IiJ9LHsiZmFtaWx5IjoiUGFyayIsImdpdmVuIjoiSmFzb24iLCJwYXJzZS1uYW1lcyI6ZmFsc2UsImRyb3BwaW5nLXBhcnRpY2xlIjoiIiwibm9uLWRyb3BwaW5nLXBhcnRpY2xlIjoiIn0seyJmYW1pbHkiOiJEZW1lcnMiLCJnaXZlbiI6IkFsYWluIEEuIiwicGFyc2UtbmFtZXMiOmZhbHNlLCJkcm9wcGluZy1wYXJ0aWNsZSI6IiIsIm5vbi1kcm9wcGluZy1wYXJ0aWNsZSI6IiJ9XSwiY29udGFpbmVyLXRpdGxlIjoiQ2FuY2VyIiwiY29udGFpbmVyLXRpdGxlLXNob3J0IjoiQ2FuY2VyIiwiRE9JIjoiMTAuMTAwMi9DTkNSLjMyNzkzIiwiSVNTTiI6IjEwOTctMDE0MiIsIlBNSUQiOiIzMjEwMTY0MyIsImlzc3VlZCI6eyJkYXRlLXBhcnRzIjpbWzIwMjBdXX0sInBhZ2UiOiIyMjA2LTIyMTYiLCJhYnN0cmFjdCI6IkJhY2tncm91bmQ6IFRvIHRoZSBhdXRob3JzJyBrbm93bGVkZ2UsIHRoZXJlIGFyZSBsaW1pdGVkIGRhdGEgcmVnYXJkaW5nIHRoZSBlcGlkZW1pb2xvZ3kgb2YgbWFsaWduYW50IGFwcGVuZGljZWFsIHR1bW9ycy4gSXQgcmVtYWlucyB1bmtub3duIHdoZXRoZXIgdGhlIHByZXZpb3VzbHkgcmVwb3J0ZWQgdHJlbmRzIGFyZSBvY2N1cnJpbmcgaW4gZGlmZmVyZW50IGNvdW50cmllcyBhbmQvb3IgY29udGludWluZyBpbiByZWNlbnQgeWVhcnMgYW5kL29yIHdoZXRoZXIgdGhleSBhcmUgcG9zc2libHkgZHVlIHRvIGluY3JlYXNpbmcgcmF0ZXMgb2YgYXBwZW5kZWN0b21pZXMuIEluIHRoZSBjdXJyZW50IHN0dWR5LCB0aGUgYXV0aG9ycyBpbnZlc3RpZ2F0ZWQgdGhlIHBhdHRlcm5zIGFuZCB0aW1lIHRyZW5kcyBvZiBtYWxpZ25hbnQgYXBwZW5kaWNlYWwgdHVtb3IgZGlhZ25vc2lzIGJ5IGFnZSBncm91cCwgc2V4LCBzdGFnZSBvZiBkaXNlYXNlLCBhbmQgaGlzdG9sb2d5IGluIENhbmFkYSBhbmQgdGhlIFVuaXRlZCBTdGF0ZXMgYW5kIGNvbmNvbWl0YW50IHJhdGVzIG9mIGFwcGVuZGVjdG9taWVzIGluIENhbmFkYS4gTWV0aG9kczogVGhlIENhbmFkaWFuIENhbmNlciBSZWdpc3RyeSBhbmQgdGhlIFVTIFN1cnZlaWxsYW5jZSwgRXBpZGVtaW9sb2d5LCBhbmQgRW5kIFJlc3VsdHMgaW5jaWRlbmNlIGRhdGFiYXNlcyB3ZXJlIHVzZWQgdG8gaWRlbnRpZnkgaW5jaWRlbnQgcGF0aWVudHMgb2YgbWFsaWduYW50IGFwcGVuZGljZWFsIHR1bW9ycyBpbiB0aGUgMiBjb3VudHJpZXMgYmV0d2VlbiAxOTkyIGFuZCAyMDE2LiBUaGUgQ2FuYWRpYW4gbmF0aW9uYWwgaG9zcGl0YWxzIERpc2NoYXJnZSBBYnN0cmFjdCBEYXRhYmFzZSB3YXMgdXNlZCB0byBpZGVudGlmeSBhcHBlbmRlY3RvbWllcyBwZXJmb3JtZWQgYmV0d2VlbiAyMDA0IGFuZCAyMDE1LiBKb2lucG9pbnQgcmVncmVzc2lvbiBhbmFseXNlcyB3ZXJlIHBlcmZvcm1lZCB0byBkZXRlcm1pbmUgdGltZSB0cmVuZHMuIFJlc3VsdHM6IFRoZXJlIHdhcyBhbiBvdmVyYWxsIGluY3JlYXNlIGluIHRoZSBpbmNpZGVuY2Ugb2YgbWFsaWduYW50IGFwcGVuZGljZWFsIHR1bW9ycyBvZiAyMzIlIGluIHRoZSBVbml0ZWQgU3RhdGVzIGFuZCAyOTIlIGluIENhbmFkYSBiZXR3ZWVuIDIwMDAgYW5kIDIwMTYuIFRoZSBpbmNyZWFzZSB3YXMgbm90ZWQgZm9yIG1hbGlnbmFudCBhZGVub2NhcmNpbm9tYXMgYW5kIG5ldXJvZW5kb2NyaW5lIGFwcGVuZGljZWFsIHR1bW9ycyBpbiBib3RoIGNvdW50cmllcy4gVGhlIGluY3JlYXNlIG9jY3VycmVkIGFjcm9zcyBhbGwgYWdlIGdyb3Vwcywgc2V4ZXMsIGFuZCBzdGFnZXMgb2YgZGlzZWFzZS4gVGhlIGhpZ2hlc3QgcmF0ZSBvZiBpbmNyZWFzZSB3YXMgbm90ZWQgZm9yIGFwcGVuZGljZWFsIG5ldXJvZW5kb2NyaW5lIG1hbGlnbmFudCB0dW1vcnMgZGlhZ25vc2VkIGFtb25nIHRoZSB5b3VuZ2VzdCBhZ2UgZ3JvdXBzLiBUaGUgcmF0ZSBvZiBhcHBlbmRlY3RvbWllcyB3YXMgc3RhYmxlIGluIHRoZSByZWNlbnQgdGltZSBwZXJpb2RzLCByZXN1bHRpbmcgaW4gYSBkZWNyZWFzaW5nIHJhdGUgb2YgYXBwZW5kZWN0b21pZXMgcGVyIG1hbGlnbmFudCBhcHBlbmRpY2VhbCB0dW1vciBkaWFnbm9zaXMuIENvbmNsdXNpb25zOiBUaGUgaW5jaWRlbmNlIG9mIG1hbGlnbmFudCBhcHBlbmRpY2VhbCB0dW1vciBpcyBjb250aW51aW5nIHRvIGluY3JlYXNlLCB3aGljaCBpcyBub3QgbGlrZWx5IGR1ZSB0byB0aGUgaW5jcmVhc2luZyBkaWFnbm9zaXMgb2YgYXN5bXB0b21hdGljIHR1bW9ycyBhdCB0aGUgdGltZSBvZiBhcHBlbmRlY3RvbWllcy4iLCJwdWJsaXNoZXIiOiJDYW5jZXIiLCJpc3N1ZSI6IjEwIiwidm9sdW1lIjoiMTI2In0sImlzVGVtcG9yYXJ5IjpmYWxzZX1dfQ=="/>
          <w:id w:val="-27874839"/>
        </w:sdtPr>
        <w:sdtContent>
          <w:r>
            <w:rPr/>
          </w:r>
          <w:r>
            <w:rPr>
              <w:color w:val="000000"/>
            </w:rPr>
            <w:t>(3)</w:t>
          </w:r>
        </w:sdtContent>
      </w:sdt>
    </w:p>
    <w:p>
      <w:pPr>
        <w:pStyle w:val="p1"/>
        <w:spacing w:lineRule="auto" w:line="360" w:before="280" w:after="280"/>
        <w:jc w:val="both"/>
        <w:rPr/>
      </w:pPr>
      <w:r>
        <w:rPr/>
        <w:t xml:space="preserve">Cabe destacar que este crecimiento en la incidencia de tumores apendiculares no parece explicarse únicamente por un aumento en la tasa de apendicectomías realizadas, dado que los procedimientos quirúrgicos por apendicitis aguda se han mantenido relativamente estables durante el mismo período de observación (3, 4). Se plantea, por tanto, que factores como las mejoras en las técnicas de diagnóstico por imagen —especialmente el uso más extendido de la tomografía computarizada abdominal y la colonoscopía—, el aumento en la conciencia clínica sobre las neoplasias apendiculares y el refinamiento de los criterios histopatológicos, particularmente en la clasificación de lesiones como LAMN y HAMN, podrían contribuir significativamente al incremento observado </w:t>
      </w:r>
      <w:sdt>
        <w:sdtPr>
          <w:placeholder>
            <w:docPart w:val="DefaultPlaceholder_-1854013440"/>
          </w:placeholder>
          <w:tag w:val="MENDELEY_CITATION_v3_eyJjaXRhdGlvbklEIjoiTUVOREVMRVlfQ0lUQVRJT05fNjFlMjQzNzEtYjljZi00YzkwLThjZmEtODMzOTI5OThiOWRiIiwicHJvcGVydGllcyI6eyJub3RlSW5kZXgiOjB9LCJpc0VkaXRlZCI6ZmFsc2UsIm1hbnVhbE92ZXJyaWRlIjp7ImlzTWFudWFsbHlPdmVycmlkZGVuIjpmYWxzZSwiY2l0ZXByb2NUZXh0IjoiKDYxKSIsIm1hbnVhbE92ZXJyaWRlVGV4dCI6IiJ9LCJjaXRhdGlvbkl0ZW1zIjpbeyJpZCI6IjA1N2UyZDY5LTUxNTctMzEyYS04ZWJmLTRlZDlkMTRiNDNkYSIsIml0ZW1EYXRhIjp7InR5cGUiOiJhcnRpY2xlLWpvdXJuYWwiLCJpZCI6IjA1N2UyZDY5LTUxNTctMzEyYS04ZWJmLTRlZDlkMTRiNDNkYSIsInRpdGxlIjoiQXBwZW5kaWNlYWwgQ2FuY2VyIGluIHRoZSBOYXRpb25hbCBDYW5jZXIgRGF0YWJhc2U6IEluY3JlYXNpbmcgRnJlcXVlbmN5LCBEZWNyZWFzaW5nIEFnZSwgYW5kIFNoaWZ0aW5nIEhpc3RvbG9neSIsImF1dGhvciI6W3siZmFtaWx5IjoiU2FsYXphciIsImdpdmVuIjoiTWljaGVsbGUgQy4iLCJwYXJzZS1uYW1lcyI6ZmFsc2UsImRyb3BwaW5nLXBhcnRpY2xlIjoiIiwibm9uLWRyb3BwaW5nLXBhcnRpY2xlIjoiIn0seyJmYW1pbHkiOiJDYW5hdmFuIiwiZ2l2ZW4iOiJNYXVyZWVuIEUuIiwicGFyc2UtbmFtZXMiOmZhbHNlLCJkcm9wcGluZy1wYXJ0aWNsZSI6IiIsIm5vbi1kcm9wcGluZy1wYXJ0aWNsZSI6IiJ9LHsiZmFtaWx5IjoiQ2hpbGFrYW1hcnJ5IiwiZ2l2ZW4iOiJTaXRhcmFtIiwicGFyc2UtbmFtZXMiOmZhbHNlLCJkcm9wcGluZy1wYXJ0aWNsZSI6IiIsIm5vbi1kcm9wcGluZy1wYXJ0aWNsZSI6IiJ9LHsiZmFtaWx5IjoiQm9mZmEiLCJnaXZlbiI6IkRhbmllbCBKLiIsInBhcnNlLW5hbWVzIjpmYWxzZSwiZHJvcHBpbmctcGFydGljbGUiOiIiLCJub24tZHJvcHBpbmctcGFydGljbGUiOiIifSx7ImZhbWlseSI6IlNjaHVzdGVyIiwiZ2l2ZW4iOiJLZXZpbiBNLiIsInBhcnNlLW5hbWVzIjpmYWxzZSwiZHJvcHBpbmctcGFydGljbGUiOiIiLCJub24tZHJvcHBpbmctcGFydGljbGUiOiIifV0sImNvbnRhaW5lci10aXRsZSI6IkpvdXJuYWwgb2YgdGhlIEFtZXJpY2FuIENvbGxlZ2Ugb2YgU3VyZ2VvbnMiLCJjb250YWluZXItdGl0bGUtc2hvcnQiOiJKIEFtIENvbGwgU3VyZyIsIkRPSSI6IjEwLjEwOTcvWENTLjAwMDAwMDAwMDAwMDAxNzIiLCJJU1NOIjoiMTg3OS0xMTkwIiwiUE1JRCI6IjM1NzAzODAxIiwiaXNzdWVkIjp7ImRhdGUtcGFydHMiOltbMjAyMiw2XV19LCJwYWdlIjoiMTA4Mi0xMDg5IiwiYWJzdHJhY3QiOiJCYWNrZ3JvdW5kOiBOb25vcGVyYXRpdmUgbWFuYWdlbWVudCBvZiBhY3V0ZSBhcHBlbmRpY2l0aXMgaXMgaW5jcmVhc2luZ2x5IGNvbW1vbi4gSG93ZXZlciwgc21hbGwgc3R1ZGllcyBoYXZlIGRlbW9uc3RyYXRlZCBoaWdoIHJhdGVzIG9mIGFwcGVuZGljZWFsIGNhbmNlciBpbiBpbnRlcnZhbCBhcHBlbmRlY3RvbXkgc3BlY2ltZW5zLiBUaGVyZWZvcmUsIHdlIHNvdWdodCB0byBpZGVudGlmeSBuYXRpb25hbCB0cmVuZHMgaW4gYXBwZW5kaWNlYWwgY2FuY2VyIGluY2lkZW5jZSBhbmQgaGlzdG9sb2d5LiBTdHVkeSBEZXNpZ246IFRoZSBOYXRpb25hbCBDYW5jZXIgRGF0YWJhc2Ugd2FzIHF1ZXJpZWQgZm9yIHBhdGllbnRzIDE4IHllYXJzIG9yIG9sZGVyLCBkaWFnbm9zZWQgd2l0aCBhIHJpZ2h0LXNpZGVkIGNvbG9uIGNhbmNlciAoaW5jbHVkaW5nIGFwcGVuZGljZWFsKSBmcm9tIDIwMDQgdG8gMjAxNyB3aG8gaGFkIHVuZGVyZ29uZSBzdXJnZXJ5LiBPdXRjb21lcyBpbmNsdWRlZCB0cmVuZHMgaW4gYXBwZW5kaWNlYWwgY2FuY2VyIGNvbXBhcmVkIHdpdGggcmlnaHQtc2lkZWQgY29sb24gY2FuY2VycyBhbmQgdHJlbmRzIGluIGFwcGVuZGljZWFsIGNhbmNlciBoaXN0b2xvZ3kuIExvZ2lzdGljIHJlZ3Jlc3Npb24gd2FzIHVzZWQgdG8gYXNzZXNzIHRyZW5kcyBvdmVyIHRpbWUgd2hpbGUgYWRqdXN0aW5nIGZvciBwYXRpZW50IGFnZSwgaW5zdXJhbmNlLCBpbmNvbWUsIGFyZWEgb2YgcmVzaWRlbmNlLCBhbmQgY29tb3JiaWRpdHkuIFByZWRpY3RlZCBwcm9iYWJpbGl0aWVzIG9mIHRoZSBvdXRjb21lcyB3ZXJlIGRlcml2ZWQgZnJvbSB0aGUgbG9naXN0aWMgcmVncmVzc2lvbiBtb2RlbHMuIFJlc3VsdHM6IE9mIDM4Nyw4NjcgcGF0aWVudHMgd2l0aCByaWdodC1zaWRlZCBjb2xvbiBjYW5jZXIsIDE5LDU3MCBoYWQgYXBwZW5kaWNlYWwgY2FuY2VyIGFuZCBvZiB0aG9zZSA1LDYyOCBoYWQgYSBjYXJjaW5vaWQgdHVtb3IuIE9kZHMgb2YgYXBwZW5kaWNlYWwgY2FuY2VyLCByZWxhdGl2ZSB0byBvdGhlciByaWdodC1zaWRlZCBjb2xvbiBjYW5jZXJzLCBpbmNyZWFzZWQgZnJvbSAyMDA0IHRvIDIwMTcgKG9kZHMgcmF0aW8gW09SXSAyLjU2LCA5NSUgQ0kgMi4zNS0yLjc5KS4gVGhlIGluY3JlYXNlIG9jY3VycmVkIGluIGFsbCBhZ2UgZ3JvdXBzOyBob3dldmVyLCBpdCB3YXMgbW9yZSBtYXJrZWRseSBpbmNyZWFzZWQgaW4gcGF0aWVudHMgNDAtNDkgeWVhcnMgb2xkICgyMDA0OiAxMCUsIDk1JSBDSSA5LTEyIHRvIDIwMTc6IDE4JSwgOTUlIENJIDE2LTIwOyBwYWlyd2lzZSBjb21wYXJpc29ucyBwIDwgMC4wMDEpLiBPZGRzIG9mIGFwcGVuZGljZWFsIGNhcmNpbm9pZCwgcmVsYXRpdmUgdG8gb3RoZXIgYXBwZW5kaWNlYWwgaGlzdG9sb2dpZXMsIGluY3JlYXNlZCBmcm9tIDIwMDQgdG8gMjAxNyAoT1IgMS43MCwgOTUlIENJIDEuNDAtMi4wNykgd2l0aCB0aGUgZ3JlYXRlc3QgaW5jcmVhc2UgaW4gcHJvYmFiaWxpdHkgb2YgYSBjYXJjaW5vaWQgaW4gcGF0aWVudHMgeW91bmdlciB0aGFuIDQwIHllYXJzIG9sZCAoMjAwNDogMjQlLCA5NSUgQ0kgMTUtMzQgdG8gMjAxNzogNDUlLCA5NSUgQ0kgMzctNTM7IHBhaXJ3aXNlIGNvbXBhcmlzb25zIHAgPCAwLjAwMSkuIENvbmNsdXNpb246IEFwcGVuZGljZWFsIGNhbmNlciBoYXMgaW5jcmVhc2VkIG92ZXIgdGltZSwgYW5kIHRoZSBpbmNyZWFzZSBhcHBlYXJzIHRvIGJlIGRyaXZlbiBieSBhIHJpc2UgaW4gY2FyY2lub2lkcywgbW9zdCBwcmV2YWxlbnQgaW4gcGF0aWVudHMgNDkgeWVhcnMgb2YgYWdlIG9yIHlvdW5nZXIuIFdoZW4gbm9ub3BlcmF0aXZlIG1hbmFnZW1lbnQgb2YgYWN1dGUgYXBwZW5kaWNpdGlzIGlzIHVuZGVydGFrZW4sIGNsb3NlIGZvbGxvdy11cCBtYXkgYmUgYXBwcm9wcmlhdGUgZ2l2ZW4gdGhlc2UgZmluZGluZ3MuIiwicHVibGlzaGVyIjoiSiBBbSBDb2xsIFN1cmciLCJpc3N1ZSI6IjYiLCJ2b2x1bWUiOiIyMzQifSwiaXNUZW1wb3JhcnkiOmZhbHNlfV19"/>
          <w:id w:val="232598092"/>
        </w:sdtPr>
        <w:sdtContent>
          <w:r>
            <w:rPr/>
          </w:r>
          <w:r>
            <w:rPr>
              <w:color w:val="000000"/>
            </w:rPr>
            <w:t>(61)</w:t>
          </w:r>
        </w:sdtContent>
      </w:sdt>
      <w:r>
        <w:rPr/>
        <w:t xml:space="preserve"> </w:t>
      </w:r>
      <w:sdt>
        <w:sdtPr>
          <w:placeholder>
            <w:docPart w:val="DefaultPlaceholder_-1854013440"/>
          </w:placeholder>
          <w:tag w:val="MENDELEY_CITATION_v3_eyJjaXRhdGlvbklEIjoiTUVOREVMRVlfQ0lUQVRJT05fYTAzNDJmMWUtN2RiZi00ZTZiLWE4ZWMtMDUzNTAyMzEyMzcx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487780941"/>
        </w:sdtPr>
        <w:sdtContent>
          <w:r>
            <w:rPr/>
          </w:r>
          <w:r>
            <w:rPr>
              <w:color w:val="000000"/>
            </w:rPr>
            <w:t>(4)</w:t>
          </w:r>
        </w:sdtContent>
      </w:sdt>
    </w:p>
    <w:p>
      <w:pPr>
        <w:pStyle w:val="p1"/>
        <w:spacing w:lineRule="auto" w:line="360" w:before="280" w:after="280"/>
        <w:jc w:val="both"/>
        <w:rPr/>
      </w:pPr>
      <w:r>
        <w:rPr/>
        <w:t>Estos hallazgos permiten establecer un contexto comparativo para evaluar la evolución de la incidencia del cáncer apendicular en Costa Rica, cuya caracterización local resulta fundamental para definir estrategias de diagnóstico y tratamiento oportunas.</w:t>
      </w:r>
    </w:p>
    <w:p>
      <w:pPr>
        <w:pStyle w:val="p1"/>
        <w:spacing w:lineRule="auto" w:line="360" w:before="280" w:after="280"/>
        <w:jc w:val="both"/>
        <w:rPr/>
      </w:pPr>
      <w:r>
        <w:rPr/>
        <w:t>Esta estabilidad relativa puede reflejar tanto la realidad epidemiológica nacional como las limitaciones en la vigilancia y el subregistro, especialmente en los años anteriores a la digitalización plena de los sistemas REDES.</w:t>
      </w:r>
    </w:p>
    <w:p>
      <w:pPr>
        <w:pStyle w:val="p1"/>
        <w:spacing w:lineRule="auto" w:line="360" w:before="280" w:after="280"/>
        <w:jc w:val="both"/>
        <w:rPr/>
      </w:pPr>
      <w:r>
        <w:rPr/>
        <w:t>Los resultados indicaron que, en las tres curvas —incidencia total, en hombres y en mujeres—, la pendiente fue significativamente distinta de cero (p &lt; 0.05), lo que sugiere la existencia de una tendencia estadísticamente significativa en el comportamiento de la incidencia del cáncer apendicular en Costa Rica a lo largo del período evaluado.</w:t>
      </w:r>
    </w:p>
    <w:p>
      <w:pPr>
        <w:pStyle w:val="Heading3"/>
        <w:numPr>
          <w:ilvl w:val="2"/>
          <w:numId w:val="92"/>
        </w:numPr>
        <w:rPr>
          <w:sz w:val="27"/>
        </w:rPr>
      </w:pPr>
      <w:bookmarkStart w:id="233" w:name="_Toc199584638"/>
      <w:bookmarkStart w:id="234" w:name="_Toc200580275"/>
      <w:r>
        <w:rPr/>
        <w:t>Comparación por sexo</w:t>
      </w:r>
      <w:bookmarkEnd w:id="233"/>
      <w:bookmarkEnd w:id="234"/>
    </w:p>
    <w:p>
      <w:pPr>
        <w:pStyle w:val="p1"/>
        <w:spacing w:lineRule="auto" w:line="360" w:before="280" w:after="280"/>
        <w:jc w:val="both"/>
        <w:rPr/>
      </w:pPr>
      <w:r>
        <w:rPr/>
        <w:t>Durante el período 2000–2022, se registraron en Costa Rica un total de 160 casos de cáncer apendicular, distribuidos en 71 casos en hombres (44 %) y 89 casos en mujeres (56 %). Esta ligera preponderancia femenina concuerda con las tendencias epidemiológicas descritas en la literatura internacional, donde varios estudios han reportado una mayor incidencia de neoplasias apendiculares en mujeres</w:t>
      </w:r>
      <w:r>
        <w:rPr>
          <w:color w:val="000000"/>
        </w:rPr>
        <w:t xml:space="preserve"> </w:t>
      </w:r>
      <w:r>
        <w:rPr>
          <w:rFonts w:eastAsia="MS Mincho"/>
          <w:color w:val="000000"/>
        </w:rPr>
        <w:t>(4</w:t>
      </w:r>
      <w:sdt>
        <w:sdtPr>
          <w:placeholder>
            <w:docPart w:val="DefaultPlaceholder_-1854013440"/>
          </w:placeholder>
          <w:tag w:val="MENDELEY_CITATION_v3_eyJjaXRhdGlvbklEIjoiTUVOREVMRVlfQ0lUQVRJT05fNjc0NjI3NWMtOTFmOS00ZmZhLTg5MzMtYjFiMDM3OTI5ZDdkIiwicHJvcGVydGllcyI6eyJub3RlSW5kZXgiOjB9LCJpc0VkaXRlZCI6ZmFsc2UsIm1hbnVhbE92ZXJyaWRlIjp7ImlzTWFudWFsbHlPdmVycmlkZGVuIjpmYWxzZSwiY2l0ZXByb2NUZXh0IjoiKDYxKSIsIm1hbnVhbE92ZXJyaWRlVGV4dCI6IiJ9LCJjaXRhdGlvbkl0ZW1zIjpbeyJpZCI6IjA1N2UyZDY5LTUxNTctMzEyYS04ZWJmLTRlZDlkMTRiNDNkYSIsIml0ZW1EYXRhIjp7InR5cGUiOiJhcnRpY2xlLWpvdXJuYWwiLCJpZCI6IjA1N2UyZDY5LTUxNTctMzEyYS04ZWJmLTRlZDlkMTRiNDNkYSIsInRpdGxlIjoiQXBwZW5kaWNlYWwgQ2FuY2VyIGluIHRoZSBOYXRpb25hbCBDYW5jZXIgRGF0YWJhc2U6IEluY3JlYXNpbmcgRnJlcXVlbmN5LCBEZWNyZWFzaW5nIEFnZSwgYW5kIFNoaWZ0aW5nIEhpc3RvbG9neSIsImF1dGhvciI6W3siZmFtaWx5IjoiU2FsYXphciIsImdpdmVuIjoiTWljaGVsbGUgQy4iLCJwYXJzZS1uYW1lcyI6ZmFsc2UsImRyb3BwaW5nLXBhcnRpY2xlIjoiIiwibm9uLWRyb3BwaW5nLXBhcnRpY2xlIjoiIn0seyJmYW1pbHkiOiJDYW5hdmFuIiwiZ2l2ZW4iOiJNYXVyZWVuIEUuIiwicGFyc2UtbmFtZXMiOmZhbHNlLCJkcm9wcGluZy1wYXJ0aWNsZSI6IiIsIm5vbi1kcm9wcGluZy1wYXJ0aWNsZSI6IiJ9LHsiZmFtaWx5IjoiQ2hpbGFrYW1hcnJ5IiwiZ2l2ZW4iOiJTaXRhcmFtIiwicGFyc2UtbmFtZXMiOmZhbHNlLCJkcm9wcGluZy1wYXJ0aWNsZSI6IiIsIm5vbi1kcm9wcGluZy1wYXJ0aWNsZSI6IiJ9LHsiZmFtaWx5IjoiQm9mZmEiLCJnaXZlbiI6IkRhbmllbCBKLiIsInBhcnNlLW5hbWVzIjpmYWxzZSwiZHJvcHBpbmctcGFydGljbGUiOiIiLCJub24tZHJvcHBpbmctcGFydGljbGUiOiIifSx7ImZhbWlseSI6IlNjaHVzdGVyIiwiZ2l2ZW4iOiJLZXZpbiBNLiIsInBhcnNlLW5hbWVzIjpmYWxzZSwiZHJvcHBpbmctcGFydGljbGUiOiIiLCJub24tZHJvcHBpbmctcGFydGljbGUiOiIifV0sImNvbnRhaW5lci10aXRsZSI6IkpvdXJuYWwgb2YgdGhlIEFtZXJpY2FuIENvbGxlZ2Ugb2YgU3VyZ2VvbnMiLCJjb250YWluZXItdGl0bGUtc2hvcnQiOiJKIEFtIENvbGwgU3VyZyIsIkRPSSI6IjEwLjEwOTcvWENTLjAwMDAwMDAwMDAwMDAxNzIiLCJJU1NOIjoiMTg3OS0xMTkwIiwiUE1JRCI6IjM1NzAzODAxIiwiaXNzdWVkIjp7ImRhdGUtcGFydHMiOltbMjAyMiw2XV19LCJwYWdlIjoiMTA4Mi0xMDg5IiwiYWJzdHJhY3QiOiJCYWNrZ3JvdW5kOiBOb25vcGVyYXRpdmUgbWFuYWdlbWVudCBvZiBhY3V0ZSBhcHBlbmRpY2l0aXMgaXMgaW5jcmVhc2luZ2x5IGNvbW1vbi4gSG93ZXZlciwgc21hbGwgc3R1ZGllcyBoYXZlIGRlbW9uc3RyYXRlZCBoaWdoIHJhdGVzIG9mIGFwcGVuZGljZWFsIGNhbmNlciBpbiBpbnRlcnZhbCBhcHBlbmRlY3RvbXkgc3BlY2ltZW5zLiBUaGVyZWZvcmUsIHdlIHNvdWdodCB0byBpZGVudGlmeSBuYXRpb25hbCB0cmVuZHMgaW4gYXBwZW5kaWNlYWwgY2FuY2VyIGluY2lkZW5jZSBhbmQgaGlzdG9sb2d5LiBTdHVkeSBEZXNpZ246IFRoZSBOYXRpb25hbCBDYW5jZXIgRGF0YWJhc2Ugd2FzIHF1ZXJpZWQgZm9yIHBhdGllbnRzIDE4IHllYXJzIG9yIG9sZGVyLCBkaWFnbm9zZWQgd2l0aCBhIHJpZ2h0LXNpZGVkIGNvbG9uIGNhbmNlciAoaW5jbHVkaW5nIGFwcGVuZGljZWFsKSBmcm9tIDIwMDQgdG8gMjAxNyB3aG8gaGFkIHVuZGVyZ29uZSBzdXJnZXJ5LiBPdXRjb21lcyBpbmNsdWRlZCB0cmVuZHMgaW4gYXBwZW5kaWNlYWwgY2FuY2VyIGNvbXBhcmVkIHdpdGggcmlnaHQtc2lkZWQgY29sb24gY2FuY2VycyBhbmQgdHJlbmRzIGluIGFwcGVuZGljZWFsIGNhbmNlciBoaXN0b2xvZ3kuIExvZ2lzdGljIHJlZ3Jlc3Npb24gd2FzIHVzZWQgdG8gYXNzZXNzIHRyZW5kcyBvdmVyIHRpbWUgd2hpbGUgYWRqdXN0aW5nIGZvciBwYXRpZW50IGFnZSwgaW5zdXJhbmNlLCBpbmNvbWUsIGFyZWEgb2YgcmVzaWRlbmNlLCBhbmQgY29tb3JiaWRpdHkuIFByZWRpY3RlZCBwcm9iYWJpbGl0aWVzIG9mIHRoZSBvdXRjb21lcyB3ZXJlIGRlcml2ZWQgZnJvbSB0aGUgbG9naXN0aWMgcmVncmVzc2lvbiBtb2RlbHMuIFJlc3VsdHM6IE9mIDM4Nyw4NjcgcGF0aWVudHMgd2l0aCByaWdodC1zaWRlZCBjb2xvbiBjYW5jZXIsIDE5LDU3MCBoYWQgYXBwZW5kaWNlYWwgY2FuY2VyIGFuZCBvZiB0aG9zZSA1LDYyOCBoYWQgYSBjYXJjaW5vaWQgdHVtb3IuIE9kZHMgb2YgYXBwZW5kaWNlYWwgY2FuY2VyLCByZWxhdGl2ZSB0byBvdGhlciByaWdodC1zaWRlZCBjb2xvbiBjYW5jZXJzLCBpbmNyZWFzZWQgZnJvbSAyMDA0IHRvIDIwMTcgKG9kZHMgcmF0aW8gW09SXSAyLjU2LCA5NSUgQ0kgMi4zNS0yLjc5KS4gVGhlIGluY3JlYXNlIG9jY3VycmVkIGluIGFsbCBhZ2UgZ3JvdXBzOyBob3dldmVyLCBpdCB3YXMgbW9yZSBtYXJrZWRseSBpbmNyZWFzZWQgaW4gcGF0aWVudHMgNDAtNDkgeWVhcnMgb2xkICgyMDA0OiAxMCUsIDk1JSBDSSA5LTEyIHRvIDIwMTc6IDE4JSwgOTUlIENJIDE2LTIwOyBwYWlyd2lzZSBjb21wYXJpc29ucyBwIDwgMC4wMDEpLiBPZGRzIG9mIGFwcGVuZGljZWFsIGNhcmNpbm9pZCwgcmVsYXRpdmUgdG8gb3RoZXIgYXBwZW5kaWNlYWwgaGlzdG9sb2dpZXMsIGluY3JlYXNlZCBmcm9tIDIwMDQgdG8gMjAxNyAoT1IgMS43MCwgOTUlIENJIDEuNDAtMi4wNykgd2l0aCB0aGUgZ3JlYXRlc3QgaW5jcmVhc2UgaW4gcHJvYmFiaWxpdHkgb2YgYSBjYXJjaW5vaWQgaW4gcGF0aWVudHMgeW91bmdlciB0aGFuIDQwIHllYXJzIG9sZCAoMjAwNDogMjQlLCA5NSUgQ0kgMTUtMzQgdG8gMjAxNzogNDUlLCA5NSUgQ0kgMzctNTM7IHBhaXJ3aXNlIGNvbXBhcmlzb25zIHAgPCAwLjAwMSkuIENvbmNsdXNpb246IEFwcGVuZGljZWFsIGNhbmNlciBoYXMgaW5jcmVhc2VkIG92ZXIgdGltZSwgYW5kIHRoZSBpbmNyZWFzZSBhcHBlYXJzIHRvIGJlIGRyaXZlbiBieSBhIHJpc2UgaW4gY2FyY2lub2lkcywgbW9zdCBwcmV2YWxlbnQgaW4gcGF0aWVudHMgNDkgeWVhcnMgb2YgYWdlIG9yIHlvdW5nZXIuIFdoZW4gbm9ub3BlcmF0aXZlIG1hbmFnZW1lbnQgb2YgYWN1dGUgYXBwZW5kaWNpdGlzIGlzIHVuZGVydGFrZW4sIGNsb3NlIGZvbGxvdy11cCBtYXkgYmUgYXBwcm9wcmlhdGUgZ2l2ZW4gdGhlc2UgZmluZGluZ3MuIiwicHVibGlzaGVyIjoiSiBBbSBDb2xsIFN1cmciLCJpc3N1ZSI6IjYiLCJ2b2x1bWUiOiIyMzQifSwiaXNUZW1wb3JhcnkiOmZhbHNlfV19"/>
          <w:id w:val="-505906905"/>
        </w:sdtPr>
        <w:sdtContent>
          <w:r>
            <w:rPr>
              <w:rFonts w:eastAsia="MS Mincho"/>
              <w:color w:val="000000"/>
            </w:rPr>
          </w:r>
          <w:r>
            <w:rPr>
              <w:color w:val="000000"/>
            </w:rPr>
            <w:t>(61)</w:t>
          </w:r>
        </w:sdtContent>
      </w:sdt>
    </w:p>
    <w:p>
      <w:pPr>
        <w:pStyle w:val="p1"/>
        <w:spacing w:lineRule="auto" w:line="360" w:before="280" w:after="280"/>
        <w:jc w:val="both"/>
        <w:rPr/>
      </w:pPr>
      <w:r>
        <w:rPr/>
        <w:t>Sin embargo, al analizar la diferencia observada entre sexos mediante una prueba de chi-cuadrado para proporciones, se encontró que esta diferencia no fue estadísticamente significativa (p = 0.6067), por lo que no puede concluirse que exista un sesgo real en la distribución por género en la población costarricense durante el período evaluado. Estos resultados sugieren que, en Costa Rica, la incidencia de cáncer apendicular se distribuye de manera relativamente equilibrada entre hombres y mujeres, sin una tendencia marcada hacia uno u otro sexo.</w:t>
      </w:r>
    </w:p>
    <w:p>
      <w:pPr>
        <w:pStyle w:val="p3"/>
        <w:keepNext w:val="true"/>
        <w:spacing w:before="0" w:after="280"/>
        <w:jc w:val="center"/>
        <w:rPr/>
      </w:pPr>
      <w:r>
        <w:rPr/>
        <w:drawing>
          <wp:inline distT="0" distB="0" distL="0" distR="0">
            <wp:extent cx="4588510" cy="2733040"/>
            <wp:effectExtent l="0" t="0" r="0" b="0"/>
            <wp:docPr id="6" name="Gráfico 1"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p3"/>
        <w:spacing w:before="280" w:after="280"/>
        <w:jc w:val="both"/>
        <w:rPr>
          <w:sz w:val="22"/>
          <w:szCs w:val="22"/>
        </w:rPr>
      </w:pPr>
      <w:bookmarkStart w:id="235" w:name="_Toc200580368"/>
      <w:r>
        <w:rPr>
          <w:b/>
          <w:bCs/>
        </w:rPr>
        <w:t xml:space="preserve">Figura </w:t>
      </w:r>
      <w:r>
        <w:rPr>
          <w:b/>
          <w:bCs/>
        </w:rPr>
        <w:fldChar w:fldCharType="begin"/>
      </w:r>
      <w:r>
        <w:rPr>
          <w:b/>
          <w:bCs/>
        </w:rPr>
        <w:instrText xml:space="preserve"> SEQ Figura \* ARABIC </w:instrText>
      </w:r>
      <w:r>
        <w:rPr>
          <w:b/>
          <w:bCs/>
        </w:rPr>
        <w:fldChar w:fldCharType="separate"/>
      </w:r>
      <w:r>
        <w:rPr>
          <w:b/>
          <w:bCs/>
        </w:rPr>
        <w:t>5</w:t>
      </w:r>
      <w:r>
        <w:rPr>
          <w:b/>
          <w:bCs/>
        </w:rPr>
        <w:fldChar w:fldCharType="end"/>
      </w:r>
      <w:r>
        <w:rPr>
          <w:sz w:val="22"/>
          <w:szCs w:val="22"/>
          <w:lang w:val="es-MX"/>
        </w:rPr>
        <w:t xml:space="preserve"> Comparación de números de Cáncer Apendicular por género durante el período 2000-2022</w:t>
      </w:r>
      <w:r>
        <w:rPr>
          <w:sz w:val="22"/>
          <w:szCs w:val="22"/>
        </w:rPr>
        <w:t>. Fuente: Elaboración propia con datos del Registro Nacional de Tumores (RNT) 2025.</w:t>
      </w:r>
      <w:bookmarkEnd w:id="235"/>
    </w:p>
    <w:p>
      <w:pPr>
        <w:pStyle w:val="Caption"/>
        <w:rPr>
          <w:i w:val="false"/>
          <w:i w:val="false"/>
          <w:iCs w:val="false"/>
          <w:color w:themeColor="text2" w:val="auto"/>
        </w:rPr>
      </w:pPr>
      <w:r>
        <w:rPr>
          <w:i w:val="false"/>
          <w:iCs w:val="false"/>
          <w:color w:themeColor="text2" w:val="auto"/>
        </w:rPr>
      </w:r>
    </w:p>
    <w:p>
      <w:pPr>
        <w:pStyle w:val="p3"/>
        <w:spacing w:before="280" w:after="280"/>
        <w:rPr/>
      </w:pPr>
      <w:r>
        <w:rPr/>
      </w:r>
    </w:p>
    <w:p>
      <w:pPr>
        <w:pStyle w:val="p1"/>
        <w:spacing w:lineRule="auto" w:line="360" w:before="280" w:after="280"/>
        <w:jc w:val="both"/>
        <w:rPr/>
      </w:pPr>
      <w:r>
        <w:rPr/>
        <w:t>La distribución por sexo también presenta diferencias en la frecuencia relativa de ciertos subtipos histológicos, como se describe a continuación.</w:t>
      </w:r>
    </w:p>
    <w:p>
      <w:pPr>
        <w:pStyle w:val="Heading3"/>
        <w:numPr>
          <w:ilvl w:val="2"/>
          <w:numId w:val="93"/>
        </w:numPr>
        <w:rPr/>
      </w:pPr>
      <w:bookmarkStart w:id="236" w:name="_Toc199584639"/>
      <w:bookmarkStart w:id="237" w:name="_Toc200580276"/>
      <w:r>
        <w:rPr/>
        <w:t>Distribución por subtipo histológico</w:t>
      </w:r>
      <w:bookmarkEnd w:id="236"/>
      <w:bookmarkEnd w:id="237"/>
    </w:p>
    <w:p>
      <w:pPr>
        <w:pStyle w:val="p3"/>
        <w:spacing w:lineRule="auto" w:line="360" w:before="280" w:after="280"/>
        <w:jc w:val="both"/>
        <w:rPr/>
      </w:pPr>
      <w:r>
        <w:rPr/>
        <w:t>Al desglosar los datos por tipo de tumor (codificación CIE-O-3), se identifican los siguientes hallazgos principales:</w:t>
      </w:r>
    </w:p>
    <w:p>
      <w:pPr>
        <w:pStyle w:val="p1"/>
        <w:numPr>
          <w:ilvl w:val="0"/>
          <w:numId w:val="27"/>
        </w:numPr>
        <w:spacing w:lineRule="auto" w:line="360" w:before="280" w:after="0"/>
        <w:jc w:val="both"/>
        <w:rPr/>
      </w:pPr>
      <w:r>
        <w:rPr/>
        <w:t xml:space="preserve">En </w:t>
      </w:r>
      <w:r>
        <w:rPr>
          <w:rStyle w:val="s1"/>
          <w:b/>
          <w:bCs/>
        </w:rPr>
        <w:t>hombres</w:t>
      </w:r>
      <w:r>
        <w:rPr/>
        <w:t>, los subtipos más frecuentes fueron:</w:t>
      </w:r>
    </w:p>
    <w:p>
      <w:pPr>
        <w:pStyle w:val="p1"/>
        <w:numPr>
          <w:ilvl w:val="1"/>
          <w:numId w:val="27"/>
        </w:numPr>
        <w:spacing w:lineRule="auto" w:line="360" w:before="0" w:after="0"/>
        <w:jc w:val="both"/>
        <w:rPr/>
      </w:pPr>
      <w:r>
        <w:rPr/>
        <w:t>Adenocarcinoma SAI: 22 casos.</w:t>
      </w:r>
    </w:p>
    <w:p>
      <w:pPr>
        <w:pStyle w:val="p1"/>
        <w:numPr>
          <w:ilvl w:val="1"/>
          <w:numId w:val="27"/>
        </w:numPr>
        <w:spacing w:lineRule="auto" w:line="360" w:before="0" w:after="0"/>
        <w:jc w:val="both"/>
        <w:rPr/>
      </w:pPr>
      <w:r>
        <w:rPr/>
        <w:t>Adenocarcinoma mucinoso: 13 casos.</w:t>
      </w:r>
    </w:p>
    <w:p>
      <w:pPr>
        <w:pStyle w:val="p1"/>
        <w:numPr>
          <w:ilvl w:val="1"/>
          <w:numId w:val="27"/>
        </w:numPr>
        <w:spacing w:lineRule="auto" w:line="360" w:before="0" w:after="0"/>
        <w:jc w:val="both"/>
        <w:rPr/>
      </w:pPr>
      <w:r>
        <w:rPr/>
        <w:t>Neoplasia maligna SAI: 13 casos.</w:t>
      </w:r>
    </w:p>
    <w:p>
      <w:pPr>
        <w:pStyle w:val="p1"/>
        <w:numPr>
          <w:ilvl w:val="1"/>
          <w:numId w:val="27"/>
        </w:numPr>
        <w:spacing w:lineRule="auto" w:line="360" w:before="0" w:after="0"/>
        <w:jc w:val="both"/>
        <w:rPr/>
      </w:pPr>
      <w:r>
        <w:rPr/>
        <w:t>Carcinoma Neuroendocrino: 8 casos.</w:t>
      </w:r>
    </w:p>
    <w:p>
      <w:pPr>
        <w:pStyle w:val="p1"/>
        <w:numPr>
          <w:ilvl w:val="0"/>
          <w:numId w:val="27"/>
        </w:numPr>
        <w:spacing w:lineRule="auto" w:line="360" w:before="0" w:after="0"/>
        <w:jc w:val="both"/>
        <w:rPr/>
      </w:pPr>
      <w:r>
        <w:rPr/>
        <w:t xml:space="preserve">En </w:t>
      </w:r>
      <w:r>
        <w:rPr>
          <w:rStyle w:val="s1"/>
          <w:b/>
          <w:bCs/>
        </w:rPr>
        <w:t>mujeres</w:t>
      </w:r>
      <w:r>
        <w:rPr/>
        <w:t>, se destacan:</w:t>
      </w:r>
    </w:p>
    <w:p>
      <w:pPr>
        <w:pStyle w:val="p1"/>
        <w:numPr>
          <w:ilvl w:val="1"/>
          <w:numId w:val="27"/>
        </w:numPr>
        <w:spacing w:lineRule="auto" w:line="360" w:before="0" w:after="0"/>
        <w:jc w:val="both"/>
        <w:rPr/>
      </w:pPr>
      <w:r>
        <w:rPr/>
        <w:t>Neoplasia maligna SAI: 27 casos.</w:t>
      </w:r>
    </w:p>
    <w:p>
      <w:pPr>
        <w:pStyle w:val="p1"/>
        <w:numPr>
          <w:ilvl w:val="1"/>
          <w:numId w:val="27"/>
        </w:numPr>
        <w:spacing w:lineRule="auto" w:line="360" w:before="0" w:after="0"/>
        <w:jc w:val="both"/>
        <w:rPr/>
      </w:pPr>
      <w:r>
        <w:rPr/>
        <w:t>Adenocarcinoma mucinoso: 17 casos.</w:t>
      </w:r>
    </w:p>
    <w:p>
      <w:pPr>
        <w:pStyle w:val="p1"/>
        <w:numPr>
          <w:ilvl w:val="1"/>
          <w:numId w:val="27"/>
        </w:numPr>
        <w:spacing w:lineRule="auto" w:line="360" w:before="0" w:after="0"/>
        <w:jc w:val="both"/>
        <w:rPr/>
      </w:pPr>
      <w:r>
        <w:rPr/>
        <w:t xml:space="preserve">Adenocarcinoma SAI: 17 casos. </w:t>
      </w:r>
    </w:p>
    <w:p>
      <w:pPr>
        <w:pStyle w:val="p1"/>
        <w:numPr>
          <w:ilvl w:val="1"/>
          <w:numId w:val="27"/>
        </w:numPr>
        <w:spacing w:lineRule="auto" w:line="360" w:before="0" w:after="280"/>
        <w:jc w:val="both"/>
        <w:rPr/>
      </w:pPr>
      <w:r>
        <w:rPr/>
        <w:t>Carcinoma Neuroendocrino SAI: 12 casos.</w:t>
      </w:r>
    </w:p>
    <w:p>
      <w:pPr>
        <w:pStyle w:val="p1"/>
        <w:keepNext w:val="true"/>
        <w:spacing w:before="0" w:after="280"/>
        <w:rPr/>
      </w:pPr>
      <w:r>
        <w:rPr/>
        <w:drawing>
          <wp:inline distT="0" distB="0" distL="0" distR="0">
            <wp:extent cx="5611495" cy="3164205"/>
            <wp:effectExtent l="0" t="0" r="0" b="0"/>
            <wp:docPr id="7" name="Object2"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Caption"/>
        <w:rPr>
          <w:i w:val="false"/>
          <w:i w:val="false"/>
          <w:iCs w:val="false"/>
          <w:color w:themeColor="text1" w:val="000000"/>
        </w:rPr>
      </w:pPr>
      <w:bookmarkStart w:id="238" w:name="_Toc200580369"/>
      <w:bookmarkStart w:id="239" w:name="_Toc199964177"/>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6</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Gráfico comparativo de Subtipos histológicos en el cáncer apendicular en CR en hombres durante el período 2000-2022. Elaboración propia con datos del Registro Nacional de Tumores (RNT) 2025</w:t>
      </w:r>
      <w:bookmarkEnd w:id="239"/>
      <w:r>
        <w:rPr>
          <w:i w:val="false"/>
          <w:iCs w:val="false"/>
          <w:color w:themeColor="text1" w:val="000000"/>
        </w:rPr>
        <w:t>.</w:t>
      </w:r>
      <w:bookmarkEnd w:id="238"/>
    </w:p>
    <w:p>
      <w:pPr>
        <w:pStyle w:val="p1"/>
        <w:spacing w:before="280" w:after="280"/>
        <w:rPr/>
      </w:pPr>
      <w:r>
        <w:rPr/>
        <w:t xml:space="preserve"> </w:t>
      </w:r>
    </w:p>
    <w:p>
      <w:pPr>
        <w:pStyle w:val="p1"/>
        <w:keepNext w:val="true"/>
        <w:spacing w:before="0" w:after="280"/>
        <w:rPr/>
      </w:pPr>
      <w:r>
        <w:rPr/>
        <w:drawing>
          <wp:inline distT="0" distB="0" distL="0" distR="0">
            <wp:extent cx="5611495" cy="2895600"/>
            <wp:effectExtent l="0" t="0" r="0" b="0"/>
            <wp:docPr id="8" name="Object3"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Caption"/>
        <w:rPr>
          <w:i w:val="false"/>
          <w:i w:val="false"/>
          <w:iCs w:val="false"/>
          <w:color w:themeColor="text1" w:val="000000"/>
        </w:rPr>
      </w:pPr>
      <w:bookmarkStart w:id="240" w:name="_Toc200580370"/>
      <w:bookmarkStart w:id="241" w:name="_Toc199964178"/>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7</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Gráfico comparativo de Subtipos histológicos en el cáncer apendicular en CR en mujeres durante el período 2000-2022. Elaboración propia con datos del Registro Nacional de Tumores (RNT) 2025</w:t>
      </w:r>
      <w:bookmarkEnd w:id="241"/>
      <w:r>
        <w:rPr>
          <w:i w:val="false"/>
          <w:iCs w:val="false"/>
          <w:color w:themeColor="text1" w:val="000000"/>
        </w:rPr>
        <w:t>.</w:t>
      </w:r>
      <w:bookmarkEnd w:id="240"/>
    </w:p>
    <w:p>
      <w:pPr>
        <w:pStyle w:val="p1"/>
        <w:spacing w:lineRule="auto" w:line="360" w:before="280" w:after="280"/>
        <w:jc w:val="both"/>
        <w:rPr/>
      </w:pPr>
      <w:r>
        <w:rPr/>
        <w:t>A nivel descriptivo, con los datos suministrados por el RNT, se puede concluir que, entre los años 2000 y 2022, los subtipos más frecuentes en varones fueron:</w:t>
      </w:r>
    </w:p>
    <w:p>
      <w:pPr>
        <w:pStyle w:val="p1"/>
        <w:numPr>
          <w:ilvl w:val="0"/>
          <w:numId w:val="28"/>
        </w:numPr>
        <w:spacing w:lineRule="auto" w:line="360" w:before="280" w:after="0"/>
        <w:jc w:val="both"/>
        <w:rPr>
          <w:color w:themeColor="text1" w:val="000000"/>
        </w:rPr>
      </w:pPr>
      <w:r>
        <w:rPr>
          <w:color w:themeColor="text1" w:val="000000"/>
        </w:rPr>
        <w:t>Adenocarcinoma SAI.</w:t>
      </w:r>
    </w:p>
    <w:p>
      <w:pPr>
        <w:pStyle w:val="p1"/>
        <w:numPr>
          <w:ilvl w:val="0"/>
          <w:numId w:val="28"/>
        </w:numPr>
        <w:spacing w:lineRule="auto" w:line="360" w:before="0" w:after="0"/>
        <w:jc w:val="both"/>
        <w:rPr>
          <w:color w:themeColor="text1" w:val="000000"/>
        </w:rPr>
      </w:pPr>
      <w:r>
        <w:rPr>
          <w:color w:themeColor="text1" w:val="000000"/>
        </w:rPr>
        <w:t>Adenocarcinoma mucinoso.</w:t>
      </w:r>
    </w:p>
    <w:p>
      <w:pPr>
        <w:pStyle w:val="p1"/>
        <w:numPr>
          <w:ilvl w:val="0"/>
          <w:numId w:val="28"/>
        </w:numPr>
        <w:spacing w:lineRule="auto" w:line="360" w:before="0" w:after="280"/>
        <w:jc w:val="both"/>
        <w:rPr>
          <w:color w:themeColor="text1" w:val="000000"/>
        </w:rPr>
      </w:pPr>
      <w:r>
        <w:rPr/>
        <w:t>Neoplasia maligna SAI.</w:t>
      </w:r>
    </w:p>
    <w:p>
      <w:pPr>
        <w:pStyle w:val="p3"/>
        <w:keepNext w:val="true"/>
        <w:spacing w:before="280" w:after="280"/>
        <w:rPr/>
      </w:pPr>
      <w:r>
        <w:rPr/>
        <w:drawing>
          <wp:inline distT="0" distB="0" distL="0" distR="0">
            <wp:extent cx="5611495" cy="2597785"/>
            <wp:effectExtent l="0" t="0" r="0" b="0"/>
            <wp:docPr id="9" name="Imagen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3" descr=""/>
                    <pic:cNvPicPr>
                      <a:picLocks noChangeAspect="1" noChangeArrowheads="1"/>
                    </pic:cNvPicPr>
                  </pic:nvPicPr>
                  <pic:blipFill>
                    <a:blip r:embed="rId13"/>
                    <a:stretch>
                      <a:fillRect/>
                    </a:stretch>
                  </pic:blipFill>
                  <pic:spPr bwMode="auto">
                    <a:xfrm>
                      <a:off x="0" y="0"/>
                      <a:ext cx="5611495" cy="2597785"/>
                    </a:xfrm>
                    <a:prstGeom prst="rect">
                      <a:avLst/>
                    </a:prstGeom>
                    <a:noFill/>
                  </pic:spPr>
                </pic:pic>
              </a:graphicData>
            </a:graphic>
          </wp:inline>
        </w:drawing>
      </w:r>
    </w:p>
    <w:p>
      <w:pPr>
        <w:pStyle w:val="Caption"/>
        <w:rPr>
          <w:b/>
          <w:bCs/>
          <w:i w:val="false"/>
          <w:i w:val="false"/>
          <w:iCs w:val="false"/>
          <w:color w:themeColor="text1" w:val="000000"/>
        </w:rPr>
      </w:pPr>
      <w:bookmarkStart w:id="242" w:name="_Toc199964179"/>
      <w:bookmarkStart w:id="243" w:name="_Toc200580371"/>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8</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Gráfico comparativo de Incidencia de los 3 subtipos histológicos predominantes en el cáncer apendicular en CR en hombres durante el período 2000-2022. Elaboración propia con datos del Registro Nacional de Tumores (RNT) 2025</w:t>
      </w:r>
      <w:bookmarkEnd w:id="242"/>
      <w:bookmarkEnd w:id="243"/>
    </w:p>
    <w:p>
      <w:pPr>
        <w:pStyle w:val="p3"/>
        <w:spacing w:lineRule="auto" w:line="360" w:before="280" w:after="280"/>
        <w:jc w:val="both"/>
        <w:rPr/>
      </w:pPr>
      <w:r>
        <w:rPr/>
        <w:t>En mujeres, la distribución fue más heterogénea, aunque igualmente dominada por:</w:t>
      </w:r>
    </w:p>
    <w:p>
      <w:pPr>
        <w:pStyle w:val="p1"/>
        <w:numPr>
          <w:ilvl w:val="0"/>
          <w:numId w:val="29"/>
        </w:numPr>
        <w:spacing w:lineRule="auto" w:line="360" w:before="280" w:after="0"/>
        <w:jc w:val="both"/>
        <w:rPr>
          <w:color w:themeColor="text1" w:val="000000"/>
        </w:rPr>
      </w:pPr>
      <w:r>
        <w:rPr>
          <w:color w:themeColor="text1" w:val="000000"/>
        </w:rPr>
        <w:t>Neoplasia maligna SAI.</w:t>
      </w:r>
    </w:p>
    <w:p>
      <w:pPr>
        <w:pStyle w:val="p1"/>
        <w:numPr>
          <w:ilvl w:val="0"/>
          <w:numId w:val="29"/>
        </w:numPr>
        <w:spacing w:lineRule="auto" w:line="360" w:before="0" w:after="0"/>
        <w:jc w:val="both"/>
        <w:rPr>
          <w:color w:themeColor="text1" w:val="000000"/>
        </w:rPr>
      </w:pPr>
      <w:r>
        <w:rPr>
          <w:color w:themeColor="text1" w:val="000000"/>
        </w:rPr>
        <w:t>Adenocarcinoma mucinoso.</w:t>
      </w:r>
    </w:p>
    <w:p>
      <w:pPr>
        <w:pStyle w:val="p1"/>
        <w:numPr>
          <w:ilvl w:val="0"/>
          <w:numId w:val="29"/>
        </w:numPr>
        <w:spacing w:lineRule="auto" w:line="360" w:before="0" w:after="280"/>
        <w:jc w:val="both"/>
        <w:rPr>
          <w:color w:themeColor="text1" w:val="000000"/>
        </w:rPr>
      </w:pPr>
      <w:r>
        <w:rPr>
          <w:color w:themeColor="text1" w:val="000000"/>
        </w:rPr>
        <w:t>Adenocarcinoma SAI.</w:t>
      </w:r>
    </w:p>
    <w:p>
      <w:pPr>
        <w:pStyle w:val="p1"/>
        <w:keepNext w:val="true"/>
        <w:spacing w:before="280" w:after="280"/>
        <w:rPr/>
      </w:pPr>
      <w:r>
        <w:rPr/>
        <w:drawing>
          <wp:inline distT="0" distB="0" distL="0" distR="0">
            <wp:extent cx="5611495" cy="2838450"/>
            <wp:effectExtent l="0" t="0" r="0" b="0"/>
            <wp:docPr id="10" name="Imagen 6" descr="Gráfico, Gráfico de líne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6" descr="Gráfico, Gráfico de líneas&#10;&#10;El contenido generado por IA puede ser incorrecto."/>
                    <pic:cNvPicPr>
                      <a:picLocks noChangeAspect="1" noChangeArrowheads="1"/>
                    </pic:cNvPicPr>
                  </pic:nvPicPr>
                  <pic:blipFill>
                    <a:blip r:embed="rId14"/>
                    <a:stretch>
                      <a:fillRect/>
                    </a:stretch>
                  </pic:blipFill>
                  <pic:spPr bwMode="auto">
                    <a:xfrm>
                      <a:off x="0" y="0"/>
                      <a:ext cx="5611495" cy="2838450"/>
                    </a:xfrm>
                    <a:prstGeom prst="rect">
                      <a:avLst/>
                    </a:prstGeom>
                    <a:noFill/>
                  </pic:spPr>
                </pic:pic>
              </a:graphicData>
            </a:graphic>
          </wp:inline>
        </w:drawing>
      </w:r>
    </w:p>
    <w:p>
      <w:pPr>
        <w:pStyle w:val="Caption"/>
        <w:rPr>
          <w:b/>
          <w:bCs/>
          <w:i w:val="false"/>
          <w:i w:val="false"/>
          <w:iCs w:val="false"/>
          <w:color w:themeColor="text1" w:val="000000"/>
        </w:rPr>
      </w:pPr>
      <w:bookmarkStart w:id="244" w:name="_Toc199964180"/>
      <w:bookmarkStart w:id="245" w:name="_Toc200580372"/>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9</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Gráfico comparativo de Incidencia de los 3 subtipos histológicos predominantes en el cáncer apendicular en CR en mujeres durante el período 2000-2022. Elaboración propia con datos del Registro Nacional de Tumores (RNT) 2025</w:t>
      </w:r>
      <w:bookmarkEnd w:id="244"/>
      <w:bookmarkEnd w:id="245"/>
    </w:p>
    <w:p>
      <w:pPr>
        <w:pStyle w:val="Heading2"/>
        <w:numPr>
          <w:ilvl w:val="1"/>
          <w:numId w:val="94"/>
        </w:numPr>
        <w:rPr/>
      </w:pPr>
      <w:bookmarkStart w:id="246" w:name="_Toc200580278"/>
      <w:bookmarkStart w:id="247" w:name="_Toc199584640"/>
      <w:bookmarkStart w:id="248" w:name="_Toc200580277"/>
      <w:bookmarkEnd w:id="248"/>
      <w:r>
        <w:rPr/>
        <w:t>Análisis crítico de los hallazgos epidemiológicos nacionales</w:t>
      </w:r>
      <w:bookmarkEnd w:id="246"/>
      <w:bookmarkEnd w:id="247"/>
    </w:p>
    <w:p>
      <w:pPr>
        <w:pStyle w:val="p3"/>
        <w:spacing w:lineRule="auto" w:line="360" w:before="280" w:after="280"/>
        <w:jc w:val="both"/>
        <w:rPr/>
      </w:pPr>
      <w:r>
        <w:rPr/>
        <w:t>El análisis del comportamiento del cáncer apendicular en Costa Rica entre los años 2000 y 2022 revela hallazgos que, aunque limitados por el bajo número de casos, ofrecen importantes implicaciones tanto clínicas como de salud pública.</w:t>
      </w:r>
    </w:p>
    <w:p>
      <w:pPr>
        <w:pStyle w:val="p3"/>
        <w:spacing w:lineRule="auto" w:line="360" w:before="280" w:after="280"/>
        <w:jc w:val="both"/>
        <w:rPr/>
      </w:pPr>
      <w:r>
        <w:rPr/>
        <w:t>En este estudio se concluye que —excluyendo los casos sin clasificación histológica específica— los subtipos más frecuentemente identificados fueron el adenocarcinoma mucinoso y el adenocarcinoma de tipo intestinal (SAI), hallazgos que resultan congruentes con la literatura internacional.</w:t>
      </w:r>
    </w:p>
    <w:p>
      <w:pPr>
        <w:pStyle w:val="p3"/>
        <w:spacing w:lineRule="auto" w:line="360" w:before="280" w:after="280"/>
        <w:jc w:val="both"/>
        <w:rPr/>
      </w:pPr>
      <w:r>
        <w:rPr/>
        <w:t>Los datos epidemiológicos del registro SEER respaldan esta observación, señalando al adenocarcinoma como el subtipo más prevalente, aunque con una incidencia relativamente estable a lo largo del tiempo.</w:t>
      </w:r>
    </w:p>
    <w:p>
      <w:pPr>
        <w:pStyle w:val="p3"/>
        <w:spacing w:lineRule="auto" w:line="360" w:before="280" w:after="280"/>
        <w:jc w:val="both"/>
        <w:rPr/>
      </w:pPr>
      <w:r>
        <w:rPr/>
        <w:t>No obstante, a diferencia del patrón reportado en países con registros oncológicos más robustos, en Costa Rica los tumores neuroendocrinos no figuran entre los subtipos más comúnmente diagnosticados, lo que representa una diferencia epidemiológica significativa.</w:t>
      </w:r>
    </w:p>
    <w:p>
      <w:pPr>
        <w:pStyle w:val="p3"/>
        <w:spacing w:lineRule="auto" w:line="360" w:before="280" w:after="280"/>
        <w:jc w:val="both"/>
        <w:rPr>
          <w:color w:val="0E0E0E"/>
        </w:rPr>
      </w:pPr>
      <w:r>
        <w:rPr/>
        <w:t>Esta discrepancia tiene implicaciones terapéuticas relevantes, ya que, en escenarios donde predominan tumores mucinosos, cobra mayor importancia el abordaje quirúrgico especializado, incluyendo la cirugía citorreductora asociada a quimioterapia intraperitoneal hipertérmica (HIPEC), una modalidad que aún no está ampliamente disponible en el sistema de salud costarricense</w:t>
      </w:r>
      <w:r>
        <w:rPr>
          <w:color w:val="0E0E0E"/>
        </w:rPr>
        <w:t>.</w:t>
      </w:r>
    </w:p>
    <w:p>
      <w:pPr>
        <w:pStyle w:val="p1"/>
        <w:spacing w:lineRule="auto" w:line="360" w:before="280" w:after="280"/>
        <w:jc w:val="both"/>
        <w:rPr/>
      </w:pPr>
      <w:r>
        <w:rPr/>
        <w:t>A nivel internacional, la literatura reciente describe una distribución histológica dominada por adenocarcinomas mucinosos y tumores neuroendocrinos, con una incidencia variable de subtipos indiferenciados o mal definidos</w:t>
      </w:r>
      <w:r>
        <w:rPr>
          <w:color w:val="000000"/>
        </w:rPr>
        <w:t xml:space="preserve"> </w:t>
      </w:r>
      <w:r>
        <w:rPr>
          <w:rFonts w:eastAsia="MS Mincho"/>
          <w:color w:val="000000"/>
        </w:rPr>
        <w:t>(4, 66)</w:t>
      </w:r>
      <w:r>
        <w:rPr/>
        <w:t xml:space="preserve">. “En un análisis reciente del programa SEER, realizado por Wang et al. (2023), los adenocarcinomas mucinosos representaron aproximadamente el 34 % de los casos de cáncer apendicular, mientras que los tumores neuroendocrinos abarcaron un 28 %, y el resto correspondió a adenocarcinomas convencionales y subtipos mixtos” </w:t>
      </w:r>
      <w:sdt>
        <w:sdtPr>
          <w:placeholder>
            <w:docPart w:val="DefaultPlaceholder_-1854013440"/>
          </w:placeholder>
          <w:tag w:val="MENDELEY_CITATION_v3_eyJjaXRhdGlvbklEIjoiTUVOREVMRVlfQ0lUQVRJT05fNTdkY2QyN2QtNGRjOS00NWI0LWE1ZTItMGI5MjkwODBjZjc4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1827313767"/>
        </w:sdtPr>
        <w:sdtContent>
          <w:r>
            <w:rPr/>
          </w:r>
          <w:r>
            <w:rPr>
              <w:rFonts w:eastAsia="MS Mincho"/>
              <w:color w:val="000000"/>
            </w:rPr>
            <w:t>(4)</w:t>
          </w:r>
        </w:sdtContent>
      </w:sdt>
      <w:r>
        <w:rPr/>
        <w:t xml:space="preserve">. </w:t>
      </w:r>
    </w:p>
    <w:p>
      <w:pPr>
        <w:pStyle w:val="p1"/>
        <w:spacing w:lineRule="auto" w:line="360" w:before="280" w:after="280"/>
        <w:jc w:val="both"/>
        <w:rPr/>
      </w:pPr>
      <w:r>
        <w:rPr/>
        <w:t xml:space="preserve">Asimismo, datos del </w:t>
      </w:r>
      <w:r>
        <w:rPr>
          <w:rStyle w:val="Emphasis"/>
        </w:rPr>
        <w:t>National Cancer Database</w:t>
      </w:r>
      <w:r>
        <w:rPr/>
        <w:t xml:space="preserve"> (NCDB) confirmaron que el adenocarcinoma mucinoso continúa siendo el subtipo más común en series norteamericanas, seguido por los tumores neuroendocrinos, con una tendencia creciente en el diagnóstico de tumores bien diferenciados en etapas tempranas </w:t>
      </w:r>
      <w:sdt>
        <w:sdtPr>
          <w:placeholder>
            <w:docPart w:val="DefaultPlaceholder_-1854013440"/>
          </w:placeholder>
          <w:tag w:val="MENDELEY_CITATION_v3_eyJjaXRhdGlvbklEIjoiTUVOREVMRVlfQ0lUQVRJT05fNTUyYmZmNTktNjhhYy00MTFjLTkxYjMtZDczN2M4MTEyMjQ3IiwicHJvcGVydGllcyI6eyJub3RlSW5kZXgiOjB9LCJpc0VkaXRlZCI6ZmFsc2UsIm1hbnVhbE92ZXJyaWRlIjp7ImlzTWFudWFsbHlPdmVycmlkZGVuIjpmYWxzZSwiY2l0ZXByb2NUZXh0IjoiKDQsNjEpIiwibWFudWFsT3ZlcnJpZGVUZXh0IjoiIn0sImNpdGF0aW9uSXRlbXMiOlt7ImlkIjoiMDU3ZTJkNjktNTE1Ny0zMTJhLThlYmYtNGVkOWQxNGI0M2RhIiwiaXRlbURhdGEiOnsidHlwZSI6ImFydGljbGUtam91cm5hbCIsImlkIjoiMDU3ZTJkNjktNTE1Ny0zMTJhLThlYmYtNGVkOWQxNGI0M2RhIiwidGl0bGUiOiJBcHBlbmRpY2VhbCBDYW5jZXIgaW4gdGhlIE5hdGlvbmFsIENhbmNlciBEYXRhYmFzZTogSW5jcmVhc2luZyBGcmVxdWVuY3ksIERlY3JlYXNpbmcgQWdlLCBhbmQgU2hpZnRpbmcgSGlzdG9sb2d5IiwiYXV0aG9yIjpbeyJmYW1pbHkiOiJTYWxhemFyIiwiZ2l2ZW4iOiJNaWNoZWxsZSBDLiIsInBhcnNlLW5hbWVzIjpmYWxzZSwiZHJvcHBpbmctcGFydGljbGUiOiIiLCJub24tZHJvcHBpbmctcGFydGljbGUiOiIifSx7ImZhbWlseSI6IkNhbmF2YW4iLCJnaXZlbiI6Ik1hdXJlZW4gRS4iLCJwYXJzZS1uYW1lcyI6ZmFsc2UsImRyb3BwaW5nLXBhcnRpY2xlIjoiIiwibm9uLWRyb3BwaW5nLXBhcnRpY2xlIjoiIn0seyJmYW1pbHkiOiJDaGlsYWthbWFycnkiLCJnaXZlbiI6IlNpdGFyYW0iLCJwYXJzZS1uYW1lcyI6ZmFsc2UsImRyb3BwaW5nLXBhcnRpY2xlIjoiIiwibm9uLWRyb3BwaW5nLXBhcnRpY2xlIjoiIn0seyJmYW1pbHkiOiJCb2ZmYSIsImdpdmVuIjoiRGFuaWVsIEouIiwicGFyc2UtbmFtZXMiOmZhbHNlLCJkcm9wcGluZy1wYXJ0aWNsZSI6IiIsIm5vbi1kcm9wcGluZy1wYXJ0aWNsZSI6IiJ9LHsiZmFtaWx5IjoiU2NodXN0ZXIiLCJnaXZlbiI6IktldmluIE0uIiwicGFyc2UtbmFtZXMiOmZhbHNlLCJkcm9wcGluZy1wYXJ0aWNsZSI6IiIsIm5vbi1kcm9wcGluZy1wYXJ0aWNsZSI6IiJ9XSwiY29udGFpbmVyLXRpdGxlIjoiSm91cm5hbCBvZiB0aGUgQW1lcmljYW4gQ29sbGVnZSBvZiBTdXJnZW9ucyIsImNvbnRhaW5lci10aXRsZS1zaG9ydCI6IkogQW0gQ29sbCBTdXJnIiwiRE9JIjoiMTAuMTA5Ny9YQ1MuMDAwMDAwMDAwMDAwMDE3MiIsIklTU04iOiIxODc5LTExOTAiLCJQTUlEIjoiMzU3MDM4MDEiLCJpc3N1ZWQiOnsiZGF0ZS1wYXJ0cyI6W1syMDIyLDZdXX0sInBhZ2UiOiIxMDgyLTEwODkiLCJhYnN0cmFjdCI6IkJhY2tncm91bmQ6IE5vbm9wZXJhdGl2ZSBtYW5hZ2VtZW50IG9mIGFjdXRlIGFwcGVuZGljaXRpcyBpcyBpbmNyZWFzaW5nbHkgY29tbW9uLiBIb3dldmVyLCBzbWFsbCBzdHVkaWVzIGhhdmUgZGVtb25zdHJhdGVkIGhpZ2ggcmF0ZXMgb2YgYXBwZW5kaWNlYWwgY2FuY2VyIGluIGludGVydmFsIGFwcGVuZGVjdG9teSBzcGVjaW1lbnMuIFRoZXJlZm9yZSwgd2Ugc291Z2h0IHRvIGlkZW50aWZ5IG5hdGlvbmFsIHRyZW5kcyBpbiBhcHBlbmRpY2VhbCBjYW5jZXIgaW5jaWRlbmNlIGFuZCBoaXN0b2xvZ3kuIFN0dWR5IERlc2lnbjogVGhlIE5hdGlvbmFsIENhbmNlciBEYXRhYmFzZSB3YXMgcXVlcmllZCBmb3IgcGF0aWVudHMgMTggeWVhcnMgb3Igb2xkZXIsIGRpYWdub3NlZCB3aXRoIGEgcmlnaHQtc2lkZWQgY29sb24gY2FuY2VyIChpbmNsdWRpbmcgYXBwZW5kaWNlYWwpIGZyb20gMjAwNCB0byAyMDE3IHdobyBoYWQgdW5kZXJnb25lIHN1cmdlcnkuIE91dGNvbWVzIGluY2x1ZGVkIHRyZW5kcyBpbiBhcHBlbmRpY2VhbCBjYW5jZXIgY29tcGFyZWQgd2l0aCByaWdodC1zaWRlZCBjb2xvbiBjYW5jZXJzIGFuZCB0cmVuZHMgaW4gYXBwZW5kaWNlYWwgY2FuY2VyIGhpc3RvbG9neS4gTG9naXN0aWMgcmVncmVzc2lvbiB3YXMgdXNlZCB0byBhc3Nlc3MgdHJlbmRzIG92ZXIgdGltZSB3aGlsZSBhZGp1c3RpbmcgZm9yIHBhdGllbnQgYWdlLCBpbnN1cmFuY2UsIGluY29tZSwgYXJlYSBvZiByZXNpZGVuY2UsIGFuZCBjb21vcmJpZGl0eS4gUHJlZGljdGVkIHByb2JhYmlsaXRpZXMgb2YgdGhlIG91dGNvbWVzIHdlcmUgZGVyaXZlZCBmcm9tIHRoZSBsb2dpc3RpYyByZWdyZXNzaW9uIG1vZGVscy4gUmVzdWx0czogT2YgMzg3LDg2NyBwYXRpZW50cyB3aXRoIHJpZ2h0LXNpZGVkIGNvbG9uIGNhbmNlciwgMTksNTcwIGhhZCBhcHBlbmRpY2VhbCBjYW5jZXIgYW5kIG9mIHRob3NlIDUsNjI4IGhhZCBhIGNhcmNpbm9pZCB0dW1vci4gT2RkcyBvZiBhcHBlbmRpY2VhbCBjYW5jZXIsIHJlbGF0aXZlIHRvIG90aGVyIHJpZ2h0LXNpZGVkIGNvbG9uIGNhbmNlcnMsIGluY3JlYXNlZCBmcm9tIDIwMDQgdG8gMjAxNyAob2RkcyByYXRpbyBbT1JdIDIuNTYsIDk1JSBDSSAyLjM1LTIuNzkpLiBUaGUgaW5jcmVhc2Ugb2NjdXJyZWQgaW4gYWxsIGFnZSBncm91cHM7IGhvd2V2ZXIsIGl0IHdhcyBtb3JlIG1hcmtlZGx5IGluY3JlYXNlZCBpbiBwYXRpZW50cyA0MC00OSB5ZWFycyBvbGQgKDIwMDQ6IDEwJSwgOTUlIENJIDktMTIgdG8gMjAxNzogMTglLCA5NSUgQ0kgMTYtMjA7IHBhaXJ3aXNlIGNvbXBhcmlzb25zIHAgPCAwLjAwMSkuIE9kZHMgb2YgYXBwZW5kaWNlYWwgY2FyY2lub2lkLCByZWxhdGl2ZSB0byBvdGhlciBhcHBlbmRpY2VhbCBoaXN0b2xvZ2llcywgaW5jcmVhc2VkIGZyb20gMjAwNCB0byAyMDE3IChPUiAxLjcwLCA5NSUgQ0kgMS40MC0yLjA3KSB3aXRoIHRoZSBncmVhdGVzdCBpbmNyZWFzZSBpbiBwcm9iYWJpbGl0eSBvZiBhIGNhcmNpbm9pZCBpbiBwYXRpZW50cyB5b3VuZ2VyIHRoYW4gNDAgeWVhcnMgb2xkICgyMDA0OiAyNCUsIDk1JSBDSSAxNS0zNCB0byAyMDE3OiA0NSUsIDk1JSBDSSAzNy01MzsgcGFpcndpc2UgY29tcGFyaXNvbnMgcCA8IDAuMDAxKS4gQ29uY2x1c2lvbjogQXBwZW5kaWNlYWwgY2FuY2VyIGhhcyBpbmNyZWFzZWQgb3ZlciB0aW1lLCBhbmQgdGhlIGluY3JlYXNlIGFwcGVhcnMgdG8gYmUgZHJpdmVuIGJ5IGEgcmlzZSBpbiBjYXJjaW5vaWRzLCBtb3N0IHByZXZhbGVudCBpbiBwYXRpZW50cyA0OSB5ZWFycyBvZiBhZ2Ugb3IgeW91bmdlci4gV2hlbiBub25vcGVyYXRpdmUgbWFuYWdlbWVudCBvZiBhY3V0ZSBhcHBlbmRpY2l0aXMgaXMgdW5kZXJ0YWtlbiwgY2xvc2UgZm9sbG93LXVwIG1heSBiZSBhcHByb3ByaWF0ZSBnaXZlbiB0aGVzZSBmaW5kaW5ncy4iLCJwdWJsaXNoZXIiOiJKIEFtIENvbGwgU3VyZyIsImlzc3VlIjoiNiIsInZvbHVtZSI6IjIzNCJ9LCJpc1RlbXBvcmFyeSI6ZmFsc2V9LHsiaWQiOiI1YjEzODlmMy05MjlhLTNiMWMtOTRmMy1mNmMwYzEyZjU5ZmEiLCJpdGVtRGF0YSI6eyJ0eXBlIjoiYXJ0aWNsZS1qb3VybmFsIiwiaWQiOiI1YjEzODlmMy05MjlhLTNiMWMtOTRmMy1mNmMwYzEyZjU5ZmEiLCJ0aXRsZSI6IkluY2lkZW5jZSB0cmVuZHMgYW5kIHN1cnZpdmFsIGFuYWx5c2lzIG9mIGFwcGVuZGljZWFsIHR1bW9ycyBpbiB0aGUgVW5pdGVkIFN0YXRlczogUHJpbWFyaWx5IGNoYW5nZXMgaW4gYXBwZW5kaWNlYWwgbmV1cm9lbmRvY3JpbmUgdHVtb3JzIiwiYXV0aG9yIjpbeyJmYW1pbHkiOiJXYW5nIiwiZ2l2ZW4iOiJEYW4iLCJwYXJzZS1uYW1lcyI6ZmFsc2UsImRyb3BwaW5nLXBhcnRpY2xlIjoiIiwibm9uLWRyb3BwaW5nLXBhcnRpY2xlIjoiIn0seyJmYW1pbHkiOiJHZSIsImdpdmVuIjoiSGVtaW5nIiwicGFyc2UtbmFtZXMiOmZhbHNlLCJkcm9wcGluZy1wYXJ0aWNsZSI6IiIsIm5vbi1kcm9wcGluZy1wYXJ0aWNsZSI6IiJ9LHsiZmFtaWx5IjoiTHUiLCJnaXZlbiI6IlllYmluIiwicGFyc2UtbmFtZXMiOmZhbHNlLCJkcm9wcGluZy1wYXJ0aWNsZSI6IiIsIm5vbi1kcm9wcGluZy1wYXJ0aWNsZSI6IiJ9LHsiZmFtaWx5IjoiR29uZyIsImdpdmVuIjoiWHVlanVuIiwicGFyc2UtbmFtZXMiOmZhbHNlLCJkcm9wcGluZy1wYXJ0aWNsZSI6IiIsIm5vbi1kcm9wcGluZy1wYXJ0aWNsZSI6IiJ9XSwiY29udGFpbmVyLXRpdGxlIjoiUExvUyBPTkUiLCJjb250YWluZXItdGl0bGUtc2hvcnQiOiJQTG9TIE9uZSIsImFjY2Vzc2VkIjp7ImRhdGUtcGFydHMiOltbMjAyNSw0LDE3XV19LCJET0kiOiIxMC4xMzcxL0pPVVJOQUwuUE9ORS4wMjk0MTUzIiwiSVNTTiI6IjE5MzI2MjAzIiwiUE1JRCI6IjM3OTU2MTkwIiwiaXNzdWVkIjp7ImRhdGUtcGFydHMiOltbMjAyMywxMSwxXV19LCJhYnN0cmFjdCI6IkJhY2tncm91bmQgQXBwZW5kaWNlYWwgdHVtb3JzIGFyZSBjb25zaWRlcmVkIHRvIGJlIGEgcmVsYXRpdmVseSByYXJlIHR1bW9yIG9mIHRoZSBnYXN0cm9pbnRlc3RpbmFsIHRyYWN0IGFuZCB0aGUgcHJvZ25vc2lzIGlzIHVuY2xlYXIuIFRoaXMgc3R1ZHkgY29tcHJlaGVuc2l2ZWx5IGludmVzdGlnYXRlZCB0cmVuZHMgaW4gdGhlIGVwaWRlbWlvbG9neSBhbmQgc3Vydml2YWwgb2YgYXBwZW5kaWNlYWwgdHVtb3JzIGluIHRoZSBVbml0ZWQgU3RhdGVzIG92ZXIgdGhlIHBhc3QgYXBwcm94aW1hdGVseSAyMCB5ZWFycy4gTWV0aG9kcyBQYXRpZW50cyB3aXRoIHBhdGhvbG9naWNhbGx5IGNvbmZpcm1lZCBhcHBlbmRpY2VhbCB0dW1vcnMgZnJvbSAyMDAwIHRvIDIwMTcgd2VyZSBzZWxlY3RlZCBmcm9tIHRoZSBTdXJ2ZWlsbGFuY2UsIEVwaWRlbWlvbG9neSBhbmQgRW5kIFJlc3VsdHMgKFNFRVIpIGRhdGFiYXNlLiBBZ2UtYWRqdXN0ZWQgaW5jaWRlbmNlIHJhdGVzIHdlcmUgY2FsY3VsYXRlZCBieSBTRUVSKlN0YXQgOC40LjAuIFRoZSBLYXBsYW4tTWVpZXIgbWV0aG9kIHdhcyB1c2VkIHRvIGFuYWx5emUgc3Vydml2YWwgYW5kIHByb2dub3N0aWMgZmFjdG9ycyB3ZXJlIGludmVzdGlnYXRlZCBieSBhIG11bHRpdmFyaWF0ZSBDb3ggcHJvcG9ydGlvbmFsIHJpc2sgbW9kZWwuIFJlc3VsdHMgVWx0aW1hdGVseSwgMTMsNTQ2IHBhdGllbnRzIHdpdGggYXBwZW5kaWNlYWwgdHVtb3JzIGJldHdlZW4gMjAwMCBhbmQgMjAxNyB3ZXJlIGluY2x1ZGVkLiBUaGUgYW5udWFsIGluY2lkZW5jZSBvZiBjb2xvbmljIGFkZW5vY2FyY2lub21hIGFuZCBtdWNpbm91cyBhZGVub2NhcmNpbm9tYSByZW1haW5lZCByZWxhdGl2ZWx5IHN0YWJsZS4gSW50ZXJlc3RpbmdseSwgdGhlIGFubnVhbCBpbmNpZGVuY2Ugb2YgYXBwZW5kaWNlYWwgbmV1cm9lbmRvY3JpbmUgdHVtb3JzIChhTkVUcykgaW5jcmVhc2VkIHNpZ25pZmljYW50bHksIGZyb20gMC4wMyB0byAwLjkwIHBlciAxMDAsMDAwIHBlcnNvbi15ZWFycywgd2l0aCB0aGUgbW9zdCBkcmFtYXRpYyBpbmNyZWFzZSBpbiB0aGUgbnVtYmVyIG9mIHBhdGllbnRzIHdpdGggbG9jYWxpemVkIGRpc2Vhc2UuIFBhdGllbnRzIHdpdGggYU5FVHMgc2hvd2VkIGEgc2lnbmlmaWNhbnQgaW1wcm92ZW1lbnQgaW4gc3Vydml2YWwgYmV0d2VlbiAyMDA54oCTMjAxNywgY29tcGFyZWQgdG8gdGhlIHBlcmlvZCAyMDAw4oCTMjAwOC4gTW9yZW92ZXIsIHRoaXMgaW1wcm92ZW1lbnQgaW4gc3Vydml2YWwgb3ZlciB0aW1lIHdhcyBzZWVuIGF0IGFsbCBzdGFnZXMgKGxvY2FsaXplZCwgcmVnaW9uYWwsIGRpc3RhbnQpIG9mIGFORVRzLiBIb3dldmVyLCB0aGlzIGltcHJvdmVkIHN1cnZpdmFsIG92ZXIgdGltZSB3YXMgbm90IHNlZW4gaW4gY29sb25pYyBhbmQgbXVjaW5vdXMgYWRlbm9jYXJjaW5vbWEuIENvbmNsdXNpb25zIFRoZSBpbmNpZGVuY2Ugb2YgYXBwZW5kaWNlYWwgbmVvcGxhc21zIGhhcyBpbmNyZWFzZWQgc2lnbmlmaWNhbnRseSBvdmVyIHRoZSBwYXN0IG5lYXJseSB0d28gZGVjYWRlcywgd2hpY2ggaXMgbWFpbmx5IGR1ZSB0byB0aGUgaW5jcmVhc2VkIGluY2lkZW5jZSBhbmQgc2lnbmlmaWNhbnQgbWlncmF0aW9uIHRvIGVhcmxpZXIgc3RhZ2VzIGluIGFORVRzLiBXZSBtdXN0IG5vdGUgdGhhdCBkZXNwaXRlIHRoZSBpbmNyZWFzZWQgaW5jaWRlbmNlIG9mIGFORVRzLCBzdXJ2aXZhbCByYXRlcyBoYXZlIGltcHJvdmVkIGF0IGRpZmZlcmVudCBkaXNlYXNlIHN0YWdlcy4iLCJwdWJsaXNoZXIiOiJQdWJsaWMgTGlicmFyeSBvZiBTY2llbmNlIiwiaXNzdWUiOiIxMSBOb3ZlbWJlciIsInZvbHVtZSI6IjE4In0sImlzVGVtcG9yYXJ5IjpmYWxzZX1dfQ=="/>
          <w:id w:val="-429121194"/>
        </w:sdtPr>
        <w:sdtContent>
          <w:r>
            <w:rPr/>
          </w:r>
          <w:r>
            <w:rPr>
              <w:rFonts w:eastAsia="MS Mincho"/>
              <w:color w:val="000000"/>
            </w:rPr>
            <w:t>(4,61)</w:t>
          </w:r>
        </w:sdtContent>
      </w:sdt>
    </w:p>
    <w:p>
      <w:pPr>
        <w:pStyle w:val="p1"/>
        <w:spacing w:lineRule="auto" w:line="360" w:before="280" w:after="280"/>
        <w:jc w:val="both"/>
        <w:rPr/>
      </w:pPr>
      <w:r>
        <w:rPr/>
        <w:t xml:space="preserve">Comparando con los datos costarricenses, se observa una menor proporción relativa de tumores neuroendocrinos reportados en el país (alrededor del 11–15 %), lo que contrasta con las cifras de Norteamérica (28–30 %) </w:t>
      </w:r>
      <w:r>
        <w:rPr>
          <w:rFonts w:eastAsia="MS Mincho"/>
          <w:color w:val="000000"/>
        </w:rPr>
        <w:t>(4</w:t>
      </w:r>
      <w:sdt>
        <w:sdtPr>
          <w:placeholder>
            <w:docPart w:val="DefaultPlaceholder_-1854013440"/>
          </w:placeholder>
          <w:tag w:val="MENDELEY_CITATION_v3_eyJjaXRhdGlvbklEIjoiTUVOREVMRVlfQ0lUQVRJT05fMjAyYTgzNzctYjVkZi00OGJjLThjMWQtZDJiNTE3NTM4NGI4IiwicHJvcGVydGllcyI6eyJub3RlSW5kZXgiOjB9LCJpc0VkaXRlZCI6ZmFsc2UsIm1hbnVhbE92ZXJyaWRlIjp7ImlzTWFudWFsbHlPdmVycmlkZGVuIjpmYWxzZSwiY2l0ZXByb2NUZXh0IjoiKDYyKSIsIm1hbnVhbE92ZXJyaWRlVGV4dCI6IiJ9LCJjaXRhdGlvbkl0ZW1zIjpbeyJpZCI6IjVlMmI5MWZhLWViOTYtMzhmZC05NWJhLTcwNzI1ZTYwZGRlYiIsIml0ZW1EYXRhIjp7InR5cGUiOiJhcnRpY2xlLWpvdXJuYWwiLCJpZCI6IjVlMmI5MWZhLWViOTYtMzhmZC05NWJhLTcwNzI1ZTYwZGRlYiIsInRpdGxlIjoiQ2FuY2VyIHN0YXRpc3RpY3MsIDIwMjQiLCJhdXRob3IiOlt7ImZhbWlseSI6IlNpZWdlbCBNcGgiLCJnaXZlbiI6IlJlYmVjY2EgTCIsInBhcnNlLW5hbWVzIjpmYWxzZSwiZHJvcHBpbmctcGFydGljbGUiOiIiLCJub24tZHJvcHBpbmctcGFydGljbGUiOiIifSx7ImZhbWlseSI6IkdpYXF1aW50byIsImdpdmVuIjoiQW5nZWxhIE4iLCJwYXJzZS1uYW1lcyI6ZmFsc2UsImRyb3BwaW5nLXBhcnRpY2xlIjoiIiwibm9uLWRyb3BwaW5nLXBhcnRpY2xlIjoiIn0seyJmYW1pbHkiOiJBaG1lZGluIiwiZ2l2ZW4iOiJ8IiwicGFyc2UtbmFtZXMiOmZhbHNlLCJkcm9wcGluZy1wYXJ0aWNsZSI6IiIsIm5vbi1kcm9wcGluZy1wYXJ0aWNsZSI6IiJ9LHsiZmFtaWx5IjoiRHZtIiwiZ2l2ZW4iOiJKZW1hbCIsInBhcnNlLW5hbWVzIjpmYWxzZSwiZHJvcHBpbmctcGFydGljbGUiOiIiLCJub24tZHJvcHBpbmctcGFydGljbGUiOiIifSx7ImZhbWlseSI6IlNpZWdlbCIsImdpdmVuIjoiUmViZWNjYSBMIiwicGFyc2UtbmFtZXMiOmZhbHNlLCJkcm9wcGluZy1wYXJ0aWNsZSI6IiIsIm5vbi1kcm9wcGluZy1wYXJ0aWNsZSI6IiJ9XSwiY29udGFpbmVyLXRpdGxlIjoiQ0E6IEEgQ2FuY2VyIEpvdXJuYWwgZm9yIENsaW5pY2lhbnMiLCJjb250YWluZXItdGl0bGUtc2hvcnQiOiJDQSBDYW5jZXIgSiBDbGluIiwiRE9JIjoiMTAuMzMyMi9DQUFDLjIxODIwIiwiSVNTTiI6IjE1NDItNDg2MyIsIlBNSUQiOiIzODIzMDc2NiIsImlzc3VlZCI6eyJkYXRlLXBhcnRzIjpbWzIwMjQsMV1dfSwicGFnZSI6IjEyLTQ5IiwiYWJzdHJhY3QiOiJFYWNoIHllYXIsIHRoZSBBbWVyaWNhbiBDYW5jZXIgU29jaWV0eSBlc3RpbWF0ZXMgdGhlIG51bWJlcnMgb2YgbmV3IGNhbmNlciBjYXNlcyBhbmQgZGVhdGhzIGluIHRoZSBVbml0ZWQgU3RhdGVzIGFuZCBjb21waWxlcyB0aGUgbW9zdCByZWNlbnQgZGF0YSBvbiBwb3B1bGF0aW9u4oCQYmFzZWQgY2FuY2VyIG9jY3VycmVuY2UgYW5kIG91dGNvbWVzIHVzaW5nIGluY2lkZW5jZSBkYXRhIGNvbGxlY3RlZCBieSBjZW50cmFsIGNhbmNlciByZWdpc3RyaWVzICh0aHJvdWdoIDIwMjApIGFuZCBtb3J0YWxpdHkgZGF0YSBjb2xsZWN0ZWQgYnkgdGhlIE5hdGlvbmFsIENlbnRlciBmb3IgSGVhbHRoIFN0YXRpc3RpY3MgKHRocm91Z2ggMjAyMSkuIEluIDIwMjQsIDIsMDAxLDE0MCBuZXcgY2FuY2VyIGNhc2VzIGFuZCA2MTEsNzIwIGNhbmNlciBkZWF0aHMgYXJlIHByb2plY3RlZCB0byBvY2N1ciBpbiB0aGUgVW5pdGVkIFN0YXRlcy4gQ2FuY2VyIG1vcnRhbGl0eSBjb250aW51ZWQgdG8gZGVjbGluZSB0aHJvdWdoIDIwMjEsIGF2ZXJ0aW5nIG92ZXIgNCBtaWxsaW9uIGRlYXRocyBzaW5jZSAxOTkxIGJlY2F1c2Ugb2YgcmVkdWN0aW9ucyBpbiBzbW9raW5nLCBlYXJsaWVyIGRldGVjdGlvbiBmb3Igc29tZSBjYW5jZXJzLCBhbmQgaW1wcm92ZWQgdHJlYXRtZW50IG9wdGlvbnMgaW4gYm90aCB0aGUgYWRqdXZhbnQgYW5kIG1ldGFzdGF0aWMgc2V0dGluZ3MuIEhvd2V2ZXIsIHRoZXNlIGdhaW5zIGFyZSB0aHJlYXRlbmVkIGJ5IGluY3JlYXNpbmcgaW5jaWRlbmNlIGZvciA2IG9mIHRoZSB0b3AgMTAgY2FuY2Vycy4gSW5jaWRlbmNlIHJhdGVzIGluY3JlYXNlZCBkdXJpbmcgMjAxNeKAkzIwMTkgYnkgMC42JeKAkzElIGFubnVhbGx5IGZvciBicmVhc3QsIHBhbmNyZWFzLCBhbmQgdXRlcmluZSBjb3JwdXMgY2FuY2VycyBhbmQgYnkgMiXigJMzJSBhbm51YWxseSBmb3IgcHJvc3RhdGUsIGxpdmVyIChmZW1hbGUpLCBraWRuZXksIGFuZCBodW1hbiBwYXBpbGxvbWF2aXJ1c+KAkGFzc29jaWF0ZWQgb3JhbCBjYW5jZXJzIGFuZCBmb3IgbWVsYW5vbWEuIEluY2lkZW5jZSByYXRlcyBhbHNvIGluY3JlYXNlZCBieSAxJeKAkzIlIGFubnVhbGx5IGZvciBjZXJ2aWNhbCAoYWdlcyAzMOKAkzQ0IHllYXJzKSBhbmQgY29sb3JlY3RhbCBjYW5jZXJzIChhZ2VzIDw1NSB5ZWFycykgaW4geW91bmcgYWR1bHRzLiBDb2xvcmVjdGFsIGNhbmNlciB3YXMgdGhlIGZvdXJ0aOKAkGxlYWRpbmcgY2F1c2Ugb2YgY2FuY2VyIGRlYXRoIGluIGJvdGggbWVuIGFuZCB3b21lbiB5b3VuZ2VyIHRoYW4gNTDCoHllYXJzIGluIHRoZSBsYXRl4oCQMTk5MHMgYnV0IGlzIG5vdyBmaXJzdCBpbiBtZW4gYW5kIHNlY29uZCBpbiB3b21lbi4gUHJvZ3Jlc3MgaXMgYWxzbyBoYW1wZXJlZCBieSB3aWRlIHBlcnNpc3RlbnQgY2FuY2VyIGRpc3Bhcml0aWVzOyBjb21wYXJlZCB0byBXaGl0ZSBwZW9wbGUsIG1vcnRhbGl0eSByYXRlcyBhcmUgdHdv4oCQZm9sZCBoaWdoZXIgZm9yIHByb3N0YXRlLCBzdG9tYWNoIGFuZCB1dGVyaW5lIGNvcnB1cyBjYW5jZXJzIGluIEJsYWNrIHBlb3BsZSBhbmQgZm9yIGxpdmVyLCBzdG9tYWNoLCBhbmQga2lkbmV5IGNhbmNlcnMgaW4gTmF0aXZlIEFtZXJpY2FuIHBlb3BsZS4gQ29udGludWVkIG5hdGlvbmFsIHByb2dyZXNzIHdpbGwgcmVxdWlyZSBpbmNyZWFzZWQgaW52ZXN0bWVudCBpbiBjYW5jZXIgcHJldmVudGlvbiBhbmQgYWNjZXNzIHRvIGVxdWl0YWJsZSB0cmVhdG1lbnQsIGVzcGVjaWFsbHkgYW1vbmcgQW1lcmljYW4gSW5kaWFuIGFuZCBBbGFza2EgTmF0aXZlIGFuZCBCbGFjayBpbmRpdmlkdWFscy4iLCJwdWJsaXNoZXIiOiJBbWVyaWNhbiBDYW5jZXIgU29jaWV0eSIsImlzc3VlIjoiMSIsInZvbHVtZSI6Ijc0In0sImlzVGVtcG9yYXJ5IjpmYWxzZX1dfQ=="/>
          <w:id w:val="142003910"/>
        </w:sdtPr>
        <w:sdtContent>
          <w:r>
            <w:rPr>
              <w:rFonts w:eastAsia="MS Mincho"/>
              <w:color w:val="000000"/>
            </w:rPr>
          </w:r>
          <w:r>
            <w:rPr>
              <w:color w:val="000000"/>
            </w:rPr>
            <w:t>(62)</w:t>
          </w:r>
        </w:sdtContent>
      </w:sdt>
      <w:r>
        <w:rPr/>
        <w:t xml:space="preserve">. Este </w:t>
      </w:r>
      <w:r>
        <w:rPr/>
        <w:t>hallazgo podría explicarse por varios factores: diferencias en los patrones de tamizaje y detección incidental, variabilidad en la clasificación histopatológica aplicada en los informes de patología y posible subregistro debido a las limitaciones diagnósticas en centros no especializados</w:t>
      </w:r>
      <w:sdt>
        <w:sdtPr>
          <w:placeholder>
            <w:docPart w:val="DefaultPlaceholder_-1854013440"/>
          </w:placeholder>
          <w:tag w:val="MENDELEY_CITATION_v3_eyJjaXRhdGlvbklEIjoiTUVOREVMRVlfQ0lUQVRJT05fNTJjMDMyODQtMjAzNy00MmYyLTk5YzUtMDI4NmVmZTk3ZDM1IiwicHJvcGVydGllcyI6eyJub3RlSW5kZXgiOjB9LCJpc0VkaXRlZCI6ZmFsc2UsIm1hbnVhbE92ZXJyaWRlIjp7ImlzTWFudWFsbHlPdmVycmlkZGVuIjpmYWxzZSwiY2l0ZXByb2NUZXh0IjoiKDEpIiwibWFudWFsT3ZlcnJpZGVUZXh0IjoiIn0sImNpdGF0aW9uSXRlbXMiOlt7ImlkIjoiYjNjOWIwN2QtMDU4NC0zZDQ5LTg1NWEtZmE1OGRiMGM1OWM3IiwiaXRlbURhdGEiOnsidHlwZSI6IndlYnBhZ2UiLCJpZCI6ImIzYzliMDdkLTA1ODQtM2Q0OS04NTVhLWZhNThkYjBjNTljNyIsInRpdGxlIjoiU0VFUipFeHBsb3JlciBBcHBsaWNhdGlvbiIsImF1dGhvciI6W3siZmFtaWx5IjoiTmF0aW9uYWwgQ2FuY2VyIEluc3RpdHV0ZSIsImdpdmVuIjoiIiwicGFyc2UtbmFtZXMiOmZhbHNlLCJkcm9wcGluZy1wYXJ0aWNsZSI6IiIsIm5vbi1kcm9wcGluZy1wYXJ0aWNsZSI6IiJ9XSwiY29udGFpbmVyLXRpdGxlIjoiQmV0aGVzZGEgKE1EKSIsIlVSTCI6Imh0dHBzOi8vc2Vlci5jYW5jZXIuZ292L3JlZ2lzdHJpZXMvdGVybXMuaHRtbCIsImlzc3VlZCI6eyJkYXRlLXBhcnRzIjpbWzIwMjUsNSwzMF1dfSwibGFuZ3VhZ2UiOiJJbmdsw6lzIiwiY29udGFpbmVyLXRpdGxlLXNob3J0IjoiIn0sImlzVGVtcG9yYXJ5IjpmYWxzZX1dfQ=="/>
          <w:id w:val="931313660"/>
        </w:sdtPr>
        <w:sdtContent>
          <w:r>
            <w:rPr/>
          </w:r>
          <w:r>
            <w:rPr>
              <w:color w:val="000000"/>
            </w:rPr>
            <w:t>(1)</w:t>
          </w:r>
        </w:sdtContent>
      </w:sdt>
      <w:r>
        <w:rPr/>
        <w:t>.</w:t>
      </w:r>
    </w:p>
    <w:p>
      <w:pPr>
        <w:pStyle w:val="p1"/>
        <w:spacing w:lineRule="auto" w:line="360" w:before="280" w:after="280"/>
        <w:jc w:val="both"/>
        <w:rPr/>
      </w:pPr>
      <w:r>
        <w:rPr/>
        <w:t xml:space="preserve">Otro aspecto destacable es la alta proporción de casos clasificados como “neoplasia maligna SAI” (sin otra especificación), especialmente en mujeres (33 %). Este porcentaje excede lo reportado en series internacionales recientes, donde las categorías SAI representan menos del 10–12 % de los diagnósticos (1,66). La presencia de un alto porcentaje de tumores no especificados sugiere una oportunidad importante para fortalecer la calidad de la evaluación histopatológica en Costa Rica, mediante la implementación de protocolos estandarizados de reporte oncológico, como los recomendados por el </w:t>
      </w:r>
      <w:r>
        <w:rPr>
          <w:rStyle w:val="Emphasis"/>
        </w:rPr>
        <w:t>College of American Pathologists</w:t>
      </w:r>
      <w:r>
        <w:rPr/>
        <w:t xml:space="preserve"> (CAP) y por la OMS </w:t>
      </w:r>
      <w:sdt>
        <w:sdtPr>
          <w:placeholder>
            <w:docPart w:val="DefaultPlaceholder_-1854013440"/>
          </w:placeholder>
          <w:tag w:val="MENDELEY_CITATION_v3_eyJjaXRhdGlvbklEIjoiTUVOREVMRVlfQ0lUQVRJT05fYWMzYmVlYTctMWIzMy00Mjk3LThiOTItYWM1ZWY2ZjVjODUyIiwicHJvcGVydGllcyI6eyJub3RlSW5kZXgiOjB9LCJpc0VkaXRlZCI6ZmFsc2UsIm1hbnVhbE92ZXJyaWRlIjp7ImlzTWFudWFsbHlPdmVycmlkZGVuIjpmYWxzZSwiY2l0ZXByb2NUZXh0IjoiKDQpIiwibWFudWFsT3ZlcnJpZGVUZXh0IjoiIn0sImNpdGF0aW9uSXRlbXMiOlt7ImlkIjoiNWIxMzg5ZjMtOTI5YS0zYjFjLTk0ZjMtZjZjMGMxMmY1OWZhIiwiaXRlbURhdGEiOnsidHlwZSI6ImFydGljbGUtam91cm5hbCIsImlkIjoiNWIxMzg5ZjMtOTI5YS0zYjFjLTk0ZjMtZjZjMGMxMmY1OWZhIiwidGl0bGUiOiJJbmNpZGVuY2UgdHJlbmRzIGFuZCBzdXJ2aXZhbCBhbmFseXNpcyBvZiBhcHBlbmRpY2VhbCB0dW1vcnMgaW4gdGhlIFVuaXRlZCBTdGF0ZXM6IFByaW1hcmlseSBjaGFuZ2VzIGluIGFwcGVuZGljZWFsIG5ldXJvZW5kb2NyaW5lIHR1bW9ycyIsImF1dGhvciI6W3siZmFtaWx5IjoiV2FuZyIsImdpdmVuIjoiRGFuIiwicGFyc2UtbmFtZXMiOmZhbHNlLCJkcm9wcGluZy1wYXJ0aWNsZSI6IiIsIm5vbi1kcm9wcGluZy1wYXJ0aWNsZSI6IiJ9LHsiZmFtaWx5IjoiR2UiLCJnaXZlbiI6IkhlbWluZyIsInBhcnNlLW5hbWVzIjpmYWxzZSwiZHJvcHBpbmctcGFydGljbGUiOiIiLCJub24tZHJvcHBpbmctcGFydGljbGUiOiIifSx7ImZhbWlseSI6Ikx1IiwiZ2l2ZW4iOiJZZWJpbiIsInBhcnNlLW5hbWVzIjpmYWxzZSwiZHJvcHBpbmctcGFydGljbGUiOiIiLCJub24tZHJvcHBpbmctcGFydGljbGUiOiIifSx7ImZhbWlseSI6IkdvbmciLCJnaXZlbiI6Ilh1ZWp1biIsInBhcnNlLW5hbWVzIjpmYWxzZSwiZHJvcHBpbmctcGFydGljbGUiOiIiLCJub24tZHJvcHBpbmctcGFydGljbGUiOiIifV0sImNvbnRhaW5lci10aXRsZSI6IlBMb1MgT05FIiwiY29udGFpbmVyLXRpdGxlLXNob3J0IjoiUExvUyBPbmUiLCJhY2Nlc3NlZCI6eyJkYXRlLXBhcnRzIjpbWzIwMjUsNCwxN11dfSwiRE9JIjoiMTAuMTM3MS9KT1VSTkFMLlBPTkUuMDI5NDE1MyIsIklTU04iOiIxOTMyNjIwMyIsIlBNSUQiOiIzNzk1NjE5MCIsImlzc3VlZCI6eyJkYXRlLXBhcnRzIjpbWzIwMjMsMTEsMV1dfSwiYWJzdHJhY3QiOiJCYWNrZ3JvdW5kIEFwcGVuZGljZWFsIHR1bW9ycyBhcmUgY29uc2lkZXJlZCB0byBiZSBhIHJlbGF0aXZlbHkgcmFyZSB0dW1vciBvZiB0aGUgZ2FzdHJvaW50ZXN0aW5hbCB0cmFjdCBhbmQgdGhlIHByb2dub3NpcyBpcyB1bmNsZWFyLiBUaGlzIHN0dWR5IGNvbXByZWhlbnNpdmVseSBpbnZlc3RpZ2F0ZWQgdHJlbmRzIGluIHRoZSBlcGlkZW1pb2xvZ3kgYW5kIHN1cnZpdmFsIG9mIGFwcGVuZGljZWFsIHR1bW9ycyBpbiB0aGUgVW5pdGVkIFN0YXRlcyBvdmVyIHRoZSBwYXN0IGFwcHJveGltYXRlbHkgMjAgeWVhcnMuIE1ldGhvZHMgUGF0aWVudHMgd2l0aCBwYXRob2xvZ2ljYWxseSBjb25maXJtZWQgYXBwZW5kaWNlYWwgdHVtb3JzIGZyb20gMjAwMCB0byAyMDE3IHdlcmUgc2VsZWN0ZWQgZnJvbSB0aGUgU3VydmVpbGxhbmNlLCBFcGlkZW1pb2xvZ3kgYW5kIEVuZCBSZXN1bHRzIChTRUVSKSBkYXRhYmFzZS4gQWdlLWFkanVzdGVkIGluY2lkZW5jZSByYXRlcyB3ZXJlIGNhbGN1bGF0ZWQgYnkgU0VFUipTdGF0IDguNC4wLiBUaGUgS2FwbGFuLU1laWVyIG1ldGhvZCB3YXMgdXNlZCB0byBhbmFseXplIHN1cnZpdmFsIGFuZCBwcm9nbm9zdGljIGZhY3RvcnMgd2VyZSBpbnZlc3RpZ2F0ZWQgYnkgYSBtdWx0aXZhcmlhdGUgQ294IHByb3BvcnRpb25hbCByaXNrIG1vZGVsLiBSZXN1bHRzIFVsdGltYXRlbHksIDEzLDU0NiBwYXRpZW50cyB3aXRoIGFwcGVuZGljZWFsIHR1bW9ycyBiZXR3ZWVuIDIwMDAgYW5kIDIwMTcgd2VyZSBpbmNsdWRlZC4gVGhlIGFubnVhbCBpbmNpZGVuY2Ugb2YgY29sb25pYyBhZGVub2NhcmNpbm9tYSBhbmQgbXVjaW5vdXMgYWRlbm9jYXJjaW5vbWEgcmVtYWluZWQgcmVsYXRpdmVseSBzdGFibGUuIEludGVyZXN0aW5nbHksIHRoZSBhbm51YWwgaW5jaWRlbmNlIG9mIGFwcGVuZGljZWFsIG5ldXJvZW5kb2NyaW5lIHR1bW9ycyAoYU5FVHMpIGluY3JlYXNlZCBzaWduaWZpY2FudGx5LCBmcm9tIDAuMDMgdG8gMC45MCBwZXIgMTAwLDAwMCBwZXJzb24teWVhcnMsIHdpdGggdGhlIG1vc3QgZHJhbWF0aWMgaW5jcmVhc2UgaW4gdGhlIG51bWJlciBvZiBwYXRpZW50cyB3aXRoIGxvY2FsaXplZCBkaXNlYXNlLiBQYXRpZW50cyB3aXRoIGFORVRzIHNob3dlZCBhIHNpZ25pZmljYW50IGltcHJvdmVtZW50IGluIHN1cnZpdmFsIGJldHdlZW4gMjAwOeKAkzIwMTcsIGNvbXBhcmVkIHRvIHRoZSBwZXJpb2QgMjAwMOKAkzIwMDguIE1vcmVvdmVyLCB0aGlzIGltcHJvdmVtZW50IGluIHN1cnZpdmFsIG92ZXIgdGltZSB3YXMgc2VlbiBhdCBhbGwgc3RhZ2VzIChsb2NhbGl6ZWQsIHJlZ2lvbmFsLCBkaXN0YW50KSBvZiBhTkVUcy4gSG93ZXZlciwgdGhpcyBpbXByb3ZlZCBzdXJ2aXZhbCBvdmVyIHRpbWUgd2FzIG5vdCBzZWVuIGluIGNvbG9uaWMgYW5kIG11Y2lub3VzIGFkZW5vY2FyY2lub21hLiBDb25jbHVzaW9ucyBUaGUgaW5jaWRlbmNlIG9mIGFwcGVuZGljZWFsIG5lb3BsYXNtcyBoYXMgaW5jcmVhc2VkIHNpZ25pZmljYW50bHkgb3ZlciB0aGUgcGFzdCBuZWFybHkgdHdvIGRlY2FkZXMsIHdoaWNoIGlzIG1haW5seSBkdWUgdG8gdGhlIGluY3JlYXNlZCBpbmNpZGVuY2UgYW5kIHNpZ25pZmljYW50IG1pZ3JhdGlvbiB0byBlYXJsaWVyIHN0YWdlcyBpbiBhTkVUcy4gV2UgbXVzdCBub3RlIHRoYXQgZGVzcGl0ZSB0aGUgaW5jcmVhc2VkIGluY2lkZW5jZSBvZiBhTkVUcywgc3Vydml2YWwgcmF0ZXMgaGF2ZSBpbXByb3ZlZCBhdCBkaWZmZXJlbnQgZGlzZWFzZSBzdGFnZXMuIiwicHVibGlzaGVyIjoiUHVibGljIExpYnJhcnkgb2YgU2NpZW5jZSIsImlzc3VlIjoiMTEgTm92ZW1iZXIiLCJ2b2x1bWUiOiIxOCJ9LCJpc1RlbXBvcmFyeSI6ZmFsc2V9XX0="/>
          <w:id w:val="1250927897"/>
        </w:sdtPr>
        <w:sdtContent>
          <w:r>
            <w:rPr/>
          </w:r>
          <w:r>
            <w:rPr>
              <w:rFonts w:eastAsia="MS Mincho"/>
              <w:color w:val="000000"/>
            </w:rPr>
            <w:t>(4)</w:t>
          </w:r>
        </w:sdtContent>
      </w:sdt>
      <w:sdt>
        <w:sdtPr>
          <w:placeholder>
            <w:docPart w:val="DefaultPlaceholder_-1854013440"/>
          </w:placeholder>
          <w:tag w:val="MENDELEY_CITATION_v3_eyJjaXRhdGlvbklEIjoiTUVOREVMRVlfQ0lUQVRJT05fYTU3NDgwYmItMzI4OS00NGNjLTk1OTAtNmJlMjZjOGNmNjU1IiwicHJvcGVydGllcyI6eyJub3RlSW5kZXgiOjB9LCJpc0VkaXRlZCI6ZmFsc2UsIm1hbnVhbE92ZXJyaWRlIjp7ImlzTWFudWFsbHlPdmVycmlkZGVuIjpmYWxzZSwiY2l0ZXByb2NUZXh0IjoiKDYxKSIsIm1hbnVhbE92ZXJyaWRlVGV4dCI6IiJ9LCJjaXRhdGlvbkl0ZW1zIjpbeyJpZCI6IjA1N2UyZDY5LTUxNTctMzEyYS04ZWJmLTRlZDlkMTRiNDNkYSIsIml0ZW1EYXRhIjp7InR5cGUiOiJhcnRpY2xlLWpvdXJuYWwiLCJpZCI6IjA1N2UyZDY5LTUxNTctMzEyYS04ZWJmLTRlZDlkMTRiNDNkYSIsInRpdGxlIjoiQXBwZW5kaWNlYWwgQ2FuY2VyIGluIHRoZSBOYXRpb25hbCBDYW5jZXIgRGF0YWJhc2U6IEluY3JlYXNpbmcgRnJlcXVlbmN5LCBEZWNyZWFzaW5nIEFnZSwgYW5kIFNoaWZ0aW5nIEhpc3RvbG9neSIsImF1dGhvciI6W3siZmFtaWx5IjoiU2FsYXphciIsImdpdmVuIjoiTWljaGVsbGUgQy4iLCJwYXJzZS1uYW1lcyI6ZmFsc2UsImRyb3BwaW5nLXBhcnRpY2xlIjoiIiwibm9uLWRyb3BwaW5nLXBhcnRpY2xlIjoiIn0seyJmYW1pbHkiOiJDYW5hdmFuIiwiZ2l2ZW4iOiJNYXVyZWVuIEUuIiwicGFyc2UtbmFtZXMiOmZhbHNlLCJkcm9wcGluZy1wYXJ0aWNsZSI6IiIsIm5vbi1kcm9wcGluZy1wYXJ0aWNsZSI6IiJ9LHsiZmFtaWx5IjoiQ2hpbGFrYW1hcnJ5IiwiZ2l2ZW4iOiJTaXRhcmFtIiwicGFyc2UtbmFtZXMiOmZhbHNlLCJkcm9wcGluZy1wYXJ0aWNsZSI6IiIsIm5vbi1kcm9wcGluZy1wYXJ0aWNsZSI6IiJ9LHsiZmFtaWx5IjoiQm9mZmEiLCJnaXZlbiI6IkRhbmllbCBKLiIsInBhcnNlLW5hbWVzIjpmYWxzZSwiZHJvcHBpbmctcGFydGljbGUiOiIiLCJub24tZHJvcHBpbmctcGFydGljbGUiOiIifSx7ImZhbWlseSI6IlNjaHVzdGVyIiwiZ2l2ZW4iOiJLZXZpbiBNLiIsInBhcnNlLW5hbWVzIjpmYWxzZSwiZHJvcHBpbmctcGFydGljbGUiOiIiLCJub24tZHJvcHBpbmctcGFydGljbGUiOiIifV0sImNvbnRhaW5lci10aXRsZSI6IkpvdXJuYWwgb2YgdGhlIEFtZXJpY2FuIENvbGxlZ2Ugb2YgU3VyZ2VvbnMiLCJjb250YWluZXItdGl0bGUtc2hvcnQiOiJKIEFtIENvbGwgU3VyZyIsIkRPSSI6IjEwLjEwOTcvWENTLjAwMDAwMDAwMDAwMDAxNzIiLCJJU1NOIjoiMTg3OS0xMTkwIiwiUE1JRCI6IjM1NzAzODAxIiwiaXNzdWVkIjp7ImRhdGUtcGFydHMiOltbMjAyMiw2XV19LCJwYWdlIjoiMTA4Mi0xMDg5IiwiYWJzdHJhY3QiOiJCYWNrZ3JvdW5kOiBOb25vcGVyYXRpdmUgbWFuYWdlbWVudCBvZiBhY3V0ZSBhcHBlbmRpY2l0aXMgaXMgaW5jcmVhc2luZ2x5IGNvbW1vbi4gSG93ZXZlciwgc21hbGwgc3R1ZGllcyBoYXZlIGRlbW9uc3RyYXRlZCBoaWdoIHJhdGVzIG9mIGFwcGVuZGljZWFsIGNhbmNlciBpbiBpbnRlcnZhbCBhcHBlbmRlY3RvbXkgc3BlY2ltZW5zLiBUaGVyZWZvcmUsIHdlIHNvdWdodCB0byBpZGVudGlmeSBuYXRpb25hbCB0cmVuZHMgaW4gYXBwZW5kaWNlYWwgY2FuY2VyIGluY2lkZW5jZSBhbmQgaGlzdG9sb2d5LiBTdHVkeSBEZXNpZ246IFRoZSBOYXRpb25hbCBDYW5jZXIgRGF0YWJhc2Ugd2FzIHF1ZXJpZWQgZm9yIHBhdGllbnRzIDE4IHllYXJzIG9yIG9sZGVyLCBkaWFnbm9zZWQgd2l0aCBhIHJpZ2h0LXNpZGVkIGNvbG9uIGNhbmNlciAoaW5jbHVkaW5nIGFwcGVuZGljZWFsKSBmcm9tIDIwMDQgdG8gMjAxNyB3aG8gaGFkIHVuZGVyZ29uZSBzdXJnZXJ5LiBPdXRjb21lcyBpbmNsdWRlZCB0cmVuZHMgaW4gYXBwZW5kaWNlYWwgY2FuY2VyIGNvbXBhcmVkIHdpdGggcmlnaHQtc2lkZWQgY29sb24gY2FuY2VycyBhbmQgdHJlbmRzIGluIGFwcGVuZGljZWFsIGNhbmNlciBoaXN0b2xvZ3kuIExvZ2lzdGljIHJlZ3Jlc3Npb24gd2FzIHVzZWQgdG8gYXNzZXNzIHRyZW5kcyBvdmVyIHRpbWUgd2hpbGUgYWRqdXN0aW5nIGZvciBwYXRpZW50IGFnZSwgaW5zdXJhbmNlLCBpbmNvbWUsIGFyZWEgb2YgcmVzaWRlbmNlLCBhbmQgY29tb3JiaWRpdHkuIFByZWRpY3RlZCBwcm9iYWJpbGl0aWVzIG9mIHRoZSBvdXRjb21lcyB3ZXJlIGRlcml2ZWQgZnJvbSB0aGUgbG9naXN0aWMgcmVncmVzc2lvbiBtb2RlbHMuIFJlc3VsdHM6IE9mIDM4Nyw4NjcgcGF0aWVudHMgd2l0aCByaWdodC1zaWRlZCBjb2xvbiBjYW5jZXIsIDE5LDU3MCBoYWQgYXBwZW5kaWNlYWwgY2FuY2VyIGFuZCBvZiB0aG9zZSA1LDYyOCBoYWQgYSBjYXJjaW5vaWQgdHVtb3IuIE9kZHMgb2YgYXBwZW5kaWNlYWwgY2FuY2VyLCByZWxhdGl2ZSB0byBvdGhlciByaWdodC1zaWRlZCBjb2xvbiBjYW5jZXJzLCBpbmNyZWFzZWQgZnJvbSAyMDA0IHRvIDIwMTcgKG9kZHMgcmF0aW8gW09SXSAyLjU2LCA5NSUgQ0kgMi4zNS0yLjc5KS4gVGhlIGluY3JlYXNlIG9jY3VycmVkIGluIGFsbCBhZ2UgZ3JvdXBzOyBob3dldmVyLCBpdCB3YXMgbW9yZSBtYXJrZWRseSBpbmNyZWFzZWQgaW4gcGF0aWVudHMgNDAtNDkgeWVhcnMgb2xkICgyMDA0OiAxMCUsIDk1JSBDSSA5LTEyIHRvIDIwMTc6IDE4JSwgOTUlIENJIDE2LTIwOyBwYWlyd2lzZSBjb21wYXJpc29ucyBwIDwgMC4wMDEpLiBPZGRzIG9mIGFwcGVuZGljZWFsIGNhcmNpbm9pZCwgcmVsYXRpdmUgdG8gb3RoZXIgYXBwZW5kaWNlYWwgaGlzdG9sb2dpZXMsIGluY3JlYXNlZCBmcm9tIDIwMDQgdG8gMjAxNyAoT1IgMS43MCwgOTUlIENJIDEuNDAtMi4wNykgd2l0aCB0aGUgZ3JlYXRlc3QgaW5jcmVhc2UgaW4gcHJvYmFiaWxpdHkgb2YgYSBjYXJjaW5vaWQgaW4gcGF0aWVudHMgeW91bmdlciB0aGFuIDQwIHllYXJzIG9sZCAoMjAwNDogMjQlLCA5NSUgQ0kgMTUtMzQgdG8gMjAxNzogNDUlLCA5NSUgQ0kgMzctNTM7IHBhaXJ3aXNlIGNvbXBhcmlzb25zIHAgPCAwLjAwMSkuIENvbmNsdXNpb246IEFwcGVuZGljZWFsIGNhbmNlciBoYXMgaW5jcmVhc2VkIG92ZXIgdGltZSwgYW5kIHRoZSBpbmNyZWFzZSBhcHBlYXJzIHRvIGJlIGRyaXZlbiBieSBhIHJpc2UgaW4gY2FyY2lub2lkcywgbW9zdCBwcmV2YWxlbnQgaW4gcGF0aWVudHMgNDkgeWVhcnMgb2YgYWdlIG9yIHlvdW5nZXIuIFdoZW4gbm9ub3BlcmF0aXZlIG1hbmFnZW1lbnQgb2YgYWN1dGUgYXBwZW5kaWNpdGlzIGlzIHVuZGVydGFrZW4sIGNsb3NlIGZvbGxvdy11cCBtYXkgYmUgYXBwcm9wcmlhdGUgZ2l2ZW4gdGhlc2UgZmluZGluZ3MuIiwicHVibGlzaGVyIjoiSiBBbSBDb2xsIFN1cmciLCJpc3N1ZSI6IjYiLCJ2b2x1bWUiOiIyMzQifSwiaXNUZW1wb3JhcnkiOmZhbHNlfV19"/>
          <w:id w:val="-587067324"/>
        </w:sdtPr>
        <w:sdtContent>
          <w:r>
            <w:rPr>
              <w:rFonts w:eastAsia="MS Mincho"/>
              <w:color w:val="000000"/>
            </w:rPr>
          </w:r>
          <w:r>
            <w:rPr>
              <w:rFonts w:eastAsia="MS Mincho"/>
              <w:color w:val="000000"/>
            </w:rPr>
            <w:t>(61)</w:t>
          </w:r>
        </w:sdtContent>
      </w:sdt>
    </w:p>
    <w:p>
      <w:pPr>
        <w:pStyle w:val="Heading3"/>
        <w:numPr>
          <w:ilvl w:val="2"/>
          <w:numId w:val="95"/>
        </w:numPr>
        <w:rPr/>
      </w:pPr>
      <w:bookmarkStart w:id="249" w:name="_Toc199584642"/>
      <w:bookmarkStart w:id="250" w:name="_Toc200580282"/>
      <w:bookmarkStart w:id="251" w:name="_Toc200580281"/>
      <w:bookmarkStart w:id="252" w:name="_Toc200580280"/>
      <w:bookmarkStart w:id="253" w:name="_Toc200580279"/>
      <w:bookmarkEnd w:id="251"/>
      <w:bookmarkEnd w:id="252"/>
      <w:bookmarkEnd w:id="253"/>
      <w:r>
        <w:rPr/>
        <w:t>Tendencia creciente y mejora diagnóstica</w:t>
      </w:r>
      <w:bookmarkEnd w:id="249"/>
      <w:bookmarkEnd w:id="250"/>
    </w:p>
    <w:p>
      <w:pPr>
        <w:pStyle w:val="p3"/>
        <w:spacing w:lineRule="auto" w:line="360" w:before="280" w:after="280"/>
        <w:jc w:val="both"/>
        <w:rPr/>
      </w:pPr>
      <w:r>
        <w:rPr/>
        <w:t>Si bien la incidencia anual presenta oscilaciones interanuales, el análisis estadístico de tendencia reveló una pendiente positiva significativa (p &lt; 0.05) en los tres escenarios evaluados: incidencia total, en hombres y en mujeres. Esto sugiere una tendencia real al aumento en la detección de casos de cáncer apendicular en el país, especialmente durante la última década.</w:t>
      </w:r>
    </w:p>
    <w:p>
      <w:pPr>
        <w:pStyle w:val="p3"/>
        <w:spacing w:lineRule="auto" w:line="360" w:before="280" w:after="280"/>
        <w:jc w:val="both"/>
        <w:rPr/>
      </w:pPr>
      <w:r>
        <w:rPr/>
        <w:t>Aunque no existe evidencia científica concluyente que explique este cambio en la tendencia, dicho aumento podría estar relacionado con varios factores:</w:t>
      </w:r>
    </w:p>
    <w:p>
      <w:pPr>
        <w:pStyle w:val="p1"/>
        <w:numPr>
          <w:ilvl w:val="0"/>
          <w:numId w:val="30"/>
        </w:numPr>
        <w:spacing w:lineRule="auto" w:line="360" w:before="280" w:after="0"/>
        <w:jc w:val="both"/>
        <w:rPr/>
      </w:pPr>
      <w:r>
        <w:rPr>
          <w:rStyle w:val="s1"/>
          <w:b/>
          <w:bCs/>
        </w:rPr>
        <w:t>Mayor disponibilidad de estudios por imagen</w:t>
      </w:r>
      <w:r>
        <w:rPr/>
        <w:t>, como la tomografía computarizada, que permite identificar incidentalomas apendiculares en pacientes evaluados por dolor abdominal inespecífico.</w:t>
      </w:r>
    </w:p>
    <w:p>
      <w:pPr>
        <w:pStyle w:val="p1"/>
        <w:numPr>
          <w:ilvl w:val="0"/>
          <w:numId w:val="30"/>
        </w:numPr>
        <w:spacing w:lineRule="auto" w:line="360" w:before="0" w:after="0"/>
        <w:jc w:val="both"/>
        <w:rPr/>
      </w:pPr>
      <w:r>
        <w:rPr>
          <w:rStyle w:val="s1"/>
          <w:b/>
          <w:bCs/>
        </w:rPr>
        <w:t>Mejoría progresiva en los servicios de patología</w:t>
      </w:r>
      <w:r>
        <w:rPr/>
        <w:t>, con la incorporación de técnicas de inmunohistoquímica y reportes más estructurados.</w:t>
      </w:r>
    </w:p>
    <w:p>
      <w:pPr>
        <w:pStyle w:val="p1"/>
        <w:numPr>
          <w:ilvl w:val="0"/>
          <w:numId w:val="30"/>
        </w:numPr>
        <w:spacing w:lineRule="auto" w:line="360" w:before="0" w:after="0"/>
        <w:jc w:val="both"/>
        <w:rPr/>
      </w:pPr>
      <w:r>
        <w:rPr>
          <w:rStyle w:val="s1"/>
          <w:b/>
          <w:bCs/>
        </w:rPr>
        <w:t>Mayor conciencia clínica</w:t>
      </w:r>
      <w:r>
        <w:rPr/>
        <w:t xml:space="preserve"> sobre entidades previamente subvaloradas, como LAMN o HAMN, que anteriormente podían clasificarse como “apendicitis complicada” o tumores del colon derecho.</w:t>
      </w:r>
    </w:p>
    <w:p>
      <w:pPr>
        <w:pStyle w:val="Heading3"/>
        <w:numPr>
          <w:ilvl w:val="2"/>
          <w:numId w:val="96"/>
        </w:numPr>
        <w:rPr/>
      </w:pPr>
      <w:bookmarkStart w:id="254" w:name="_Toc199584643"/>
      <w:bookmarkStart w:id="255" w:name="_Toc200580283"/>
      <w:r>
        <w:rPr/>
        <w:t>Necesidad de fortalecimiento del RNT</w:t>
      </w:r>
      <w:bookmarkEnd w:id="254"/>
      <w:bookmarkEnd w:id="255"/>
    </w:p>
    <w:p>
      <w:pPr>
        <w:pStyle w:val="p4"/>
        <w:spacing w:lineRule="auto" w:line="360" w:before="280" w:after="280"/>
        <w:jc w:val="both"/>
        <w:rPr/>
      </w:pPr>
      <w:r>
        <w:rPr>
          <w:rStyle w:val="s3"/>
        </w:rPr>
        <w:t xml:space="preserve">Finalmente, este análisis </w:t>
      </w:r>
      <w:r>
        <w:rPr/>
        <w:t>resalta la necesidad urgente de fortalecer los procesos de notificación y codificación del RNT, con énfasis en</w:t>
      </w:r>
      <w:r>
        <w:rPr>
          <w:rStyle w:val="s3"/>
        </w:rPr>
        <w:t>:</w:t>
      </w:r>
    </w:p>
    <w:p>
      <w:pPr>
        <w:pStyle w:val="p1"/>
        <w:numPr>
          <w:ilvl w:val="0"/>
          <w:numId w:val="31"/>
        </w:numPr>
        <w:spacing w:lineRule="auto" w:line="360" w:before="280" w:after="0"/>
        <w:jc w:val="both"/>
        <w:rPr/>
      </w:pPr>
      <w:r>
        <w:rPr/>
        <w:t>La capacitación del personal codificador de REDES en oncología digestiva.</w:t>
      </w:r>
    </w:p>
    <w:p>
      <w:pPr>
        <w:pStyle w:val="p1"/>
        <w:numPr>
          <w:ilvl w:val="0"/>
          <w:numId w:val="31"/>
        </w:numPr>
        <w:spacing w:lineRule="auto" w:line="360" w:before="0" w:after="0"/>
        <w:jc w:val="both"/>
        <w:rPr/>
      </w:pPr>
      <w:r>
        <w:rPr/>
        <w:t>La estandarización de los reportes anatomopatológicos mediante el uso del lenguaje CIE-O-3.</w:t>
      </w:r>
    </w:p>
    <w:p>
      <w:pPr>
        <w:pStyle w:val="p1"/>
        <w:numPr>
          <w:ilvl w:val="0"/>
          <w:numId w:val="31"/>
        </w:numPr>
        <w:spacing w:lineRule="auto" w:line="360" w:before="0" w:after="280"/>
        <w:jc w:val="both"/>
        <w:rPr/>
      </w:pPr>
      <w:r>
        <w:rPr/>
        <w:t>La incorporación automatizada del subtipo histológico desde los sistemas de patología digital.</w:t>
      </w:r>
    </w:p>
    <w:p>
      <w:pPr>
        <w:pStyle w:val="p3"/>
        <w:spacing w:lineRule="auto" w:line="360" w:before="280" w:after="280"/>
        <w:jc w:val="both"/>
        <w:rPr/>
      </w:pPr>
      <w:r>
        <w:rPr/>
        <w:t>El mejoramiento de estos aspectos permitiría, en el futuro, disponer de una base de datos más robusta y precisa, que facilite la realización de estudios clínico-epidemiológicos con mayor resolución y relevancia operativa.</w:t>
      </w:r>
    </w:p>
    <w:p>
      <w:pPr>
        <w:pStyle w:val="Normal"/>
        <w:spacing w:lineRule="auto" w:line="276" w:before="0" w:after="200"/>
        <w:rPr/>
      </w:pPr>
      <w:r>
        <w:rPr/>
      </w:r>
      <w:bookmarkStart w:id="256" w:name="_Toc199584644"/>
      <w:bookmarkStart w:id="257" w:name="_Toc199584644"/>
      <w:r>
        <w:br w:type="page"/>
      </w:r>
    </w:p>
    <w:p>
      <w:pPr>
        <w:pStyle w:val="Heading1"/>
        <w:numPr>
          <w:ilvl w:val="0"/>
          <w:numId w:val="42"/>
        </w:numPr>
        <w:spacing w:before="0" w:after="0"/>
        <w:rPr/>
      </w:pPr>
      <w:bookmarkStart w:id="258" w:name="_Toc199584644"/>
      <w:bookmarkStart w:id="259" w:name="_Toc200580321"/>
      <w:bookmarkStart w:id="260" w:name="_Toc200580320"/>
      <w:bookmarkStart w:id="261" w:name="_Toc200580319"/>
      <w:bookmarkStart w:id="262" w:name="_Toc200580318"/>
      <w:bookmarkStart w:id="263" w:name="_Toc200580317"/>
      <w:bookmarkStart w:id="264" w:name="_Toc200580316"/>
      <w:bookmarkStart w:id="265" w:name="_Toc200580315"/>
      <w:bookmarkStart w:id="266" w:name="_Toc200580314"/>
      <w:bookmarkStart w:id="267" w:name="_Toc200580313"/>
      <w:bookmarkStart w:id="268" w:name="_Toc200580312"/>
      <w:bookmarkStart w:id="269" w:name="_Toc200580311"/>
      <w:bookmarkStart w:id="270" w:name="_Toc200580310"/>
      <w:bookmarkStart w:id="271" w:name="_Toc200580309"/>
      <w:bookmarkStart w:id="272" w:name="_Toc200580308"/>
      <w:bookmarkStart w:id="273" w:name="_Toc200580307"/>
      <w:bookmarkStart w:id="274" w:name="_Toc200580306"/>
      <w:bookmarkStart w:id="275" w:name="_Toc200580305"/>
      <w:bookmarkStart w:id="276" w:name="_Toc200580304"/>
      <w:bookmarkStart w:id="277" w:name="_Toc200580303"/>
      <w:bookmarkStart w:id="278" w:name="_Toc200580302"/>
      <w:bookmarkStart w:id="279" w:name="_Toc200580301"/>
      <w:bookmarkStart w:id="280" w:name="_Toc200580300"/>
      <w:bookmarkStart w:id="281" w:name="_Toc200580299"/>
      <w:bookmarkStart w:id="282" w:name="_Toc200580298"/>
      <w:bookmarkStart w:id="283" w:name="_Toc200580297"/>
      <w:bookmarkStart w:id="284" w:name="_Toc200580296"/>
      <w:bookmarkStart w:id="285" w:name="_Toc200580295"/>
      <w:bookmarkStart w:id="286" w:name="_Toc200580294"/>
      <w:bookmarkStart w:id="287" w:name="_Toc200580293"/>
      <w:bookmarkStart w:id="288" w:name="_Toc200580292"/>
      <w:bookmarkStart w:id="289" w:name="_Toc200580291"/>
      <w:bookmarkStart w:id="290" w:name="_Toc200580290"/>
      <w:bookmarkStart w:id="291" w:name="_Toc200580289"/>
      <w:bookmarkStart w:id="292" w:name="_Toc200580288"/>
      <w:bookmarkStart w:id="293" w:name="_Toc200580287"/>
      <w:bookmarkStart w:id="294" w:name="_Toc200580286"/>
      <w:bookmarkStart w:id="295" w:name="_Toc200580285"/>
      <w:bookmarkStart w:id="296" w:name="_Toc200580284"/>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Pr/>
        <w:t>Evaluación del abordaje diagnóstico y terapéutico en la CCSS</w:t>
      </w:r>
      <w:bookmarkStart w:id="297" w:name="OLE_LINK1"/>
      <w:bookmarkEnd w:id="258"/>
      <w:bookmarkEnd w:id="259"/>
    </w:p>
    <w:p>
      <w:pPr>
        <w:pStyle w:val="Normal"/>
        <w:rPr/>
      </w:pPr>
      <w:r>
        <w:rPr/>
      </w:r>
    </w:p>
    <w:p>
      <w:pPr>
        <w:pStyle w:val="Normal"/>
        <w:rPr/>
      </w:pPr>
      <w:r>
        <w:rPr/>
      </w:r>
    </w:p>
    <w:p>
      <w:pPr>
        <w:pStyle w:val="Heading2"/>
        <w:numPr>
          <w:ilvl w:val="1"/>
          <w:numId w:val="97"/>
        </w:numPr>
        <w:rPr/>
      </w:pPr>
      <w:bookmarkStart w:id="298" w:name="_Toc199584645"/>
      <w:bookmarkStart w:id="299" w:name="_Toc200580322"/>
      <w:r>
        <w:rPr/>
        <w:t>Evaluación inicial</w:t>
      </w:r>
      <w:bookmarkEnd w:id="298"/>
      <w:bookmarkEnd w:id="299"/>
    </w:p>
    <w:p>
      <w:pPr>
        <w:pStyle w:val="p3"/>
        <w:spacing w:lineRule="auto" w:line="360" w:before="280" w:after="280"/>
        <w:ind w:firstLine="708"/>
        <w:jc w:val="both"/>
        <w:rPr/>
      </w:pPr>
      <w:r>
        <w:rPr/>
        <w:t>En la literatura nacional, los datos sobre la incidencia, distribución histológica y tendencias temporales del cáncer apendicular en Costa Rica son escasos o no han sido reportados de forma sistemática. Este apartado tiene como objetivo no solo identificar el nivel de conocimiento general sobre la patología apendicular y su manejo por parte del cirujano general u oncológico, sino también determinar las limitaciones y posibles áreas de mejora en el abordaje de esta enfermedad.</w:t>
      </w:r>
    </w:p>
    <w:p>
      <w:pPr>
        <w:pStyle w:val="p1"/>
        <w:spacing w:lineRule="auto" w:line="360" w:before="280" w:after="280"/>
        <w:jc w:val="both"/>
        <w:rPr/>
      </w:pPr>
      <w:r>
        <w:rPr/>
        <w:t>De los 165 especialistas quirúrgicos a quienes se les envió la encuesta, un total de 35 cirujanos generales u oncólogos quirúrgicos la respondieron. La experiencia profesional de los encuestados fue variable, al igual que los distintos niveles hospitalarios evaluados (hospitales centrales, regionales y periféricos), lo que permitió obtener una visión amplia y contextualizada de la realidad institucional costarricense.</w:t>
      </w:r>
    </w:p>
    <w:p>
      <w:pPr>
        <w:pStyle w:val="p1"/>
        <w:spacing w:lineRule="auto" w:line="360" w:before="280" w:after="280"/>
        <w:jc w:val="both"/>
        <w:rPr>
          <w:color w:themeColor="text1" w:val="000000"/>
        </w:rPr>
      </w:pPr>
      <w:r>
        <w:rPr/>
        <w:t>La encuesta consistió en 14 preguntas, las cuales se detallan a continuación</w:t>
      </w:r>
      <w:r>
        <w:rPr>
          <w:color w:themeColor="text1" w:val="000000"/>
        </w:rPr>
        <w:t xml:space="preserve">: </w:t>
      </w:r>
    </w:p>
    <w:p>
      <w:pPr>
        <w:pStyle w:val="p1"/>
        <w:numPr>
          <w:ilvl w:val="1"/>
          <w:numId w:val="25"/>
        </w:numPr>
        <w:spacing w:lineRule="auto" w:line="360" w:before="280" w:after="0"/>
        <w:jc w:val="both"/>
        <w:rPr>
          <w:color w:themeColor="text1" w:val="000000"/>
        </w:rPr>
      </w:pPr>
      <w:r>
        <w:rPr>
          <w:color w:themeColor="text1" w:val="000000"/>
        </w:rPr>
        <w:t>¿Cuál es su especialidad?</w:t>
      </w:r>
    </w:p>
    <w:p>
      <w:pPr>
        <w:pStyle w:val="p1"/>
        <w:numPr>
          <w:ilvl w:val="2"/>
          <w:numId w:val="25"/>
        </w:numPr>
        <w:spacing w:lineRule="auto" w:line="360" w:before="0" w:after="0"/>
        <w:jc w:val="both"/>
        <w:rPr>
          <w:color w:themeColor="text1" w:val="000000"/>
        </w:rPr>
      </w:pPr>
      <w:r>
        <w:rPr>
          <w:color w:themeColor="text1" w:val="000000"/>
        </w:rPr>
        <w:t xml:space="preserve">Cirugía general. </w:t>
      </w:r>
    </w:p>
    <w:p>
      <w:pPr>
        <w:pStyle w:val="p1"/>
        <w:numPr>
          <w:ilvl w:val="2"/>
          <w:numId w:val="25"/>
        </w:numPr>
        <w:spacing w:lineRule="auto" w:line="360" w:before="0" w:after="280"/>
        <w:jc w:val="both"/>
        <w:rPr>
          <w:color w:themeColor="text1" w:val="000000"/>
        </w:rPr>
      </w:pPr>
      <w:r>
        <w:rPr>
          <w:color w:themeColor="text1" w:val="000000"/>
        </w:rPr>
        <w:t>Oncología quirúrgica.</w:t>
      </w:r>
    </w:p>
    <w:p>
      <w:pPr>
        <w:pStyle w:val="p1"/>
        <w:keepNext w:val="true"/>
        <w:spacing w:before="0" w:after="280"/>
        <w:jc w:val="center"/>
        <w:rPr/>
      </w:pPr>
      <w:r>
        <w:rPr/>
        <w:drawing>
          <wp:inline distT="0" distB="0" distL="0" distR="0">
            <wp:extent cx="3538855" cy="2220595"/>
            <wp:effectExtent l="0" t="0" r="0" b="0"/>
            <wp:docPr id="11" name="Object4"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Caption"/>
        <w:jc w:val="center"/>
        <w:rPr>
          <w:b/>
          <w:bCs/>
          <w:i w:val="false"/>
          <w:i w:val="false"/>
          <w:iCs w:val="false"/>
          <w:color w:themeColor="text1" w:val="000000"/>
        </w:rPr>
      </w:pPr>
      <w:bookmarkStart w:id="300" w:name="_Toc200580373"/>
      <w:bookmarkStart w:id="301" w:name="_Toc199964181"/>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10</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 xml:space="preserve">Distribución de respuestas por </w:t>
      </w:r>
      <w:bookmarkEnd w:id="301"/>
      <w:r>
        <w:rPr>
          <w:i w:val="false"/>
          <w:iCs w:val="false"/>
          <w:color w:themeColor="text1" w:val="000000"/>
        </w:rPr>
        <w:t>especialidad</w:t>
      </w:r>
      <w:bookmarkEnd w:id="300"/>
    </w:p>
    <w:p>
      <w:pPr>
        <w:pStyle w:val="p1"/>
        <w:numPr>
          <w:ilvl w:val="1"/>
          <w:numId w:val="25"/>
        </w:numPr>
        <w:spacing w:lineRule="auto" w:line="360" w:before="280" w:after="0"/>
        <w:jc w:val="both"/>
        <w:rPr>
          <w:color w:themeColor="text1" w:val="000000"/>
        </w:rPr>
      </w:pPr>
      <w:r>
        <w:rPr>
          <w:color w:themeColor="text1" w:val="000000"/>
        </w:rPr>
        <w:t>¿Cuál es su centro de trabajo?</w:t>
      </w:r>
    </w:p>
    <w:p>
      <w:pPr>
        <w:pStyle w:val="p1"/>
        <w:numPr>
          <w:ilvl w:val="2"/>
          <w:numId w:val="25"/>
        </w:numPr>
        <w:spacing w:lineRule="auto" w:line="360" w:before="0" w:after="0"/>
        <w:jc w:val="both"/>
        <w:rPr/>
      </w:pPr>
      <w:r>
        <w:rPr/>
        <w:t>Hospital Central.</w:t>
      </w:r>
    </w:p>
    <w:p>
      <w:pPr>
        <w:pStyle w:val="p1"/>
        <w:numPr>
          <w:ilvl w:val="2"/>
          <w:numId w:val="25"/>
        </w:numPr>
        <w:spacing w:lineRule="auto" w:line="360" w:before="0" w:after="0"/>
        <w:jc w:val="both"/>
        <w:rPr>
          <w:color w:themeColor="text1" w:val="000000"/>
        </w:rPr>
      </w:pPr>
      <w:r>
        <w:rPr>
          <w:color w:themeColor="text1" w:val="000000"/>
        </w:rPr>
        <w:t>Hospital Regional.</w:t>
      </w:r>
    </w:p>
    <w:p>
      <w:pPr>
        <w:pStyle w:val="p1"/>
        <w:numPr>
          <w:ilvl w:val="2"/>
          <w:numId w:val="25"/>
        </w:numPr>
        <w:spacing w:lineRule="auto" w:line="360" w:before="0" w:after="280"/>
        <w:jc w:val="both"/>
        <w:rPr>
          <w:color w:themeColor="text1" w:val="000000"/>
        </w:rPr>
      </w:pPr>
      <w:r>
        <w:rPr>
          <w:color w:themeColor="text1" w:val="000000"/>
        </w:rPr>
        <w:t>Hospital Periférico.</w:t>
      </w:r>
    </w:p>
    <w:p>
      <w:pPr>
        <w:pStyle w:val="p1"/>
        <w:keepNext w:val="true"/>
        <w:spacing w:before="0" w:after="280"/>
        <w:jc w:val="center"/>
        <w:rPr/>
      </w:pPr>
      <w:r>
        <w:rPr/>
        <w:drawing>
          <wp:inline distT="0" distB="0" distL="0" distR="0">
            <wp:extent cx="4570730" cy="2760980"/>
            <wp:effectExtent l="0" t="0" r="0" b="0"/>
            <wp:docPr id="12" name="Object5"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Caption"/>
        <w:jc w:val="center"/>
        <w:rPr>
          <w:b/>
          <w:bCs/>
          <w:i w:val="false"/>
          <w:i w:val="false"/>
          <w:iCs w:val="false"/>
          <w:color w:themeColor="text1" w:val="000000"/>
        </w:rPr>
      </w:pPr>
      <w:bookmarkStart w:id="302" w:name="_Toc199964182"/>
      <w:bookmarkStart w:id="303" w:name="_Toc200580374"/>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11</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Respuestas por Categoría de Hospital</w:t>
      </w:r>
      <w:bookmarkEnd w:id="302"/>
      <w:bookmarkEnd w:id="303"/>
    </w:p>
    <w:p>
      <w:pPr>
        <w:pStyle w:val="p1"/>
        <w:numPr>
          <w:ilvl w:val="1"/>
          <w:numId w:val="25"/>
        </w:numPr>
        <w:spacing w:lineRule="auto" w:line="360" w:before="280" w:after="0"/>
        <w:jc w:val="both"/>
        <w:rPr>
          <w:color w:themeColor="text1" w:val="000000"/>
        </w:rPr>
      </w:pPr>
      <w:r>
        <w:rPr>
          <w:color w:themeColor="text1" w:val="000000"/>
        </w:rPr>
        <w:t>¿Cuántos años de práctica quirúrgica posee?</w:t>
      </w:r>
    </w:p>
    <w:p>
      <w:pPr>
        <w:pStyle w:val="p1"/>
        <w:numPr>
          <w:ilvl w:val="2"/>
          <w:numId w:val="25"/>
        </w:numPr>
        <w:spacing w:lineRule="auto" w:line="360" w:before="0" w:after="0"/>
        <w:jc w:val="both"/>
        <w:rPr>
          <w:color w:themeColor="text1" w:val="000000"/>
        </w:rPr>
      </w:pPr>
      <w:r>
        <w:rPr>
          <w:color w:themeColor="text1" w:val="000000"/>
        </w:rPr>
        <w:t>5 meses a los 36 años de práctica.</w:t>
      </w:r>
    </w:p>
    <w:p>
      <w:pPr>
        <w:pStyle w:val="p1"/>
        <w:numPr>
          <w:ilvl w:val="1"/>
          <w:numId w:val="25"/>
        </w:numPr>
        <w:spacing w:lineRule="auto" w:line="360" w:before="0" w:after="0"/>
        <w:jc w:val="both"/>
        <w:rPr>
          <w:color w:themeColor="text1" w:val="000000"/>
        </w:rPr>
      </w:pPr>
      <w:r>
        <w:rPr>
          <w:color w:themeColor="text1" w:val="000000"/>
        </w:rPr>
        <w:t>En su centro de trabajo, ¿existe protocolo para el abordaje del cáncer  apendicular?</w:t>
      </w:r>
    </w:p>
    <w:p>
      <w:pPr>
        <w:pStyle w:val="p1"/>
        <w:numPr>
          <w:ilvl w:val="2"/>
          <w:numId w:val="25"/>
        </w:numPr>
        <w:spacing w:lineRule="auto" w:line="360" w:before="0" w:after="0"/>
        <w:jc w:val="both"/>
        <w:rPr/>
      </w:pPr>
      <w:r>
        <w:rPr/>
        <w:t>Sí.</w:t>
      </w:r>
    </w:p>
    <w:p>
      <w:pPr>
        <w:pStyle w:val="p1"/>
        <w:numPr>
          <w:ilvl w:val="2"/>
          <w:numId w:val="25"/>
        </w:numPr>
        <w:spacing w:lineRule="auto" w:line="360" w:before="0" w:after="0"/>
        <w:jc w:val="both"/>
        <w:rPr/>
      </w:pPr>
      <w:r>
        <w:rPr/>
        <w:t>No.</w:t>
      </w:r>
    </w:p>
    <w:p>
      <w:pPr>
        <w:pStyle w:val="p1"/>
        <w:numPr>
          <w:ilvl w:val="2"/>
          <w:numId w:val="25"/>
        </w:numPr>
        <w:spacing w:lineRule="auto" w:line="360" w:before="0" w:after="280"/>
        <w:jc w:val="both"/>
        <w:rPr/>
      </w:pPr>
      <w:r>
        <w:rPr/>
        <w:t>Desconozco.</w:t>
      </w:r>
    </w:p>
    <w:p>
      <w:pPr>
        <w:pStyle w:val="p1"/>
        <w:keepNext w:val="true"/>
        <w:spacing w:before="0" w:after="280"/>
        <w:jc w:val="center"/>
        <w:rPr/>
      </w:pPr>
      <w:r>
        <w:rPr/>
        <w:drawing>
          <wp:inline distT="0" distB="0" distL="0" distR="0">
            <wp:extent cx="5099050" cy="2978150"/>
            <wp:effectExtent l="0" t="0" r="0" b="0"/>
            <wp:docPr id="13" name="Object6"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Caption"/>
        <w:jc w:val="center"/>
        <w:rPr>
          <w:b/>
          <w:bCs/>
          <w:i w:val="false"/>
          <w:i w:val="false"/>
          <w:iCs w:val="false"/>
          <w:color w:themeColor="text1" w:val="000000"/>
        </w:rPr>
      </w:pPr>
      <w:bookmarkStart w:id="304" w:name="_Toc199964183"/>
      <w:bookmarkStart w:id="305" w:name="_Toc200580375"/>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12</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Existencia de protocolos sobre neoplasia apendicular en los Hospitales de trabajo de los profesionales consultados</w:t>
      </w:r>
      <w:bookmarkEnd w:id="304"/>
      <w:bookmarkEnd w:id="305"/>
    </w:p>
    <w:p>
      <w:pPr>
        <w:pStyle w:val="p1"/>
        <w:numPr>
          <w:ilvl w:val="1"/>
          <w:numId w:val="25"/>
        </w:numPr>
        <w:spacing w:lineRule="auto" w:line="360" w:before="280" w:after="0"/>
        <w:jc w:val="both"/>
        <w:rPr>
          <w:color w:themeColor="text1" w:val="000000"/>
        </w:rPr>
      </w:pPr>
      <w:r>
        <w:rPr>
          <w:color w:themeColor="text1" w:val="000000"/>
        </w:rPr>
        <w:t>En su práctica quirúrgica, ¿ha tenido casos de cáncer apendicular? </w:t>
      </w:r>
    </w:p>
    <w:p>
      <w:pPr>
        <w:pStyle w:val="p1"/>
        <w:numPr>
          <w:ilvl w:val="2"/>
          <w:numId w:val="25"/>
        </w:numPr>
        <w:spacing w:lineRule="auto" w:line="360" w:before="0" w:after="0"/>
        <w:jc w:val="both"/>
        <w:rPr>
          <w:color w:themeColor="text1" w:val="000000"/>
        </w:rPr>
      </w:pPr>
      <w:r>
        <w:rPr>
          <w:color w:themeColor="text1" w:val="000000"/>
        </w:rPr>
        <w:t>Nunca.</w:t>
      </w:r>
    </w:p>
    <w:p>
      <w:pPr>
        <w:pStyle w:val="p1"/>
        <w:numPr>
          <w:ilvl w:val="2"/>
          <w:numId w:val="25"/>
        </w:numPr>
        <w:spacing w:lineRule="auto" w:line="360" w:before="0" w:after="0"/>
        <w:jc w:val="both"/>
        <w:rPr>
          <w:color w:themeColor="text1" w:val="000000"/>
        </w:rPr>
      </w:pPr>
      <w:r>
        <w:rPr>
          <w:color w:themeColor="text1" w:val="000000"/>
        </w:rPr>
        <w:t>Una vez.</w:t>
      </w:r>
    </w:p>
    <w:p>
      <w:pPr>
        <w:pStyle w:val="p1"/>
        <w:numPr>
          <w:ilvl w:val="2"/>
          <w:numId w:val="25"/>
        </w:numPr>
        <w:spacing w:lineRule="auto" w:line="360" w:before="0" w:after="280"/>
        <w:jc w:val="both"/>
        <w:rPr>
          <w:color w:themeColor="text1" w:val="000000"/>
        </w:rPr>
      </w:pPr>
      <w:r>
        <w:rPr>
          <w:color w:themeColor="text1" w:val="000000"/>
        </w:rPr>
        <w:t>Más de una vez.</w:t>
      </w:r>
    </w:p>
    <w:p>
      <w:pPr>
        <w:pStyle w:val="p1"/>
        <w:keepNext w:val="true"/>
        <w:spacing w:before="0" w:after="280"/>
        <w:jc w:val="center"/>
        <w:rPr/>
      </w:pPr>
      <w:r>
        <w:rPr/>
        <w:drawing>
          <wp:inline distT="0" distB="0" distL="0" distR="0">
            <wp:extent cx="5611495" cy="2406650"/>
            <wp:effectExtent l="0" t="0" r="0" b="0"/>
            <wp:docPr id="14" name="Object7"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Caption"/>
        <w:jc w:val="center"/>
        <w:rPr>
          <w:b/>
          <w:bCs/>
          <w:i w:val="false"/>
          <w:i w:val="false"/>
          <w:iCs w:val="false"/>
          <w:color w:themeColor="text1" w:val="000000"/>
        </w:rPr>
      </w:pPr>
      <w:bookmarkStart w:id="306" w:name="_Toc199964184"/>
      <w:bookmarkStart w:id="307" w:name="_Toc200580376"/>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13</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Casos de neoplasia apendicular atendidos por los profesionales consultados</w:t>
      </w:r>
      <w:bookmarkEnd w:id="306"/>
      <w:bookmarkEnd w:id="307"/>
    </w:p>
    <w:p>
      <w:pPr>
        <w:pStyle w:val="p1"/>
        <w:numPr>
          <w:ilvl w:val="1"/>
          <w:numId w:val="25"/>
        </w:numPr>
        <w:spacing w:lineRule="auto" w:line="360" w:before="280" w:after="0"/>
        <w:jc w:val="both"/>
        <w:rPr>
          <w:color w:themeColor="text1" w:val="000000"/>
        </w:rPr>
      </w:pPr>
      <w:r>
        <w:rPr>
          <w:color w:themeColor="text1" w:val="000000"/>
        </w:rPr>
        <w:t>En caso de que la respuesta anterior fuera afirmativa, ¿en qué momento se realizó el diagnóstico?</w:t>
      </w:r>
    </w:p>
    <w:p>
      <w:pPr>
        <w:pStyle w:val="p1"/>
        <w:numPr>
          <w:ilvl w:val="2"/>
          <w:numId w:val="25"/>
        </w:numPr>
        <w:spacing w:lineRule="auto" w:line="360" w:before="0" w:after="0"/>
        <w:jc w:val="both"/>
        <w:rPr>
          <w:color w:themeColor="text1" w:val="000000"/>
        </w:rPr>
      </w:pPr>
      <w:r>
        <w:rPr>
          <w:color w:themeColor="text1" w:val="000000"/>
        </w:rPr>
        <w:t>Prequirúrgico.</w:t>
      </w:r>
    </w:p>
    <w:p>
      <w:pPr>
        <w:pStyle w:val="p1"/>
        <w:numPr>
          <w:ilvl w:val="2"/>
          <w:numId w:val="25"/>
        </w:numPr>
        <w:spacing w:lineRule="auto" w:line="360" w:before="0" w:after="0"/>
        <w:jc w:val="both"/>
        <w:rPr>
          <w:color w:themeColor="text1" w:val="000000"/>
        </w:rPr>
      </w:pPr>
      <w:r>
        <w:rPr>
          <w:color w:themeColor="text1" w:val="000000"/>
        </w:rPr>
        <w:t>Transoperatorio.</w:t>
      </w:r>
    </w:p>
    <w:p>
      <w:pPr>
        <w:pStyle w:val="p1"/>
        <w:numPr>
          <w:ilvl w:val="2"/>
          <w:numId w:val="25"/>
        </w:numPr>
        <w:spacing w:lineRule="auto" w:line="360" w:before="0" w:after="280"/>
        <w:jc w:val="both"/>
        <w:rPr>
          <w:color w:themeColor="text1" w:val="000000"/>
        </w:rPr>
      </w:pPr>
      <w:r>
        <w:rPr>
          <w:color w:themeColor="text1" w:val="000000"/>
        </w:rPr>
        <w:t>Postquirúrgico.</w:t>
      </w:r>
    </w:p>
    <w:p>
      <w:pPr>
        <w:pStyle w:val="p1"/>
        <w:keepNext w:val="true"/>
        <w:spacing w:before="0" w:after="280"/>
        <w:jc w:val="center"/>
        <w:rPr/>
      </w:pPr>
      <w:r>
        <w:rPr/>
        <w:drawing>
          <wp:inline distT="0" distB="0" distL="0" distR="0">
            <wp:extent cx="5095240" cy="2790825"/>
            <wp:effectExtent l="0" t="0" r="0" b="0"/>
            <wp:docPr id="15" name="Object8"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Caption"/>
        <w:jc w:val="center"/>
        <w:rPr>
          <w:b/>
          <w:bCs/>
          <w:i w:val="false"/>
          <w:i w:val="false"/>
          <w:iCs w:val="false"/>
          <w:color w:themeColor="text1" w:val="000000"/>
        </w:rPr>
      </w:pPr>
      <w:bookmarkStart w:id="308" w:name="_Toc199964185"/>
      <w:bookmarkStart w:id="309" w:name="_Toc200580377"/>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14</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Distribución del momento de diagnóstico</w:t>
      </w:r>
      <w:bookmarkEnd w:id="308"/>
      <w:bookmarkEnd w:id="309"/>
    </w:p>
    <w:p>
      <w:pPr>
        <w:pStyle w:val="p1"/>
        <w:numPr>
          <w:ilvl w:val="1"/>
          <w:numId w:val="25"/>
        </w:numPr>
        <w:spacing w:lineRule="auto" w:line="360" w:before="280" w:after="0"/>
        <w:jc w:val="both"/>
        <w:rPr>
          <w:color w:themeColor="text1" w:val="000000"/>
        </w:rPr>
      </w:pPr>
      <w:r>
        <w:rPr>
          <w:color w:themeColor="text1" w:val="000000"/>
        </w:rPr>
        <w:t>Si el diagnóstico fue prequirúrgico, ¿cómo se realizó?</w:t>
      </w:r>
    </w:p>
    <w:p>
      <w:pPr>
        <w:pStyle w:val="p1"/>
        <w:numPr>
          <w:ilvl w:val="2"/>
          <w:numId w:val="25"/>
        </w:numPr>
        <w:spacing w:lineRule="auto" w:line="360" w:before="0" w:after="0"/>
        <w:jc w:val="both"/>
        <w:rPr>
          <w:color w:themeColor="text1" w:val="000000"/>
        </w:rPr>
      </w:pPr>
      <w:r>
        <w:rPr>
          <w:color w:themeColor="text1" w:val="000000"/>
        </w:rPr>
        <w:t>Incidentalmente.</w:t>
      </w:r>
    </w:p>
    <w:p>
      <w:pPr>
        <w:pStyle w:val="p1"/>
        <w:numPr>
          <w:ilvl w:val="2"/>
          <w:numId w:val="25"/>
        </w:numPr>
        <w:spacing w:lineRule="auto" w:line="360" w:before="0" w:after="280"/>
        <w:jc w:val="both"/>
        <w:rPr>
          <w:color w:themeColor="text1" w:val="000000"/>
        </w:rPr>
      </w:pPr>
      <w:r>
        <w:rPr>
          <w:color w:themeColor="text1" w:val="000000"/>
        </w:rPr>
        <w:t>Por imágenes debido a sintomatología asociada.</w:t>
      </w:r>
    </w:p>
    <w:p>
      <w:pPr>
        <w:pStyle w:val="Caption"/>
        <w:jc w:val="center"/>
        <w:rPr>
          <w:i w:val="false"/>
          <w:i w:val="false"/>
          <w:iCs w:val="false"/>
          <w:color w:themeColor="text1" w:val="000000"/>
        </w:rPr>
      </w:pPr>
      <w:bookmarkStart w:id="310" w:name="_Toc199964156"/>
      <w:bookmarkStart w:id="311" w:name="_Toc199964093"/>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10</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Tipo de diagnóstico PreQuirúrgico</w:t>
      </w:r>
      <w:bookmarkEnd w:id="310"/>
      <w:bookmarkEnd w:id="311"/>
    </w:p>
    <w:tbl>
      <w:tblPr>
        <w:tblW w:w="8173" w:type="dxa"/>
        <w:jc w:val="left"/>
        <w:tblInd w:w="652" w:type="dxa"/>
        <w:tblLayout w:type="fixed"/>
        <w:tblCellMar>
          <w:top w:w="0" w:type="dxa"/>
          <w:left w:w="70" w:type="dxa"/>
          <w:bottom w:w="0" w:type="dxa"/>
          <w:right w:w="70" w:type="dxa"/>
        </w:tblCellMar>
        <w:tblLook w:val="04a0" w:noHBand="0" w:noVBand="1" w:firstColumn="1" w:lastRow="0" w:lastColumn="0" w:firstRow="1"/>
      </w:tblPr>
      <w:tblGrid>
        <w:gridCol w:w="5556"/>
        <w:gridCol w:w="1328"/>
        <w:gridCol w:w="1289"/>
      </w:tblGrid>
      <w:tr>
        <w:trPr>
          <w:trHeight w:val="320" w:hRule="atLeast"/>
        </w:trPr>
        <w:tc>
          <w:tcPr>
            <w:tcW w:w="5556" w:type="dxa"/>
            <w:tcBorders>
              <w:left w:val="single" w:sz="4" w:space="0" w:color="000000"/>
              <w:bottom w:val="single" w:sz="4" w:space="0" w:color="000000"/>
              <w:right w:val="single" w:sz="4" w:space="0" w:color="000000"/>
            </w:tcBorders>
            <w:shd w:color="000000" w:fill="DAE9F8" w:val="clear"/>
            <w:vAlign w:val="bottom"/>
          </w:tcPr>
          <w:p>
            <w:pPr>
              <w:pStyle w:val="Normal"/>
              <w:rPr>
                <w:color w:val="000000"/>
              </w:rPr>
            </w:pPr>
            <w:r>
              <w:rPr>
                <w:color w:val="000000"/>
              </w:rPr>
              <w:t>Modalidad diagnóstica</w:t>
            </w:r>
          </w:p>
        </w:tc>
        <w:tc>
          <w:tcPr>
            <w:tcW w:w="1328" w:type="dxa"/>
            <w:tcBorders>
              <w:bottom w:val="single" w:sz="4" w:space="0" w:color="000000"/>
              <w:right w:val="single" w:sz="4" w:space="0" w:color="000000"/>
            </w:tcBorders>
            <w:shd w:color="000000" w:fill="DAE9F8" w:val="clear"/>
            <w:vAlign w:val="bottom"/>
          </w:tcPr>
          <w:p>
            <w:pPr>
              <w:pStyle w:val="Normal"/>
              <w:rPr>
                <w:color w:val="000000"/>
              </w:rPr>
            </w:pPr>
            <w:r>
              <w:rPr>
                <w:color w:val="000000"/>
              </w:rPr>
              <w:t>Frecuencia</w:t>
            </w:r>
          </w:p>
        </w:tc>
        <w:tc>
          <w:tcPr>
            <w:tcW w:w="1289" w:type="dxa"/>
            <w:tcBorders>
              <w:bottom w:val="single" w:sz="4" w:space="0" w:color="000000"/>
              <w:right w:val="single" w:sz="4" w:space="0" w:color="000000"/>
            </w:tcBorders>
            <w:shd w:color="000000" w:fill="DAE9F8" w:val="clear"/>
            <w:vAlign w:val="bottom"/>
          </w:tcPr>
          <w:p>
            <w:pPr>
              <w:pStyle w:val="Normal"/>
              <w:rPr>
                <w:color w:val="000000"/>
              </w:rPr>
            </w:pPr>
            <w:r>
              <w:rPr>
                <w:color w:val="000000"/>
              </w:rPr>
              <w:t>Porcentaje</w:t>
            </w:r>
          </w:p>
        </w:tc>
      </w:tr>
      <w:tr>
        <w:trPr>
          <w:trHeight w:val="320" w:hRule="atLeast"/>
        </w:trPr>
        <w:tc>
          <w:tcPr>
            <w:tcW w:w="8173" w:type="dxa"/>
            <w:gridSpan w:val="3"/>
            <w:tcBorders>
              <w:top w:val="single" w:sz="4" w:space="0" w:color="000000"/>
              <w:left w:val="single" w:sz="4" w:space="0" w:color="000000"/>
              <w:bottom w:val="single" w:sz="4" w:space="0" w:color="000000"/>
              <w:right w:val="single" w:sz="4" w:space="0" w:color="000000"/>
            </w:tcBorders>
            <w:shd w:color="000000" w:fill="D9D9D9" w:val="clear"/>
            <w:vAlign w:val="bottom"/>
          </w:tcPr>
          <w:p>
            <w:pPr>
              <w:pStyle w:val="Normal"/>
              <w:jc w:val="center"/>
              <w:rPr>
                <w:color w:val="000000"/>
              </w:rPr>
            </w:pPr>
            <w:r>
              <w:rPr>
                <w:color w:val="000000"/>
              </w:rPr>
              <w:t>Frecuencia de ausentes = 22</w:t>
            </w:r>
          </w:p>
        </w:tc>
      </w:tr>
      <w:tr>
        <w:trPr>
          <w:trHeight w:val="320" w:hRule="atLeast"/>
        </w:trPr>
        <w:tc>
          <w:tcPr>
            <w:tcW w:w="5556"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Incidentalmente</w:t>
            </w:r>
          </w:p>
        </w:tc>
        <w:tc>
          <w:tcPr>
            <w:tcW w:w="1328" w:type="dxa"/>
            <w:tcBorders>
              <w:bottom w:val="single" w:sz="4" w:space="0" w:color="000000"/>
              <w:right w:val="single" w:sz="4" w:space="0" w:color="000000"/>
            </w:tcBorders>
            <w:vAlign w:val="bottom"/>
          </w:tcPr>
          <w:p>
            <w:pPr>
              <w:pStyle w:val="Normal"/>
              <w:jc w:val="right"/>
              <w:rPr>
                <w:color w:val="000000"/>
              </w:rPr>
            </w:pPr>
            <w:r>
              <w:rPr>
                <w:color w:val="000000"/>
              </w:rPr>
              <w:t>8</w:t>
            </w:r>
          </w:p>
        </w:tc>
        <w:tc>
          <w:tcPr>
            <w:tcW w:w="1289" w:type="dxa"/>
            <w:tcBorders>
              <w:bottom w:val="single" w:sz="4" w:space="0" w:color="000000"/>
              <w:right w:val="single" w:sz="4" w:space="0" w:color="000000"/>
            </w:tcBorders>
            <w:vAlign w:val="bottom"/>
          </w:tcPr>
          <w:p>
            <w:pPr>
              <w:pStyle w:val="Normal"/>
              <w:jc w:val="right"/>
              <w:rPr>
                <w:color w:val="000000"/>
              </w:rPr>
            </w:pPr>
            <w:r>
              <w:rPr>
                <w:color w:val="000000"/>
              </w:rPr>
              <w:t>61,5%</w:t>
            </w:r>
          </w:p>
        </w:tc>
      </w:tr>
      <w:tr>
        <w:trPr>
          <w:trHeight w:val="320" w:hRule="atLeast"/>
        </w:trPr>
        <w:tc>
          <w:tcPr>
            <w:tcW w:w="5556"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 xml:space="preserve">Por imágenes debido a sintomatología asociada </w:t>
            </w:r>
          </w:p>
        </w:tc>
        <w:tc>
          <w:tcPr>
            <w:tcW w:w="1328" w:type="dxa"/>
            <w:tcBorders>
              <w:bottom w:val="single" w:sz="4" w:space="0" w:color="000000"/>
              <w:right w:val="single" w:sz="4" w:space="0" w:color="000000"/>
            </w:tcBorders>
            <w:vAlign w:val="bottom"/>
          </w:tcPr>
          <w:p>
            <w:pPr>
              <w:pStyle w:val="Normal"/>
              <w:jc w:val="right"/>
              <w:rPr>
                <w:color w:val="000000"/>
              </w:rPr>
            </w:pPr>
            <w:r>
              <w:rPr>
                <w:color w:val="000000"/>
              </w:rPr>
              <w:t>5</w:t>
            </w:r>
          </w:p>
        </w:tc>
        <w:tc>
          <w:tcPr>
            <w:tcW w:w="1289" w:type="dxa"/>
            <w:tcBorders>
              <w:bottom w:val="single" w:sz="4" w:space="0" w:color="000000"/>
              <w:right w:val="single" w:sz="4" w:space="0" w:color="000000"/>
            </w:tcBorders>
            <w:vAlign w:val="bottom"/>
          </w:tcPr>
          <w:p>
            <w:pPr>
              <w:pStyle w:val="Normal"/>
              <w:jc w:val="right"/>
              <w:rPr>
                <w:color w:val="000000"/>
              </w:rPr>
            </w:pPr>
            <w:r>
              <w:rPr>
                <w:color w:val="000000"/>
              </w:rPr>
              <w:t>38,5%</w:t>
            </w:r>
          </w:p>
        </w:tc>
      </w:tr>
      <w:tr>
        <w:trPr>
          <w:trHeight w:val="320" w:hRule="atLeast"/>
        </w:trPr>
        <w:tc>
          <w:tcPr>
            <w:tcW w:w="5556" w:type="dxa"/>
            <w:tcBorders>
              <w:left w:val="single" w:sz="4" w:space="0" w:color="000000"/>
              <w:bottom w:val="single" w:sz="4" w:space="0" w:color="000000"/>
              <w:right w:val="single" w:sz="4" w:space="0" w:color="000000"/>
            </w:tcBorders>
            <w:shd w:color="000000" w:fill="DAE9F8" w:val="clear"/>
            <w:vAlign w:val="bottom"/>
          </w:tcPr>
          <w:p>
            <w:pPr>
              <w:pStyle w:val="Normal"/>
              <w:rPr>
                <w:color w:val="000000"/>
              </w:rPr>
            </w:pPr>
            <w:r>
              <w:rPr>
                <w:color w:val="000000"/>
              </w:rPr>
              <w:t>Total</w:t>
            </w:r>
          </w:p>
        </w:tc>
        <w:tc>
          <w:tcPr>
            <w:tcW w:w="1328" w:type="dxa"/>
            <w:tcBorders>
              <w:bottom w:val="single" w:sz="4" w:space="0" w:color="000000"/>
              <w:right w:val="single" w:sz="4" w:space="0" w:color="000000"/>
            </w:tcBorders>
            <w:shd w:color="000000" w:fill="DAE9F8" w:val="clear"/>
            <w:vAlign w:val="bottom"/>
          </w:tcPr>
          <w:p>
            <w:pPr>
              <w:pStyle w:val="Normal"/>
              <w:jc w:val="right"/>
              <w:rPr>
                <w:color w:val="000000"/>
              </w:rPr>
            </w:pPr>
            <w:r>
              <w:rPr>
                <w:color w:val="000000"/>
              </w:rPr>
              <w:t>13</w:t>
            </w:r>
          </w:p>
        </w:tc>
        <w:tc>
          <w:tcPr>
            <w:tcW w:w="1289" w:type="dxa"/>
            <w:tcBorders>
              <w:bottom w:val="single" w:sz="4" w:space="0" w:color="000000"/>
              <w:right w:val="single" w:sz="4" w:space="0" w:color="000000"/>
            </w:tcBorders>
            <w:shd w:color="000000" w:fill="DAE9F8" w:val="clear"/>
            <w:vAlign w:val="bottom"/>
          </w:tcPr>
          <w:p>
            <w:pPr>
              <w:pStyle w:val="Normal"/>
              <w:jc w:val="right"/>
              <w:rPr>
                <w:color w:val="000000"/>
              </w:rPr>
            </w:pPr>
            <w:r>
              <w:rPr>
                <w:color w:val="000000"/>
              </w:rPr>
              <w:t>100%</w:t>
            </w:r>
          </w:p>
        </w:tc>
      </w:tr>
    </w:tbl>
    <w:p>
      <w:pPr>
        <w:pStyle w:val="p1"/>
        <w:spacing w:before="280" w:after="280"/>
        <w:jc w:val="center"/>
        <w:rPr>
          <w:color w:themeColor="text1" w:val="000000"/>
        </w:rPr>
      </w:pPr>
      <w:r>
        <w:rPr>
          <w:color w:themeColor="text1" w:val="000000"/>
        </w:rPr>
      </w:r>
    </w:p>
    <w:p>
      <w:pPr>
        <w:pStyle w:val="p1"/>
        <w:numPr>
          <w:ilvl w:val="1"/>
          <w:numId w:val="25"/>
        </w:numPr>
        <w:spacing w:lineRule="auto" w:line="360" w:before="280" w:after="0"/>
        <w:jc w:val="both"/>
        <w:rPr>
          <w:color w:themeColor="text1" w:val="000000"/>
        </w:rPr>
      </w:pPr>
      <w:r>
        <w:rPr>
          <w:color w:themeColor="text1" w:val="000000"/>
        </w:rPr>
        <w:t>¿En qué estadio se encontraba el cáncer apendicular al momento del diagnóstico?</w:t>
      </w:r>
    </w:p>
    <w:p>
      <w:pPr>
        <w:pStyle w:val="p1"/>
        <w:numPr>
          <w:ilvl w:val="2"/>
          <w:numId w:val="25"/>
        </w:numPr>
        <w:spacing w:lineRule="auto" w:line="360" w:before="0" w:after="0"/>
        <w:jc w:val="both"/>
        <w:rPr>
          <w:color w:themeColor="text1" w:val="000000"/>
        </w:rPr>
      </w:pPr>
      <w:r>
        <w:rPr>
          <w:color w:themeColor="text1" w:val="000000"/>
        </w:rPr>
        <w:t>Temprano.</w:t>
      </w:r>
    </w:p>
    <w:p>
      <w:pPr>
        <w:pStyle w:val="p1"/>
        <w:numPr>
          <w:ilvl w:val="2"/>
          <w:numId w:val="25"/>
        </w:numPr>
        <w:spacing w:lineRule="auto" w:line="360" w:before="0" w:after="280"/>
        <w:jc w:val="both"/>
        <w:rPr>
          <w:color w:themeColor="text1" w:val="000000"/>
        </w:rPr>
      </w:pPr>
      <w:r>
        <w:rPr>
          <w:color w:themeColor="text1" w:val="000000"/>
        </w:rPr>
        <w:t>Avanzado.</w:t>
      </w:r>
    </w:p>
    <w:p>
      <w:pPr>
        <w:pStyle w:val="p1"/>
        <w:keepNext w:val="true"/>
        <w:spacing w:before="0" w:after="280"/>
        <w:jc w:val="center"/>
        <w:rPr/>
      </w:pPr>
      <w:r>
        <w:rPr/>
        <w:drawing>
          <wp:inline distT="0" distB="0" distL="0" distR="0">
            <wp:extent cx="4551680" cy="2705735"/>
            <wp:effectExtent l="0" t="0" r="0" b="0"/>
            <wp:docPr id="16" name="Object9"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Caption"/>
        <w:jc w:val="center"/>
        <w:rPr/>
      </w:pPr>
      <w:bookmarkStart w:id="312" w:name="_Toc199964186"/>
      <w:bookmarkStart w:id="313" w:name="_Toc200580378"/>
      <w:bookmarkStart w:id="314" w:name="_Toc199960481"/>
      <w:bookmarkStart w:id="315" w:name="_Toc199960423"/>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15</w:t>
      </w:r>
      <w:r>
        <w:rPr>
          <w:i w:val="false"/>
          <w:b/>
          <w:iCs w:val="false"/>
          <w:bCs/>
          <w:color w:themeColor="text1" w:val="000000"/>
        </w:rPr>
        <w:fldChar w:fldCharType="end"/>
      </w:r>
      <w:r>
        <w:rPr>
          <w:i w:val="false"/>
          <w:iCs w:val="false"/>
          <w:color w:themeColor="text1" w:val="000000"/>
        </w:rPr>
        <w:t xml:space="preserve"> Estadio de la enfermedad apendicular maligna</w:t>
      </w:r>
      <w:bookmarkEnd w:id="312"/>
      <w:bookmarkEnd w:id="313"/>
      <w:bookmarkEnd w:id="314"/>
      <w:bookmarkEnd w:id="315"/>
    </w:p>
    <w:p>
      <w:pPr>
        <w:pStyle w:val="p1"/>
        <w:numPr>
          <w:ilvl w:val="1"/>
          <w:numId w:val="25"/>
        </w:numPr>
        <w:spacing w:lineRule="auto" w:line="360" w:before="280" w:after="0"/>
        <w:jc w:val="both"/>
        <w:rPr>
          <w:color w:themeColor="text1" w:val="000000"/>
        </w:rPr>
      </w:pPr>
      <w:r>
        <w:rPr>
          <w:color w:themeColor="text1" w:val="000000"/>
        </w:rPr>
        <w:t>Si el diagnóstico fue en estadio avanzado, ¿qué estrategia consideró?</w:t>
      </w:r>
    </w:p>
    <w:p>
      <w:pPr>
        <w:pStyle w:val="p1"/>
        <w:numPr>
          <w:ilvl w:val="2"/>
          <w:numId w:val="25"/>
        </w:numPr>
        <w:spacing w:lineRule="auto" w:line="360" w:before="0" w:after="0"/>
        <w:jc w:val="both"/>
        <w:rPr>
          <w:color w:themeColor="text1" w:val="000000"/>
        </w:rPr>
      </w:pPr>
      <w:r>
        <w:rPr>
          <w:color w:themeColor="text1" w:val="000000"/>
        </w:rPr>
        <w:t>Cirugía paliativa.</w:t>
      </w:r>
    </w:p>
    <w:p>
      <w:pPr>
        <w:pStyle w:val="p1"/>
        <w:numPr>
          <w:ilvl w:val="2"/>
          <w:numId w:val="25"/>
        </w:numPr>
        <w:spacing w:lineRule="auto" w:line="360" w:before="0" w:after="0"/>
        <w:jc w:val="both"/>
        <w:rPr>
          <w:color w:themeColor="text1" w:val="000000"/>
        </w:rPr>
      </w:pPr>
      <w:r>
        <w:rPr>
          <w:color w:themeColor="text1" w:val="000000"/>
        </w:rPr>
        <w:t>Citorreducción completa.</w:t>
      </w:r>
    </w:p>
    <w:p>
      <w:pPr>
        <w:pStyle w:val="p1"/>
        <w:numPr>
          <w:ilvl w:val="2"/>
          <w:numId w:val="25"/>
        </w:numPr>
        <w:spacing w:lineRule="auto" w:line="360" w:before="0" w:after="280"/>
        <w:jc w:val="both"/>
        <w:rPr>
          <w:color w:themeColor="text1" w:val="000000"/>
        </w:rPr>
      </w:pPr>
      <w:r>
        <w:rPr>
          <w:color w:themeColor="text1" w:val="000000"/>
        </w:rPr>
        <w:t>Derivación a centro de mayor nivel.</w:t>
      </w:r>
    </w:p>
    <w:p>
      <w:pPr>
        <w:pStyle w:val="Caption"/>
        <w:jc w:val="center"/>
        <w:rPr>
          <w:b/>
          <w:bCs/>
          <w:i w:val="false"/>
          <w:i w:val="false"/>
          <w:iCs w:val="false"/>
          <w:color w:themeColor="text1" w:val="000000"/>
        </w:rPr>
      </w:pPr>
      <w:bookmarkStart w:id="316" w:name="_Toc199964157"/>
      <w:bookmarkStart w:id="317" w:name="_Toc199964094"/>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11</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Estrategia quirúrgica empleada</w:t>
      </w:r>
      <w:bookmarkEnd w:id="316"/>
      <w:bookmarkEnd w:id="317"/>
    </w:p>
    <w:tbl>
      <w:tblPr>
        <w:tblW w:w="8280" w:type="dxa"/>
        <w:jc w:val="center"/>
        <w:tblInd w:w="0" w:type="dxa"/>
        <w:tblLayout w:type="fixed"/>
        <w:tblCellMar>
          <w:top w:w="0" w:type="dxa"/>
          <w:left w:w="70" w:type="dxa"/>
          <w:bottom w:w="0" w:type="dxa"/>
          <w:right w:w="70" w:type="dxa"/>
        </w:tblCellMar>
        <w:tblLook w:val="04a0" w:noHBand="0" w:noVBand="1" w:firstColumn="1" w:lastRow="0" w:lastColumn="0" w:firstRow="1"/>
      </w:tblPr>
      <w:tblGrid>
        <w:gridCol w:w="5040"/>
        <w:gridCol w:w="1646"/>
        <w:gridCol w:w="1594"/>
      </w:tblGrid>
      <w:tr>
        <w:trPr>
          <w:trHeight w:val="320" w:hRule="atLeast"/>
        </w:trPr>
        <w:tc>
          <w:tcPr>
            <w:tcW w:w="5040" w:type="dxa"/>
            <w:tcBorders>
              <w:left w:val="single" w:sz="4" w:space="0" w:color="000000"/>
              <w:bottom w:val="single" w:sz="4" w:space="0" w:color="000000"/>
              <w:right w:val="single" w:sz="4" w:space="0" w:color="000000"/>
            </w:tcBorders>
            <w:shd w:color="000000" w:fill="DAE9F8" w:val="clear"/>
            <w:vAlign w:val="bottom"/>
          </w:tcPr>
          <w:p>
            <w:pPr>
              <w:pStyle w:val="Normal"/>
              <w:rPr>
                <w:color w:val="000000"/>
              </w:rPr>
            </w:pPr>
            <w:r>
              <w:rPr>
                <w:color w:val="000000"/>
              </w:rPr>
              <w:t>Técnica</w:t>
            </w:r>
          </w:p>
        </w:tc>
        <w:tc>
          <w:tcPr>
            <w:tcW w:w="1646" w:type="dxa"/>
            <w:tcBorders>
              <w:bottom w:val="single" w:sz="4" w:space="0" w:color="000000"/>
              <w:right w:val="single" w:sz="4" w:space="0" w:color="000000"/>
            </w:tcBorders>
            <w:shd w:color="000000" w:fill="DAE9F8" w:val="clear"/>
            <w:vAlign w:val="bottom"/>
          </w:tcPr>
          <w:p>
            <w:pPr>
              <w:pStyle w:val="Normal"/>
              <w:rPr>
                <w:color w:val="000000"/>
              </w:rPr>
            </w:pPr>
            <w:r>
              <w:rPr>
                <w:color w:val="000000"/>
              </w:rPr>
              <w:t>Frecuencia</w:t>
            </w:r>
          </w:p>
        </w:tc>
        <w:tc>
          <w:tcPr>
            <w:tcW w:w="1594" w:type="dxa"/>
            <w:tcBorders>
              <w:bottom w:val="single" w:sz="4" w:space="0" w:color="000000"/>
              <w:right w:val="single" w:sz="4" w:space="0" w:color="000000"/>
            </w:tcBorders>
            <w:shd w:color="000000" w:fill="DAE9F8" w:val="clear"/>
            <w:vAlign w:val="bottom"/>
          </w:tcPr>
          <w:p>
            <w:pPr>
              <w:pStyle w:val="Normal"/>
              <w:rPr>
                <w:color w:val="000000"/>
              </w:rPr>
            </w:pPr>
            <w:r>
              <w:rPr>
                <w:color w:val="000000"/>
              </w:rPr>
              <w:t>Porcentaje</w:t>
            </w:r>
          </w:p>
        </w:tc>
      </w:tr>
      <w:tr>
        <w:trPr>
          <w:trHeight w:val="320" w:hRule="atLeast"/>
        </w:trPr>
        <w:tc>
          <w:tcPr>
            <w:tcW w:w="8280" w:type="dxa"/>
            <w:gridSpan w:val="3"/>
            <w:tcBorders>
              <w:top w:val="single" w:sz="4" w:space="0" w:color="000000"/>
              <w:left w:val="single" w:sz="4" w:space="0" w:color="000000"/>
              <w:bottom w:val="single" w:sz="4" w:space="0" w:color="000000"/>
              <w:right w:val="single" w:sz="4" w:space="0" w:color="000000"/>
            </w:tcBorders>
            <w:shd w:color="000000" w:fill="D9D9D9" w:val="clear"/>
            <w:vAlign w:val="bottom"/>
          </w:tcPr>
          <w:p>
            <w:pPr>
              <w:pStyle w:val="Normal"/>
              <w:jc w:val="center"/>
              <w:rPr>
                <w:color w:val="000000"/>
              </w:rPr>
            </w:pPr>
            <w:r>
              <w:rPr>
                <w:color w:val="000000"/>
              </w:rPr>
              <w:t>Frecuencia de ausentes = 20</w:t>
            </w:r>
          </w:p>
        </w:tc>
      </w:tr>
      <w:tr>
        <w:trPr>
          <w:trHeight w:val="320" w:hRule="atLeast"/>
        </w:trPr>
        <w:tc>
          <w:tcPr>
            <w:tcW w:w="5040"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Cirugía Paliativa</w:t>
            </w:r>
          </w:p>
        </w:tc>
        <w:tc>
          <w:tcPr>
            <w:tcW w:w="1646" w:type="dxa"/>
            <w:tcBorders>
              <w:bottom w:val="single" w:sz="4" w:space="0" w:color="000000"/>
              <w:right w:val="single" w:sz="4" w:space="0" w:color="000000"/>
            </w:tcBorders>
            <w:vAlign w:val="bottom"/>
          </w:tcPr>
          <w:p>
            <w:pPr>
              <w:pStyle w:val="Normal"/>
              <w:jc w:val="right"/>
              <w:rPr>
                <w:color w:val="000000"/>
              </w:rPr>
            </w:pPr>
            <w:r>
              <w:rPr>
                <w:color w:val="000000"/>
              </w:rPr>
              <w:t>7</w:t>
            </w:r>
          </w:p>
        </w:tc>
        <w:tc>
          <w:tcPr>
            <w:tcW w:w="1594" w:type="dxa"/>
            <w:tcBorders>
              <w:bottom w:val="single" w:sz="4" w:space="0" w:color="000000"/>
              <w:right w:val="single" w:sz="4" w:space="0" w:color="000000"/>
            </w:tcBorders>
            <w:vAlign w:val="bottom"/>
          </w:tcPr>
          <w:p>
            <w:pPr>
              <w:pStyle w:val="Normal"/>
              <w:jc w:val="right"/>
              <w:rPr>
                <w:color w:val="000000"/>
              </w:rPr>
            </w:pPr>
            <w:r>
              <w:rPr>
                <w:color w:val="000000"/>
              </w:rPr>
              <w:t>46,7%</w:t>
            </w:r>
          </w:p>
        </w:tc>
      </w:tr>
      <w:tr>
        <w:trPr>
          <w:trHeight w:val="320" w:hRule="atLeast"/>
        </w:trPr>
        <w:tc>
          <w:tcPr>
            <w:tcW w:w="5040"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Citorreducción completa</w:t>
            </w:r>
          </w:p>
        </w:tc>
        <w:tc>
          <w:tcPr>
            <w:tcW w:w="1646" w:type="dxa"/>
            <w:tcBorders>
              <w:bottom w:val="single" w:sz="4" w:space="0" w:color="000000"/>
              <w:right w:val="single" w:sz="4" w:space="0" w:color="000000"/>
            </w:tcBorders>
            <w:vAlign w:val="bottom"/>
          </w:tcPr>
          <w:p>
            <w:pPr>
              <w:pStyle w:val="Normal"/>
              <w:jc w:val="right"/>
              <w:rPr>
                <w:color w:val="000000"/>
              </w:rPr>
            </w:pPr>
            <w:r>
              <w:rPr>
                <w:color w:val="000000"/>
              </w:rPr>
              <w:t>7</w:t>
            </w:r>
          </w:p>
        </w:tc>
        <w:tc>
          <w:tcPr>
            <w:tcW w:w="1594" w:type="dxa"/>
            <w:tcBorders>
              <w:bottom w:val="single" w:sz="4" w:space="0" w:color="000000"/>
              <w:right w:val="single" w:sz="4" w:space="0" w:color="000000"/>
            </w:tcBorders>
            <w:vAlign w:val="bottom"/>
          </w:tcPr>
          <w:p>
            <w:pPr>
              <w:pStyle w:val="Normal"/>
              <w:jc w:val="right"/>
              <w:rPr>
                <w:color w:val="000000"/>
              </w:rPr>
            </w:pPr>
            <w:r>
              <w:rPr>
                <w:color w:val="000000"/>
              </w:rPr>
              <w:t>46,7%</w:t>
            </w:r>
          </w:p>
        </w:tc>
      </w:tr>
      <w:tr>
        <w:trPr>
          <w:trHeight w:val="320" w:hRule="atLeast"/>
        </w:trPr>
        <w:tc>
          <w:tcPr>
            <w:tcW w:w="5040"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Derivación a centro de mayor nivel</w:t>
            </w:r>
          </w:p>
        </w:tc>
        <w:tc>
          <w:tcPr>
            <w:tcW w:w="1646" w:type="dxa"/>
            <w:tcBorders>
              <w:bottom w:val="single" w:sz="4" w:space="0" w:color="000000"/>
              <w:right w:val="single" w:sz="4" w:space="0" w:color="000000"/>
            </w:tcBorders>
            <w:vAlign w:val="bottom"/>
          </w:tcPr>
          <w:p>
            <w:pPr>
              <w:pStyle w:val="Normal"/>
              <w:jc w:val="right"/>
              <w:rPr>
                <w:color w:val="000000"/>
              </w:rPr>
            </w:pPr>
            <w:r>
              <w:rPr>
                <w:color w:val="000000"/>
              </w:rPr>
              <w:t>1</w:t>
            </w:r>
          </w:p>
        </w:tc>
        <w:tc>
          <w:tcPr>
            <w:tcW w:w="1594" w:type="dxa"/>
            <w:tcBorders>
              <w:bottom w:val="single" w:sz="4" w:space="0" w:color="000000"/>
              <w:right w:val="single" w:sz="4" w:space="0" w:color="000000"/>
            </w:tcBorders>
            <w:vAlign w:val="bottom"/>
          </w:tcPr>
          <w:p>
            <w:pPr>
              <w:pStyle w:val="Normal"/>
              <w:jc w:val="right"/>
              <w:rPr>
                <w:color w:val="000000"/>
              </w:rPr>
            </w:pPr>
            <w:r>
              <w:rPr>
                <w:color w:val="000000"/>
              </w:rPr>
              <w:t>6,7%</w:t>
            </w:r>
          </w:p>
        </w:tc>
      </w:tr>
      <w:tr>
        <w:trPr>
          <w:trHeight w:val="320" w:hRule="atLeast"/>
        </w:trPr>
        <w:tc>
          <w:tcPr>
            <w:tcW w:w="5040" w:type="dxa"/>
            <w:tcBorders>
              <w:left w:val="single" w:sz="4" w:space="0" w:color="000000"/>
              <w:bottom w:val="single" w:sz="4" w:space="0" w:color="000000"/>
              <w:right w:val="single" w:sz="4" w:space="0" w:color="000000"/>
            </w:tcBorders>
            <w:shd w:color="000000" w:fill="DAE9F8" w:val="clear"/>
            <w:vAlign w:val="bottom"/>
          </w:tcPr>
          <w:p>
            <w:pPr>
              <w:pStyle w:val="Normal"/>
              <w:rPr>
                <w:color w:val="000000"/>
              </w:rPr>
            </w:pPr>
            <w:r>
              <w:rPr>
                <w:color w:val="000000"/>
              </w:rPr>
              <w:t>Total</w:t>
            </w:r>
          </w:p>
        </w:tc>
        <w:tc>
          <w:tcPr>
            <w:tcW w:w="1646" w:type="dxa"/>
            <w:tcBorders>
              <w:bottom w:val="single" w:sz="4" w:space="0" w:color="000000"/>
              <w:right w:val="single" w:sz="4" w:space="0" w:color="000000"/>
            </w:tcBorders>
            <w:shd w:color="000000" w:fill="DAE9F8" w:val="clear"/>
            <w:vAlign w:val="bottom"/>
          </w:tcPr>
          <w:p>
            <w:pPr>
              <w:pStyle w:val="Normal"/>
              <w:jc w:val="right"/>
              <w:rPr>
                <w:color w:val="000000"/>
              </w:rPr>
            </w:pPr>
            <w:r>
              <w:rPr>
                <w:color w:val="000000"/>
              </w:rPr>
              <w:t>15</w:t>
            </w:r>
          </w:p>
        </w:tc>
        <w:tc>
          <w:tcPr>
            <w:tcW w:w="1594" w:type="dxa"/>
            <w:tcBorders>
              <w:bottom w:val="single" w:sz="4" w:space="0" w:color="000000"/>
              <w:right w:val="single" w:sz="4" w:space="0" w:color="000000"/>
            </w:tcBorders>
            <w:shd w:color="000000" w:fill="DAE9F8" w:val="clear"/>
            <w:vAlign w:val="bottom"/>
          </w:tcPr>
          <w:p>
            <w:pPr>
              <w:pStyle w:val="Normal"/>
              <w:jc w:val="right"/>
              <w:rPr>
                <w:color w:val="000000"/>
              </w:rPr>
            </w:pPr>
            <w:r>
              <w:rPr>
                <w:color w:val="000000"/>
              </w:rPr>
              <w:t>100%</w:t>
            </w:r>
          </w:p>
        </w:tc>
      </w:tr>
    </w:tbl>
    <w:p>
      <w:pPr>
        <w:pStyle w:val="p1"/>
        <w:spacing w:before="280" w:after="280"/>
        <w:jc w:val="center"/>
        <w:rPr>
          <w:color w:themeColor="text1" w:val="000000"/>
        </w:rPr>
      </w:pPr>
      <w:r>
        <w:rPr>
          <w:color w:themeColor="text1" w:val="000000"/>
        </w:rPr>
      </w:r>
    </w:p>
    <w:p>
      <w:pPr>
        <w:pStyle w:val="p1"/>
        <w:numPr>
          <w:ilvl w:val="1"/>
          <w:numId w:val="25"/>
        </w:numPr>
        <w:spacing w:lineRule="auto" w:line="360" w:before="280" w:after="0"/>
        <w:jc w:val="both"/>
        <w:rPr>
          <w:color w:themeColor="text1" w:val="000000"/>
        </w:rPr>
      </w:pPr>
      <w:r>
        <w:rPr>
          <w:color w:themeColor="text1" w:val="000000"/>
        </w:rPr>
        <w:t>¿Conoce usted sobre la terapia HIPEC (</w:t>
      </w:r>
      <w:r>
        <w:rPr>
          <w:i/>
          <w:iCs/>
          <w:color w:themeColor="text1" w:val="000000"/>
        </w:rPr>
        <w:t>hyperthermic intraperitoneal chemotherapy</w:t>
      </w:r>
      <w:r>
        <w:rPr>
          <w:color w:themeColor="text1" w:val="000000"/>
        </w:rPr>
        <w:t>)?</w:t>
      </w:r>
    </w:p>
    <w:p>
      <w:pPr>
        <w:pStyle w:val="p1"/>
        <w:numPr>
          <w:ilvl w:val="2"/>
          <w:numId w:val="25"/>
        </w:numPr>
        <w:spacing w:lineRule="auto" w:line="360" w:before="0" w:after="0"/>
        <w:jc w:val="both"/>
        <w:rPr>
          <w:color w:themeColor="text1" w:val="000000"/>
        </w:rPr>
      </w:pPr>
      <w:r>
        <w:rPr>
          <w:color w:themeColor="text1" w:val="000000"/>
        </w:rPr>
        <w:t>Sí.</w:t>
      </w:r>
    </w:p>
    <w:p>
      <w:pPr>
        <w:pStyle w:val="p1"/>
        <w:numPr>
          <w:ilvl w:val="2"/>
          <w:numId w:val="25"/>
        </w:numPr>
        <w:spacing w:lineRule="auto" w:line="360" w:before="0" w:after="280"/>
        <w:jc w:val="both"/>
        <w:rPr>
          <w:color w:themeColor="text1" w:val="000000"/>
        </w:rPr>
      </w:pPr>
      <w:r>
        <w:rPr>
          <w:color w:themeColor="text1" w:val="000000"/>
        </w:rPr>
        <w:t>No.</w:t>
      </w:r>
    </w:p>
    <w:p>
      <w:pPr>
        <w:pStyle w:val="Caption"/>
        <w:jc w:val="center"/>
        <w:rPr>
          <w:b/>
          <w:bCs/>
          <w:i w:val="false"/>
          <w:i w:val="false"/>
          <w:iCs w:val="false"/>
          <w:color w:themeColor="text1" w:val="000000"/>
        </w:rPr>
      </w:pPr>
      <w:bookmarkStart w:id="318" w:name="_Toc199964158"/>
      <w:bookmarkStart w:id="319" w:name="_Toc199964095"/>
      <w:r>
        <w:rPr>
          <w:b/>
          <w:bCs/>
          <w:i w:val="false"/>
          <w:iCs w:val="false"/>
          <w:color w:themeColor="text1" w:val="000000"/>
        </w:rPr>
        <w:t xml:space="preserve">Tabla </w:t>
      </w:r>
      <w:r>
        <w:rPr>
          <w:b/>
          <w:bCs/>
          <w:i w:val="false"/>
          <w:iCs w:val="false"/>
          <w:color w:themeColor="text1" w:val="000000"/>
        </w:rPr>
        <w:fldChar w:fldCharType="begin"/>
      </w:r>
      <w:r>
        <w:rPr>
          <w:i w:val="false"/>
          <w:b/>
          <w:iCs w:val="false"/>
          <w:bCs/>
          <w:color w:themeColor="text1" w:val="000000"/>
        </w:rPr>
        <w:instrText xml:space="preserve"> SEQ Tabla \* ARABIC </w:instrText>
      </w:r>
      <w:r>
        <w:rPr>
          <w:i w:val="false"/>
          <w:b/>
          <w:iCs w:val="false"/>
          <w:bCs/>
          <w:color w:themeColor="text1" w:val="000000"/>
        </w:rPr>
        <w:fldChar w:fldCharType="separate"/>
      </w:r>
      <w:r>
        <w:rPr>
          <w:i w:val="false"/>
          <w:b/>
          <w:iCs w:val="false"/>
          <w:bCs/>
          <w:color w:themeColor="text1" w:val="000000"/>
        </w:rPr>
        <w:t>12</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Conocimiento de la Técnica HIPEC</w:t>
      </w:r>
      <w:bookmarkEnd w:id="318"/>
      <w:bookmarkEnd w:id="319"/>
    </w:p>
    <w:tbl>
      <w:tblPr>
        <w:tblW w:w="5160" w:type="dxa"/>
        <w:jc w:val="center"/>
        <w:tblInd w:w="0" w:type="dxa"/>
        <w:tblLayout w:type="fixed"/>
        <w:tblCellMar>
          <w:top w:w="0" w:type="dxa"/>
          <w:left w:w="70" w:type="dxa"/>
          <w:bottom w:w="0" w:type="dxa"/>
          <w:right w:w="70" w:type="dxa"/>
        </w:tblCellMar>
        <w:tblLook w:val="04a0" w:noHBand="0" w:noVBand="1" w:firstColumn="1" w:lastRow="0" w:lastColumn="0" w:firstRow="1"/>
      </w:tblPr>
      <w:tblGrid>
        <w:gridCol w:w="2636"/>
        <w:gridCol w:w="2523"/>
      </w:tblGrid>
      <w:tr>
        <w:trPr>
          <w:trHeight w:val="320" w:hRule="atLeast"/>
        </w:trPr>
        <w:tc>
          <w:tcPr>
            <w:tcW w:w="2636" w:type="dxa"/>
            <w:tcBorders>
              <w:left w:val="single" w:sz="4" w:space="0" w:color="000000"/>
              <w:bottom w:val="single" w:sz="4" w:space="0" w:color="000000"/>
              <w:right w:val="single" w:sz="4" w:space="0" w:color="000000"/>
            </w:tcBorders>
            <w:shd w:color="000000" w:fill="DAE9F8" w:val="clear"/>
            <w:vAlign w:val="bottom"/>
          </w:tcPr>
          <w:p>
            <w:pPr>
              <w:pStyle w:val="Normal"/>
              <w:rPr>
                <w:color w:val="000000"/>
              </w:rPr>
            </w:pPr>
            <w:r>
              <w:rPr>
                <w:color w:val="000000"/>
              </w:rPr>
              <w:t>Cocimiento</w:t>
            </w:r>
          </w:p>
        </w:tc>
        <w:tc>
          <w:tcPr>
            <w:tcW w:w="2523" w:type="dxa"/>
            <w:tcBorders>
              <w:bottom w:val="single" w:sz="4" w:space="0" w:color="000000"/>
              <w:right w:val="single" w:sz="4" w:space="0" w:color="000000"/>
            </w:tcBorders>
            <w:shd w:color="000000" w:fill="DAE9F8" w:val="clear"/>
            <w:vAlign w:val="bottom"/>
          </w:tcPr>
          <w:p>
            <w:pPr>
              <w:pStyle w:val="Normal"/>
              <w:rPr>
                <w:color w:val="000000"/>
              </w:rPr>
            </w:pPr>
            <w:r>
              <w:rPr>
                <w:color w:val="000000"/>
              </w:rPr>
              <w:t>Porcentaje</w:t>
            </w:r>
          </w:p>
        </w:tc>
      </w:tr>
      <w:tr>
        <w:trPr>
          <w:trHeight w:val="320" w:hRule="atLeast"/>
        </w:trPr>
        <w:tc>
          <w:tcPr>
            <w:tcW w:w="2636"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Sí</w:t>
            </w:r>
          </w:p>
        </w:tc>
        <w:tc>
          <w:tcPr>
            <w:tcW w:w="2523" w:type="dxa"/>
            <w:tcBorders>
              <w:bottom w:val="single" w:sz="4" w:space="0" w:color="000000"/>
              <w:right w:val="single" w:sz="4" w:space="0" w:color="000000"/>
            </w:tcBorders>
            <w:vAlign w:val="bottom"/>
          </w:tcPr>
          <w:p>
            <w:pPr>
              <w:pStyle w:val="Normal"/>
              <w:jc w:val="right"/>
              <w:rPr>
                <w:color w:val="000000"/>
              </w:rPr>
            </w:pPr>
            <w:r>
              <w:rPr>
                <w:color w:val="000000"/>
              </w:rPr>
              <w:t>89,0%</w:t>
            </w:r>
          </w:p>
        </w:tc>
      </w:tr>
      <w:tr>
        <w:trPr>
          <w:trHeight w:val="320" w:hRule="atLeast"/>
        </w:trPr>
        <w:tc>
          <w:tcPr>
            <w:tcW w:w="2636" w:type="dxa"/>
            <w:tcBorders>
              <w:left w:val="single" w:sz="4" w:space="0" w:color="000000"/>
              <w:bottom w:val="single" w:sz="4" w:space="0" w:color="000000"/>
              <w:right w:val="single" w:sz="4" w:space="0" w:color="000000"/>
            </w:tcBorders>
            <w:vAlign w:val="bottom"/>
          </w:tcPr>
          <w:p>
            <w:pPr>
              <w:pStyle w:val="Normal"/>
              <w:rPr>
                <w:color w:val="000000"/>
              </w:rPr>
            </w:pPr>
            <w:r>
              <w:rPr>
                <w:color w:val="000000"/>
              </w:rPr>
              <w:t>No</w:t>
            </w:r>
          </w:p>
        </w:tc>
        <w:tc>
          <w:tcPr>
            <w:tcW w:w="2523" w:type="dxa"/>
            <w:tcBorders>
              <w:bottom w:val="single" w:sz="4" w:space="0" w:color="000000"/>
              <w:right w:val="single" w:sz="4" w:space="0" w:color="000000"/>
            </w:tcBorders>
            <w:vAlign w:val="bottom"/>
          </w:tcPr>
          <w:p>
            <w:pPr>
              <w:pStyle w:val="Normal"/>
              <w:jc w:val="right"/>
              <w:rPr>
                <w:color w:val="000000"/>
              </w:rPr>
            </w:pPr>
            <w:r>
              <w:rPr>
                <w:color w:val="000000"/>
              </w:rPr>
              <w:t>11,0%</w:t>
            </w:r>
          </w:p>
        </w:tc>
      </w:tr>
      <w:tr>
        <w:trPr>
          <w:trHeight w:val="320" w:hRule="atLeast"/>
        </w:trPr>
        <w:tc>
          <w:tcPr>
            <w:tcW w:w="2636" w:type="dxa"/>
            <w:tcBorders>
              <w:left w:val="single" w:sz="4" w:space="0" w:color="000000"/>
              <w:bottom w:val="single" w:sz="4" w:space="0" w:color="000000"/>
              <w:right w:val="single" w:sz="4" w:space="0" w:color="000000"/>
            </w:tcBorders>
            <w:shd w:color="000000" w:fill="DAE9F8" w:val="clear"/>
            <w:vAlign w:val="bottom"/>
          </w:tcPr>
          <w:p>
            <w:pPr>
              <w:pStyle w:val="Normal"/>
              <w:rPr>
                <w:color w:val="000000"/>
              </w:rPr>
            </w:pPr>
            <w:r>
              <w:rPr>
                <w:color w:val="000000"/>
              </w:rPr>
              <w:t>Total</w:t>
            </w:r>
          </w:p>
        </w:tc>
        <w:tc>
          <w:tcPr>
            <w:tcW w:w="2523" w:type="dxa"/>
            <w:tcBorders>
              <w:bottom w:val="single" w:sz="4" w:space="0" w:color="000000"/>
              <w:right w:val="single" w:sz="4" w:space="0" w:color="000000"/>
            </w:tcBorders>
            <w:shd w:color="000000" w:fill="DAE9F8" w:val="clear"/>
            <w:vAlign w:val="bottom"/>
          </w:tcPr>
          <w:p>
            <w:pPr>
              <w:pStyle w:val="Normal"/>
              <w:jc w:val="right"/>
              <w:rPr>
                <w:color w:val="000000"/>
              </w:rPr>
            </w:pPr>
            <w:r>
              <w:rPr>
                <w:color w:val="000000"/>
              </w:rPr>
              <w:t>100%</w:t>
            </w:r>
          </w:p>
        </w:tc>
      </w:tr>
    </w:tbl>
    <w:p>
      <w:pPr>
        <w:pStyle w:val="p1"/>
        <w:spacing w:before="280" w:after="280"/>
        <w:jc w:val="center"/>
        <w:rPr>
          <w:color w:themeColor="text1" w:val="000000"/>
        </w:rPr>
      </w:pPr>
      <w:r>
        <w:rPr>
          <w:color w:themeColor="text1" w:val="000000"/>
        </w:rPr>
      </w:r>
    </w:p>
    <w:p>
      <w:pPr>
        <w:pStyle w:val="p1"/>
        <w:numPr>
          <w:ilvl w:val="1"/>
          <w:numId w:val="25"/>
        </w:numPr>
        <w:spacing w:lineRule="auto" w:line="360" w:before="280" w:after="0"/>
        <w:jc w:val="both"/>
        <w:rPr>
          <w:color w:themeColor="text1" w:val="000000"/>
        </w:rPr>
      </w:pPr>
      <w:r>
        <w:rPr>
          <w:color w:themeColor="text1" w:val="000000"/>
        </w:rPr>
        <w:t>¿Está familiarizado con la cirugía citorreductora+ HIPEC implementada en la CCSS?</w:t>
      </w:r>
    </w:p>
    <w:p>
      <w:pPr>
        <w:pStyle w:val="p1"/>
        <w:numPr>
          <w:ilvl w:val="2"/>
          <w:numId w:val="25"/>
        </w:numPr>
        <w:spacing w:lineRule="auto" w:line="360" w:before="0" w:after="0"/>
        <w:jc w:val="both"/>
        <w:rPr>
          <w:color w:themeColor="text1" w:val="000000"/>
        </w:rPr>
      </w:pPr>
      <w:r>
        <w:rPr>
          <w:color w:themeColor="text1" w:val="000000"/>
        </w:rPr>
        <w:t>Sí.</w:t>
      </w:r>
    </w:p>
    <w:p>
      <w:pPr>
        <w:pStyle w:val="p1"/>
        <w:numPr>
          <w:ilvl w:val="2"/>
          <w:numId w:val="25"/>
        </w:numPr>
        <w:spacing w:lineRule="auto" w:line="360" w:before="0" w:after="280"/>
        <w:jc w:val="both"/>
        <w:rPr>
          <w:color w:themeColor="text1" w:val="000000"/>
        </w:rPr>
      </w:pPr>
      <w:r>
        <w:rPr>
          <w:color w:themeColor="text1" w:val="000000"/>
        </w:rPr>
        <w:t>No.</w:t>
      </w:r>
    </w:p>
    <w:p>
      <w:pPr>
        <w:pStyle w:val="p1"/>
        <w:keepNext w:val="true"/>
        <w:spacing w:before="0" w:after="280"/>
        <w:jc w:val="center"/>
        <w:rPr/>
      </w:pPr>
      <w:r>
        <w:rPr/>
        <w:drawing>
          <wp:inline distT="0" distB="0" distL="0" distR="0">
            <wp:extent cx="4572000" cy="2978150"/>
            <wp:effectExtent l="0" t="0" r="0" b="0"/>
            <wp:docPr id="17" name="Object10"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Caption"/>
        <w:jc w:val="center"/>
        <w:rPr>
          <w:i w:val="false"/>
          <w:i w:val="false"/>
          <w:iCs w:val="false"/>
          <w:color w:themeColor="text1" w:val="000000"/>
        </w:rPr>
      </w:pPr>
      <w:bookmarkStart w:id="320" w:name="_Toc199964187"/>
      <w:bookmarkStart w:id="321" w:name="_Toc200580379"/>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16</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Conocimiento de técnica HIPEC implementada en la CCSS entre los profesionales consultados</w:t>
      </w:r>
      <w:bookmarkEnd w:id="320"/>
      <w:bookmarkEnd w:id="321"/>
    </w:p>
    <w:p>
      <w:pPr>
        <w:pStyle w:val="p1"/>
        <w:numPr>
          <w:ilvl w:val="1"/>
          <w:numId w:val="25"/>
        </w:numPr>
        <w:spacing w:lineRule="auto" w:line="360" w:before="280" w:after="0"/>
        <w:jc w:val="both"/>
        <w:rPr>
          <w:color w:themeColor="text1" w:val="000000"/>
        </w:rPr>
      </w:pPr>
      <w:r>
        <w:rPr>
          <w:color w:themeColor="text1" w:val="000000"/>
        </w:rPr>
        <w:t>¿Considera viable implementar HIPEC en su hospital en un futuro cercano?</w:t>
      </w:r>
    </w:p>
    <w:p>
      <w:pPr>
        <w:pStyle w:val="p1"/>
        <w:numPr>
          <w:ilvl w:val="2"/>
          <w:numId w:val="25"/>
        </w:numPr>
        <w:spacing w:lineRule="auto" w:line="360" w:before="0" w:after="0"/>
        <w:jc w:val="both"/>
        <w:rPr>
          <w:color w:themeColor="text1" w:val="000000"/>
        </w:rPr>
      </w:pPr>
      <w:r>
        <w:rPr>
          <w:color w:themeColor="text1" w:val="000000"/>
        </w:rPr>
        <w:t>Sí.</w:t>
      </w:r>
    </w:p>
    <w:p>
      <w:pPr>
        <w:pStyle w:val="p1"/>
        <w:numPr>
          <w:ilvl w:val="2"/>
          <w:numId w:val="25"/>
        </w:numPr>
        <w:spacing w:lineRule="auto" w:line="360" w:before="0" w:after="280"/>
        <w:jc w:val="both"/>
        <w:rPr>
          <w:color w:themeColor="text1" w:val="000000"/>
        </w:rPr>
      </w:pPr>
      <w:r>
        <w:rPr>
          <w:color w:themeColor="text1" w:val="000000"/>
        </w:rPr>
        <w:t>No.</w:t>
      </w:r>
    </w:p>
    <w:p>
      <w:pPr>
        <w:pStyle w:val="p1"/>
        <w:keepNext w:val="true"/>
        <w:spacing w:before="0" w:after="280"/>
        <w:jc w:val="center"/>
        <w:rPr/>
      </w:pPr>
      <w:r>
        <w:rPr/>
        <w:drawing>
          <wp:inline distT="0" distB="0" distL="0" distR="0">
            <wp:extent cx="5611495" cy="1703705"/>
            <wp:effectExtent l="0" t="0" r="0" b="0"/>
            <wp:docPr id="18" name="Object11"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Caption"/>
        <w:jc w:val="center"/>
        <w:rPr>
          <w:b/>
          <w:bCs/>
          <w:i w:val="false"/>
          <w:i w:val="false"/>
          <w:iCs w:val="false"/>
          <w:color w:themeColor="text1" w:val="000000"/>
        </w:rPr>
      </w:pPr>
      <w:bookmarkStart w:id="322" w:name="_Toc199964188"/>
      <w:bookmarkStart w:id="323" w:name="_Toc200580380"/>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17</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Consideración de los profesionales encuestados sobre la viabilidad de implementar HIPEC en su hospital de trabajo</w:t>
      </w:r>
      <w:bookmarkEnd w:id="322"/>
      <w:bookmarkEnd w:id="323"/>
    </w:p>
    <w:p>
      <w:pPr>
        <w:pStyle w:val="p1"/>
        <w:numPr>
          <w:ilvl w:val="1"/>
          <w:numId w:val="25"/>
        </w:numPr>
        <w:spacing w:lineRule="auto" w:line="360" w:before="280" w:after="0"/>
        <w:jc w:val="both"/>
        <w:rPr>
          <w:color w:themeColor="text1" w:val="000000"/>
        </w:rPr>
      </w:pPr>
      <w:r>
        <w:rPr>
          <w:color w:themeColor="text1" w:val="000000"/>
        </w:rPr>
        <w:t>¿Cuál considera el principal obstáculo para realizar HIPEC en su centro de trabajo? </w:t>
      </w:r>
    </w:p>
    <w:p>
      <w:pPr>
        <w:pStyle w:val="p1"/>
        <w:numPr>
          <w:ilvl w:val="2"/>
          <w:numId w:val="25"/>
        </w:numPr>
        <w:spacing w:lineRule="auto" w:line="360" w:before="0" w:after="0"/>
        <w:jc w:val="both"/>
        <w:rPr>
          <w:color w:themeColor="text1" w:val="000000"/>
        </w:rPr>
      </w:pPr>
      <w:r>
        <w:rPr>
          <w:color w:themeColor="text1" w:val="000000"/>
        </w:rPr>
        <w:t>Recursos (equipo).</w:t>
      </w:r>
    </w:p>
    <w:p>
      <w:pPr>
        <w:pStyle w:val="p1"/>
        <w:numPr>
          <w:ilvl w:val="2"/>
          <w:numId w:val="25"/>
        </w:numPr>
        <w:spacing w:lineRule="auto" w:line="360" w:before="0" w:after="0"/>
        <w:jc w:val="both"/>
        <w:rPr>
          <w:color w:themeColor="text1" w:val="000000"/>
        </w:rPr>
      </w:pPr>
      <w:r>
        <w:rPr>
          <w:color w:themeColor="text1" w:val="000000"/>
        </w:rPr>
        <w:t>Recurso humano especializado (cirujano, enfermería, técnicos de maquinaria).</w:t>
      </w:r>
    </w:p>
    <w:p>
      <w:pPr>
        <w:pStyle w:val="p1"/>
        <w:numPr>
          <w:ilvl w:val="2"/>
          <w:numId w:val="25"/>
        </w:numPr>
        <w:spacing w:lineRule="auto" w:line="360" w:before="0" w:after="0"/>
        <w:jc w:val="both"/>
        <w:rPr>
          <w:color w:themeColor="text1" w:val="000000"/>
        </w:rPr>
      </w:pPr>
      <w:r>
        <w:rPr>
          <w:color w:themeColor="text1" w:val="000000"/>
        </w:rPr>
        <w:t>Volumen de casos.</w:t>
      </w:r>
    </w:p>
    <w:p>
      <w:pPr>
        <w:pStyle w:val="p1"/>
        <w:numPr>
          <w:ilvl w:val="2"/>
          <w:numId w:val="25"/>
        </w:numPr>
        <w:spacing w:lineRule="auto" w:line="360" w:before="0" w:after="280"/>
        <w:jc w:val="both"/>
        <w:rPr>
          <w:color w:themeColor="text1" w:val="000000"/>
        </w:rPr>
      </w:pPr>
      <w:r>
        <w:rPr>
          <w:color w:themeColor="text1" w:val="000000"/>
        </w:rPr>
        <w:t>Otra.</w:t>
      </w:r>
    </w:p>
    <w:p>
      <w:pPr>
        <w:pStyle w:val="p1"/>
        <w:keepNext w:val="true"/>
        <w:spacing w:before="0" w:after="280"/>
        <w:jc w:val="center"/>
        <w:rPr/>
      </w:pPr>
      <w:r>
        <w:rPr/>
        <w:drawing>
          <wp:inline distT="0" distB="0" distL="0" distR="0">
            <wp:extent cx="5029200" cy="2838450"/>
            <wp:effectExtent l="0" t="0" r="0" b="0"/>
            <wp:docPr id="19" name="Object12"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pStyle w:val="Caption"/>
        <w:jc w:val="center"/>
        <w:rPr>
          <w:b/>
          <w:bCs/>
          <w:i w:val="false"/>
          <w:i w:val="false"/>
          <w:iCs w:val="false"/>
          <w:color w:themeColor="text1" w:val="000000"/>
        </w:rPr>
      </w:pPr>
      <w:bookmarkStart w:id="324" w:name="_Toc199964189"/>
      <w:bookmarkStart w:id="325" w:name="_Toc200580381"/>
      <w:r>
        <w:rPr>
          <w:b/>
          <w:bCs/>
          <w:i w:val="false"/>
          <w:iCs w:val="false"/>
          <w:color w:themeColor="text1" w:val="000000"/>
        </w:rPr>
        <w:t xml:space="preserve">Figura </w:t>
      </w:r>
      <w:r>
        <w:rPr>
          <w:b/>
          <w:bCs/>
          <w:i w:val="false"/>
          <w:iCs w:val="false"/>
          <w:color w:themeColor="text1" w:val="000000"/>
        </w:rPr>
        <w:fldChar w:fldCharType="begin"/>
      </w:r>
      <w:r>
        <w:rPr>
          <w:i w:val="false"/>
          <w:b/>
          <w:iCs w:val="false"/>
          <w:bCs/>
          <w:color w:themeColor="text1" w:val="000000"/>
        </w:rPr>
        <w:instrText xml:space="preserve"> SEQ Figura \* ARABIC </w:instrText>
      </w:r>
      <w:r>
        <w:rPr>
          <w:i w:val="false"/>
          <w:b/>
          <w:iCs w:val="false"/>
          <w:bCs/>
          <w:color w:themeColor="text1" w:val="000000"/>
        </w:rPr>
        <w:fldChar w:fldCharType="separate"/>
      </w:r>
      <w:r>
        <w:rPr>
          <w:i w:val="false"/>
          <w:b/>
          <w:iCs w:val="false"/>
          <w:bCs/>
          <w:color w:themeColor="text1" w:val="000000"/>
        </w:rPr>
        <w:t>18</w:t>
      </w:r>
      <w:r>
        <w:rPr>
          <w:i w:val="false"/>
          <w:b/>
          <w:iCs w:val="false"/>
          <w:bCs/>
          <w:color w:themeColor="text1" w:val="000000"/>
        </w:rPr>
        <w:fldChar w:fldCharType="end"/>
      </w:r>
      <w:r>
        <w:rPr>
          <w:b/>
          <w:bCs/>
          <w:i w:val="false"/>
          <w:iCs w:val="false"/>
          <w:color w:themeColor="text1" w:val="000000"/>
        </w:rPr>
        <w:t xml:space="preserve">. </w:t>
      </w:r>
      <w:r>
        <w:rPr>
          <w:i w:val="false"/>
          <w:iCs w:val="false"/>
          <w:color w:themeColor="text1" w:val="000000"/>
        </w:rPr>
        <w:t>Principal obstáculo para realizar HIPEC en su centro de trabajo</w:t>
      </w:r>
      <w:bookmarkEnd w:id="324"/>
      <w:bookmarkEnd w:id="325"/>
    </w:p>
    <w:p>
      <w:pPr>
        <w:pStyle w:val="p1"/>
        <w:numPr>
          <w:ilvl w:val="1"/>
          <w:numId w:val="25"/>
        </w:numPr>
        <w:spacing w:lineRule="auto" w:line="360" w:before="280" w:after="0"/>
        <w:jc w:val="both"/>
        <w:rPr>
          <w:color w:themeColor="text1" w:val="000000"/>
        </w:rPr>
      </w:pPr>
      <w:r>
        <w:rPr>
          <w:color w:themeColor="text1" w:val="000000"/>
        </w:rPr>
        <w:t>¿Le interesaría participar en un programa de formación para el manejo estandarizado del cáncer apendicular avanzado?</w:t>
      </w:r>
    </w:p>
    <w:p>
      <w:pPr>
        <w:pStyle w:val="p1"/>
        <w:numPr>
          <w:ilvl w:val="2"/>
          <w:numId w:val="25"/>
        </w:numPr>
        <w:spacing w:lineRule="auto" w:line="360" w:before="0" w:after="0"/>
        <w:jc w:val="both"/>
        <w:rPr>
          <w:color w:themeColor="text1" w:val="000000"/>
        </w:rPr>
      </w:pPr>
      <w:r>
        <w:rPr>
          <w:color w:themeColor="text1" w:val="000000"/>
        </w:rPr>
        <w:t>Sí. (89%)</w:t>
      </w:r>
    </w:p>
    <w:p>
      <w:pPr>
        <w:pStyle w:val="p1"/>
        <w:numPr>
          <w:ilvl w:val="2"/>
          <w:numId w:val="25"/>
        </w:numPr>
        <w:spacing w:lineRule="auto" w:line="360" w:before="0" w:after="280"/>
        <w:jc w:val="both"/>
        <w:rPr>
          <w:color w:themeColor="text1" w:val="000000"/>
        </w:rPr>
      </w:pPr>
      <w:r>
        <w:rPr>
          <w:color w:themeColor="text1" w:val="000000"/>
        </w:rPr>
        <w:t>No. (11%)</w:t>
      </w:r>
    </w:p>
    <w:p>
      <w:pPr>
        <w:pStyle w:val="Normal"/>
        <w:spacing w:lineRule="auto" w:line="360"/>
        <w:jc w:val="center"/>
        <w:rPr/>
      </w:pPr>
      <w:r>
        <w:rPr/>
      </w:r>
    </w:p>
    <w:p>
      <w:pPr>
        <w:pStyle w:val="Normal"/>
        <w:spacing w:lineRule="auto" w:line="360"/>
        <w:jc w:val="both"/>
        <w:rPr/>
      </w:pPr>
      <w:r>
        <w:rPr/>
      </w:r>
    </w:p>
    <w:p>
      <w:pPr>
        <w:pStyle w:val="Normal"/>
        <w:spacing w:lineRule="auto" w:line="276" w:before="0" w:after="200"/>
        <w:rPr>
          <w:rFonts w:eastAsia="" w:eastAsiaTheme="majorEastAsia"/>
          <w:b/>
          <w:bCs/>
        </w:rPr>
      </w:pPr>
      <w:r>
        <w:rPr>
          <w:rFonts w:eastAsia="" w:eastAsiaTheme="majorEastAsia"/>
          <w:b/>
          <w:bCs/>
        </w:rPr>
      </w:r>
      <w:r>
        <w:br w:type="page"/>
      </w:r>
    </w:p>
    <w:p>
      <w:pPr>
        <w:pStyle w:val="Heading2"/>
        <w:numPr>
          <w:ilvl w:val="1"/>
          <w:numId w:val="98"/>
        </w:numPr>
        <w:spacing w:before="0" w:after="0"/>
        <w:rPr/>
      </w:pPr>
      <w:bookmarkStart w:id="326" w:name="_Toc200580323"/>
      <w:r>
        <w:rPr/>
        <w:t>Resultados</w:t>
      </w:r>
      <w:bookmarkEnd w:id="326"/>
    </w:p>
    <w:p>
      <w:pPr>
        <w:pStyle w:val="Normal"/>
        <w:rPr/>
      </w:pPr>
      <w:r>
        <w:rPr/>
      </w:r>
    </w:p>
    <w:p>
      <w:pPr>
        <w:pStyle w:val="p1"/>
        <w:spacing w:lineRule="auto" w:line="360" w:before="280" w:after="280"/>
        <w:jc w:val="both"/>
        <w:rPr/>
      </w:pPr>
      <w:r>
        <w:rPr/>
        <w:t>La encuesta fue respondida por un total de 35 especialistas en cirugía, de los cuales el 91 % correspondía a cirujanos generales y el 9 % a cirujanos oncológicos. En cuanto al lugar de trabajo, el 54.3 % se desempeñaba en hospitales centrales o nacionales, el 34.3 % en hospitales regionales y el 11.4 % en hospitales periféricos. Los años de experiencia quirúrgica de los participantes oscilaron entre cinco meses y 36 años, lo que refleja una amplia heterogeneidad en el perfil profesional de los encuestados.</w:t>
      </w:r>
    </w:p>
    <w:p>
      <w:pPr>
        <w:pStyle w:val="p1"/>
        <w:spacing w:lineRule="auto" w:line="360" w:before="280" w:after="280"/>
        <w:jc w:val="both"/>
        <w:rPr/>
      </w:pPr>
      <w:r>
        <w:rPr/>
        <w:t>Respecto al conocimiento institucional, un 57 % indicó desconocer la existencia de un protocolo específico para el manejo del cáncer apendicular, un 17 % afirmó que sí existe y un 26 % respondió que no hay un protocolo definido. En relación con la experiencia directa con esta patología, un 11 % nunca ha enfrentado un caso de cáncer apendicular, un 17 % ha manejado un solo caso y un 72 % ha tratado más de un caso en su práctica quirúrgica.</w:t>
      </w:r>
    </w:p>
    <w:p>
      <w:pPr>
        <w:pStyle w:val="p1"/>
        <w:spacing w:lineRule="auto" w:line="360" w:before="280" w:after="280"/>
        <w:jc w:val="both"/>
        <w:rPr/>
      </w:pPr>
      <w:r>
        <w:rPr/>
        <w:t>El momento del diagnóstico fue predominantemente posoperatorio (71 %), mediante revisión histopatológica de la pieza quirúrgica. En un 22 % de los casos, el diagnóstico fue transoperatorio, y solo un 6.5 % se realizó de forma prequirúrgica. Dentro de este último grupo, el 61.5 % correspondió a hallazgos incidentales, mientras que el 38.5 % se diagnosticó mediante estudios de imagen previos a la cirugía.</w:t>
      </w:r>
    </w:p>
    <w:p>
      <w:pPr>
        <w:pStyle w:val="p1"/>
        <w:spacing w:lineRule="auto" w:line="360" w:before="280" w:after="280"/>
        <w:jc w:val="both"/>
        <w:rPr/>
      </w:pPr>
      <w:r>
        <w:rPr/>
        <w:t>En cuanto a la estadificación, el 77 % de los casos reportados correspondían a estadios tempranos, mientras que el 23 % eran estadios avanzados. Dentro de este último subgrupo, las estrategias terapéuticas adoptadas fueron diversas: un 46 % optó por un manejo paliativo, otro 46 % realizó cirugía citorreductora completa y un 6 % (un solo caso) refirió al paciente a un centro de mayor nivel, específicamente al Hospital San Rafael de Alajuela, el único en el país que actualmente ofrece la combinación de cirugía citorreductora más HIPEC.</w:t>
      </w:r>
    </w:p>
    <w:p>
      <w:pPr>
        <w:pStyle w:val="p1"/>
        <w:spacing w:lineRule="auto" w:line="360" w:before="280" w:after="280"/>
        <w:jc w:val="both"/>
        <w:rPr/>
      </w:pPr>
      <w:r>
        <w:rPr/>
        <w:t>Respecto al conocimiento general de la técnica HIPEC, el 89 % de los encuestados manifestó conocerla, mientras que un 11 % la desconocía. No obstante, solo un 34 % indicó estar al tanto de que dicha técnica se realiza actualmente en la CCSS, lo cual denota una brecha relevante entre el conocimiento teórico y la realidad institucional. En cuanto a la viabilidad de implementar esta estrategia terapéutica en el país, el 57 % consideró que sí sería posible, mientras que el 43 % lo consideró inviable, citando como principales limitantes la disponibilidad de insumos, la escasez de recurso humano capacitado y la falta de apoyo institucional.</w:t>
      </w:r>
    </w:p>
    <w:p>
      <w:pPr>
        <w:pStyle w:val="p1"/>
        <w:spacing w:lineRule="auto" w:line="360" w:before="280" w:after="280"/>
        <w:jc w:val="both"/>
        <w:rPr/>
      </w:pPr>
      <w:r>
        <w:rPr/>
        <w:t>Al analizar los resultados en función de los años de experiencia, se observó que el 100 % de los especialistas con menos de 10 años de práctica indicaron conocer la técnica HIPEC, mientras que un 20 % de quienes superaban los 10 años de experiencia afirmaron no conocerla (p = 0.09). No se encontraron diferencias significativas en el conocimiento sobre la existencia del protocolo CCR + HIPEC en la CCSS entre ambos grupos de experiencia (p = 0.53), ni en cuanto a la percepción de viabilidad de su implementación (p = 0.65). No obstante, el interés en formar parte de programas de educación sobre esta técnica fue mayor en el grupo con menor experiencia (66 %) en comparación con el grupo con más de 10 años de práctica (40 %), aunque esta diferencia no fue estadísticamente significativa (p = 0.11).</w:t>
      </w:r>
    </w:p>
    <w:p>
      <w:pPr>
        <w:pStyle w:val="p1"/>
        <w:spacing w:lineRule="auto" w:line="360" w:before="280" w:after="280"/>
        <w:jc w:val="both"/>
        <w:rPr/>
      </w:pPr>
      <w:r>
        <w:rPr/>
        <w:t>En cuanto al centro de trabajo, no se observaron diferencias significativas en el conocimiento sobre HIPEC (p = 0.61): el 15 % de quienes laboraban en hospitales centrales (n = 3) y el 8 % de los de hospitales regionales (n = 1) señalaron desconocer la técnica. Sin embargo, el desconocimiento sobre la existencia del programa de CCR + HIPEC ya implementado en la CCSS fue mayor en hospitales regionales: un 78 % de los encuestados de hospitales centrales y un 50 % de los de hospitales regionales desconocían que este procedimiento ya se realiza en el país.</w:t>
      </w:r>
    </w:p>
    <w:p>
      <w:pPr>
        <w:pStyle w:val="p1"/>
        <w:spacing w:lineRule="auto" w:line="360" w:before="280" w:after="280"/>
        <w:jc w:val="both"/>
        <w:rPr/>
      </w:pPr>
      <w:r>
        <w:rPr/>
        <w:t>Finalmente, la percepción de viabilidad institucional de implementar CCR + HIPEC tampoco presentó diferencias significativas según el nivel hospitalario: el 63 % de los profesionales en hospitales centrales y el 50 % de los de hospitales regionales o periféricos consideraron que sí es factible llevarlo a cabo en el contexto nacional (p = 0.37).</w:t>
      </w:r>
    </w:p>
    <w:p>
      <w:pPr>
        <w:pStyle w:val="Heading2"/>
        <w:numPr>
          <w:ilvl w:val="1"/>
          <w:numId w:val="99"/>
        </w:numPr>
        <w:rPr/>
      </w:pPr>
      <w:bookmarkStart w:id="327" w:name="_Toc200580325"/>
      <w:bookmarkStart w:id="328" w:name="_Toc199584646"/>
      <w:bookmarkStart w:id="329" w:name="_Toc200580324"/>
      <w:bookmarkEnd w:id="329"/>
      <w:r>
        <w:rPr/>
        <w:t>Análisis de la encuesta realizada</w:t>
      </w:r>
      <w:bookmarkEnd w:id="327"/>
      <w:bookmarkEnd w:id="328"/>
    </w:p>
    <w:p>
      <w:pPr>
        <w:pStyle w:val="p1"/>
        <w:spacing w:lineRule="auto" w:line="360" w:before="280" w:after="280"/>
        <w:jc w:val="both"/>
        <w:rPr/>
      </w:pPr>
      <w:r>
        <w:rPr/>
        <w:t>Los resultados de la encuesta aplicada a 35 especialistas en cirugía de la CCSS reflejan una realidad heterogénea y fragmentada en torno al abordaje del cáncer apendicular en Costa Rica. Aunque la mayoría de los encuestados ha enfrentado más de un caso en su práctica, la falta de conocimiento sobre la existencia de protocolos institucionales (57 % lo desconoce) y la alta proporción de diagnósticos realizados postquirúrgicamente (71 %) indican que esta entidad continúa siendo manejada como un hallazgo quirúrgico inesperado, más que como una patología con un enfoque oncológico estructurado.</w:t>
      </w:r>
    </w:p>
    <w:p>
      <w:pPr>
        <w:pStyle w:val="p1"/>
        <w:spacing w:lineRule="auto" w:line="360" w:before="280" w:after="280"/>
        <w:jc w:val="both"/>
        <w:rPr/>
      </w:pPr>
      <w:r>
        <w:rPr/>
        <w:t>La experiencia clínica reportada muestra que la mayoría de los tumores se diagnosticaron en estadios tempranos (77 %). Esto, aunque puede reflejar la detección incidental frecuente en apendicectomías realizadas por otras causas, no se ha traducido en una estandarización del abordaje terapéutico. De hecho, en los casos avanzados se evidenció una división equitativa entre estrategias paliativas y citorreductoras, lo cual demuestra la ausencia de consenso y la variabilidad institucional en la toma de decisiones clínicas.</w:t>
      </w:r>
    </w:p>
    <w:p>
      <w:pPr>
        <w:pStyle w:val="p1"/>
        <w:spacing w:lineRule="auto" w:line="360" w:before="280" w:after="280"/>
        <w:jc w:val="both"/>
        <w:rPr/>
      </w:pPr>
      <w:r>
        <w:rPr/>
        <w:t>Uno de los hallazgos más significativos es la alta proporción de especialistas que conocen la técnica CCR + HIPEC (89 %), contrastada con el escaso conocimiento sobre su implementación en la CCSS (solo 34 %). Esta discrepancia revela una brecha entre el conocimiento teórico y la realidad institucional, posiblemente explicada por la centralización del procedimiento en un único centro hospitalario (Hospital San Rafael de Alajuela) y la falta de difusión o formalización del programa a nivel nacional.</w:t>
      </w:r>
    </w:p>
    <w:p>
      <w:pPr>
        <w:pStyle w:val="p1"/>
        <w:spacing w:lineRule="auto" w:line="360" w:before="280" w:after="280"/>
        <w:jc w:val="both"/>
        <w:rPr/>
      </w:pPr>
      <w:r>
        <w:rPr/>
        <w:t>El análisis estratificado por años de experiencia quirúrgica mostró tendencias interesantes, aunque no estadísticamente significativas. Por ejemplo, todos los cirujanos con menos de 10 años de práctica conocían la técnica HIPEC, mientras que el 20 % de los más experimentados la desconocía. Asimismo, el interés en formación adicional fue mayor entre los profesionales más jóvenes (66 % vs. 34 %), lo cual podría reflejar una mayor apertura hacia técnicas complejas y una actualización académica más constante en generaciones recientes.</w:t>
      </w:r>
    </w:p>
    <w:p>
      <w:pPr>
        <w:pStyle w:val="p1"/>
        <w:spacing w:lineRule="auto" w:line="360" w:before="280" w:after="280"/>
        <w:jc w:val="both"/>
        <w:rPr/>
      </w:pPr>
      <w:r>
        <w:rPr/>
        <w:t>Por otro lado, la comparación entre hospitales centrales, regionales y periféricos no evidenció diferencias significativas respecto al conocimiento de la técnica HIPEC ni sobre su viabilidad de implementación. No obstante, se observó una tendencia a menor conocimiento sobre la existencia del programa CCR + HIPEC en hospitales regionales, lo que resalta un problema de comunicación horizontal dentro del sistema institucional. Las innovaciones clínicas implementadas en centros de referencia no se difunden eficientemente al resto del país.</w:t>
      </w:r>
    </w:p>
    <w:p>
      <w:pPr>
        <w:pStyle w:val="p1"/>
        <w:spacing w:lineRule="auto" w:line="360" w:before="280" w:after="280"/>
        <w:jc w:val="both"/>
        <w:rPr/>
      </w:pPr>
      <w:r>
        <w:rPr/>
        <w:t>En conjunto, estos resultados sugieren que el cáncer apendicular en Costa Rica no solo es una patología de baja incidencia, sino también un ámbito clínico con alta variabilidad, escasa estandarización y deficiente diseminación de buenas prácticas. La alta disposición de los encuestados (89 %) a participar en programas de formación sobre el manejo avanzado de esta enfermedad representa una oportunidad clara para establecer líneas de capacitación formal, consolidar protocolos nacionales y favorecer el desarrollo de centros de referencia bien articulados con la red institucional</w:t>
      </w:r>
      <w:r>
        <w:rPr>
          <w:rStyle w:val="s2"/>
        </w:rPr>
        <w:t>.</w:t>
      </w:r>
    </w:p>
    <w:p>
      <w:pPr>
        <w:pStyle w:val="p1"/>
        <w:spacing w:lineRule="auto" w:line="360" w:before="280" w:after="280"/>
        <w:jc w:val="both"/>
        <w:rPr/>
      </w:pPr>
      <w:r>
        <w:rPr/>
      </w:r>
      <w:bookmarkStart w:id="330" w:name="_Toc199584647"/>
      <w:bookmarkStart w:id="331" w:name="_Toc199584647"/>
      <w:bookmarkEnd w:id="297"/>
    </w:p>
    <w:p>
      <w:pPr>
        <w:pStyle w:val="Normal"/>
        <w:spacing w:lineRule="auto" w:line="276" w:before="0" w:after="200"/>
        <w:rPr>
          <w:rFonts w:eastAsia="" w:eastAsiaTheme="majorEastAsia"/>
          <w:b/>
          <w:bCs/>
        </w:rPr>
      </w:pPr>
      <w:r>
        <w:rPr>
          <w:rFonts w:eastAsia="" w:eastAsiaTheme="majorEastAsia"/>
          <w:b/>
          <w:bCs/>
        </w:rPr>
      </w:r>
      <w:r>
        <w:br w:type="page"/>
      </w:r>
    </w:p>
    <w:p>
      <w:pPr>
        <w:pStyle w:val="Heading1"/>
        <w:numPr>
          <w:ilvl w:val="0"/>
          <w:numId w:val="42"/>
        </w:numPr>
        <w:spacing w:before="0" w:after="0"/>
        <w:rPr/>
      </w:pPr>
      <w:bookmarkStart w:id="332" w:name="_Toc199584647"/>
      <w:bookmarkStart w:id="333" w:name="_Toc200580326"/>
      <w:r>
        <w:rPr/>
        <w:t>Conclusiones</w:t>
      </w:r>
      <w:bookmarkEnd w:id="332"/>
      <w:bookmarkEnd w:id="333"/>
    </w:p>
    <w:p>
      <w:pPr>
        <w:pStyle w:val="Normal"/>
        <w:rPr/>
      </w:pPr>
      <w:r>
        <w:rPr/>
      </w:r>
    </w:p>
    <w:p>
      <w:pPr>
        <w:pStyle w:val="Heading2"/>
        <w:numPr>
          <w:ilvl w:val="1"/>
          <w:numId w:val="100"/>
        </w:numPr>
        <w:rPr/>
      </w:pPr>
      <w:bookmarkStart w:id="334" w:name="_Toc199584648"/>
      <w:bookmarkStart w:id="335" w:name="_Toc200580327"/>
      <w:r>
        <w:rPr/>
        <w:t>Conclusión general</w:t>
      </w:r>
      <w:bookmarkEnd w:id="334"/>
      <w:bookmarkEnd w:id="335"/>
      <w:r>
        <w:rPr/>
        <w:t xml:space="preserve"> </w:t>
      </w:r>
    </w:p>
    <w:p>
      <w:pPr>
        <w:pStyle w:val="p1"/>
        <w:spacing w:lineRule="auto" w:line="360" w:before="280" w:after="280"/>
        <w:jc w:val="both"/>
        <w:rPr/>
      </w:pPr>
      <w:r>
        <w:rPr/>
        <w:t>El presente estudio permitió cumplir el objetivo general de analizar de forma integral el abordaje del cáncer apendicular, combinando la revisión de literatura internacional actualizada, el análisis epidemiológico nacional y la evaluación del manejo clínico dentro de la Caja Costarricense de Seguro Social (CCSS).</w:t>
      </w:r>
    </w:p>
    <w:p>
      <w:pPr>
        <w:pStyle w:val="p1"/>
        <w:spacing w:lineRule="auto" w:line="360" w:before="280" w:after="280"/>
        <w:jc w:val="both"/>
        <w:rPr/>
      </w:pPr>
      <w:r>
        <w:rPr/>
        <w:t>Los resultados obtenidos demuestran que, si bien el cáncer apendicular en Costa Rica mantiene una incidencia baja, se ha observado una tendencia de crecimiento estadísticamente significativa durante el período 2000–2022. Esta evolución se encuentra en concordancia parcial con las tendencias internacionales, aunque persisten diferencias relevantes en cuanto a la caracterización histológica, destacando una elevada proporción de diagnósticos clasificados como “neoplasia maligna sin otra especificación (SAI)”.</w:t>
      </w:r>
    </w:p>
    <w:p>
      <w:pPr>
        <w:pStyle w:val="p1"/>
        <w:spacing w:lineRule="auto" w:line="360" w:before="280" w:after="280"/>
        <w:jc w:val="both"/>
        <w:rPr/>
      </w:pPr>
      <w:r>
        <w:rPr/>
        <w:t>Desde el punto de vista clínico, se evidenció que el manejo diagnóstico-terapéutico varía significativamente entre especialistas, reflejando una falta de homogeneización en los criterios de estadificación, en la indicación de colectomía derecha y en la disponibilidad de cirugía citorreductora con HIPEC. Estas brechas ponen de manifiesto la necesidad urgente de estandarizar protocolos y fortalecer las capacidades institucionales para el abordaje de esta neoplasia poco frecuente, pero clínicamente desafiante.</w:t>
      </w:r>
    </w:p>
    <w:p>
      <w:pPr>
        <w:pStyle w:val="p1"/>
        <w:spacing w:lineRule="auto" w:line="360" w:before="280" w:after="280"/>
        <w:jc w:val="both"/>
        <w:rPr/>
      </w:pPr>
      <w:r>
        <w:rPr/>
        <w:t>El presente trabajo aporta, por tanto, una caracterización sólida de la situación nacional actual y establece las bases para futuras estrategias de optimización en la atención del cáncer apendicular.</w:t>
      </w:r>
    </w:p>
    <w:p>
      <w:pPr>
        <w:pStyle w:val="Heading2"/>
        <w:numPr>
          <w:ilvl w:val="1"/>
          <w:numId w:val="101"/>
        </w:numPr>
        <w:rPr/>
      </w:pPr>
      <w:bookmarkStart w:id="336" w:name="_Toc200580330"/>
      <w:bookmarkStart w:id="337" w:name="_Toc199584649"/>
      <w:bookmarkStart w:id="338" w:name="_Toc200580329"/>
      <w:bookmarkStart w:id="339" w:name="_Toc200580328"/>
      <w:bookmarkEnd w:id="338"/>
      <w:bookmarkEnd w:id="339"/>
      <w:r>
        <w:rPr/>
        <w:t>Conclusiones específicas</w:t>
      </w:r>
      <w:bookmarkEnd w:id="336"/>
      <w:bookmarkEnd w:id="337"/>
      <w:r>
        <w:rPr/>
        <w:t xml:space="preserve"> </w:t>
      </w:r>
    </w:p>
    <w:p>
      <w:pPr>
        <w:pStyle w:val="Normal"/>
        <w:spacing w:lineRule="auto" w:line="360" w:beforeAutospacing="1" w:afterAutospacing="1"/>
        <w:jc w:val="both"/>
        <w:rPr/>
      </w:pPr>
      <w:r>
        <w:rPr/>
        <w:t>La revisión bibliográfica realizada confirmó que el cáncer apendicular es una entidad de baja incidencia, pero con una tendencia mundial al incremento, especialmente en tumores neuroendocrinos y adenocarcinomas mucinosos. La estadificación actualizada, basada en las guías de la AJCC y las recomendaciones de la OMS, permite diferenciar adecuadamente el manejo de los distintos subtipos histológicos. Las estrategias terapéuticas varían según el tipo y estadio, destacándose la cirugía citorreductora combinada con HIPEC como opción en enfermedad diseminada, en centros especializados.</w:t>
      </w:r>
    </w:p>
    <w:p>
      <w:pPr>
        <w:pStyle w:val="Normal"/>
        <w:spacing w:lineRule="auto" w:line="360" w:beforeAutospacing="1" w:afterAutospacing="1"/>
        <w:jc w:val="both"/>
        <w:rPr/>
      </w:pPr>
      <w:r>
        <w:rPr/>
        <w:t>En Costa Rica, se registraron 160 casos de cáncer apendicular entre 2000 y 2022, con una distribución ligeramente mayor en mujeres (56%) en comparación con hombres (44%). Se observó una tendencia creciente estadísticamente significativa (p &lt; 0.05) en la incidencia anual. El análisis histológico mostró un predominio de neoplasias clasificadas como “malignas SAI” y adenocarcinomas mucinosos (con variaciones según el sexo), lo cual difiere parcialmente de los patrones internacionales, donde predominan principalmente los tumores neuroendocrinos. Estas diferencias sugieren la necesidad de fortalecer los procesos diagnósticos y mejorar la precisión histopatológica a nivel nacional.</w:t>
      </w:r>
    </w:p>
    <w:p>
      <w:pPr>
        <w:pStyle w:val="Normal"/>
        <w:spacing w:lineRule="auto" w:line="360" w:beforeAutospacing="1" w:afterAutospacing="1"/>
        <w:jc w:val="both"/>
        <w:rPr/>
      </w:pPr>
      <w:r>
        <w:rPr/>
        <w:t>La encuesta aplicada a cirujanos de la CCSS reveló una importante heterogeneidad en el manejo del cáncer apendicular. Aunque existe un conocimiento generalizado sobre los principios de resección oncológica y la importancia de los márgenes negativos, se identificaron discrepancias en la indicación de colectomía derecha según el tipo histológico y en la utilización sistemática de protocolos de manejo establecidos. Además, la cirugía citorreductora y la HIPEC no están disponibles de manera rutinaria, lo que limita las opciones terapéuticas en casos de enfermedad avanzada.</w:t>
      </w:r>
    </w:p>
    <w:p>
      <w:pPr>
        <w:pStyle w:val="Heading2"/>
        <w:numPr>
          <w:ilvl w:val="1"/>
          <w:numId w:val="102"/>
        </w:numPr>
        <w:rPr/>
      </w:pPr>
      <w:bookmarkStart w:id="340" w:name="_Toc200580336"/>
      <w:bookmarkStart w:id="341" w:name="_Toc200580335"/>
      <w:bookmarkStart w:id="342" w:name="_Toc200580334"/>
      <w:bookmarkStart w:id="343" w:name="_Toc200580333"/>
      <w:bookmarkStart w:id="344" w:name="_Toc200580332"/>
      <w:bookmarkStart w:id="345" w:name="_Toc200580331"/>
      <w:bookmarkEnd w:id="341"/>
      <w:bookmarkEnd w:id="342"/>
      <w:bookmarkEnd w:id="343"/>
      <w:bookmarkEnd w:id="344"/>
      <w:bookmarkEnd w:id="345"/>
      <w:r>
        <w:rPr/>
        <w:t>Recomendaciones finales</w:t>
      </w:r>
      <w:bookmarkEnd w:id="340"/>
    </w:p>
    <w:p>
      <w:pPr>
        <w:pStyle w:val="p1"/>
        <w:spacing w:lineRule="auto" w:line="360" w:before="280" w:after="280"/>
        <w:jc w:val="both"/>
        <w:rPr/>
      </w:pPr>
      <w:r>
        <w:rPr>
          <w:b/>
          <w:bCs/>
        </w:rPr>
        <w:t xml:space="preserve">Desarrollo de guías clínicas nacionales específicas para el cáncer apendicular: </w:t>
      </w:r>
      <w:r>
        <w:rPr/>
        <w:t>Se recomienda la elaboración de protocolos institucionales actualizados que orienten el diagnóstico, la estadificación, el manejo quirúrgico y el seguimiento del cáncer apendicular, ajustados al contexto costarricense pero alineados con las guías internacionales (AJCC, NCCN, OMS).</w:t>
      </w:r>
    </w:p>
    <w:p>
      <w:pPr>
        <w:pStyle w:val="p1"/>
        <w:spacing w:lineRule="auto" w:line="360" w:before="280" w:after="280"/>
        <w:jc w:val="both"/>
        <w:rPr/>
      </w:pPr>
      <w:r>
        <w:rPr>
          <w:b/>
          <w:bCs/>
        </w:rPr>
        <w:t xml:space="preserve">Fortalecimiento del Registro Nacional de Tumores (RNT): </w:t>
      </w:r>
      <w:r>
        <w:rPr/>
        <w:t>Se sugiere realizar una revisión técnica de los criterios de codificación utilizados para tumores apendiculares, con el fin de disminuir el subregistro y la clasificación bajo la categoría “neoplasia maligna sin otra especificación”. La inclusión obligatoria de subtipos histológicos, como LAMN, HAMN y GCA, mejoraría la calidad de los datos epidemiológicos.</w:t>
      </w:r>
    </w:p>
    <w:p>
      <w:pPr>
        <w:pStyle w:val="p1"/>
        <w:spacing w:lineRule="auto" w:line="360" w:before="280" w:after="280"/>
        <w:jc w:val="both"/>
        <w:rPr/>
      </w:pPr>
      <w:r>
        <w:rPr>
          <w:b/>
          <w:bCs/>
        </w:rPr>
        <w:t xml:space="preserve">Capacitación continua a profesionales de salud: </w:t>
      </w:r>
      <w:r>
        <w:rPr/>
        <w:t>Es fundamental incorporar contenido sobre cáncer apendicular en programas de formación y educación médica continua dirigidos a cirujanos generales, oncólogos y patólogos, dada la creciente relevancia clínica y la complejidad del manejo de esta patología.</w:t>
      </w:r>
    </w:p>
    <w:p>
      <w:pPr>
        <w:pStyle w:val="p1"/>
        <w:spacing w:lineRule="auto" w:line="360" w:before="280" w:after="280"/>
        <w:jc w:val="both"/>
        <w:rPr/>
      </w:pPr>
      <w:r>
        <w:rPr>
          <w:b/>
          <w:bCs/>
        </w:rPr>
        <w:t xml:space="preserve">Fortalecer la referencia a centros de mayor complejidad en casos avanzados: </w:t>
      </w:r>
      <w:r>
        <w:rPr/>
        <w:t>Ante diagnósticos de neoplasias apendiculares con diseminación peritoneal o criterios para cirugía citorreductora e HIPEC, se recomienda la referencia oportuna a hospitales con experiencia y recursos para ofrecer tratamientos avanzados mediante equipos multidisciplinarios.</w:t>
      </w:r>
    </w:p>
    <w:p>
      <w:pPr>
        <w:pStyle w:val="p1"/>
        <w:spacing w:lineRule="auto" w:line="360" w:before="280" w:after="280"/>
        <w:jc w:val="both"/>
        <w:rPr/>
      </w:pPr>
      <w:r>
        <w:rPr>
          <w:b/>
          <w:bCs/>
        </w:rPr>
        <w:t xml:space="preserve">Fomentar la investigación local sobre cáncer apendicular: </w:t>
      </w:r>
      <w:r>
        <w:rPr/>
        <w:t>Se insta a realizar estudios multicéntricos nacionales que aborden la evolución clínica, los resultados quirúrgicos y los factores pronósticos del cáncer apendicular en Costa Rica, con el fin de ajustar las estrategias de tratamiento a la realidad institucional y poblacional.</w:t>
      </w:r>
    </w:p>
    <w:p>
      <w:pPr>
        <w:pStyle w:val="p1"/>
        <w:spacing w:lineRule="auto" w:line="360" w:before="280" w:after="280"/>
        <w:jc w:val="both"/>
        <w:rPr/>
      </w:pPr>
      <w:r>
        <w:rPr>
          <w:b/>
          <w:bCs/>
        </w:rPr>
        <w:t xml:space="preserve">Explorar la posibilidad de centralización de casos complejos: </w:t>
      </w:r>
      <w:r>
        <w:rPr/>
        <w:t>Dada la baja incidencia y la alta complejidad de algunos subtipos tumorales, podría considerarse la creación de unidades de referencia oncológica para cánceres peritoneales raros, donde se concentre la experiencia en cirugía citorreductora e HIPEC.</w:t>
      </w:r>
    </w:p>
    <w:p>
      <w:pPr>
        <w:pStyle w:val="p1"/>
        <w:spacing w:lineRule="auto" w:line="360" w:before="280" w:after="280"/>
        <w:jc w:val="both"/>
        <w:rPr/>
      </w:pPr>
      <w:r>
        <w:rPr>
          <w:b/>
          <w:bCs/>
        </w:rPr>
        <w:t xml:space="preserve">Optimización del informe histopatológico estándar: </w:t>
      </w:r>
      <w:r>
        <w:rPr/>
        <w:t>Se recomienda que todos los reportes histopatológicos de apéndices resecados incluyan sistemáticamente la evaluación para neoplasias, con indicación clara del subtipo, grado, márgenes, presencia de perforación y mucina extracelular, utilizando criterios internacionales unificados.</w:t>
      </w:r>
    </w:p>
    <w:p>
      <w:pPr>
        <w:pStyle w:val="Normal"/>
        <w:spacing w:lineRule="auto" w:line="276" w:before="0" w:after="200"/>
        <w:rPr/>
      </w:pPr>
      <w:r>
        <w:rPr/>
      </w:r>
      <w:bookmarkStart w:id="346" w:name="_Toc199584650"/>
      <w:bookmarkStart w:id="347" w:name="_Toc199584650"/>
      <w:r>
        <w:br w:type="page"/>
      </w:r>
    </w:p>
    <w:p>
      <w:pPr>
        <w:pStyle w:val="Normal"/>
        <w:spacing w:lineRule="auto" w:line="276" w:before="0" w:after="200"/>
        <w:rPr/>
      </w:pPr>
      <w:r>
        <w:rPr/>
        <w:drawing>
          <wp:anchor behindDoc="0" distT="0" distB="0" distL="114300" distR="114300" simplePos="0" locked="0" layoutInCell="0" allowOverlap="1" relativeHeight="8">
            <wp:simplePos x="0" y="0"/>
            <wp:positionH relativeFrom="column">
              <wp:posOffset>0</wp:posOffset>
            </wp:positionH>
            <wp:positionV relativeFrom="paragraph">
              <wp:posOffset>962025</wp:posOffset>
            </wp:positionV>
            <wp:extent cx="5611495" cy="7292340"/>
            <wp:effectExtent l="0" t="0" r="0" b="0"/>
            <wp:wrapTopAndBottom/>
            <wp:docPr id="20"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 descr=""/>
                    <pic:cNvPicPr>
                      <a:picLocks noChangeAspect="1" noChangeArrowheads="1"/>
                    </pic:cNvPicPr>
                  </pic:nvPicPr>
                  <pic:blipFill>
                    <a:blip r:embed="rId24"/>
                    <a:stretch>
                      <a:fillRect/>
                    </a:stretch>
                  </pic:blipFill>
                  <pic:spPr bwMode="auto">
                    <a:xfrm>
                      <a:off x="0" y="0"/>
                      <a:ext cx="5611495" cy="7292340"/>
                    </a:xfrm>
                    <a:prstGeom prst="rect">
                      <a:avLst/>
                    </a:prstGeom>
                    <a:noFill/>
                  </pic:spPr>
                </pic:pic>
              </a:graphicData>
            </a:graphic>
          </wp:anchor>
        </w:drawing>
      </w:r>
    </w:p>
    <w:p>
      <w:pPr>
        <w:pStyle w:val="Normal"/>
        <w:spacing w:lineRule="auto" w:line="276" w:before="0" w:after="200"/>
        <w:rPr/>
      </w:pPr>
      <w:r>
        <w:rPr/>
      </w:r>
    </w:p>
    <w:p>
      <w:pPr>
        <w:pStyle w:val="Normal"/>
        <w:spacing w:lineRule="auto" w:line="276" w:before="0" w:after="200"/>
        <w:rPr/>
      </w:pPr>
      <w:r>
        <w:rPr/>
      </w:r>
    </w:p>
    <w:p>
      <w:pPr>
        <w:pStyle w:val="Normal"/>
        <w:spacing w:lineRule="auto" w:line="276" w:before="0" w:after="200"/>
        <w:rPr>
          <w:rFonts w:eastAsia="" w:cs="" w:cstheme="majorBidi" w:eastAsiaTheme="majorEastAsia"/>
          <w:b/>
          <w:bCs/>
          <w:szCs w:val="28"/>
        </w:rPr>
      </w:pPr>
      <w:r>
        <w:rPr>
          <w:rFonts w:eastAsia="" w:cs="" w:cstheme="majorBidi" w:eastAsiaTheme="majorEastAsia"/>
          <w:b/>
          <w:bCs/>
          <w:szCs w:val="28"/>
        </w:rPr>
      </w:r>
    </w:p>
    <w:p>
      <w:pPr>
        <w:pStyle w:val="Heading1"/>
        <w:numPr>
          <w:ilvl w:val="0"/>
          <w:numId w:val="42"/>
        </w:numPr>
        <w:rPr/>
      </w:pPr>
      <w:bookmarkStart w:id="348" w:name="_Toc199584650"/>
      <w:bookmarkStart w:id="349" w:name="_Toc200580363"/>
      <w:bookmarkStart w:id="350" w:name="_Toc200580362"/>
      <w:bookmarkStart w:id="351" w:name="_Toc200580361"/>
      <w:bookmarkStart w:id="352" w:name="_Toc200580360"/>
      <w:bookmarkStart w:id="353" w:name="_Toc200580359"/>
      <w:bookmarkStart w:id="354" w:name="_Toc200580358"/>
      <w:bookmarkStart w:id="355" w:name="_Toc200580357"/>
      <w:bookmarkStart w:id="356" w:name="_Toc200580356"/>
      <w:bookmarkStart w:id="357" w:name="_Toc200580355"/>
      <w:bookmarkStart w:id="358" w:name="_Toc200580354"/>
      <w:bookmarkStart w:id="359" w:name="_Toc200580353"/>
      <w:bookmarkStart w:id="360" w:name="_Toc200580352"/>
      <w:bookmarkStart w:id="361" w:name="_Toc200580351"/>
      <w:bookmarkStart w:id="362" w:name="_Toc200580350"/>
      <w:bookmarkStart w:id="363" w:name="_Toc200580349"/>
      <w:bookmarkStart w:id="364" w:name="_Toc200580348"/>
      <w:bookmarkStart w:id="365" w:name="_Toc200580347"/>
      <w:bookmarkStart w:id="366" w:name="_Toc200580346"/>
      <w:bookmarkStart w:id="367" w:name="_Toc200580345"/>
      <w:bookmarkStart w:id="368" w:name="_Toc200580344"/>
      <w:bookmarkStart w:id="369" w:name="_Toc200580343"/>
      <w:bookmarkStart w:id="370" w:name="_Toc200580342"/>
      <w:bookmarkStart w:id="371" w:name="_Toc200580341"/>
      <w:bookmarkStart w:id="372" w:name="_Toc200580340"/>
      <w:bookmarkStart w:id="373" w:name="_Toc200580339"/>
      <w:bookmarkStart w:id="374" w:name="_Toc200580338"/>
      <w:bookmarkStart w:id="375" w:name="_Toc200580337"/>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Pr/>
        <w:t>Bibliografía</w:t>
      </w:r>
      <w:bookmarkEnd w:id="348"/>
      <w:bookmarkEnd w:id="349"/>
    </w:p>
    <w:p>
      <w:pPr>
        <w:pStyle w:val="Normal"/>
        <w:rPr/>
      </w:pPr>
      <w:r>
        <w:rPr/>
      </w:r>
    </w:p>
    <w:p>
      <w:pPr>
        <w:pStyle w:val="Normal"/>
        <w:ind w:hanging="640"/>
        <w:rPr>
          <w:lang w:val="en-US"/>
        </w:rPr>
      </w:pPr>
      <w:sdt>
        <w:sdtPr>
          <w:placeholder>
            <w:docPart w:val="DefaultPlaceholder_-1854013440"/>
          </w:placeholder>
          <w:tag w:val="MENDELEY_BIBLIOGRAPHY"/>
          <w:id w:val="1738283889"/>
          <w:text/>
        </w:sdtPr>
        <w:sdtContent>
          <w:r>
            <w:rPr>
              <w:lang w:val="en-US"/>
            </w:rPr>
          </w:r>
          <w:r>
            <w:rPr>
              <w:lang w:val="en-US"/>
            </w:rPr>
            <w:t>1.</w:t>
            <w:tab/>
            <w:t>National Cancer Institute. Bethesda (MD). 2025. SEER*Explorer Application. Disponible en: https://seer.cancer.gov/registries/terms.html</w:t>
          </w:r>
        </w:sdtContent>
      </w:sdt>
    </w:p>
    <w:p>
      <w:pPr>
        <w:pStyle w:val="Normal"/>
        <w:ind w:hanging="640"/>
        <w:rPr>
          <w:lang w:val="en-US"/>
        </w:rPr>
      </w:pPr>
      <w:r>
        <w:rPr>
          <w:lang w:val="en-US"/>
        </w:rPr>
        <w:t>2.</w:t>
        <w:tab/>
        <w:t xml:space="preserve">Amir AH, Davey MG, Chia TM, O’connell L V, Choy M, Meshkat B, et al. Evaluating the Surgical Management of Appendiceal Neoplasms Diagnosed following Appendicectomy. Ir Med J. 2023;116(6). </w:t>
      </w:r>
    </w:p>
    <w:p>
      <w:pPr>
        <w:pStyle w:val="Normal"/>
        <w:ind w:hanging="640"/>
        <w:rPr>
          <w:lang w:val="en-US"/>
        </w:rPr>
      </w:pPr>
      <w:r>
        <w:rPr>
          <w:lang w:val="en-US"/>
        </w:rPr>
        <w:t>3.</w:t>
        <w:tab/>
        <w:t xml:space="preserve">Singh H, Koomson AS, Decker KM, Park J, Demers AA. Continued increasing incidence of malignant appendiceal tumors in Canada and the United States: A population-based study. Cancer. 2020;126(10):2206–16. </w:t>
      </w:r>
    </w:p>
    <w:p>
      <w:pPr>
        <w:pStyle w:val="Normal"/>
        <w:ind w:hanging="640"/>
        <w:rPr>
          <w:lang w:val="en-US"/>
        </w:rPr>
      </w:pPr>
      <w:r>
        <w:rPr>
          <w:lang w:val="en-US"/>
        </w:rPr>
        <w:t>4.</w:t>
        <w:tab/>
        <w:t xml:space="preserve">Wang D, Ge H, Lu Y, Gong X. Incidence trends and survival analysis of appendiceal tumors in the United States: Primarily changes in appendiceal neuroendocrine tumors. PLoS One. el 1 de noviembre de 2023;18(11 November). </w:t>
      </w:r>
    </w:p>
    <w:p>
      <w:pPr>
        <w:pStyle w:val="Normal"/>
        <w:ind w:hanging="640"/>
        <w:rPr>
          <w:lang w:val="en-US"/>
        </w:rPr>
      </w:pPr>
      <w:r>
        <w:rPr>
          <w:lang w:val="en-US"/>
        </w:rPr>
        <w:t>5.</w:t>
        <w:tab/>
        <w:t xml:space="preserve">Hoehn RS, Rieser CJ, Haroon Choudry ; M, Melnitchouk N, Hechtman J, Bahary N. Current Management of Appendiceal Neoplasms. Gastrointestinal Cancer-Colorectal and anal. 2021;41(41):118–42. </w:t>
      </w:r>
    </w:p>
    <w:p>
      <w:pPr>
        <w:pStyle w:val="Normal"/>
        <w:ind w:hanging="640"/>
        <w:rPr/>
      </w:pPr>
      <w:r>
        <w:rPr>
          <w:lang w:val="en-US"/>
        </w:rPr>
        <w:t>6.</w:t>
        <w:tab/>
        <w:t xml:space="preserve">Rossi A, Maloney Patel N. Appendiceal neoplasms-A practical guide. </w:t>
      </w:r>
      <w:r>
        <w:rPr/>
        <w:t>J Surg Oncol [Internet]. el 15 de junio de 2023 [citado el 29 de marzo de 2025];127(8):1300–5. Disponible en: https://pubmed.ncbi.nlm.nih.gov/37222692/</w:t>
      </w:r>
    </w:p>
    <w:p>
      <w:pPr>
        <w:pStyle w:val="Normal"/>
        <w:ind w:hanging="640"/>
        <w:rPr>
          <w:lang w:val="en-US"/>
        </w:rPr>
      </w:pPr>
      <w:r>
        <w:rPr/>
        <w:t>7.</w:t>
        <w:tab/>
        <w:t xml:space="preserve">Brassil M, Lee R, O’Neill D, Woods G, Moloney BM, Dunne R, et al. </w:t>
      </w:r>
      <w:r>
        <w:rPr>
          <w:lang w:val="en-US"/>
        </w:rPr>
        <w:t xml:space="preserve">Appendiceal tumours - A correlation of CT features and histopathological diagnosis. J Med Imaging Radiat Oncol. 2022;66(1):92–101. </w:t>
      </w:r>
    </w:p>
    <w:p>
      <w:pPr>
        <w:pStyle w:val="Normal"/>
        <w:ind w:hanging="640"/>
        <w:rPr>
          <w:lang w:val="en-US"/>
        </w:rPr>
      </w:pPr>
      <w:r>
        <w:rPr>
          <w:lang w:val="en-US"/>
        </w:rPr>
        <w:t>8.</w:t>
        <w:tab/>
        <w:t xml:space="preserve">Schuitevoerder D, Plana A, Izquierdo FJ, Votanopoulos KI, Cusack JC, Bijelic L, et al. The Chicago Consensus on Peritoneal Surface Malignancies: Management of Appendiceal Neoplasms. Ann Surg Oncol. 2020;27(6):1753–60. </w:t>
      </w:r>
    </w:p>
    <w:p>
      <w:pPr>
        <w:pStyle w:val="Normal"/>
        <w:ind w:hanging="640"/>
        <w:rPr>
          <w:lang w:val="en-US"/>
        </w:rPr>
      </w:pPr>
      <w:r>
        <w:rPr>
          <w:lang w:val="en-US"/>
        </w:rPr>
        <w:t>9.</w:t>
        <w:tab/>
        <w:t xml:space="preserve">Papantoni E, Ntatsis K, Kyziridis D, Kalakonas A, Hristakis C, Tentes AA. Twenty-years’ experience with cytoreductive surgery (CRS) and hyperthermic intraperitoneal chemotherapy (HIPEC) for pseudomyxoma peritonei (PMP). JBUON. 2021;26(4):1647–52. </w:t>
      </w:r>
    </w:p>
    <w:p>
      <w:pPr>
        <w:pStyle w:val="Normal"/>
        <w:ind w:hanging="640"/>
        <w:rPr>
          <w:lang w:val="en-US"/>
        </w:rPr>
      </w:pPr>
      <w:r>
        <w:rPr>
          <w:lang w:val="en-US"/>
        </w:rPr>
        <w:t>10.</w:t>
        <w:tab/>
        <w:t xml:space="preserve">Gumuşoglu AY, Donmez T, Kabuli HA, Onur ND, Ferahman S, Sakiz D, et al. Management of appendiceal neuroendocrine tumors in the light of new guidelines. Ir J Med Sci. 2022;191(3):1133–7. </w:t>
      </w:r>
    </w:p>
    <w:p>
      <w:pPr>
        <w:pStyle w:val="Normal"/>
        <w:ind w:hanging="640"/>
        <w:rPr>
          <w:lang w:val="en-US"/>
        </w:rPr>
      </w:pPr>
      <w:r>
        <w:rPr>
          <w:lang w:val="en-US"/>
        </w:rPr>
        <w:t>11.</w:t>
        <w:tab/>
        <w:t xml:space="preserve">Constantin M, Petrescu L, Mătanie C, Vrancianu CO, Niculescu AG, Andronic O, et al. The Vermiform Appendix and Its Pathologies. Cancers (Basel). 2023;15(15):3872. </w:t>
      </w:r>
    </w:p>
    <w:p>
      <w:pPr>
        <w:pStyle w:val="Normal"/>
        <w:ind w:hanging="640"/>
        <w:rPr>
          <w:lang w:val="en-US"/>
        </w:rPr>
      </w:pPr>
      <w:r>
        <w:rPr>
          <w:lang w:val="en-US"/>
        </w:rPr>
        <w:t>12.</w:t>
        <w:tab/>
        <w:t xml:space="preserve">Carr NJ. Updates in Appendix Pathology: The Precarious Cutting Edge. Surg Pathol Clin. 2020;13(3):469–84. </w:t>
      </w:r>
    </w:p>
    <w:p>
      <w:pPr>
        <w:pStyle w:val="Normal"/>
        <w:ind w:hanging="640"/>
        <w:rPr>
          <w:lang w:val="en-US"/>
        </w:rPr>
      </w:pPr>
      <w:r>
        <w:rPr>
          <w:lang w:val="en-US"/>
        </w:rPr>
        <w:t>13.</w:t>
        <w:tab/>
        <w:t xml:space="preserve">Rossi A, Maloney Patel N. Appendiceal neoplasms—A practical guide. J Surg Oncol. 2023;127(8):1300–5. </w:t>
      </w:r>
    </w:p>
    <w:p>
      <w:pPr>
        <w:pStyle w:val="Normal"/>
        <w:ind w:hanging="640"/>
        <w:rPr>
          <w:lang w:val="en-US"/>
        </w:rPr>
      </w:pPr>
      <w:r>
        <w:rPr>
          <w:lang w:val="en-US"/>
        </w:rPr>
        <w:t>14.</w:t>
        <w:tab/>
        <w:t xml:space="preserve">Hunsaker JC, Aquino R, Wright B, Kobes P, Kennedy A, Dunn D. Review of appendicitis: routine, complicated, and mimics. Emerg Radiol. 2023;30(1):107–17. </w:t>
      </w:r>
    </w:p>
    <w:p>
      <w:pPr>
        <w:pStyle w:val="Normal"/>
        <w:ind w:hanging="640"/>
        <w:rPr>
          <w:lang w:val="en-US"/>
        </w:rPr>
      </w:pPr>
      <w:r>
        <w:rPr>
          <w:lang w:val="en-US"/>
        </w:rPr>
        <w:t>15.</w:t>
        <w:tab/>
        <w:t xml:space="preserve">Ahmed I, Asgeirsson KS, Beckingham IJ, Lobo DN. The position of the vermiform appendix at laparoscopy. Surg Radiol Anat. 2007;29(2):165–8. </w:t>
      </w:r>
    </w:p>
    <w:p>
      <w:pPr>
        <w:pStyle w:val="Normal"/>
        <w:ind w:hanging="640"/>
        <w:rPr/>
      </w:pPr>
      <w:r>
        <w:rPr>
          <w:lang w:val="en-US"/>
        </w:rPr>
        <w:t>16.</w:t>
        <w:tab/>
        <w:t xml:space="preserve">Kelly A, O’Connor S, Kane D, Huang CC, Mogal H. Appendiceal Incidentalomas: Prevalence, Radiographic Characteristics, Management, and Outcomes. </w:t>
      </w:r>
      <w:r>
        <w:rPr/>
        <w:t xml:space="preserve">Ann Surg Oncol. 2022;29(13):8265–73. </w:t>
      </w:r>
    </w:p>
    <w:p>
      <w:pPr>
        <w:pStyle w:val="Normal"/>
        <w:ind w:hanging="640"/>
        <w:rPr>
          <w:lang w:val="en-US"/>
        </w:rPr>
      </w:pPr>
      <w:r>
        <w:rPr/>
        <w:t>17.</w:t>
        <w:tab/>
        <w:t xml:space="preserve">Núñez-Rocha RE, Girón F, Rodríguez L, Camargo-Gómez D, Restrepo-Bonilla C, Panqueva RDPL, et al. </w:t>
      </w:r>
      <w:r>
        <w:rPr>
          <w:lang w:val="en-US"/>
        </w:rPr>
        <w:t xml:space="preserve">Incidence of appendiceal neoplasms in appendectomy patients. BMC Surg. 2023;23(1). </w:t>
      </w:r>
    </w:p>
    <w:p>
      <w:pPr>
        <w:pStyle w:val="Normal"/>
        <w:ind w:hanging="640"/>
        <w:rPr>
          <w:lang w:val="en-US"/>
        </w:rPr>
      </w:pPr>
      <w:r>
        <w:rPr>
          <w:lang w:val="en-US"/>
        </w:rPr>
        <w:t>18.</w:t>
        <w:tab/>
        <w:t xml:space="preserve">Eliane Dohner FJKRLMZ and RF, De F. Retrospective analysis of the incidence of appendiceal neoplasm and malignancy in patients treated for suspected acute appendicitis. BCM Surgery. 2024;121(24). </w:t>
      </w:r>
    </w:p>
    <w:p>
      <w:pPr>
        <w:pStyle w:val="Normal"/>
        <w:ind w:hanging="640"/>
        <w:rPr>
          <w:lang w:val="en-US"/>
        </w:rPr>
      </w:pPr>
      <w:r>
        <w:rPr>
          <w:lang w:val="en-US"/>
        </w:rPr>
        <w:t>19.</w:t>
        <w:tab/>
        <w:t xml:space="preserve">Zhang C, Plambeck BD, Craig ME, Tu A, Mikus RJ, Shostrom V, et al. Exploring the prognostic and therapeutic utility of expanded mutation profiling in appendix peritoneal metastasis managed with CRS/HIPEC. J Surg Oncol. 2021;123(7):1599–609. </w:t>
      </w:r>
    </w:p>
    <w:p>
      <w:pPr>
        <w:pStyle w:val="Normal"/>
        <w:ind w:hanging="640"/>
        <w:rPr>
          <w:lang w:val="en-US"/>
        </w:rPr>
      </w:pPr>
      <w:r>
        <w:rPr>
          <w:lang w:val="en-US"/>
        </w:rPr>
        <w:t>20.</w:t>
        <w:tab/>
        <w:t xml:space="preserve">Ladel L, Tan WY, Jeyakanthan T, Sailo B, Sharma A, Ahuja N. The Promise of Epigenetics Research in the Treatment of Appendiceal Neoplasms. Cells. 2023;12(15). </w:t>
      </w:r>
    </w:p>
    <w:p>
      <w:pPr>
        <w:pStyle w:val="Normal"/>
        <w:ind w:hanging="640"/>
        <w:rPr>
          <w:lang w:val="en-US"/>
        </w:rPr>
      </w:pPr>
      <w:r>
        <w:rPr>
          <w:lang w:val="en-US"/>
        </w:rPr>
        <w:t>21.</w:t>
        <w:tab/>
        <w:t xml:space="preserve">Shaker N, Davison J, Derby J, Abukhiran I, Mansour A, Holtzman M, et al. TP53 Alterations Are an Independent Adverse Prognostic Indicator in Pseudomyxoma Peritonei of Appendiceal Origin Following Cytoreductive Surgery and Intraperitoneal Chemotherapy. Appl Immunohistochem Mol Morphol. 2025;33(2):70–7. </w:t>
      </w:r>
    </w:p>
    <w:p>
      <w:pPr>
        <w:pStyle w:val="Normal"/>
        <w:ind w:hanging="640"/>
        <w:rPr>
          <w:lang w:val="en-US"/>
        </w:rPr>
      </w:pPr>
      <w:r>
        <w:rPr>
          <w:lang w:val="en-US"/>
        </w:rPr>
        <w:t>22.</w:t>
        <w:tab/>
        <w:t xml:space="preserve">Andrini E, Lamberti G, Alberici L, Ricci C, Campana D. An Update on Appendiceal Neuroendocrine Tumors. Curr Treat Options Oncol. 2023;24(7):742–56. </w:t>
      </w:r>
    </w:p>
    <w:p>
      <w:pPr>
        <w:pStyle w:val="Normal"/>
        <w:ind w:hanging="640"/>
        <w:rPr>
          <w:lang w:val="en-US"/>
        </w:rPr>
      </w:pPr>
      <w:r>
        <w:rPr>
          <w:lang w:val="en-US"/>
        </w:rPr>
        <w:t>23.</w:t>
        <w:tab/>
        <w:t xml:space="preserve">Padmanabhan Nair Sobha R, Jensen CT, Waters R, Calimano-Ramirez LF, Virarkar MK. Appendiceal Neuroendocrine Neoplasms: A Comprehensive Review. J Comput Assist Tomogr. 2024;48(4):545–62. </w:t>
      </w:r>
    </w:p>
    <w:p>
      <w:pPr>
        <w:pStyle w:val="Normal"/>
        <w:ind w:hanging="640"/>
        <w:rPr>
          <w:lang w:val="en-US"/>
        </w:rPr>
      </w:pPr>
      <w:r>
        <w:rPr>
          <w:lang w:val="en-US"/>
        </w:rPr>
        <w:t>24.</w:t>
        <w:tab/>
        <w:t xml:space="preserve">Nagtegaal ID, Odze RD, Klimstra D, Paradis V, Rugge M, Schirmacher P, et al. The 2019 WHO classification of tumours of the digestive system. Histopathology. 2019;76(2):182. </w:t>
      </w:r>
    </w:p>
    <w:p>
      <w:pPr>
        <w:pStyle w:val="Normal"/>
        <w:ind w:hanging="640"/>
        <w:rPr>
          <w:lang w:val="en-US"/>
        </w:rPr>
      </w:pPr>
      <w:r>
        <w:rPr>
          <w:lang w:val="en-US"/>
        </w:rPr>
        <w:t>25.</w:t>
        <w:tab/>
        <w:t xml:space="preserve">McCann C, Schwartz J, Perry L, Cheng E. Perforated Carcinoid Tumor of the Appendix: Need for Guidelines for Management With Respect to Prognostic Factors. Am Surg. 2023;89(4):1213–5. </w:t>
      </w:r>
    </w:p>
    <w:p>
      <w:pPr>
        <w:pStyle w:val="Normal"/>
        <w:ind w:hanging="640"/>
        <w:rPr>
          <w:lang w:val="en-US"/>
        </w:rPr>
      </w:pPr>
      <w:r>
        <w:rPr>
          <w:lang w:val="en-US"/>
        </w:rPr>
        <w:t>26.</w:t>
        <w:tab/>
        <w:t xml:space="preserve">Bell PD. Appendiceal adenocarcinoma: Current concepts &amp; challenges. Semin Diagn Pathol. 2024;41(5):213–21. </w:t>
      </w:r>
    </w:p>
    <w:p>
      <w:pPr>
        <w:pStyle w:val="Normal"/>
        <w:ind w:hanging="640"/>
        <w:rPr>
          <w:lang w:val="en-US"/>
        </w:rPr>
      </w:pPr>
      <w:r>
        <w:rPr>
          <w:lang w:val="en-US"/>
        </w:rPr>
        <w:t>27.</w:t>
        <w:tab/>
        <w:t xml:space="preserve">Turan B, Sanli AN, Acar S. Analysis of survival and prognostic factors in appendix adenocarcinoma and mucinous carcinoma. Updates Surg. 2025;77(2). </w:t>
      </w:r>
    </w:p>
    <w:p>
      <w:pPr>
        <w:pStyle w:val="Normal"/>
        <w:ind w:hanging="640"/>
        <w:rPr>
          <w:lang w:val="en-US"/>
        </w:rPr>
      </w:pPr>
      <w:r>
        <w:rPr>
          <w:lang w:val="en-US"/>
        </w:rPr>
        <w:t>28.</w:t>
        <w:tab/>
        <w:t xml:space="preserve">Xiao J, Li P, Liu W. Analysis of Clinical Characteristics of Low-Grade Appendiceal Mucinous Neoplasm (LAMN): A Retrospective Cohort Study of 51 LAMN Patients. J Invest Surg. 2021;34(7):721–7. </w:t>
      </w:r>
    </w:p>
    <w:p>
      <w:pPr>
        <w:pStyle w:val="Normal"/>
        <w:ind w:hanging="640"/>
        <w:rPr>
          <w:lang w:val="en-US"/>
        </w:rPr>
      </w:pPr>
      <w:r>
        <w:rPr>
          <w:lang w:val="en-US"/>
        </w:rPr>
        <w:t>29.</w:t>
        <w:tab/>
        <w:t xml:space="preserve">Polydorides AD, Wen X. Clinicopathologic parameters and outcomes of mucinous neoplasms confined to the appendix: a benign entity with excellent prognosis. Mod Pathol. 2022;35(11):1732–9. </w:t>
      </w:r>
    </w:p>
    <w:p>
      <w:pPr>
        <w:pStyle w:val="Normal"/>
        <w:ind w:hanging="640"/>
        <w:rPr>
          <w:lang w:val="en-US"/>
        </w:rPr>
      </w:pPr>
      <w:r>
        <w:rPr>
          <w:lang w:val="en-US"/>
        </w:rPr>
        <w:t>30.</w:t>
        <w:tab/>
        <w:t xml:space="preserve">Copur MS, Cushman-Vokoun AM, Padussis JC, Wedel WR, Schroeder CW, Herold DJ, et al. Mucinous Adenocarcinoma of the Appendix With Histologic Response to Neoadjuvant Chemotherapy: Review of Histologic and Clinical Spectrum of Epithelial Neoplastic Mucinous Lesions of the Appendix. Oncology (Williston Park). 2021;35(6):335–40. </w:t>
      </w:r>
    </w:p>
    <w:p>
      <w:pPr>
        <w:pStyle w:val="Normal"/>
        <w:ind w:hanging="640"/>
        <w:rPr>
          <w:lang w:val="en-US"/>
        </w:rPr>
      </w:pPr>
      <w:r>
        <w:rPr>
          <w:lang w:val="en-US"/>
        </w:rPr>
        <w:t>31.</w:t>
        <w:tab/>
        <w:t xml:space="preserve">Yannamani P, Chungu L, Shetty R, Oyewole B. Pseudomyxoma peritonei peritonitis. BMJ Case Rep. 2024;17(8). </w:t>
      </w:r>
    </w:p>
    <w:p>
      <w:pPr>
        <w:pStyle w:val="Normal"/>
        <w:ind w:hanging="640"/>
        <w:rPr>
          <w:lang w:val="fr-FR"/>
        </w:rPr>
      </w:pPr>
      <w:r>
        <w:rPr>
          <w:lang w:val="en-US"/>
        </w:rPr>
        <w:t>32.</w:t>
        <w:tab/>
        <w:t xml:space="preserve">Mercier F, Passot G, Bonnot PE, Cashin P, Ceelen W, Decullier E, et al. An International Registry of Peritoneal Carcinomatosis from Appendiceal Goblet Cell Carcinoma Treated with Cytoreductive Surgery and Hyperthermic Intraperitoneal Chemotherapy. </w:t>
      </w:r>
      <w:r>
        <w:rPr>
          <w:lang w:val="fr-FR"/>
        </w:rPr>
        <w:t xml:space="preserve">World J Surg. 2022;46(6):1336–43. </w:t>
      </w:r>
    </w:p>
    <w:p>
      <w:pPr>
        <w:pStyle w:val="Normal"/>
        <w:ind w:hanging="640"/>
        <w:rPr>
          <w:lang w:val="en-US"/>
        </w:rPr>
      </w:pPr>
      <w:r>
        <w:rPr>
          <w:lang w:val="fr-FR"/>
        </w:rPr>
        <w:t>33.</w:t>
        <w:tab/>
        <w:t xml:space="preserve">Delhorme JB, Villeneuve L, Bouché O, Averous G, Dohan A, Gornet JM, et al. </w:t>
      </w:r>
      <w:r>
        <w:rPr>
          <w:lang w:val="en-US"/>
        </w:rPr>
        <w:t xml:space="preserve">Appendiceal tumors and pseudomyxoma peritonei: French Intergroup Clinical Practice Guidelines for diagnosis, treatments and follow-up (RENAPE, RENAPATH, SNFGE, FFCD, GERCOR, UNICANCER, SFCD, SFED, SFRO, ACHBT, SFR). Dig Liver Dis. 2022;54(1):30–9. </w:t>
      </w:r>
    </w:p>
    <w:p>
      <w:pPr>
        <w:pStyle w:val="Normal"/>
        <w:ind w:hanging="640"/>
        <w:rPr/>
      </w:pPr>
      <w:r>
        <w:rPr>
          <w:lang w:val="en-US"/>
        </w:rPr>
        <w:t>34.</w:t>
        <w:tab/>
        <w:t xml:space="preserve">Skendelas JP, Alemany VS, Au V, Rao D, McNelis J, Kim PK. Appendiceal adenocarcinoma found by surgery for acute appendicitis is associated with older age. </w:t>
      </w:r>
      <w:r>
        <w:rPr/>
        <w:t xml:space="preserve">BMC Surg. 2021;21(1). </w:t>
      </w:r>
    </w:p>
    <w:p>
      <w:pPr>
        <w:pStyle w:val="Normal"/>
        <w:ind w:hanging="640"/>
        <w:rPr/>
      </w:pPr>
      <w:r>
        <w:rPr/>
        <w:t>35.</w:t>
        <w:tab/>
        <w:t xml:space="preserve">Peltrini R, Cantoni V, Green R, Lionetti R, D’Ambra M, Bartolini C, et al. </w:t>
      </w:r>
      <w:r>
        <w:rPr>
          <w:lang w:val="en-US"/>
        </w:rPr>
        <w:t xml:space="preserve">Risk of appendiceal neoplasm after interval appendectomy for complicated appendicitis: A systematic review and meta-analysis. </w:t>
      </w:r>
      <w:r>
        <w:rPr/>
        <w:t xml:space="preserve">Surgeon. 2021;19(6):e549–58. </w:t>
      </w:r>
    </w:p>
    <w:p>
      <w:pPr>
        <w:pStyle w:val="Normal"/>
        <w:ind w:hanging="640"/>
        <w:rPr>
          <w:lang w:val="en-US"/>
        </w:rPr>
      </w:pPr>
      <w:r>
        <w:rPr/>
        <w:t>36.</w:t>
        <w:tab/>
        <w:t xml:space="preserve">Asmundo L, Ambrosini V, Anderson MA, Fanti S, Bradley WR, Campana D, et al. </w:t>
      </w:r>
      <w:r>
        <w:rPr>
          <w:lang w:val="en-US"/>
        </w:rPr>
        <w:t xml:space="preserve">Clinical Intricacies and Advances in Neuroendocrine Tumors: An Organ-Based Multidisciplinary Approach. J Comput Assist Tomogr. 2024;48(4):614–27. </w:t>
      </w:r>
    </w:p>
    <w:p>
      <w:pPr>
        <w:pStyle w:val="Normal"/>
        <w:ind w:hanging="640"/>
        <w:rPr>
          <w:lang w:val="en-US"/>
        </w:rPr>
      </w:pPr>
      <w:r>
        <w:rPr>
          <w:lang w:val="en-US"/>
        </w:rPr>
        <w:t>37.</w:t>
        <w:tab/>
        <w:t xml:space="preserve">Lim CSH, Cheah SYL, Kwok AMF, Ravindran P, Chan DL. Systematic review and meta-analysis of the association between diverticulosis of the appendix and neoplasia. ANZ J Surg. 2020;90(10):1871–7. </w:t>
      </w:r>
    </w:p>
    <w:p>
      <w:pPr>
        <w:pStyle w:val="Normal"/>
        <w:ind w:hanging="640"/>
        <w:rPr>
          <w:lang w:val="en-US"/>
        </w:rPr>
      </w:pPr>
      <w:r>
        <w:rPr>
          <w:lang w:val="en-US"/>
        </w:rPr>
        <w:t>38.</w:t>
        <w:tab/>
        <w:t xml:space="preserve">Hu C, Guo CL, Lau HCH, Shi F, Zhang Z, Guo G, et al. Appendix removal affects the subsequent cancer risk in Asian adults: A territory-wide population-based cohort study. Cancer Lett. 2024;598. </w:t>
      </w:r>
    </w:p>
    <w:p>
      <w:pPr>
        <w:pStyle w:val="Normal"/>
        <w:ind w:hanging="640"/>
        <w:rPr>
          <w:lang w:val="en-US"/>
        </w:rPr>
      </w:pPr>
      <w:r>
        <w:rPr>
          <w:lang w:val="en-US"/>
        </w:rPr>
        <w:t>39.</w:t>
        <w:tab/>
        <w:t xml:space="preserve">Hallet J, Clarke CN. ASO Practice Guidelines Series: Surgical Management of Gastrointestinal (Midgut) Neuroendocrine Neoplasms. Ann Surg Oncol. 2024;31(3):1704–13. </w:t>
      </w:r>
    </w:p>
    <w:p>
      <w:pPr>
        <w:pStyle w:val="Normal"/>
        <w:ind w:hanging="640"/>
        <w:rPr>
          <w:lang w:val="en-US"/>
        </w:rPr>
      </w:pPr>
      <w:r>
        <w:rPr>
          <w:lang w:val="en-US"/>
        </w:rPr>
        <w:t>40.</w:t>
        <w:tab/>
        <w:t xml:space="preserve">Overman M. AJCC Appendix Version 9 Cancer Staging System. 2023. </w:t>
      </w:r>
    </w:p>
    <w:p>
      <w:pPr>
        <w:pStyle w:val="Normal"/>
        <w:ind w:hanging="640"/>
        <w:rPr>
          <w:lang w:val="en-US"/>
        </w:rPr>
      </w:pPr>
      <w:r>
        <w:rPr>
          <w:lang w:val="en-US"/>
        </w:rPr>
        <w:t>41.</w:t>
        <w:tab/>
        <w:t xml:space="preserve">Takeyama H, Murata K, Takeda T, Fujii M, Kagawa Y, Kawachi H, et al. Clinical Significance of Lymph Node Dissection and Lymph Node Metastasis in Primary Appendiceal Tumor Patients After Curative Resection: a Retrospective Multicenter Cohort Study. J Gastrointest Surg. 2022;26(1):128–40. </w:t>
      </w:r>
    </w:p>
    <w:p>
      <w:pPr>
        <w:pStyle w:val="Normal"/>
        <w:ind w:hanging="640"/>
        <w:rPr>
          <w:lang w:val="en-US"/>
        </w:rPr>
      </w:pPr>
      <w:r>
        <w:rPr>
          <w:lang w:val="en-US"/>
        </w:rPr>
        <w:t>42.</w:t>
        <w:tab/>
        <w:t xml:space="preserve">Twito O, Paran H, Avital S, Kravtsov V, Rosenblum RC, Rotman-Pikielny P, et al. Temporal trends in incidence, evaluation and management of neuroendocrine neoplasms of the appendix: 14 years’ experience. Am J Surg. 2021;221(5):1000–4. </w:t>
      </w:r>
    </w:p>
    <w:p>
      <w:pPr>
        <w:pStyle w:val="Normal"/>
        <w:ind w:hanging="640"/>
        <w:rPr/>
      </w:pPr>
      <w:r>
        <w:rPr>
          <w:lang w:val="en-US"/>
        </w:rPr>
        <w:t>43.</w:t>
        <w:tab/>
        <w:t xml:space="preserve">Marks VA, Kerekes D, Butensky S, Ahuja N, Johnson C, Turaga K, et al. Role of colectomy in the management of appendiceal tumors: a retrospective cohort study. </w:t>
      </w:r>
      <w:r>
        <w:rPr/>
        <w:t xml:space="preserve">BMC Gastroenterol. 2023;23(1). </w:t>
      </w:r>
    </w:p>
    <w:p>
      <w:pPr>
        <w:pStyle w:val="Normal"/>
        <w:ind w:hanging="640"/>
        <w:rPr>
          <w:lang w:val="en-US"/>
        </w:rPr>
      </w:pPr>
      <w:r>
        <w:rPr/>
        <w:t>44.</w:t>
        <w:tab/>
        <w:t xml:space="preserve">Bastiaenen VP, Allema WM, Klaver CEL, van Dieren S, Koens L, Tanis PJ, et al. </w:t>
      </w:r>
      <w:r>
        <w:rPr>
          <w:lang w:val="en-US"/>
        </w:rPr>
        <w:t xml:space="preserve">Routine histopathologic examination of the appendix after appendectomy for presumed appendicitis: Is it really necessary? A systematic review and meta-analysis. Surgery. 2020;168(2):305–12. </w:t>
      </w:r>
    </w:p>
    <w:p>
      <w:pPr>
        <w:pStyle w:val="Normal"/>
        <w:ind w:hanging="640"/>
        <w:rPr>
          <w:lang w:val="en-US"/>
        </w:rPr>
      </w:pPr>
      <w:r>
        <w:rPr>
          <w:lang w:val="en-US"/>
        </w:rPr>
        <w:t>45.</w:t>
        <w:tab/>
        <w:t xml:space="preserve">Wang G, Li Q, Chen W. Chemotherapy in the treatment of different histological types of appendiceal cancers: a SEER based study. BMC Cancer. 2021;21(1). </w:t>
      </w:r>
    </w:p>
    <w:p>
      <w:pPr>
        <w:pStyle w:val="Normal"/>
        <w:ind w:hanging="640"/>
        <w:rPr>
          <w:lang w:val="en-US"/>
        </w:rPr>
      </w:pPr>
      <w:r>
        <w:rPr>
          <w:lang w:val="en-US"/>
        </w:rPr>
        <w:t>46.</w:t>
        <w:tab/>
        <w:t xml:space="preserve">Landry JP, Voros BA, Ramirez RA, Boudreaux JP, Woltering EA, Thiagarajan R. Management of Appendiceal Neuroendocrine Tumors: Metastatic Potential of Small Tumors. Ann Surg Oncol. 2021;28(2):751–7. </w:t>
      </w:r>
    </w:p>
    <w:p>
      <w:pPr>
        <w:pStyle w:val="Normal"/>
        <w:ind w:hanging="640"/>
        <w:rPr>
          <w:lang w:val="en-US"/>
        </w:rPr>
      </w:pPr>
      <w:r>
        <w:rPr>
          <w:lang w:val="en-US"/>
        </w:rPr>
        <w:t>47.</w:t>
        <w:tab/>
        <w:t xml:space="preserve">Baron E, Sardi A, King MC, Nikiforchin A, Lopez-Ramirez F, Nieroda C, et al. Systemic Chemotherapy for High-Grade Mucinous Appendiceal Cancer with Peritoneal Spread After Unsuccessful CRS/HIPEC. Ann Surg Oncol. 2022;29(11):6581–9. </w:t>
      </w:r>
    </w:p>
    <w:p>
      <w:pPr>
        <w:pStyle w:val="Normal"/>
        <w:ind w:hanging="640"/>
        <w:rPr>
          <w:lang w:val="en-US"/>
        </w:rPr>
      </w:pPr>
      <w:r>
        <w:rPr>
          <w:lang w:val="en-US"/>
        </w:rPr>
        <w:t>48.</w:t>
        <w:tab/>
        <w:t xml:space="preserve">Akce M, Zakka K, Penley M, Jiang R, Khalil L, Alese OB, et al. Impact of high-risk features for stage II adenocarcinoma of the appendix. Cancer Treat Res Commun. 2021;27. </w:t>
      </w:r>
    </w:p>
    <w:p>
      <w:pPr>
        <w:pStyle w:val="Normal"/>
        <w:ind w:hanging="640"/>
        <w:rPr>
          <w:lang w:val="en-US"/>
        </w:rPr>
      </w:pPr>
      <w:r>
        <w:rPr>
          <w:lang w:val="en-US"/>
        </w:rPr>
        <w:t>49.</w:t>
        <w:tab/>
        <w:t xml:space="preserve">Tsagkalidis V, Choe JK, Beninato T, Eskander MF, Grandhi MS, In H, et al. Extent of Resection and Long-Term Outcomes for Appendiceal Adenocarcinoma: a SEER Database Analysis of Mucinous and non-Mucinous Histologies. Ann Surg Oncol. 2024;31(7):4203–12. </w:t>
      </w:r>
    </w:p>
    <w:p>
      <w:pPr>
        <w:pStyle w:val="Normal"/>
        <w:ind w:hanging="640"/>
        <w:rPr>
          <w:lang w:val="en-US"/>
        </w:rPr>
      </w:pPr>
      <w:r>
        <w:rPr>
          <w:lang w:val="en-US"/>
        </w:rPr>
        <w:t>50.</w:t>
        <w:tab/>
        <w:t xml:space="preserve">Istl AC, Gage MM, Esquivel J, Ahuja N, Greer JB, Johnston FM. Management of Low-Grade Appendiceal Mucinous Neoplasms (LAMN): An International Survey of Surgeons Performing CRS and HIPEC. Ann Surg Oncol. 2021;28(7):3831–7. </w:t>
      </w:r>
    </w:p>
    <w:p>
      <w:pPr>
        <w:pStyle w:val="Normal"/>
        <w:ind w:hanging="640"/>
        <w:rPr>
          <w:lang w:val="en-US"/>
        </w:rPr>
      </w:pPr>
      <w:r>
        <w:rPr>
          <w:lang w:val="en-US"/>
        </w:rPr>
        <w:t>51.</w:t>
        <w:tab/>
        <w:t xml:space="preserve">Waheed MT, Malik I, Blakely AM, Zerhouni Y, Hanna M, Melstrom K, et al. Who should get a right colectomy in low-grade appendiceal adenocarcinomas? Association of lymphovascular invasion and nodal metastases. Surgery. 2024;176(3):560–8. </w:t>
      </w:r>
    </w:p>
    <w:p>
      <w:pPr>
        <w:pStyle w:val="Normal"/>
        <w:ind w:hanging="640"/>
        <w:rPr>
          <w:lang w:val="en-US"/>
        </w:rPr>
      </w:pPr>
      <w:r>
        <w:rPr>
          <w:lang w:val="en-US"/>
        </w:rPr>
        <w:t>52.</w:t>
        <w:tab/>
        <w:t xml:space="preserve">Kelly KJ. Management of Appendix Cancer. Clin Colon Rectal Surg. 2015;28(4):247–55. </w:t>
      </w:r>
    </w:p>
    <w:p>
      <w:pPr>
        <w:pStyle w:val="Normal"/>
        <w:ind w:hanging="640"/>
        <w:rPr>
          <w:lang w:val="en-US"/>
        </w:rPr>
      </w:pPr>
      <w:r>
        <w:rPr>
          <w:lang w:val="en-US"/>
        </w:rPr>
        <w:t>53.</w:t>
        <w:tab/>
        <w:t xml:space="preserve">Kusamura S, Barretta F, Yonemura Y, Sugarbaker PH, Moran BJ, Levine EA, et al. The Role of Hyperthermic Intraperitoneal Chemotherapy in Pseudomyxoma Peritonei After Cytoreductive Surgery. JAMA Surg. 2021;156(3). </w:t>
      </w:r>
    </w:p>
    <w:p>
      <w:pPr>
        <w:pStyle w:val="Normal"/>
        <w:ind w:hanging="640"/>
        <w:rPr>
          <w:lang w:val="fr-FR"/>
        </w:rPr>
      </w:pPr>
      <w:r>
        <w:rPr>
          <w:lang w:val="en-US"/>
        </w:rPr>
        <w:t>54.</w:t>
        <w:tab/>
        <w:t xml:space="preserve">Gangi A, Shah R. The Landmark Series: Appendiceal Primary Peritoneal Surface Malignancy. </w:t>
      </w:r>
      <w:r>
        <w:rPr>
          <w:lang w:val="fr-FR"/>
        </w:rPr>
        <w:t xml:space="preserve">Ann Surg Oncol. 2022;29(3):2056–68. </w:t>
      </w:r>
    </w:p>
    <w:p>
      <w:pPr>
        <w:pStyle w:val="Normal"/>
        <w:ind w:hanging="640"/>
        <w:rPr>
          <w:lang w:val="en-US"/>
        </w:rPr>
      </w:pPr>
      <w:r>
        <w:rPr>
          <w:lang w:val="fr-FR"/>
        </w:rPr>
        <w:t>55.</w:t>
        <w:tab/>
        <w:t xml:space="preserve">Ma R, Lu D, Wang B, Zhai X, Xia A, An L, et al. </w:t>
      </w:r>
      <w:r>
        <w:rPr>
          <w:lang w:val="en-US"/>
        </w:rPr>
        <w:t xml:space="preserve">Complete Cytoreductive Surgery vs. Debulking Surgery for pseudomyxoma peritonei of appendiceal origin: A propensity score-matched study based on a single-center experience. Eur J Surg Oncol. 2021;47(9):2369–76. </w:t>
      </w:r>
    </w:p>
    <w:p>
      <w:pPr>
        <w:pStyle w:val="Normal"/>
        <w:ind w:hanging="640"/>
        <w:rPr>
          <w:lang w:val="en-US"/>
        </w:rPr>
      </w:pPr>
      <w:r>
        <w:rPr>
          <w:lang w:val="en-US"/>
        </w:rPr>
        <w:t>56.</w:t>
        <w:tab/>
        <w:t xml:space="preserve">Saikia J, Deo S, Ray M, Mishra A, Bansal B, Bhoriwal S, et al. Learning Curve of Cytoreductive Surgery and Hyperthermic Intraperitoneal Chemotherapy - an Analysis of Critical Perioperative and Surgical Outcomes among 155 Peritoneal Surface Malignancy Patients Treated at a Tertiary Care Cancer Centre. Clin Oncol (R Coll Radiol). 2022;34(7):e305–11. </w:t>
      </w:r>
    </w:p>
    <w:p>
      <w:pPr>
        <w:pStyle w:val="Normal"/>
        <w:ind w:hanging="640"/>
        <w:rPr>
          <w:lang w:val="en-US"/>
        </w:rPr>
      </w:pPr>
      <w:r>
        <w:rPr>
          <w:lang w:val="en-US"/>
        </w:rPr>
        <w:t>57.</w:t>
        <w:tab/>
        <w:t xml:space="preserve">Soucisse ML, Lansom J, Alshahrani MS, Morris DL. Mucinous appendiceal neoplasms with or without pseudomyxoma peritonei: a review. ANZ J Surg. 2020;90(10):1888–94. </w:t>
      </w:r>
    </w:p>
    <w:p>
      <w:pPr>
        <w:pStyle w:val="Normal"/>
        <w:ind w:hanging="640"/>
        <w:rPr>
          <w:lang w:val="en-US"/>
        </w:rPr>
      </w:pPr>
      <w:r>
        <w:rPr>
          <w:lang w:val="en-US"/>
        </w:rPr>
        <w:t>58.</w:t>
        <w:tab/>
        <w:t xml:space="preserve">Acs M, Gerken M, Zustin J, Blaj S, Isgandarova S, Piso P. Prolonged Survival in Peritoneal Metastatic Appendiceal Carcinoma Patients Treated With Combined Cytoreductive Surgery and Hyperthermic Intraperitoneal Chemotherapy. J Surg Res. 2023;283:839–52. </w:t>
      </w:r>
    </w:p>
    <w:p>
      <w:pPr>
        <w:pStyle w:val="Normal"/>
        <w:ind w:hanging="640"/>
        <w:rPr>
          <w:lang w:val="en-US"/>
        </w:rPr>
      </w:pPr>
      <w:r>
        <w:rPr>
          <w:lang w:val="en-US"/>
        </w:rPr>
        <w:t>59.</w:t>
        <w:tab/>
        <w:t xml:space="preserve">Sugarbaker PH, Chang D, Liang JJ. Similar Survival Among All Subtypes of Mucinous Appendiceal Adenocarcinoma Except the Intermediate Subtype, Which Shows an Improved Survival. Ann Surg Oncol. marzo de 2023;30(3):1874–85. </w:t>
      </w:r>
    </w:p>
    <w:p>
      <w:pPr>
        <w:pStyle w:val="Normal"/>
        <w:ind w:hanging="640"/>
        <w:rPr>
          <w:lang w:val="en-US"/>
        </w:rPr>
      </w:pPr>
      <w:r>
        <w:rPr>
          <w:lang w:val="en-US"/>
        </w:rPr>
        <w:t>60.</w:t>
        <w:tab/>
        <w:t xml:space="preserve">Gupta AR, Brajcich BC, Yang AD, Bentrem DJ, Merkow RP. Necessity of posttreatment surveillance for low-grade appendiceal mucinous neoplasms. J Surg Oncol. diciembre de 2021;124(7):1115–20. </w:t>
      </w:r>
    </w:p>
    <w:p>
      <w:pPr>
        <w:pStyle w:val="Normal"/>
        <w:ind w:hanging="640"/>
        <w:rPr>
          <w:lang w:val="en-US"/>
        </w:rPr>
      </w:pPr>
      <w:r>
        <w:rPr>
          <w:lang w:val="en-US"/>
        </w:rPr>
        <w:t>61.</w:t>
        <w:tab/>
        <w:t xml:space="preserve">Salazar MC, Canavan ME, Chilakamarry S, Boffa DJ, Schuster KM. Appendiceal Cancer in the National Cancer Database: Increasing Frequency, Decreasing Age, and Shifting Histology. J Am Coll Surg. junio de 2022;234(6):1082–9. </w:t>
      </w:r>
    </w:p>
    <w:p>
      <w:pPr>
        <w:pStyle w:val="Normal"/>
        <w:ind w:hanging="640"/>
        <w:rPr/>
      </w:pPr>
      <w:r>
        <w:rPr>
          <w:lang w:val="en-US"/>
        </w:rPr>
        <w:t>62.</w:t>
        <w:tab/>
        <w:t xml:space="preserve">Siegel Mph RL, Giaquinto AN, Ahmedin |, Dvm J, Siegel RL. </w:t>
      </w:r>
      <w:r>
        <w:rPr/>
        <w:t xml:space="preserve">Cancer statistics, 2024. CA Cancer J Clin. enero de 2024;74(1):12–49. </w:t>
      </w:r>
    </w:p>
    <w:p>
      <w:pPr>
        <w:pStyle w:val="Normal"/>
        <w:jc w:val="both"/>
        <w:rPr/>
      </w:pPr>
      <w:r>
        <w:rPr/>
        <w:t> </w:t>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p>
      <w:pPr>
        <w:pStyle w:val="Normal"/>
        <w:spacing w:lineRule="auto" w:line="360"/>
        <w:jc w:val="both"/>
        <w:rPr>
          <w:lang w:val="es-ES_tradnl"/>
        </w:rPr>
      </w:pPr>
      <w:r>
        <w:rPr>
          <w:lang w:val="es-ES_tradnl"/>
        </w:rPr>
      </w:r>
    </w:p>
    <w:sectPr>
      <w:headerReference w:type="even" r:id="rId25"/>
      <w:headerReference w:type="default" r:id="rId26"/>
      <w:headerReference w:type="first" r:id="rId27"/>
      <w:footerReference w:type="even" r:id="rId28"/>
      <w:footerReference w:type="default" r:id="rId29"/>
      <w:footerReference w:type="first" r:id="rId30"/>
      <w:type w:val="nextPage"/>
      <w:pgSz w:w="12240" w:h="15840"/>
      <w:pgMar w:left="1985" w:right="1418" w:gutter="0" w:header="708" w:top="1418" w:footer="708" w:bottom="1418"/>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Cambria">
    <w:charset w:val="01"/>
    <w:family w:val="roman"/>
    <w:pitch w:val="variable"/>
  </w:font>
  <w:font w:name="Tahoma">
    <w:charset w:val="01"/>
    <w:family w:val="swiss"/>
    <w:pitch w:val="variable"/>
  </w:font>
  <w:font w:name="Liberation Sans">
    <w:altName w:val="Arial"/>
    <w:charset w:val="01"/>
    <w:family w:val="swiss"/>
    <w:pitch w:val="variable"/>
  </w:font>
  <w:font w:name="MS Mincho">
    <w:charset w:val="01"/>
    <w:family w:val="roman"/>
    <w:pitch w:val="variable"/>
  </w:font>
  <w:font w:name="Symbol">
    <w:charset w:val="02"/>
    <w:family w:val="auto"/>
    <w:pitch w:val="default"/>
  </w:font>
  <w:font w:name="Courier New">
    <w:charset w:val="01"/>
    <w:family w:val="modern"/>
    <w:pitch w:val="fixed"/>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324612802"/>
    </w:sdtPr>
    <w:sdtContent>
      <w:p>
        <w:pPr>
          <w:pStyle w:val="Footer"/>
          <w:jc w:val="center"/>
          <w:rPr/>
        </w:pPr>
        <w:r>
          <w:rPr/>
          <w:fldChar w:fldCharType="begin"/>
        </w:r>
        <w:r>
          <w:rPr/>
          <w:instrText xml:space="preserve"> PAGE </w:instrText>
        </w:r>
        <w:r>
          <w:rPr/>
          <w:fldChar w:fldCharType="separate"/>
        </w:r>
        <w:r>
          <w:rPr/>
          <w:t>iii</w:t>
        </w:r>
        <w:r>
          <w:rPr/>
          <w:fldChar w:fldCharType="end"/>
        </w:r>
      </w:p>
    </w:sdtContent>
  </w:sdt>
  <w:p>
    <w:pPr>
      <w:pStyle w:val="Footer"/>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center"/>
      <w:rPr/>
    </w:pPr>
    <w:r>
      <w:rPr/>
    </w:r>
  </w:p>
  <w:p>
    <w:pPr>
      <w:pStyle w:val="Footer"/>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center"/>
      <w:rPr/>
    </w:pPr>
    <w:r>
      <w:rPr/>
    </w:r>
  </w:p>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Top of Page)"/>
        <w:docPartUnique w:val="true"/>
      </w:docPartObj>
      <w:id w:val="324612801"/>
    </w:sdtPr>
    <w:sdtContent>
      <w:p>
        <w:pPr>
          <w:pStyle w:val="Header"/>
          <w:jc w:val="right"/>
          <w:rPr/>
        </w:pPr>
        <w:r>
          <w:rPr/>
          <w:fldChar w:fldCharType="begin"/>
        </w:r>
        <w:r>
          <w:rPr/>
          <w:instrText xml:space="preserve"> PAGE </w:instrText>
        </w:r>
        <w:r>
          <w:rPr/>
          <w:fldChar w:fldCharType="separate"/>
        </w:r>
        <w:r>
          <w:rPr/>
          <w:t>27</w:t>
        </w:r>
        <w:r>
          <w:rPr/>
          <w:fldChar w:fldCharType="end"/>
        </w:r>
      </w:p>
    </w:sdtContent>
  </w:sdt>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Top of Page)"/>
        <w:docPartUnique w:val="true"/>
      </w:docPartObj>
      <w:id w:val="324612801"/>
    </w:sdtPr>
    <w:sdtContent>
      <w:p>
        <w:pPr>
          <w:pStyle w:val="Header"/>
          <w:jc w:val="right"/>
          <w:rPr/>
        </w:pPr>
        <w:r>
          <w:rPr/>
          <w:fldChar w:fldCharType="begin"/>
        </w:r>
        <w:r>
          <w:rPr/>
          <w:instrText xml:space="preserve"> PAGE </w:instrText>
        </w:r>
        <w:r>
          <w:rPr/>
          <w:fldChar w:fldCharType="separate"/>
        </w:r>
        <w:r>
          <w:rPr/>
          <w:t>27</w:t>
        </w:r>
        <w:r>
          <w:rPr/>
          <w:fldChar w:fldCharType="end"/>
        </w:r>
      </w:p>
    </w:sdtContent>
  </w:sdt>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432" w:hanging="432"/>
      </w:pPr>
      <w:rPr/>
    </w:lvl>
    <w:lvl w:ilvl="1">
      <w:start w:val="1"/>
      <w:pStyle w:val="Heading2"/>
      <w:numFmt w:val="decimal"/>
      <w:lvlText w:val="%1.%2"/>
      <w:lvlJc w:val="left"/>
      <w:pPr>
        <w:tabs>
          <w:tab w:val="num" w:pos="0"/>
        </w:tabs>
        <w:ind w:left="576" w:hanging="576"/>
      </w:pPr>
      <w:rPr/>
    </w:lvl>
    <w:lvl w:ilvl="2">
      <w:start w:val="1"/>
      <w:pStyle w:val="Heading3"/>
      <w:numFmt w:val="decimal"/>
      <w:lvlText w:val="%1.%2.%3"/>
      <w:lvlJc w:val="left"/>
      <w:pPr>
        <w:tabs>
          <w:tab w:val="num" w:pos="0"/>
        </w:tabs>
        <w:ind w:left="720" w:hanging="720"/>
      </w:pPr>
      <w:rPr>
        <w:smallCaps w:val="false"/>
        <w:caps w:val="false"/>
        <w:outline w:val="false"/>
        <w:dstrike w:val="false"/>
        <w:strike w:val="false"/>
        <w:vertAlign w:val="baseline"/>
        <w:position w:val="0"/>
        <w:sz w:val="24"/>
        <w:sz w:val="24"/>
        <w:spacing w:val="0"/>
        <w:i/>
        <w:shadow w:val="false"/>
        <w:u w:val="none"/>
        <w:b/>
        <w:kern w:val="0"/>
        <w:effect w:val="none"/>
        <w:szCs w:val="24"/>
        <w:iCs/>
        <w:bCs/>
        <w:em w:val="none"/>
        <w:emboss w:val="false"/>
        <w:imprint w:val="false"/>
        <w:vanish w:val="false"/>
        <w:rFonts w:ascii="Times New Roman" w:hAnsi="Times New Roman"/>
        <w:color w:val="auto"/>
        <w14:cntxtAlts>
          <w14:cntxtAlts/>
        </w14:cntxtAlts>
        <w14:glow w14:rad="0">
          <w14:srgbClr w14:val="000000"/>
        </w14:glow>
        <w14:ligatures w14:val="none"/>
        <w14:numForm w14:val="default"/>
        <w14:numSpacing w14:val="default"/>
        <w14:props3d w14:extrusionH="0" w14:contourW="0" w14:prstMaterial="none"/>
        <w14:reflection w14:blurRad="0" w14:stA="0" w14:stPos="0" w14:endA="0" w14:endPos="0" w14:dist="0" w14:dir="0" w14:fadeDir="0" w14:sx="0" w14:sy="0" w14:kx="0" w14:ky="0" w14:algn="none"/>
        <w14:scene3d>
          <w14:camera w14:prst="orthographicFront"/>
          <w14:lightRig w14:rig="threePt" w14:dir="t">
            <w14:rot w14:lat="0" w14:lon="0" w14:rev="0"/>
          </w14:lightRig>
        </w14:scene3d>
        <w14:shadow w14:blurRad="0" w14:dist="0" w14:dir="0" w14:sx="0" w14:sy="0" w14:kx="0" w14:ky="0" w14:algn="none">
          <w14:srgbClr w14:val="000000"/>
        </w14:shadow>
        <w14:stylisticSets/>
        <w14:textOutline w14:w="0" w14:cap="rnd" w14:cmpd="sng" w14:algn="ctr">
          <w14:noFill/>
          <w14:prstDash w14:val="solid"/>
          <w14:bevel/>
        </w14:textOutline>
      </w:rPr>
    </w:lvl>
    <w:lvl w:ilvl="3">
      <w:start w:val="1"/>
      <w:pStyle w:val="Heading4"/>
      <w:numFmt w:val="decimal"/>
      <w:lvlText w:val="%1.%2.%3.%4"/>
      <w:lvlJc w:val="left"/>
      <w:pPr>
        <w:tabs>
          <w:tab w:val="num" w:pos="0"/>
        </w:tabs>
        <w:ind w:left="864" w:hanging="864"/>
      </w:pPr>
      <w:rPr>
        <w:sz w:val="24"/>
        <w:i w:val="false"/>
        <w:b/>
        <w:szCs w:val="24"/>
        <w:iCs w:val="false"/>
        <w:bCs/>
        <w:rFonts w:ascii="Times New Roman" w:hAnsi="Times New Roman" w:cs="Times New Roman"/>
        <w:color w:val="auto"/>
      </w:rPr>
    </w:lvl>
    <w:lvl w:ilvl="4">
      <w:start w:val="1"/>
      <w:pStyle w:val="Heading5"/>
      <w:numFmt w:val="decimal"/>
      <w:lvlText w:val="%1.%2.%3.%4.%5"/>
      <w:lvlJc w:val="left"/>
      <w:pPr>
        <w:tabs>
          <w:tab w:val="num" w:pos="0"/>
        </w:tabs>
        <w:ind w:left="1008" w:hanging="1008"/>
      </w:pPr>
      <w:rPr>
        <w:sz w:val="24"/>
        <w:szCs w:val="18"/>
        <w:color w:val="auto"/>
      </w:rPr>
    </w:lvl>
    <w:lvl w:ilvl="5">
      <w:start w:val="1"/>
      <w:pStyle w:val="Heading6"/>
      <w:numFmt w:val="decimal"/>
      <w:lvlText w:val="%1.%2.%3.%4.%5.%6"/>
      <w:lvlJc w:val="left"/>
      <w:pPr>
        <w:tabs>
          <w:tab w:val="num" w:pos="0"/>
        </w:tabs>
        <w:ind w:left="1152" w:hanging="1152"/>
      </w:pPr>
      <w:rPr/>
    </w:lvl>
    <w:lvl w:ilvl="6">
      <w:start w:val="1"/>
      <w:pStyle w:val="Heading7"/>
      <w:numFmt w:val="decimal"/>
      <w:lvlText w:val="%1.%2.%3.%4.%5.%6.%7"/>
      <w:lvlJc w:val="left"/>
      <w:pPr>
        <w:tabs>
          <w:tab w:val="num" w:pos="0"/>
        </w:tabs>
        <w:ind w:left="1296" w:hanging="1296"/>
      </w:pPr>
      <w:rPr/>
    </w:lvl>
    <w:lvl w:ilvl="7">
      <w:start w:val="1"/>
      <w:pStyle w:val="Heading8"/>
      <w:numFmt w:val="decimal"/>
      <w:lvlText w:val="%1.%2.%3.%4.%5.%6.%7.%8"/>
      <w:lvlJc w:val="left"/>
      <w:pPr>
        <w:tabs>
          <w:tab w:val="num" w:pos="0"/>
        </w:tabs>
        <w:ind w:left="1440" w:hanging="1440"/>
      </w:pPr>
      <w:rPr/>
    </w:lvl>
    <w:lvl w:ilvl="8">
      <w:start w:val="1"/>
      <w:pStyle w:val="Heading9"/>
      <w:numFmt w:val="decimal"/>
      <w:lvlText w:val="%1.%2.%3.%4.%5.%6.%7.%8.%9"/>
      <w:lvlJc w:val="left"/>
      <w:pPr>
        <w:tabs>
          <w:tab w:val="num" w:pos="0"/>
        </w:tabs>
        <w:ind w:left="1584" w:hanging="1584"/>
      </w:pPr>
      <w:rPr/>
    </w:lvl>
  </w:abstractNum>
  <w:abstractNum w:abstractNumId="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7">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9">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1">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2">
    <w:lvl w:ilvl="0">
      <w:start w:val="1"/>
      <w:numFmt w:val="bullet"/>
      <w:lvlText w:val=""/>
      <w:lvlJc w:val="left"/>
      <w:pPr>
        <w:tabs>
          <w:tab w:val="num" w:pos="720"/>
        </w:tabs>
        <w:ind w:left="720" w:hanging="360"/>
      </w:pPr>
      <w:rPr>
        <w:rFonts w:ascii="Symbol" w:hAnsi="Symbol" w:cs="Symbol" w:hint="default"/>
        <w:sz w:val="20"/>
      </w:rPr>
    </w:lvl>
    <w:lvl w:ilvl="1">
      <w:start w:val="1"/>
      <w:numFmt w:val="decimal"/>
      <w:lvlText w:val="%2."/>
      <w:lvlJc w:val="left"/>
      <w:pPr>
        <w:tabs>
          <w:tab w:val="num" w:pos="0"/>
        </w:tabs>
        <w:ind w:left="1440" w:hanging="360"/>
      </w:pPr>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3">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5">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7">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9">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3">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5">
    <w:lvl w:ilvl="0">
      <w:start w:val="1"/>
      <w:numFmt w:val="bullet"/>
      <w:lvlText w:val=""/>
      <w:lvlJc w:val="left"/>
      <w:pPr>
        <w:tabs>
          <w:tab w:val="num" w:pos="720"/>
        </w:tabs>
        <w:ind w:left="720" w:hanging="360"/>
      </w:pPr>
      <w:rPr>
        <w:rFonts w:ascii="Symbol" w:hAnsi="Symbol" w:cs="Symbol" w:hint="default"/>
        <w:sz w:val="20"/>
      </w:rPr>
    </w:lvl>
    <w:lvl w:ilvl="1">
      <w:start w:val="1"/>
      <w:numFmt w:val="decimal"/>
      <w:lvlText w:val="%2."/>
      <w:lvlJc w:val="left"/>
      <w:pPr>
        <w:tabs>
          <w:tab w:val="num" w:pos="0"/>
        </w:tabs>
        <w:ind w:left="1440" w:hanging="360"/>
      </w:pPr>
      <w:rPr>
        <w:color w:val="auto"/>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7">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9">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1">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3">
    <w:lvl w:ilvl="0">
      <w:start w:val="1"/>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34">
    <w:lvl w:ilvl="0">
      <w:start w:val="1"/>
      <w:numFmt w:val="decimal"/>
      <w:lvlText w:val="%1."/>
      <w:lvlJc w:val="left"/>
      <w:pPr>
        <w:tabs>
          <w:tab w:val="num" w:pos="0"/>
        </w:tabs>
        <w:ind w:left="720" w:hanging="360"/>
      </w:pPr>
      <w:rPr/>
    </w:lvl>
    <w:lvl w:ilvl="1">
      <w:start w:val="1"/>
      <w:isLgl/>
      <w:numFmt w:val="decimal"/>
      <w:lvlText w:val="%1.%2."/>
      <w:lvlJc w:val="left"/>
      <w:pPr>
        <w:tabs>
          <w:tab w:val="num" w:pos="0"/>
        </w:tabs>
        <w:ind w:left="720" w:hanging="360"/>
      </w:pPr>
      <w:rPr/>
    </w:lvl>
    <w:lvl w:ilvl="2">
      <w:start w:val="1"/>
      <w:isLgl/>
      <w:numFmt w:val="decimal"/>
      <w:lvlText w:val="%1.%2.%3."/>
      <w:lvlJc w:val="left"/>
      <w:pPr>
        <w:tabs>
          <w:tab w:val="num" w:pos="0"/>
        </w:tabs>
        <w:ind w:left="1080" w:hanging="720"/>
      </w:pPr>
      <w:rPr/>
    </w:lvl>
    <w:lvl w:ilvl="3">
      <w:start w:val="1"/>
      <w:isLgl/>
      <w:numFmt w:val="decimal"/>
      <w:lvlText w:val="%1.%2.%3.%4."/>
      <w:lvlJc w:val="left"/>
      <w:pPr>
        <w:tabs>
          <w:tab w:val="num" w:pos="0"/>
        </w:tabs>
        <w:ind w:left="1080" w:hanging="720"/>
      </w:pPr>
      <w:rPr/>
    </w:lvl>
    <w:lvl w:ilvl="4">
      <w:start w:val="1"/>
      <w:isLgl/>
      <w:numFmt w:val="decimal"/>
      <w:lvlText w:val="%1.%2.%3.%4.%5."/>
      <w:lvlJc w:val="left"/>
      <w:pPr>
        <w:tabs>
          <w:tab w:val="num" w:pos="0"/>
        </w:tabs>
        <w:ind w:left="1440" w:hanging="1080"/>
      </w:pPr>
      <w:rPr/>
    </w:lvl>
    <w:lvl w:ilvl="5">
      <w:start w:val="1"/>
      <w:isLgl/>
      <w:numFmt w:val="decimal"/>
      <w:lvlText w:val="%1.%2.%3.%4.%5.%6."/>
      <w:lvlJc w:val="left"/>
      <w:pPr>
        <w:tabs>
          <w:tab w:val="num" w:pos="0"/>
        </w:tabs>
        <w:ind w:left="1440" w:hanging="1080"/>
      </w:pPr>
      <w:rPr/>
    </w:lvl>
    <w:lvl w:ilvl="6">
      <w:start w:val="1"/>
      <w:isLgl/>
      <w:numFmt w:val="decimal"/>
      <w:lvlText w:val="%1.%2.%3.%4.%5.%6.%7."/>
      <w:lvlJc w:val="left"/>
      <w:pPr>
        <w:tabs>
          <w:tab w:val="num" w:pos="0"/>
        </w:tabs>
        <w:ind w:left="1800" w:hanging="1440"/>
      </w:pPr>
      <w:rPr/>
    </w:lvl>
    <w:lvl w:ilvl="7">
      <w:start w:val="1"/>
      <w:isLgl/>
      <w:numFmt w:val="decimal"/>
      <w:lvlText w:val="%1.%2.%3.%4.%5.%6.%7.%8."/>
      <w:lvlJc w:val="left"/>
      <w:pPr>
        <w:tabs>
          <w:tab w:val="num" w:pos="0"/>
        </w:tabs>
        <w:ind w:left="1800" w:hanging="1440"/>
      </w:pPr>
      <w:rPr/>
    </w:lvl>
    <w:lvl w:ilvl="8">
      <w:start w:val="1"/>
      <w:isLgl/>
      <w:numFmt w:val="decimal"/>
      <w:lvlText w:val="%1.%2.%3.%4.%5.%6.%7.%8.%9."/>
      <w:lvlJc w:val="left"/>
      <w:pPr>
        <w:tabs>
          <w:tab w:val="num" w:pos="0"/>
        </w:tabs>
        <w:ind w:left="2160" w:hanging="1800"/>
      </w:pPr>
      <w:rPr/>
    </w:lvl>
  </w:abstractNum>
  <w:abstractNum w:abstractNumId="35">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7">
    <w:lvl w:ilvl="0">
      <w:start w:val="1"/>
      <w:numFmt w:val="decimal"/>
      <w:lvlText w:val="%1."/>
      <w:lvlJc w:val="left"/>
      <w:pPr>
        <w:tabs>
          <w:tab w:val="num" w:pos="0"/>
        </w:tabs>
        <w:ind w:left="720" w:hanging="360"/>
      </w:pPr>
      <w:rPr/>
    </w:lvl>
    <w:lvl w:ilvl="1">
      <w:start w:val="4"/>
      <w:isLgl/>
      <w:numFmt w:val="decimal"/>
      <w:lvlText w:val="%1.%2."/>
      <w:lvlJc w:val="left"/>
      <w:pPr>
        <w:tabs>
          <w:tab w:val="num" w:pos="0"/>
        </w:tabs>
        <w:ind w:left="1080" w:hanging="720"/>
      </w:pPr>
      <w:rPr>
        <w:sz w:val="24"/>
      </w:rPr>
    </w:lvl>
    <w:lvl w:ilvl="2">
      <w:start w:val="1"/>
      <w:isLgl/>
      <w:numFmt w:val="decimal"/>
      <w:lvlText w:val="%1.%2.%3."/>
      <w:lvlJc w:val="left"/>
      <w:pPr>
        <w:tabs>
          <w:tab w:val="num" w:pos="0"/>
        </w:tabs>
        <w:ind w:left="1080" w:hanging="720"/>
      </w:pPr>
      <w:rPr>
        <w:sz w:val="24"/>
      </w:rPr>
    </w:lvl>
    <w:lvl w:ilvl="3">
      <w:start w:val="1"/>
      <w:isLgl/>
      <w:numFmt w:val="decimal"/>
      <w:lvlText w:val="%1.%2.%3.%4."/>
      <w:lvlJc w:val="left"/>
      <w:pPr>
        <w:tabs>
          <w:tab w:val="num" w:pos="0"/>
        </w:tabs>
        <w:ind w:left="1440" w:hanging="1080"/>
      </w:pPr>
      <w:rPr>
        <w:sz w:val="24"/>
      </w:rPr>
    </w:lvl>
    <w:lvl w:ilvl="4">
      <w:start w:val="1"/>
      <w:isLgl/>
      <w:numFmt w:val="decimal"/>
      <w:lvlText w:val="%1.%2.%3.%4.%5."/>
      <w:lvlJc w:val="left"/>
      <w:pPr>
        <w:tabs>
          <w:tab w:val="num" w:pos="0"/>
        </w:tabs>
        <w:ind w:left="1800" w:hanging="1440"/>
      </w:pPr>
      <w:rPr>
        <w:sz w:val="24"/>
      </w:rPr>
    </w:lvl>
    <w:lvl w:ilvl="5">
      <w:start w:val="1"/>
      <w:isLgl/>
      <w:numFmt w:val="decimal"/>
      <w:lvlText w:val="%1.%2.%3.%4.%5.%6."/>
      <w:lvlJc w:val="left"/>
      <w:pPr>
        <w:tabs>
          <w:tab w:val="num" w:pos="0"/>
        </w:tabs>
        <w:ind w:left="1800" w:hanging="1440"/>
      </w:pPr>
      <w:rPr>
        <w:sz w:val="24"/>
      </w:rPr>
    </w:lvl>
    <w:lvl w:ilvl="6">
      <w:start w:val="1"/>
      <w:isLgl/>
      <w:numFmt w:val="decimal"/>
      <w:lvlText w:val="%1.%2.%3.%4.%5.%6.%7."/>
      <w:lvlJc w:val="left"/>
      <w:pPr>
        <w:tabs>
          <w:tab w:val="num" w:pos="0"/>
        </w:tabs>
        <w:ind w:left="2160" w:hanging="1800"/>
      </w:pPr>
      <w:rPr>
        <w:sz w:val="24"/>
      </w:rPr>
    </w:lvl>
    <w:lvl w:ilvl="7">
      <w:start w:val="1"/>
      <w:isLgl/>
      <w:numFmt w:val="decimal"/>
      <w:lvlText w:val="%1.%2.%3.%4.%5.%6.%7.%8."/>
      <w:lvlJc w:val="left"/>
      <w:pPr>
        <w:tabs>
          <w:tab w:val="num" w:pos="0"/>
        </w:tabs>
        <w:ind w:left="2160" w:hanging="1800"/>
      </w:pPr>
      <w:rPr>
        <w:sz w:val="24"/>
      </w:rPr>
    </w:lvl>
    <w:lvl w:ilvl="8">
      <w:start w:val="1"/>
      <w:isLgl/>
      <w:numFmt w:val="decimal"/>
      <w:lvlText w:val="%1.%2.%3.%4.%5.%6.%7.%8.%9."/>
      <w:lvlJc w:val="left"/>
      <w:pPr>
        <w:tabs>
          <w:tab w:val="num" w:pos="0"/>
        </w:tabs>
        <w:ind w:left="2520" w:hanging="2160"/>
      </w:pPr>
      <w:rPr>
        <w:sz w:val="24"/>
      </w:rPr>
    </w:lvl>
  </w:abstractNum>
  <w:abstractNum w:abstractNumId="38">
    <w:lvl w:ilvl="0">
      <w:start w:val="1"/>
      <w:numFmt w:val="decimal"/>
      <w:lvlText w:val="%1."/>
      <w:lvlJc w:val="left"/>
      <w:pPr>
        <w:tabs>
          <w:tab w:val="num" w:pos="0"/>
        </w:tabs>
        <w:ind w:left="720" w:hanging="360"/>
      </w:pPr>
      <w:rPr/>
    </w:lvl>
    <w:lvl w:ilvl="1">
      <w:start w:val="5"/>
      <w:isLgl/>
      <w:numFmt w:val="decimal"/>
      <w:lvlText w:val="%1.%2"/>
      <w:lvlJc w:val="left"/>
      <w:pPr>
        <w:tabs>
          <w:tab w:val="num" w:pos="0"/>
        </w:tabs>
        <w:ind w:left="900" w:hanging="540"/>
      </w:pPr>
      <w:rPr>
        <w:sz w:val="26"/>
      </w:rPr>
    </w:lvl>
    <w:lvl w:ilvl="2">
      <w:start w:val="1"/>
      <w:isLgl/>
      <w:numFmt w:val="decimal"/>
      <w:lvlText w:val="%1.%2.%3"/>
      <w:lvlJc w:val="left"/>
      <w:pPr>
        <w:tabs>
          <w:tab w:val="num" w:pos="0"/>
        </w:tabs>
        <w:ind w:left="1080" w:hanging="720"/>
      </w:pPr>
      <w:rPr>
        <w:sz w:val="26"/>
      </w:rPr>
    </w:lvl>
    <w:lvl w:ilvl="3">
      <w:start w:val="1"/>
      <w:isLgl/>
      <w:numFmt w:val="decimal"/>
      <w:lvlText w:val="%1.%2.%3.%4"/>
      <w:lvlJc w:val="left"/>
      <w:pPr>
        <w:tabs>
          <w:tab w:val="num" w:pos="0"/>
        </w:tabs>
        <w:ind w:left="1080" w:hanging="720"/>
      </w:pPr>
      <w:rPr>
        <w:sz w:val="26"/>
      </w:rPr>
    </w:lvl>
    <w:lvl w:ilvl="4">
      <w:start w:val="1"/>
      <w:isLgl/>
      <w:numFmt w:val="decimal"/>
      <w:lvlText w:val="%1.%2.%3.%4.%5"/>
      <w:lvlJc w:val="left"/>
      <w:pPr>
        <w:tabs>
          <w:tab w:val="num" w:pos="0"/>
        </w:tabs>
        <w:ind w:left="1440" w:hanging="1080"/>
      </w:pPr>
      <w:rPr>
        <w:sz w:val="26"/>
      </w:rPr>
    </w:lvl>
    <w:lvl w:ilvl="5">
      <w:start w:val="1"/>
      <w:isLgl/>
      <w:numFmt w:val="decimal"/>
      <w:lvlText w:val="%1.%2.%3.%4.%5.%6"/>
      <w:lvlJc w:val="left"/>
      <w:pPr>
        <w:tabs>
          <w:tab w:val="num" w:pos="0"/>
        </w:tabs>
        <w:ind w:left="1440" w:hanging="1080"/>
      </w:pPr>
      <w:rPr>
        <w:sz w:val="26"/>
      </w:rPr>
    </w:lvl>
    <w:lvl w:ilvl="6">
      <w:start w:val="1"/>
      <w:isLgl/>
      <w:numFmt w:val="decimal"/>
      <w:lvlText w:val="%1.%2.%3.%4.%5.%6.%7"/>
      <w:lvlJc w:val="left"/>
      <w:pPr>
        <w:tabs>
          <w:tab w:val="num" w:pos="0"/>
        </w:tabs>
        <w:ind w:left="1800" w:hanging="1440"/>
      </w:pPr>
      <w:rPr>
        <w:sz w:val="26"/>
      </w:rPr>
    </w:lvl>
    <w:lvl w:ilvl="7">
      <w:start w:val="1"/>
      <w:isLgl/>
      <w:numFmt w:val="decimal"/>
      <w:lvlText w:val="%1.%2.%3.%4.%5.%6.%7.%8"/>
      <w:lvlJc w:val="left"/>
      <w:pPr>
        <w:tabs>
          <w:tab w:val="num" w:pos="0"/>
        </w:tabs>
        <w:ind w:left="1800" w:hanging="1440"/>
      </w:pPr>
      <w:rPr>
        <w:sz w:val="26"/>
      </w:rPr>
    </w:lvl>
    <w:lvl w:ilvl="8">
      <w:start w:val="1"/>
      <w:isLgl/>
      <w:numFmt w:val="decimal"/>
      <w:lvlText w:val="%1.%2.%3.%4.%5.%6.%7.%8.%9"/>
      <w:lvlJc w:val="left"/>
      <w:pPr>
        <w:tabs>
          <w:tab w:val="num" w:pos="0"/>
        </w:tabs>
        <w:ind w:left="2160" w:hanging="1800"/>
      </w:pPr>
      <w:rPr>
        <w:sz w:val="26"/>
      </w:rPr>
    </w:lvl>
  </w:abstractNum>
  <w:abstractNum w:abstractNumId="3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1">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2">
    <w:lvl w:ilvl="0">
      <w:start w:val="1"/>
      <w:numFmt w:val="upperRoman"/>
      <w:suff w:val="space"/>
      <w:lvlText w:val="Capítulo %1."/>
      <w:lvlJc w:val="left"/>
      <w:pPr>
        <w:tabs>
          <w:tab w:val="num" w:pos="0"/>
        </w:tabs>
        <w:ind w:left="170" w:hanging="170"/>
      </w:pPr>
      <w:rPr/>
    </w:lvl>
    <w:lvl w:ilvl="1">
      <w:start w:val="1"/>
      <w:numFmt w:val="decimal"/>
      <w:lvlText w:val="%1.%2"/>
      <w:lvlJc w:val="left"/>
      <w:pPr>
        <w:tabs>
          <w:tab w:val="num" w:pos="0"/>
        </w:tabs>
        <w:ind w:left="576" w:hanging="576"/>
      </w:pPr>
      <w:rPr/>
    </w:lvl>
    <w:lvl w:ilvl="2">
      <w:start w:val="1"/>
      <w:numFmt w:val="decimal"/>
      <w:lvlText w:val="%1.%2.%3"/>
      <w:lvlJc w:val="left"/>
      <w:pPr>
        <w:tabs>
          <w:tab w:val="num" w:pos="0"/>
        </w:tabs>
        <w:ind w:left="720" w:hanging="720"/>
      </w:pPr>
      <w:rPr>
        <w:smallCaps w:val="false"/>
        <w:caps w:val="false"/>
        <w:outline w:val="false"/>
        <w:dstrike w:val="false"/>
        <w:strike w:val="false"/>
        <w:vertAlign w:val="baseline"/>
        <w:position w:val="0"/>
        <w:sz w:val="24"/>
        <w:sz w:val="24"/>
        <w:spacing w:val="0"/>
        <w:i/>
        <w:shadow w:val="false"/>
        <w:u w:val="none"/>
        <w:b/>
        <w:kern w:val="0"/>
        <w:effect w:val="none"/>
        <w:szCs w:val="24"/>
        <w:iCs/>
        <w:bCs/>
        <w:em w:val="none"/>
        <w:emboss w:val="false"/>
        <w:imprint w:val="false"/>
        <w:vanish w:val="false"/>
        <w:rFonts w:ascii="Times New Roman" w:hAnsi="Times New Roman"/>
        <w:color w:val="auto"/>
        <w14:cntxtAlts>
          <w14:cntxtAlts/>
        </w14:cntxtAlts>
        <w14:glow w14:rad="0">
          <w14:srgbClr w14:val="000000"/>
        </w14:glow>
        <w14:ligatures w14:val="none"/>
        <w14:numForm w14:val="default"/>
        <w14:numSpacing w14:val="default"/>
        <w14:props3d w14:extrusionH="0" w14:contourW="0" w14:prstMaterial="none"/>
        <w14:reflection w14:blurRad="0" w14:stA="0" w14:stPos="0" w14:endA="0" w14:endPos="0" w14:dist="0" w14:dir="0" w14:fadeDir="0" w14:sx="0" w14:sy="0" w14:kx="0" w14:ky="0" w14:algn="none"/>
        <w14:scene3d>
          <w14:camera w14:prst="orthographicFront"/>
          <w14:lightRig w14:rig="threePt" w14:dir="t">
            <w14:rot w14:lat="0" w14:lon="0" w14:rev="0"/>
          </w14:lightRig>
        </w14:scene3d>
        <w14:shadow w14:blurRad="0" w14:dist="0" w14:dir="0" w14:sx="0" w14:sy="0" w14:kx="0" w14:ky="0" w14:algn="none">
          <w14:srgbClr w14:val="000000"/>
        </w14:shadow>
        <w14:stylisticSets/>
        <w14:textOutline w14:w="0" w14:cap="rnd" w14:cmpd="sng" w14:algn="ctr">
          <w14:noFill/>
          <w14:prstDash w14:val="solid"/>
          <w14:bevel/>
        </w14:textOutline>
      </w:rPr>
    </w:lvl>
    <w:lvl w:ilvl="3">
      <w:start w:val="1"/>
      <w:numFmt w:val="decimal"/>
      <w:lvlText w:val="%1.%2.%3.%4"/>
      <w:lvlJc w:val="left"/>
      <w:pPr>
        <w:tabs>
          <w:tab w:val="num" w:pos="0"/>
        </w:tabs>
        <w:ind w:left="864" w:hanging="864"/>
      </w:pPr>
      <w:rPr>
        <w:sz w:val="24"/>
        <w:i w:val="false"/>
        <w:b/>
        <w:szCs w:val="24"/>
        <w:iCs w:val="false"/>
        <w:bCs/>
        <w:rFonts w:ascii="Times New Roman" w:hAnsi="Times New Roman" w:cs="Times New Roman"/>
        <w:color w:val="auto"/>
      </w:rPr>
    </w:lvl>
    <w:lvl w:ilvl="4">
      <w:start w:val="1"/>
      <w:numFmt w:val="decimal"/>
      <w:lvlText w:val="%1.%2.%3.%4.%5"/>
      <w:lvlJc w:val="left"/>
      <w:pPr>
        <w:tabs>
          <w:tab w:val="num" w:pos="0"/>
        </w:tabs>
        <w:ind w:left="1008" w:hanging="1008"/>
      </w:pPr>
      <w:rPr>
        <w:sz w:val="24"/>
        <w:szCs w:val="18"/>
        <w:color w:val="auto"/>
      </w:rPr>
    </w:lvl>
    <w:lvl w:ilvl="5">
      <w:start w:val="1"/>
      <w:numFmt w:val="decimal"/>
      <w:lvlText w:val="%1.%2.%3.%4.%5.%6"/>
      <w:lvlJc w:val="left"/>
      <w:pPr>
        <w:tabs>
          <w:tab w:val="num" w:pos="0"/>
        </w:tabs>
        <w:ind w:left="1152" w:hanging="1152"/>
      </w:pPr>
      <w:rPr/>
    </w:lvl>
    <w:lvl w:ilvl="6">
      <w:start w:val="1"/>
      <w:numFmt w:val="decimal"/>
      <w:lvlText w:val="%1.%2.%3.%4.%5.%6.%7"/>
      <w:lvlJc w:val="left"/>
      <w:pPr>
        <w:tabs>
          <w:tab w:val="num" w:pos="0"/>
        </w:tabs>
        <w:ind w:left="1296" w:hanging="1296"/>
      </w:pPr>
      <w:rPr/>
    </w:lvl>
    <w:lvl w:ilvl="7">
      <w:start w:val="1"/>
      <w:numFmt w:val="decimal"/>
      <w:lvlText w:val="%1.%2.%3.%4.%5.%6.%7.%8"/>
      <w:lvlJc w:val="left"/>
      <w:pPr>
        <w:tabs>
          <w:tab w:val="num" w:pos="0"/>
        </w:tabs>
        <w:ind w:left="1440" w:hanging="1440"/>
      </w:pPr>
      <w:rPr/>
    </w:lvl>
    <w:lvl w:ilvl="8">
      <w:start w:val="1"/>
      <w:numFmt w:val="decimal"/>
      <w:lvlText w:val="%1.%2.%3.%4.%5.%6.%7.%8.%9"/>
      <w:lvlJc w:val="left"/>
      <w:pPr>
        <w:tabs>
          <w:tab w:val="num" w:pos="0"/>
        </w:tabs>
        <w:ind w:left="1584" w:hanging="1584"/>
      </w:pPr>
      <w:rPr/>
    </w:lvl>
  </w:abstractNum>
  <w:abstractNum w:abstractNumId="4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2"/>
    <w:lvlOverride w:ilvl="0">
      <w:lvl w:ilvl="0">
        <w:start w:val="1"/>
        <w:numFmt w:val="decimal"/>
        <w:lvlText w:val="%1"/>
        <w:lvlJc w:val="left"/>
        <w:pPr>
          <w:tabs>
            <w:tab w:val="num" w:pos="0"/>
          </w:tabs>
          <w:ind w:left="432" w:hanging="432"/>
        </w:pPr>
        <w:rPr/>
      </w:lvl>
    </w:lvlOverride>
  </w:num>
  <w:num w:numId="46">
    <w:abstractNumId w:val="42"/>
    <w:lvlOverride w:ilvl="0">
      <w:lvl w:ilvl="0">
        <w:start w:val="1"/>
        <w:numFmt w:val="decimal"/>
        <w:lvlText w:val="%1"/>
        <w:lvlJc w:val="left"/>
        <w:pPr>
          <w:tabs>
            <w:tab w:val="num" w:pos="0"/>
          </w:tabs>
          <w:ind w:left="432" w:hanging="432"/>
        </w:pPr>
        <w:rPr/>
      </w:lvl>
    </w:lvlOverride>
  </w:num>
  <w:num w:numId="47">
    <w:abstractNumId w:val="42"/>
    <w:lvlOverride w:ilvl="0">
      <w:lvl w:ilvl="0">
        <w:start w:val="1"/>
        <w:numFmt w:val="decimal"/>
        <w:lvlText w:val="%1"/>
        <w:lvlJc w:val="left"/>
        <w:pPr>
          <w:tabs>
            <w:tab w:val="num" w:pos="0"/>
          </w:tabs>
          <w:ind w:left="432" w:hanging="432"/>
        </w:pPr>
        <w:rPr/>
      </w:lvl>
    </w:lvlOverride>
  </w:num>
  <w:num w:numId="48">
    <w:abstractNumId w:val="42"/>
    <w:lvlOverride w:ilvl="0">
      <w:lvl w:ilvl="0">
        <w:start w:val="1"/>
        <w:numFmt w:val="decimal"/>
        <w:lvlText w:val="%1"/>
        <w:lvlJc w:val="left"/>
        <w:pPr>
          <w:tabs>
            <w:tab w:val="num" w:pos="0"/>
          </w:tabs>
          <w:ind w:left="432" w:hanging="432"/>
        </w:pPr>
        <w:rPr/>
      </w:lvl>
    </w:lvlOverride>
  </w:num>
  <w:num w:numId="49">
    <w:abstractNumId w:val="42"/>
    <w:lvlOverride w:ilvl="0">
      <w:lvl w:ilvl="0">
        <w:start w:val="1"/>
        <w:numFmt w:val="decimal"/>
        <w:lvlText w:val="%1"/>
        <w:lvlJc w:val="left"/>
        <w:pPr>
          <w:tabs>
            <w:tab w:val="num" w:pos="0"/>
          </w:tabs>
          <w:ind w:left="432" w:hanging="432"/>
        </w:pPr>
        <w:rPr/>
      </w:lvl>
    </w:lvlOverride>
  </w:num>
  <w:num w:numId="50">
    <w:abstractNumId w:val="42"/>
    <w:lvlOverride w:ilvl="0">
      <w:lvl w:ilvl="0">
        <w:start w:val="1"/>
        <w:numFmt w:val="decimal"/>
        <w:lvlText w:val="%1"/>
        <w:lvlJc w:val="left"/>
        <w:pPr>
          <w:tabs>
            <w:tab w:val="num" w:pos="0"/>
          </w:tabs>
          <w:ind w:left="432" w:hanging="432"/>
        </w:pPr>
        <w:rPr/>
      </w:lvl>
    </w:lvlOverride>
  </w:num>
  <w:num w:numId="51">
    <w:abstractNumId w:val="42"/>
    <w:lvlOverride w:ilvl="0">
      <w:lvl w:ilvl="0">
        <w:start w:val="1"/>
        <w:numFmt w:val="decimal"/>
        <w:lvlText w:val="%1"/>
        <w:lvlJc w:val="left"/>
        <w:pPr>
          <w:tabs>
            <w:tab w:val="num" w:pos="0"/>
          </w:tabs>
          <w:ind w:left="432" w:hanging="432"/>
        </w:pPr>
        <w:rPr/>
      </w:lvl>
    </w:lvlOverride>
  </w:num>
  <w:num w:numId="52">
    <w:abstractNumId w:val="42"/>
    <w:lvlOverride w:ilvl="0">
      <w:lvl w:ilvl="0">
        <w:start w:val="1"/>
        <w:numFmt w:val="decimal"/>
        <w:lvlText w:val="%1"/>
        <w:lvlJc w:val="left"/>
        <w:pPr>
          <w:tabs>
            <w:tab w:val="num" w:pos="0"/>
          </w:tabs>
          <w:ind w:left="432" w:hanging="432"/>
        </w:pPr>
        <w:rPr/>
      </w:lvl>
    </w:lvlOverride>
  </w:num>
  <w:num w:numId="53">
    <w:abstractNumId w:val="42"/>
    <w:lvlOverride w:ilvl="0">
      <w:lvl w:ilvl="0">
        <w:start w:val="1"/>
        <w:numFmt w:val="decimal"/>
        <w:lvlText w:val="%1"/>
        <w:lvlJc w:val="left"/>
        <w:pPr>
          <w:tabs>
            <w:tab w:val="num" w:pos="0"/>
          </w:tabs>
          <w:ind w:left="432" w:hanging="432"/>
        </w:pPr>
        <w:rPr/>
      </w:lvl>
    </w:lvlOverride>
  </w:num>
  <w:num w:numId="54">
    <w:abstractNumId w:val="42"/>
    <w:lvlOverride w:ilvl="0">
      <w:lvl w:ilvl="0">
        <w:start w:val="1"/>
        <w:numFmt w:val="decimal"/>
        <w:lvlText w:val="%1"/>
        <w:lvlJc w:val="left"/>
        <w:pPr>
          <w:tabs>
            <w:tab w:val="num" w:pos="0"/>
          </w:tabs>
          <w:ind w:left="432" w:hanging="432"/>
        </w:pPr>
        <w:rPr/>
      </w:lvl>
    </w:lvlOverride>
  </w:num>
  <w:num w:numId="55">
    <w:abstractNumId w:val="42"/>
    <w:lvlOverride w:ilvl="0">
      <w:lvl w:ilvl="0">
        <w:start w:val="1"/>
        <w:numFmt w:val="decimal"/>
        <w:lvlText w:val="%1"/>
        <w:lvlJc w:val="left"/>
        <w:pPr>
          <w:tabs>
            <w:tab w:val="num" w:pos="0"/>
          </w:tabs>
          <w:ind w:left="432" w:hanging="432"/>
        </w:pPr>
        <w:rPr/>
      </w:lvl>
    </w:lvlOverride>
  </w:num>
  <w:num w:numId="56">
    <w:abstractNumId w:val="42"/>
    <w:lvlOverride w:ilvl="0">
      <w:lvl w:ilvl="0">
        <w:start w:val="1"/>
        <w:numFmt w:val="decimal"/>
        <w:lvlText w:val="%1"/>
        <w:lvlJc w:val="left"/>
        <w:pPr>
          <w:tabs>
            <w:tab w:val="num" w:pos="0"/>
          </w:tabs>
          <w:ind w:left="432" w:hanging="432"/>
        </w:pPr>
        <w:rPr/>
      </w:lvl>
    </w:lvlOverride>
  </w:num>
  <w:num w:numId="57">
    <w:abstractNumId w:val="42"/>
    <w:lvlOverride w:ilvl="0">
      <w:lvl w:ilvl="0">
        <w:start w:val="1"/>
        <w:numFmt w:val="decimal"/>
        <w:lvlText w:val="%1"/>
        <w:lvlJc w:val="left"/>
        <w:pPr>
          <w:tabs>
            <w:tab w:val="num" w:pos="0"/>
          </w:tabs>
          <w:ind w:left="432" w:hanging="432"/>
        </w:pPr>
        <w:rPr/>
      </w:lvl>
    </w:lvlOverride>
  </w:num>
  <w:num w:numId="58">
    <w:abstractNumId w:val="42"/>
    <w:lvlOverride w:ilvl="0">
      <w:lvl w:ilvl="0">
        <w:start w:val="1"/>
        <w:numFmt w:val="decimal"/>
        <w:lvlText w:val="%1"/>
        <w:lvlJc w:val="left"/>
        <w:pPr>
          <w:tabs>
            <w:tab w:val="num" w:pos="0"/>
          </w:tabs>
          <w:ind w:left="432" w:hanging="432"/>
        </w:pPr>
        <w:rPr/>
      </w:lvl>
    </w:lvlOverride>
  </w:num>
  <w:num w:numId="59">
    <w:abstractNumId w:val="42"/>
    <w:lvlOverride w:ilvl="0">
      <w:lvl w:ilvl="0">
        <w:start w:val="1"/>
        <w:numFmt w:val="decimal"/>
        <w:lvlText w:val="%1"/>
        <w:lvlJc w:val="left"/>
        <w:pPr>
          <w:tabs>
            <w:tab w:val="num" w:pos="0"/>
          </w:tabs>
          <w:ind w:left="432" w:hanging="432"/>
        </w:pPr>
        <w:rPr/>
      </w:lvl>
    </w:lvlOverride>
  </w:num>
  <w:num w:numId="60">
    <w:abstractNumId w:val="42"/>
    <w:lvlOverride w:ilvl="0">
      <w:lvl w:ilvl="0">
        <w:start w:val="1"/>
        <w:numFmt w:val="decimal"/>
        <w:lvlText w:val="%1"/>
        <w:lvlJc w:val="left"/>
        <w:pPr>
          <w:tabs>
            <w:tab w:val="num" w:pos="0"/>
          </w:tabs>
          <w:ind w:left="432" w:hanging="432"/>
        </w:pPr>
        <w:rPr/>
      </w:lvl>
    </w:lvlOverride>
  </w:num>
  <w:num w:numId="61">
    <w:abstractNumId w:val="42"/>
    <w:lvlOverride w:ilvl="0">
      <w:lvl w:ilvl="0">
        <w:start w:val="1"/>
        <w:numFmt w:val="decimal"/>
        <w:lvlText w:val="%1"/>
        <w:lvlJc w:val="left"/>
        <w:pPr>
          <w:tabs>
            <w:tab w:val="num" w:pos="0"/>
          </w:tabs>
          <w:ind w:left="432" w:hanging="432"/>
        </w:pPr>
        <w:rPr/>
      </w:lvl>
    </w:lvlOverride>
  </w:num>
  <w:num w:numId="62">
    <w:abstractNumId w:val="42"/>
    <w:lvlOverride w:ilvl="0">
      <w:lvl w:ilvl="0">
        <w:start w:val="1"/>
        <w:numFmt w:val="decimal"/>
        <w:lvlText w:val="%1"/>
        <w:lvlJc w:val="left"/>
        <w:pPr>
          <w:tabs>
            <w:tab w:val="num" w:pos="0"/>
          </w:tabs>
          <w:ind w:left="432" w:hanging="432"/>
        </w:pPr>
        <w:rPr/>
      </w:lvl>
    </w:lvlOverride>
  </w:num>
  <w:num w:numId="63">
    <w:abstractNumId w:val="42"/>
    <w:lvlOverride w:ilvl="0">
      <w:lvl w:ilvl="0">
        <w:start w:val="1"/>
        <w:numFmt w:val="decimal"/>
        <w:lvlText w:val="%1"/>
        <w:lvlJc w:val="left"/>
        <w:pPr>
          <w:tabs>
            <w:tab w:val="num" w:pos="0"/>
          </w:tabs>
          <w:ind w:left="432" w:hanging="432"/>
        </w:pPr>
        <w:rPr/>
      </w:lvl>
    </w:lvlOverride>
  </w:num>
  <w:num w:numId="64">
    <w:abstractNumId w:val="42"/>
    <w:lvlOverride w:ilvl="0">
      <w:lvl w:ilvl="0">
        <w:start w:val="1"/>
        <w:numFmt w:val="decimal"/>
        <w:lvlText w:val="%1"/>
        <w:lvlJc w:val="left"/>
        <w:pPr>
          <w:tabs>
            <w:tab w:val="num" w:pos="0"/>
          </w:tabs>
          <w:ind w:left="432" w:hanging="432"/>
        </w:pPr>
        <w:rPr/>
      </w:lvl>
    </w:lvlOverride>
  </w:num>
  <w:num w:numId="65">
    <w:abstractNumId w:val="42"/>
    <w:lvlOverride w:ilvl="0">
      <w:lvl w:ilvl="0">
        <w:start w:val="1"/>
        <w:numFmt w:val="decimal"/>
        <w:lvlText w:val="%1"/>
        <w:lvlJc w:val="left"/>
        <w:pPr>
          <w:tabs>
            <w:tab w:val="num" w:pos="0"/>
          </w:tabs>
          <w:ind w:left="432" w:hanging="432"/>
        </w:pPr>
        <w:rPr/>
      </w:lvl>
    </w:lvlOverride>
  </w:num>
  <w:num w:numId="66">
    <w:abstractNumId w:val="42"/>
    <w:lvlOverride w:ilvl="0">
      <w:lvl w:ilvl="0">
        <w:start w:val="1"/>
        <w:numFmt w:val="decimal"/>
        <w:lvlText w:val="%1"/>
        <w:lvlJc w:val="left"/>
        <w:pPr>
          <w:tabs>
            <w:tab w:val="num" w:pos="0"/>
          </w:tabs>
          <w:ind w:left="432" w:hanging="432"/>
        </w:pPr>
        <w:rPr/>
      </w:lvl>
    </w:lvlOverride>
  </w:num>
  <w:num w:numId="67">
    <w:abstractNumId w:val="42"/>
    <w:lvlOverride w:ilvl="0">
      <w:lvl w:ilvl="0">
        <w:start w:val="1"/>
        <w:numFmt w:val="decimal"/>
        <w:lvlText w:val="%1"/>
        <w:lvlJc w:val="left"/>
        <w:pPr>
          <w:tabs>
            <w:tab w:val="num" w:pos="0"/>
          </w:tabs>
          <w:ind w:left="432" w:hanging="432"/>
        </w:pPr>
        <w:rPr/>
      </w:lvl>
    </w:lvlOverride>
  </w:num>
  <w:num w:numId="68">
    <w:abstractNumId w:val="42"/>
    <w:lvlOverride w:ilvl="0">
      <w:lvl w:ilvl="0">
        <w:start w:val="1"/>
        <w:numFmt w:val="decimal"/>
        <w:lvlText w:val="%1"/>
        <w:lvlJc w:val="left"/>
        <w:pPr>
          <w:tabs>
            <w:tab w:val="num" w:pos="0"/>
          </w:tabs>
          <w:ind w:left="432" w:hanging="432"/>
        </w:pPr>
        <w:rPr/>
      </w:lvl>
    </w:lvlOverride>
  </w:num>
  <w:num w:numId="69">
    <w:abstractNumId w:val="42"/>
    <w:lvlOverride w:ilvl="0">
      <w:lvl w:ilvl="0">
        <w:start w:val="1"/>
        <w:numFmt w:val="decimal"/>
        <w:lvlText w:val="%1"/>
        <w:lvlJc w:val="left"/>
        <w:pPr>
          <w:tabs>
            <w:tab w:val="num" w:pos="0"/>
          </w:tabs>
          <w:ind w:left="432" w:hanging="432"/>
        </w:pPr>
        <w:rPr/>
      </w:lvl>
    </w:lvlOverride>
  </w:num>
  <w:num w:numId="70">
    <w:abstractNumId w:val="42"/>
    <w:lvlOverride w:ilvl="0">
      <w:lvl w:ilvl="0">
        <w:start w:val="1"/>
        <w:numFmt w:val="decimal"/>
        <w:lvlText w:val="%1"/>
        <w:lvlJc w:val="left"/>
        <w:pPr>
          <w:tabs>
            <w:tab w:val="num" w:pos="0"/>
          </w:tabs>
          <w:ind w:left="432" w:hanging="432"/>
        </w:pPr>
        <w:rPr/>
      </w:lvl>
    </w:lvlOverride>
  </w:num>
  <w:num w:numId="71">
    <w:abstractNumId w:val="42"/>
    <w:lvlOverride w:ilvl="0">
      <w:lvl w:ilvl="0">
        <w:start w:val="1"/>
        <w:numFmt w:val="decimal"/>
        <w:lvlText w:val="%1"/>
        <w:lvlJc w:val="left"/>
        <w:pPr>
          <w:tabs>
            <w:tab w:val="num" w:pos="0"/>
          </w:tabs>
          <w:ind w:left="432" w:hanging="432"/>
        </w:pPr>
        <w:rPr/>
      </w:lvl>
    </w:lvlOverride>
  </w:num>
  <w:num w:numId="72">
    <w:abstractNumId w:val="42"/>
    <w:lvlOverride w:ilvl="0">
      <w:lvl w:ilvl="0">
        <w:start w:val="1"/>
        <w:numFmt w:val="decimal"/>
        <w:lvlText w:val="%1"/>
        <w:lvlJc w:val="left"/>
        <w:pPr>
          <w:tabs>
            <w:tab w:val="num" w:pos="0"/>
          </w:tabs>
          <w:ind w:left="432" w:hanging="432"/>
        </w:pPr>
        <w:rPr/>
      </w:lvl>
    </w:lvlOverride>
  </w:num>
  <w:num w:numId="73">
    <w:abstractNumId w:val="42"/>
    <w:lvlOverride w:ilvl="0">
      <w:lvl w:ilvl="0">
        <w:start w:val="1"/>
        <w:numFmt w:val="decimal"/>
        <w:lvlText w:val="%1"/>
        <w:lvlJc w:val="left"/>
        <w:pPr>
          <w:tabs>
            <w:tab w:val="num" w:pos="0"/>
          </w:tabs>
          <w:ind w:left="432" w:hanging="432"/>
        </w:pPr>
        <w:rPr/>
      </w:lvl>
    </w:lvlOverride>
  </w:num>
  <w:num w:numId="74">
    <w:abstractNumId w:val="42"/>
    <w:lvlOverride w:ilvl="0">
      <w:lvl w:ilvl="0">
        <w:start w:val="1"/>
        <w:numFmt w:val="decimal"/>
        <w:lvlText w:val="%1"/>
        <w:lvlJc w:val="left"/>
        <w:pPr>
          <w:tabs>
            <w:tab w:val="num" w:pos="0"/>
          </w:tabs>
          <w:ind w:left="432" w:hanging="432"/>
        </w:pPr>
        <w:rPr/>
      </w:lvl>
    </w:lvlOverride>
  </w:num>
  <w:num w:numId="75">
    <w:abstractNumId w:val="42"/>
    <w:lvlOverride w:ilvl="0">
      <w:lvl w:ilvl="0">
        <w:start w:val="1"/>
        <w:numFmt w:val="decimal"/>
        <w:lvlText w:val="%1"/>
        <w:lvlJc w:val="left"/>
        <w:pPr>
          <w:tabs>
            <w:tab w:val="num" w:pos="0"/>
          </w:tabs>
          <w:ind w:left="432" w:hanging="432"/>
        </w:pPr>
        <w:rPr/>
      </w:lvl>
    </w:lvlOverride>
  </w:num>
  <w:num w:numId="76">
    <w:abstractNumId w:val="42"/>
    <w:lvlOverride w:ilvl="0">
      <w:lvl w:ilvl="0">
        <w:start w:val="1"/>
        <w:numFmt w:val="decimal"/>
        <w:lvlText w:val="%1"/>
        <w:lvlJc w:val="left"/>
        <w:pPr>
          <w:tabs>
            <w:tab w:val="num" w:pos="0"/>
          </w:tabs>
          <w:ind w:left="432" w:hanging="432"/>
        </w:pPr>
        <w:rPr/>
      </w:lvl>
    </w:lvlOverride>
  </w:num>
  <w:num w:numId="77">
    <w:abstractNumId w:val="42"/>
    <w:lvlOverride w:ilvl="0">
      <w:lvl w:ilvl="0">
        <w:start w:val="1"/>
        <w:numFmt w:val="decimal"/>
        <w:lvlText w:val="%1"/>
        <w:lvlJc w:val="left"/>
        <w:pPr>
          <w:tabs>
            <w:tab w:val="num" w:pos="0"/>
          </w:tabs>
          <w:ind w:left="432" w:hanging="432"/>
        </w:pPr>
        <w:rPr/>
      </w:lvl>
    </w:lvlOverride>
  </w:num>
  <w:num w:numId="78">
    <w:abstractNumId w:val="42"/>
    <w:lvlOverride w:ilvl="0">
      <w:lvl w:ilvl="0">
        <w:start w:val="1"/>
        <w:numFmt w:val="decimal"/>
        <w:lvlText w:val="%1"/>
        <w:lvlJc w:val="left"/>
        <w:pPr>
          <w:tabs>
            <w:tab w:val="num" w:pos="0"/>
          </w:tabs>
          <w:ind w:left="432" w:hanging="432"/>
        </w:pPr>
        <w:rPr/>
      </w:lvl>
    </w:lvlOverride>
  </w:num>
  <w:num w:numId="79">
    <w:abstractNumId w:val="42"/>
    <w:lvlOverride w:ilvl="0">
      <w:lvl w:ilvl="0">
        <w:start w:val="1"/>
        <w:numFmt w:val="decimal"/>
        <w:lvlText w:val="%1"/>
        <w:lvlJc w:val="left"/>
        <w:pPr>
          <w:tabs>
            <w:tab w:val="num" w:pos="0"/>
          </w:tabs>
          <w:ind w:left="432" w:hanging="432"/>
        </w:pPr>
        <w:rPr/>
      </w:lvl>
    </w:lvlOverride>
  </w:num>
  <w:num w:numId="80">
    <w:abstractNumId w:val="42"/>
    <w:lvlOverride w:ilvl="0">
      <w:lvl w:ilvl="0">
        <w:start w:val="1"/>
        <w:numFmt w:val="decimal"/>
        <w:lvlText w:val="%1"/>
        <w:lvlJc w:val="left"/>
        <w:pPr>
          <w:tabs>
            <w:tab w:val="num" w:pos="0"/>
          </w:tabs>
          <w:ind w:left="432" w:hanging="432"/>
        </w:pPr>
        <w:rPr/>
      </w:lvl>
    </w:lvlOverride>
  </w:num>
  <w:num w:numId="81">
    <w:abstractNumId w:val="42"/>
    <w:lvlOverride w:ilvl="0">
      <w:lvl w:ilvl="0">
        <w:start w:val="1"/>
        <w:numFmt w:val="decimal"/>
        <w:lvlText w:val="%1"/>
        <w:lvlJc w:val="left"/>
        <w:pPr>
          <w:tabs>
            <w:tab w:val="num" w:pos="0"/>
          </w:tabs>
          <w:ind w:left="432" w:hanging="432"/>
        </w:pPr>
        <w:rPr/>
      </w:lvl>
    </w:lvlOverride>
  </w:num>
  <w:num w:numId="82">
    <w:abstractNumId w:val="42"/>
    <w:lvlOverride w:ilvl="0">
      <w:lvl w:ilvl="0">
        <w:start w:val="1"/>
        <w:numFmt w:val="decimal"/>
        <w:lvlText w:val="%1"/>
        <w:lvlJc w:val="left"/>
        <w:pPr>
          <w:tabs>
            <w:tab w:val="num" w:pos="0"/>
          </w:tabs>
          <w:ind w:left="432" w:hanging="432"/>
        </w:pPr>
        <w:rPr/>
      </w:lvl>
    </w:lvlOverride>
  </w:num>
  <w:num w:numId="83">
    <w:abstractNumId w:val="42"/>
    <w:lvlOverride w:ilvl="0">
      <w:lvl w:ilvl="0">
        <w:start w:val="1"/>
        <w:numFmt w:val="decimal"/>
        <w:lvlText w:val="%1"/>
        <w:lvlJc w:val="left"/>
        <w:pPr>
          <w:tabs>
            <w:tab w:val="num" w:pos="0"/>
          </w:tabs>
          <w:ind w:left="432" w:hanging="432"/>
        </w:pPr>
        <w:rPr/>
      </w:lvl>
    </w:lvlOverride>
  </w:num>
  <w:num w:numId="84">
    <w:abstractNumId w:val="42"/>
    <w:lvlOverride w:ilvl="0">
      <w:lvl w:ilvl="0">
        <w:start w:val="1"/>
        <w:numFmt w:val="decimal"/>
        <w:lvlText w:val="%1"/>
        <w:lvlJc w:val="left"/>
        <w:pPr>
          <w:tabs>
            <w:tab w:val="num" w:pos="0"/>
          </w:tabs>
          <w:ind w:left="432" w:hanging="432"/>
        </w:pPr>
        <w:rPr/>
      </w:lvl>
    </w:lvlOverride>
  </w:num>
  <w:num w:numId="85">
    <w:abstractNumId w:val="42"/>
    <w:lvlOverride w:ilvl="0">
      <w:lvl w:ilvl="0">
        <w:start w:val="1"/>
        <w:numFmt w:val="decimal"/>
        <w:lvlText w:val="%1"/>
        <w:lvlJc w:val="left"/>
        <w:pPr>
          <w:tabs>
            <w:tab w:val="num" w:pos="0"/>
          </w:tabs>
          <w:ind w:left="432" w:hanging="432"/>
        </w:pPr>
        <w:rPr/>
      </w:lvl>
    </w:lvlOverride>
  </w:num>
  <w:num w:numId="86">
    <w:abstractNumId w:val="42"/>
    <w:lvlOverride w:ilvl="0">
      <w:lvl w:ilvl="0">
        <w:start w:val="1"/>
        <w:numFmt w:val="decimal"/>
        <w:lvlText w:val="%1"/>
        <w:lvlJc w:val="left"/>
        <w:pPr>
          <w:tabs>
            <w:tab w:val="num" w:pos="0"/>
          </w:tabs>
          <w:ind w:left="432" w:hanging="432"/>
        </w:pPr>
        <w:rPr/>
      </w:lvl>
    </w:lvlOverride>
  </w:num>
  <w:num w:numId="87">
    <w:abstractNumId w:val="42"/>
    <w:lvlOverride w:ilvl="0">
      <w:lvl w:ilvl="0">
        <w:start w:val="1"/>
        <w:numFmt w:val="decimal"/>
        <w:lvlText w:val="%1"/>
        <w:lvlJc w:val="left"/>
        <w:pPr>
          <w:tabs>
            <w:tab w:val="num" w:pos="0"/>
          </w:tabs>
          <w:ind w:left="432" w:hanging="432"/>
        </w:pPr>
        <w:rPr/>
      </w:lvl>
    </w:lvlOverride>
  </w:num>
  <w:num w:numId="88">
    <w:abstractNumId w:val="42"/>
    <w:lvlOverride w:ilvl="0">
      <w:lvl w:ilvl="0">
        <w:start w:val="1"/>
        <w:numFmt w:val="decimal"/>
        <w:lvlText w:val="%1"/>
        <w:lvlJc w:val="left"/>
        <w:pPr>
          <w:tabs>
            <w:tab w:val="num" w:pos="0"/>
          </w:tabs>
          <w:ind w:left="432" w:hanging="432"/>
        </w:pPr>
        <w:rPr/>
      </w:lvl>
    </w:lvlOverride>
  </w:num>
  <w:num w:numId="89">
    <w:abstractNumId w:val="42"/>
    <w:lvlOverride w:ilvl="0">
      <w:lvl w:ilvl="0">
        <w:start w:val="1"/>
        <w:numFmt w:val="decimal"/>
        <w:lvlText w:val="%1"/>
        <w:lvlJc w:val="left"/>
        <w:pPr>
          <w:tabs>
            <w:tab w:val="num" w:pos="0"/>
          </w:tabs>
          <w:ind w:left="432" w:hanging="432"/>
        </w:pPr>
        <w:rPr/>
      </w:lvl>
    </w:lvlOverride>
  </w:num>
  <w:num w:numId="90">
    <w:abstractNumId w:val="42"/>
    <w:lvlOverride w:ilvl="0">
      <w:lvl w:ilvl="0">
        <w:start w:val="1"/>
        <w:numFmt w:val="decimal"/>
        <w:lvlText w:val="%1"/>
        <w:lvlJc w:val="left"/>
        <w:pPr>
          <w:tabs>
            <w:tab w:val="num" w:pos="0"/>
          </w:tabs>
          <w:ind w:left="432" w:hanging="432"/>
        </w:pPr>
        <w:rPr/>
      </w:lvl>
    </w:lvlOverride>
  </w:num>
  <w:num w:numId="91">
    <w:abstractNumId w:val="42"/>
    <w:lvlOverride w:ilvl="0">
      <w:lvl w:ilvl="0">
        <w:start w:val="1"/>
        <w:numFmt w:val="decimal"/>
        <w:lvlText w:val="%1"/>
        <w:lvlJc w:val="left"/>
        <w:pPr>
          <w:tabs>
            <w:tab w:val="num" w:pos="0"/>
          </w:tabs>
          <w:ind w:left="432" w:hanging="432"/>
        </w:pPr>
        <w:rPr/>
      </w:lvl>
    </w:lvlOverride>
  </w:num>
  <w:num w:numId="92">
    <w:abstractNumId w:val="42"/>
    <w:lvlOverride w:ilvl="0">
      <w:lvl w:ilvl="0">
        <w:start w:val="1"/>
        <w:numFmt w:val="decimal"/>
        <w:lvlText w:val="%1"/>
        <w:lvlJc w:val="left"/>
        <w:pPr>
          <w:tabs>
            <w:tab w:val="num" w:pos="0"/>
          </w:tabs>
          <w:ind w:left="432" w:hanging="432"/>
        </w:pPr>
        <w:rPr/>
      </w:lvl>
    </w:lvlOverride>
  </w:num>
  <w:num w:numId="93">
    <w:abstractNumId w:val="42"/>
    <w:lvlOverride w:ilvl="0">
      <w:lvl w:ilvl="0">
        <w:start w:val="1"/>
        <w:numFmt w:val="decimal"/>
        <w:lvlText w:val="%1"/>
        <w:lvlJc w:val="left"/>
        <w:pPr>
          <w:tabs>
            <w:tab w:val="num" w:pos="0"/>
          </w:tabs>
          <w:ind w:left="432" w:hanging="432"/>
        </w:pPr>
        <w:rPr/>
      </w:lvl>
    </w:lvlOverride>
  </w:num>
  <w:num w:numId="94">
    <w:abstractNumId w:val="42"/>
    <w:lvlOverride w:ilvl="0">
      <w:lvl w:ilvl="0">
        <w:start w:val="1"/>
        <w:numFmt w:val="decimal"/>
        <w:lvlText w:val="%1"/>
        <w:lvlJc w:val="left"/>
        <w:pPr>
          <w:tabs>
            <w:tab w:val="num" w:pos="0"/>
          </w:tabs>
          <w:ind w:left="432" w:hanging="432"/>
        </w:pPr>
        <w:rPr/>
      </w:lvl>
    </w:lvlOverride>
  </w:num>
  <w:num w:numId="95">
    <w:abstractNumId w:val="42"/>
    <w:lvlOverride w:ilvl="0">
      <w:lvl w:ilvl="0">
        <w:start w:val="1"/>
        <w:numFmt w:val="decimal"/>
        <w:lvlText w:val="%1"/>
        <w:lvlJc w:val="left"/>
        <w:pPr>
          <w:tabs>
            <w:tab w:val="num" w:pos="0"/>
          </w:tabs>
          <w:ind w:left="432" w:hanging="432"/>
        </w:pPr>
        <w:rPr/>
      </w:lvl>
    </w:lvlOverride>
  </w:num>
  <w:num w:numId="96">
    <w:abstractNumId w:val="42"/>
    <w:lvlOverride w:ilvl="0">
      <w:lvl w:ilvl="0">
        <w:start w:val="1"/>
        <w:numFmt w:val="decimal"/>
        <w:lvlText w:val="%1"/>
        <w:lvlJc w:val="left"/>
        <w:pPr>
          <w:tabs>
            <w:tab w:val="num" w:pos="0"/>
          </w:tabs>
          <w:ind w:left="432" w:hanging="432"/>
        </w:pPr>
        <w:rPr/>
      </w:lvl>
    </w:lvlOverride>
  </w:num>
  <w:num w:numId="97">
    <w:abstractNumId w:val="42"/>
    <w:lvlOverride w:ilvl="0">
      <w:lvl w:ilvl="0">
        <w:start w:val="1"/>
        <w:numFmt w:val="decimal"/>
        <w:lvlText w:val="%1"/>
        <w:lvlJc w:val="left"/>
        <w:pPr>
          <w:tabs>
            <w:tab w:val="num" w:pos="0"/>
          </w:tabs>
          <w:ind w:left="432" w:hanging="432"/>
        </w:pPr>
        <w:rPr/>
      </w:lvl>
    </w:lvlOverride>
  </w:num>
  <w:num w:numId="98">
    <w:abstractNumId w:val="42"/>
    <w:lvlOverride w:ilvl="0">
      <w:lvl w:ilvl="0">
        <w:start w:val="1"/>
        <w:numFmt w:val="decimal"/>
        <w:lvlText w:val="%1"/>
        <w:lvlJc w:val="left"/>
        <w:pPr>
          <w:tabs>
            <w:tab w:val="num" w:pos="0"/>
          </w:tabs>
          <w:ind w:left="432" w:hanging="432"/>
        </w:pPr>
        <w:rPr/>
      </w:lvl>
    </w:lvlOverride>
  </w:num>
  <w:num w:numId="99">
    <w:abstractNumId w:val="42"/>
    <w:lvlOverride w:ilvl="0">
      <w:lvl w:ilvl="0">
        <w:start w:val="1"/>
        <w:numFmt w:val="decimal"/>
        <w:lvlText w:val="%1"/>
        <w:lvlJc w:val="left"/>
        <w:pPr>
          <w:tabs>
            <w:tab w:val="num" w:pos="0"/>
          </w:tabs>
          <w:ind w:left="432" w:hanging="432"/>
        </w:pPr>
        <w:rPr/>
      </w:lvl>
    </w:lvlOverride>
  </w:num>
  <w:num w:numId="100">
    <w:abstractNumId w:val="42"/>
    <w:lvlOverride w:ilvl="0">
      <w:lvl w:ilvl="0">
        <w:start w:val="1"/>
        <w:numFmt w:val="decimal"/>
        <w:lvlText w:val="%1"/>
        <w:lvlJc w:val="left"/>
        <w:pPr>
          <w:tabs>
            <w:tab w:val="num" w:pos="0"/>
          </w:tabs>
          <w:ind w:left="432" w:hanging="432"/>
        </w:pPr>
        <w:rPr/>
      </w:lvl>
    </w:lvlOverride>
  </w:num>
  <w:num w:numId="101">
    <w:abstractNumId w:val="42"/>
    <w:lvlOverride w:ilvl="0">
      <w:lvl w:ilvl="0">
        <w:start w:val="1"/>
        <w:numFmt w:val="decimal"/>
        <w:lvlText w:val="%1"/>
        <w:lvlJc w:val="left"/>
        <w:pPr>
          <w:tabs>
            <w:tab w:val="num" w:pos="0"/>
          </w:tabs>
          <w:ind w:left="432" w:hanging="432"/>
        </w:pPr>
        <w:rPr/>
      </w:lvl>
    </w:lvlOverride>
  </w:num>
  <w:num w:numId="102">
    <w:abstractNumId w:val="42"/>
    <w:lvlOverride w:ilvl="0">
      <w:lvl w:ilvl="0">
        <w:start w:val="1"/>
        <w:numFmt w:val="decimal"/>
        <w:lvlText w:val="%1"/>
        <w:lvlJc w:val="left"/>
        <w:pPr>
          <w:tabs>
            <w:tab w:val="num" w:pos="0"/>
          </w:tabs>
          <w:ind w:left="432" w:hanging="432"/>
        </w:pPr>
        <w:rPr/>
      </w:lvl>
    </w:lvlOverride>
  </w:num>
</w:numbering>
</file>

<file path=word/settings.xml><?xml version="1.0" encoding="utf-8"?>
<w:settings xmlns:w="http://schemas.openxmlformats.org/wordprocessingml/2006/main">
  <w:zoom w:percent="59"/>
  <w:defaultTabStop w:val="708"/>
  <w:autoHyphenation w:val="true"/>
  <w:hyphenationZone w:val="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s-C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s-CR"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6635f"/>
    <w:pPr>
      <w:widowControl/>
      <w:bidi w:val="0"/>
      <w:spacing w:lineRule="auto" w:line="240" w:before="0" w:after="0"/>
      <w:jc w:val="left"/>
    </w:pPr>
    <w:rPr>
      <w:rFonts w:ascii="Times New Roman" w:hAnsi="Times New Roman" w:eastAsia="Times New Roman" w:cs="Times New Roman"/>
      <w:color w:val="auto"/>
      <w:kern w:val="0"/>
      <w:sz w:val="24"/>
      <w:szCs w:val="24"/>
      <w:lang w:eastAsia="es-ES_tradnl" w:val="es-CR" w:bidi="ar-SA"/>
    </w:rPr>
  </w:style>
  <w:style w:type="paragraph" w:styleId="Heading1">
    <w:name w:val="heading 1"/>
    <w:basedOn w:val="Normal"/>
    <w:next w:val="Normal"/>
    <w:link w:val="Heading1Char"/>
    <w:uiPriority w:val="9"/>
    <w:qFormat/>
    <w:rsid w:val="00501512"/>
    <w:pPr>
      <w:keepNext w:val="true"/>
      <w:keepLines/>
      <w:numPr>
        <w:ilvl w:val="0"/>
        <w:numId w:val="42"/>
      </w:numPr>
      <w:spacing w:before="480" w:after="0"/>
      <w:jc w:val="center"/>
      <w:outlineLvl w:val="0"/>
    </w:pPr>
    <w:rPr>
      <w:rFonts w:eastAsia="" w:cs="" w:cstheme="majorBidi" w:eastAsiaTheme="majorEastAsia"/>
      <w:b/>
      <w:bCs/>
      <w:szCs w:val="28"/>
    </w:rPr>
  </w:style>
  <w:style w:type="paragraph" w:styleId="Heading2">
    <w:name w:val="heading 2"/>
    <w:basedOn w:val="Normal"/>
    <w:next w:val="Normal"/>
    <w:link w:val="Heading2Char"/>
    <w:uiPriority w:val="9"/>
    <w:unhideWhenUsed/>
    <w:qFormat/>
    <w:rsid w:val="00501512"/>
    <w:pPr>
      <w:keepNext w:val="true"/>
      <w:keepLines/>
      <w:numPr>
        <w:ilvl w:val="1"/>
        <w:numId w:val="1"/>
      </w:numPr>
      <w:spacing w:before="40" w:after="0"/>
      <w:outlineLvl w:val="1"/>
    </w:pPr>
    <w:rPr>
      <w:rFonts w:eastAsia="" w:eastAsiaTheme="majorEastAsia"/>
      <w:b/>
      <w:bCs/>
    </w:rPr>
  </w:style>
  <w:style w:type="paragraph" w:styleId="Heading3">
    <w:name w:val="heading 3"/>
    <w:basedOn w:val="Normal"/>
    <w:next w:val="Normal"/>
    <w:link w:val="Heading3Char"/>
    <w:uiPriority w:val="9"/>
    <w:unhideWhenUsed/>
    <w:qFormat/>
    <w:rsid w:val="00501512"/>
    <w:pPr>
      <w:keepNext w:val="true"/>
      <w:keepLines/>
      <w:numPr>
        <w:ilvl w:val="2"/>
        <w:numId w:val="1"/>
      </w:numPr>
      <w:spacing w:before="40" w:after="0"/>
      <w:outlineLvl w:val="2"/>
    </w:pPr>
    <w:rPr>
      <w:rFonts w:eastAsia="" w:eastAsiaTheme="majorEastAsia"/>
      <w:b/>
      <w:bCs/>
      <w:i/>
      <w:iCs/>
    </w:rPr>
  </w:style>
  <w:style w:type="paragraph" w:styleId="Heading4">
    <w:name w:val="heading 4"/>
    <w:basedOn w:val="Normal"/>
    <w:next w:val="Normal"/>
    <w:link w:val="Heading4Char"/>
    <w:uiPriority w:val="9"/>
    <w:unhideWhenUsed/>
    <w:qFormat/>
    <w:rsid w:val="00501512"/>
    <w:pPr>
      <w:keepNext w:val="true"/>
      <w:keepLines/>
      <w:numPr>
        <w:ilvl w:val="3"/>
        <w:numId w:val="1"/>
      </w:numPr>
      <w:ind w:firstLine="709" w:left="0"/>
      <w:jc w:val="both"/>
      <w:outlineLvl w:val="3"/>
    </w:pPr>
    <w:rPr>
      <w:rFonts w:eastAsia="" w:eastAsiaTheme="majorEastAsia"/>
      <w:b/>
      <w:bCs/>
    </w:rPr>
  </w:style>
  <w:style w:type="paragraph" w:styleId="Heading5">
    <w:name w:val="heading 5"/>
    <w:basedOn w:val="Normal"/>
    <w:next w:val="Normal"/>
    <w:link w:val="Heading5Char"/>
    <w:uiPriority w:val="9"/>
    <w:unhideWhenUsed/>
    <w:qFormat/>
    <w:rsid w:val="00501512"/>
    <w:pPr>
      <w:keepNext w:val="true"/>
      <w:keepLines/>
      <w:numPr>
        <w:ilvl w:val="4"/>
        <w:numId w:val="1"/>
      </w:numPr>
      <w:spacing w:before="40" w:after="0"/>
      <w:ind w:firstLine="709" w:left="0"/>
      <w:jc w:val="both"/>
      <w:outlineLvl w:val="4"/>
    </w:pPr>
    <w:rPr>
      <w:rFonts w:eastAsia="" w:eastAsiaTheme="majorEastAsia"/>
      <w:b/>
      <w:bCs/>
      <w:i/>
      <w:iCs/>
    </w:rPr>
  </w:style>
  <w:style w:type="paragraph" w:styleId="Heading6">
    <w:name w:val="heading 6"/>
    <w:basedOn w:val="Normal"/>
    <w:next w:val="Normal"/>
    <w:link w:val="Heading6Char"/>
    <w:uiPriority w:val="9"/>
    <w:unhideWhenUsed/>
    <w:qFormat/>
    <w:rsid w:val="00fd3b1a"/>
    <w:pPr>
      <w:keepNext w:val="true"/>
      <w:keepLines/>
      <w:numPr>
        <w:ilvl w:val="5"/>
        <w:numId w:val="1"/>
      </w:numPr>
      <w:spacing w:before="40" w:after="0"/>
      <w:outlineLvl w:val="5"/>
    </w:pPr>
    <w:rPr>
      <w:rFonts w:ascii="Cambria" w:hAnsi="Cambria" w:eastAsia="" w:cs="" w:asciiTheme="majorHAnsi" w:cstheme="majorBidi" w:eastAsiaTheme="majorEastAsia" w:hAnsiTheme="majorHAnsi"/>
      <w:color w:themeColor="accent1" w:themeShade="7f" w:val="073662"/>
    </w:rPr>
  </w:style>
  <w:style w:type="paragraph" w:styleId="Heading7">
    <w:name w:val="heading 7"/>
    <w:basedOn w:val="Normal"/>
    <w:next w:val="Normal"/>
    <w:link w:val="Heading7Char"/>
    <w:uiPriority w:val="9"/>
    <w:semiHidden/>
    <w:unhideWhenUsed/>
    <w:qFormat/>
    <w:rsid w:val="00fd3b1a"/>
    <w:pPr>
      <w:keepNext w:val="true"/>
      <w:keepLines/>
      <w:numPr>
        <w:ilvl w:val="6"/>
        <w:numId w:val="1"/>
      </w:numPr>
      <w:spacing w:before="40" w:after="0"/>
      <w:outlineLvl w:val="6"/>
    </w:pPr>
    <w:rPr>
      <w:rFonts w:ascii="Cambria" w:hAnsi="Cambria" w:eastAsia="" w:cs="" w:asciiTheme="majorHAnsi" w:cstheme="majorBidi" w:eastAsiaTheme="majorEastAsia" w:hAnsiTheme="majorHAnsi"/>
      <w:i/>
      <w:iCs/>
      <w:color w:themeColor="accent1" w:themeShade="7f" w:val="073662"/>
    </w:rPr>
  </w:style>
  <w:style w:type="paragraph" w:styleId="Heading8">
    <w:name w:val="heading 8"/>
    <w:basedOn w:val="Normal"/>
    <w:next w:val="Normal"/>
    <w:link w:val="Heading8Char"/>
    <w:uiPriority w:val="9"/>
    <w:semiHidden/>
    <w:unhideWhenUsed/>
    <w:qFormat/>
    <w:rsid w:val="00fd3b1a"/>
    <w:pPr>
      <w:keepNext w:val="true"/>
      <w:keepLines/>
      <w:numPr>
        <w:ilvl w:val="7"/>
        <w:numId w:val="1"/>
      </w:numPr>
      <w:spacing w:before="40" w:after="0"/>
      <w:outlineLvl w:val="7"/>
    </w:pPr>
    <w:rPr>
      <w:rFonts w:ascii="Cambria" w:hAnsi="Cambria" w:eastAsia="" w:cs="" w:asciiTheme="majorHAnsi" w:cstheme="majorBidi" w:eastAsiaTheme="majorEastAsia" w:hAnsiTheme="majorHAnsi"/>
      <w:color w:themeColor="text1" w:themeTint="d8" w:val="272727"/>
      <w:sz w:val="21"/>
      <w:szCs w:val="21"/>
    </w:rPr>
  </w:style>
  <w:style w:type="paragraph" w:styleId="Heading9">
    <w:name w:val="heading 9"/>
    <w:basedOn w:val="Normal"/>
    <w:next w:val="Normal"/>
    <w:link w:val="Heading9Char"/>
    <w:uiPriority w:val="9"/>
    <w:semiHidden/>
    <w:unhideWhenUsed/>
    <w:qFormat/>
    <w:rsid w:val="00fd3b1a"/>
    <w:pPr>
      <w:keepNext w:val="true"/>
      <w:keepLines/>
      <w:numPr>
        <w:ilvl w:val="8"/>
        <w:numId w:val="1"/>
      </w:numPr>
      <w:spacing w:before="40" w:after="0"/>
      <w:outlineLvl w:val="8"/>
    </w:pPr>
    <w:rPr>
      <w:rFonts w:ascii="Cambria" w:hAnsi="Cambria" w:eastAsia="" w:cs="" w:asciiTheme="majorHAnsi" w:cstheme="majorBidi" w:eastAsiaTheme="majorEastAsia" w:hAnsiTheme="majorHAnsi"/>
      <w:i/>
      <w:iCs/>
      <w:color w:themeColor="text1" w:themeTint="d8" w:val="272727"/>
      <w:sz w:val="21"/>
      <w:szCs w:val="21"/>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uiPriority w:val="9"/>
    <w:qFormat/>
    <w:rsid w:val="00fd3b1a"/>
    <w:rPr>
      <w:rFonts w:ascii="Times New Roman" w:hAnsi="Times New Roman" w:eastAsia="" w:cs="" w:cstheme="majorBidi" w:eastAsiaTheme="majorEastAsia"/>
      <w:b/>
      <w:bCs/>
      <w:sz w:val="24"/>
      <w:szCs w:val="28"/>
      <w:lang w:eastAsia="es-ES_tradnl"/>
    </w:rPr>
  </w:style>
  <w:style w:type="character" w:styleId="HeaderChar" w:customStyle="1">
    <w:name w:val="Header Char"/>
    <w:basedOn w:val="DefaultParagraphFont"/>
    <w:link w:val="Header"/>
    <w:uiPriority w:val="99"/>
    <w:qFormat/>
    <w:rsid w:val="00df2841"/>
    <w:rPr>
      <w:rFonts w:ascii="Times New Roman" w:hAnsi="Times New Roman" w:eastAsia="Times New Roman" w:cs="Times New Roman"/>
      <w:sz w:val="24"/>
      <w:lang w:val="es-ES" w:eastAsia="es-ES"/>
    </w:rPr>
  </w:style>
  <w:style w:type="character" w:styleId="FooterChar" w:customStyle="1">
    <w:name w:val="Footer Char"/>
    <w:basedOn w:val="DefaultParagraphFont"/>
    <w:link w:val="Footer"/>
    <w:uiPriority w:val="99"/>
    <w:qFormat/>
    <w:rsid w:val="00df2841"/>
    <w:rPr>
      <w:rFonts w:ascii="Times New Roman" w:hAnsi="Times New Roman" w:eastAsia="Times New Roman" w:cs="Times New Roman"/>
      <w:sz w:val="24"/>
      <w:lang w:val="es-ES" w:eastAsia="es-ES"/>
    </w:rPr>
  </w:style>
  <w:style w:type="character" w:styleId="Hyperlink">
    <w:name w:val="Hyperlink"/>
    <w:basedOn w:val="DefaultParagraphFont"/>
    <w:uiPriority w:val="99"/>
    <w:unhideWhenUsed/>
    <w:rsid w:val="00df2841"/>
    <w:rPr>
      <w:color w:themeColor="hyperlink" w:val="F49100"/>
      <w:u w:val="single"/>
    </w:rPr>
  </w:style>
  <w:style w:type="character" w:styleId="BalloonTextChar" w:customStyle="1">
    <w:name w:val="Balloon Text Char"/>
    <w:basedOn w:val="DefaultParagraphFont"/>
    <w:link w:val="BalloonText"/>
    <w:uiPriority w:val="99"/>
    <w:semiHidden/>
    <w:qFormat/>
    <w:rsid w:val="00df2841"/>
    <w:rPr>
      <w:rFonts w:ascii="Tahoma" w:hAnsi="Tahoma" w:eastAsia="Times New Roman" w:cs="Tahoma"/>
      <w:sz w:val="16"/>
      <w:szCs w:val="16"/>
      <w:lang w:val="es-ES" w:eastAsia="es-ES"/>
    </w:rPr>
  </w:style>
  <w:style w:type="character" w:styleId="Heading3Char" w:customStyle="1">
    <w:name w:val="Heading 3 Char"/>
    <w:basedOn w:val="DefaultParagraphFont"/>
    <w:link w:val="Heading3"/>
    <w:uiPriority w:val="9"/>
    <w:qFormat/>
    <w:rsid w:val="006159ab"/>
    <w:rPr>
      <w:rFonts w:ascii="Times New Roman" w:hAnsi="Times New Roman" w:eastAsia="" w:cs="Times New Roman" w:eastAsiaTheme="majorEastAsia"/>
      <w:b/>
      <w:bCs/>
      <w:i/>
      <w:iCs/>
      <w:sz w:val="24"/>
      <w:szCs w:val="24"/>
      <w:lang w:eastAsia="es-ES_tradnl"/>
    </w:rPr>
  </w:style>
  <w:style w:type="character" w:styleId="PlaceholderText">
    <w:name w:val="Placeholder Text"/>
    <w:basedOn w:val="DefaultParagraphFont"/>
    <w:uiPriority w:val="99"/>
    <w:semiHidden/>
    <w:qFormat/>
    <w:rsid w:val="00f269f6"/>
    <w:rPr>
      <w:color w:val="666666"/>
    </w:rPr>
  </w:style>
  <w:style w:type="character" w:styleId="s1" w:customStyle="1">
    <w:name w:val="s1"/>
    <w:basedOn w:val="DefaultParagraphFont"/>
    <w:qFormat/>
    <w:rsid w:val="00e112ff"/>
    <w:rPr/>
  </w:style>
  <w:style w:type="character" w:styleId="Heading2Char" w:customStyle="1">
    <w:name w:val="Heading 2 Char"/>
    <w:basedOn w:val="DefaultParagraphFont"/>
    <w:link w:val="Heading2"/>
    <w:uiPriority w:val="9"/>
    <w:qFormat/>
    <w:rsid w:val="00fd3b1a"/>
    <w:rPr>
      <w:rFonts w:ascii="Times New Roman" w:hAnsi="Times New Roman" w:eastAsia="" w:cs="Times New Roman" w:eastAsiaTheme="majorEastAsia"/>
      <w:b/>
      <w:bCs/>
      <w:sz w:val="24"/>
      <w:szCs w:val="24"/>
      <w:lang w:eastAsia="es-ES_tradnl"/>
    </w:rPr>
  </w:style>
  <w:style w:type="character" w:styleId="s2" w:customStyle="1">
    <w:name w:val="s2"/>
    <w:basedOn w:val="DefaultParagraphFont"/>
    <w:qFormat/>
    <w:rsid w:val="00f44039"/>
    <w:rPr/>
  </w:style>
  <w:style w:type="character" w:styleId="Heading4Char" w:customStyle="1">
    <w:name w:val="Heading 4 Char"/>
    <w:basedOn w:val="DefaultParagraphFont"/>
    <w:link w:val="Heading4"/>
    <w:uiPriority w:val="9"/>
    <w:qFormat/>
    <w:rsid w:val="004d041c"/>
    <w:rPr>
      <w:rFonts w:ascii="Times New Roman" w:hAnsi="Times New Roman" w:eastAsia="" w:cs="Times New Roman" w:eastAsiaTheme="majorEastAsia"/>
      <w:b/>
      <w:bCs/>
      <w:sz w:val="24"/>
      <w:szCs w:val="24"/>
      <w:lang w:eastAsia="es-ES_tradnl"/>
    </w:rPr>
  </w:style>
  <w:style w:type="character" w:styleId="apple-converted-space" w:customStyle="1">
    <w:name w:val="apple-converted-space"/>
    <w:basedOn w:val="DefaultParagraphFont"/>
    <w:qFormat/>
    <w:rsid w:val="00c70af7"/>
    <w:rPr/>
  </w:style>
  <w:style w:type="character" w:styleId="s3" w:customStyle="1">
    <w:name w:val="s3"/>
    <w:basedOn w:val="DefaultParagraphFont"/>
    <w:qFormat/>
    <w:rsid w:val="001a38cb"/>
    <w:rPr/>
  </w:style>
  <w:style w:type="character" w:styleId="QuoteChar" w:customStyle="1">
    <w:name w:val="Quote Char"/>
    <w:basedOn w:val="DefaultParagraphFont"/>
    <w:link w:val="Quote"/>
    <w:uiPriority w:val="29"/>
    <w:qFormat/>
    <w:rsid w:val="00287e0f"/>
    <w:rPr>
      <w:i/>
      <w:iCs/>
      <w:color w:themeColor="text1" w:themeTint="bf" w:val="404040"/>
      <w:kern w:val="2"/>
      <w:sz w:val="24"/>
      <w:szCs w:val="24"/>
      <w:lang w:val="es-ES"/>
      <w14:ligatures w14:val="standardContextual"/>
    </w:rPr>
  </w:style>
  <w:style w:type="character" w:styleId="CommentReference">
    <w:name w:val="annotation reference"/>
    <w:basedOn w:val="DefaultParagraphFont"/>
    <w:uiPriority w:val="99"/>
    <w:semiHidden/>
    <w:unhideWhenUsed/>
    <w:qFormat/>
    <w:rsid w:val="00d050e6"/>
    <w:rPr>
      <w:sz w:val="16"/>
      <w:szCs w:val="16"/>
    </w:rPr>
  </w:style>
  <w:style w:type="character" w:styleId="CommentTextChar" w:customStyle="1">
    <w:name w:val="Comment Text Char"/>
    <w:basedOn w:val="DefaultParagraphFont"/>
    <w:link w:val="CommentText"/>
    <w:uiPriority w:val="99"/>
    <w:semiHidden/>
    <w:qFormat/>
    <w:rsid w:val="00d050e6"/>
    <w:rPr>
      <w:rFonts w:ascii="Times New Roman" w:hAnsi="Times New Roman" w:eastAsia="Times New Roman" w:cs="Times New Roman"/>
      <w:sz w:val="20"/>
      <w:szCs w:val="20"/>
      <w:lang w:val="es-ES" w:eastAsia="es-ES"/>
    </w:rPr>
  </w:style>
  <w:style w:type="character" w:styleId="CommentSubjectChar" w:customStyle="1">
    <w:name w:val="Comment Subject Char"/>
    <w:basedOn w:val="CommentTextChar"/>
    <w:link w:val="annotationsubject"/>
    <w:uiPriority w:val="99"/>
    <w:semiHidden/>
    <w:qFormat/>
    <w:rsid w:val="00d050e6"/>
    <w:rPr>
      <w:rFonts w:ascii="Times New Roman" w:hAnsi="Times New Roman" w:eastAsia="Times New Roman" w:cs="Times New Roman"/>
      <w:b/>
      <w:bCs/>
      <w:sz w:val="20"/>
      <w:szCs w:val="20"/>
      <w:lang w:val="es-ES" w:eastAsia="es-ES"/>
    </w:rPr>
  </w:style>
  <w:style w:type="character" w:styleId="FootnoteTextChar" w:customStyle="1">
    <w:name w:val="Footnote Text Char"/>
    <w:basedOn w:val="DefaultParagraphFont"/>
    <w:link w:val="FootnoteText"/>
    <w:uiPriority w:val="99"/>
    <w:semiHidden/>
    <w:qFormat/>
    <w:rsid w:val="00ee69e9"/>
    <w:rPr>
      <w:rFonts w:ascii="Times New Roman" w:hAnsi="Times New Roman" w:eastAsia="Times New Roman" w:cs="Times New Roman"/>
      <w:sz w:val="20"/>
      <w:szCs w:val="20"/>
      <w:lang w:eastAsia="es-ES_tradnl"/>
    </w:rPr>
  </w:style>
  <w:style w:type="character" w:styleId="FootnoteCharacters">
    <w:name w:val="Footnote Characters"/>
    <w:basedOn w:val="DefaultParagraphFont"/>
    <w:uiPriority w:val="99"/>
    <w:semiHidden/>
    <w:unhideWhenUsed/>
    <w:qFormat/>
    <w:rsid w:val="00ee69e9"/>
    <w:rPr>
      <w:vertAlign w:val="superscript"/>
    </w:rPr>
  </w:style>
  <w:style w:type="character" w:styleId="FootnoteReference">
    <w:name w:val="footnote reference"/>
    <w:rPr>
      <w:vertAlign w:val="superscript"/>
    </w:rPr>
  </w:style>
  <w:style w:type="character" w:styleId="TitleChar" w:customStyle="1">
    <w:name w:val="Title Char"/>
    <w:basedOn w:val="DefaultParagraphFont"/>
    <w:link w:val="Title"/>
    <w:uiPriority w:val="10"/>
    <w:qFormat/>
    <w:rsid w:val="00bf6699"/>
    <w:rPr>
      <w:rFonts w:ascii="Cambria" w:hAnsi="Cambria" w:eastAsia="" w:cs="" w:asciiTheme="majorHAnsi" w:cstheme="majorBidi" w:eastAsiaTheme="majorEastAsia" w:hAnsiTheme="majorHAnsi"/>
      <w:spacing w:val="-10"/>
      <w:kern w:val="2"/>
      <w:sz w:val="56"/>
      <w:szCs w:val="56"/>
      <w:lang w:eastAsia="es-ES_tradnl"/>
    </w:rPr>
  </w:style>
  <w:style w:type="character" w:styleId="Heading5Char" w:customStyle="1">
    <w:name w:val="Heading 5 Char"/>
    <w:basedOn w:val="DefaultParagraphFont"/>
    <w:link w:val="Heading5"/>
    <w:uiPriority w:val="9"/>
    <w:qFormat/>
    <w:rsid w:val="00640c63"/>
    <w:rPr>
      <w:rFonts w:ascii="Times New Roman" w:hAnsi="Times New Roman" w:eastAsia="" w:cs="Times New Roman" w:eastAsiaTheme="majorEastAsia"/>
      <w:b/>
      <w:bCs/>
      <w:i/>
      <w:iCs/>
      <w:sz w:val="24"/>
      <w:szCs w:val="24"/>
      <w:lang w:eastAsia="es-ES_tradnl"/>
    </w:rPr>
  </w:style>
  <w:style w:type="character" w:styleId="UnresolvedMention">
    <w:name w:val="Unresolved Mention"/>
    <w:basedOn w:val="DefaultParagraphFont"/>
    <w:uiPriority w:val="99"/>
    <w:semiHidden/>
    <w:unhideWhenUsed/>
    <w:qFormat/>
    <w:rsid w:val="00770b39"/>
    <w:rPr>
      <w:color w:val="605E5C"/>
      <w:shd w:fill="E1DFDD" w:val="clear"/>
    </w:rPr>
  </w:style>
  <w:style w:type="character" w:styleId="Heading6Char" w:customStyle="1">
    <w:name w:val="Heading 6 Char"/>
    <w:basedOn w:val="DefaultParagraphFont"/>
    <w:link w:val="Heading6"/>
    <w:uiPriority w:val="9"/>
    <w:qFormat/>
    <w:rsid w:val="00fd3b1a"/>
    <w:rPr>
      <w:rFonts w:ascii="Cambria" w:hAnsi="Cambria" w:eastAsia="" w:cs="" w:asciiTheme="majorHAnsi" w:cstheme="majorBidi" w:eastAsiaTheme="majorEastAsia" w:hAnsiTheme="majorHAnsi"/>
      <w:color w:themeColor="accent1" w:themeShade="7f" w:val="073662"/>
      <w:sz w:val="24"/>
      <w:szCs w:val="24"/>
      <w:lang w:eastAsia="es-ES_tradnl"/>
    </w:rPr>
  </w:style>
  <w:style w:type="character" w:styleId="Heading7Char" w:customStyle="1">
    <w:name w:val="Heading 7 Char"/>
    <w:basedOn w:val="DefaultParagraphFont"/>
    <w:link w:val="Heading7"/>
    <w:uiPriority w:val="9"/>
    <w:semiHidden/>
    <w:qFormat/>
    <w:rsid w:val="00fd3b1a"/>
    <w:rPr>
      <w:rFonts w:ascii="Cambria" w:hAnsi="Cambria" w:eastAsia="" w:cs="" w:asciiTheme="majorHAnsi" w:cstheme="majorBidi" w:eastAsiaTheme="majorEastAsia" w:hAnsiTheme="majorHAnsi"/>
      <w:i/>
      <w:iCs/>
      <w:color w:themeColor="accent1" w:themeShade="7f" w:val="073662"/>
      <w:sz w:val="24"/>
      <w:szCs w:val="24"/>
      <w:lang w:eastAsia="es-ES_tradnl"/>
    </w:rPr>
  </w:style>
  <w:style w:type="character" w:styleId="Heading8Char" w:customStyle="1">
    <w:name w:val="Heading 8 Char"/>
    <w:basedOn w:val="DefaultParagraphFont"/>
    <w:link w:val="Heading8"/>
    <w:uiPriority w:val="9"/>
    <w:semiHidden/>
    <w:qFormat/>
    <w:rsid w:val="00fd3b1a"/>
    <w:rPr>
      <w:rFonts w:ascii="Cambria" w:hAnsi="Cambria" w:eastAsia="" w:cs="" w:asciiTheme="majorHAnsi" w:cstheme="majorBidi" w:eastAsiaTheme="majorEastAsia" w:hAnsiTheme="majorHAnsi"/>
      <w:color w:themeColor="text1" w:themeTint="d8" w:val="272727"/>
      <w:sz w:val="21"/>
      <w:szCs w:val="21"/>
      <w:lang w:eastAsia="es-ES_tradnl"/>
    </w:rPr>
  </w:style>
  <w:style w:type="character" w:styleId="Heading9Char" w:customStyle="1">
    <w:name w:val="Heading 9 Char"/>
    <w:basedOn w:val="DefaultParagraphFont"/>
    <w:link w:val="Heading9"/>
    <w:uiPriority w:val="9"/>
    <w:semiHidden/>
    <w:qFormat/>
    <w:rsid w:val="00fd3b1a"/>
    <w:rPr>
      <w:rFonts w:ascii="Cambria" w:hAnsi="Cambria" w:eastAsia="" w:cs="" w:asciiTheme="majorHAnsi" w:cstheme="majorBidi" w:eastAsiaTheme="majorEastAsia" w:hAnsiTheme="majorHAnsi"/>
      <w:i/>
      <w:iCs/>
      <w:color w:themeColor="text1" w:themeTint="d8" w:val="272727"/>
      <w:sz w:val="21"/>
      <w:szCs w:val="21"/>
      <w:lang w:eastAsia="es-ES_tradnl"/>
    </w:rPr>
  </w:style>
  <w:style w:type="character" w:styleId="Emphasis">
    <w:name w:val="Emphasis"/>
    <w:basedOn w:val="DefaultParagraphFont"/>
    <w:uiPriority w:val="20"/>
    <w:qFormat/>
    <w:rsid w:val="00fd3b1a"/>
    <w:rPr>
      <w:i/>
      <w:iCs/>
    </w:rPr>
  </w:style>
  <w:style w:type="character" w:styleId="IndexLink">
    <w:name w:val="Index Link"/>
    <w:qFormat/>
    <w:rPr/>
  </w:style>
  <w:style w:type="paragraph" w:styleId="Heading">
    <w:name w:val="Heading"/>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next w:val="Normal"/>
    <w:uiPriority w:val="35"/>
    <w:unhideWhenUsed/>
    <w:qFormat/>
    <w:rsid w:val="00fb4eb9"/>
    <w:pPr>
      <w:spacing w:before="0" w:after="200"/>
    </w:pPr>
    <w:rPr>
      <w:i/>
      <w:iCs/>
      <w:color w:themeColor="text2" w:val="17406D"/>
      <w:sz w:val="18"/>
      <w:szCs w:val="18"/>
    </w:rPr>
  </w:style>
  <w:style w:type="paragraph" w:styleId="Index">
    <w:name w:val="Index"/>
    <w:basedOn w:val="Normal"/>
    <w:qFormat/>
    <w:pPr>
      <w:suppressLineNumbers/>
    </w:pPr>
    <w:rPr>
      <w:rFonts w:cs="Noto Sans Devanagari"/>
    </w:rPr>
  </w:style>
  <w:style w:type="paragraph" w:styleId="HeaderandFooter">
    <w:name w:val="Header and Footer"/>
    <w:basedOn w:val="Normal"/>
    <w:qFormat/>
    <w:pPr/>
    <w:rPr/>
  </w:style>
  <w:style w:type="paragraph" w:styleId="Header">
    <w:name w:val="header"/>
    <w:basedOn w:val="Normal"/>
    <w:link w:val="HeaderChar"/>
    <w:uiPriority w:val="99"/>
    <w:unhideWhenUsed/>
    <w:rsid w:val="00df2841"/>
    <w:pPr>
      <w:tabs>
        <w:tab w:val="clear" w:pos="708"/>
        <w:tab w:val="center" w:pos="4419" w:leader="none"/>
        <w:tab w:val="right" w:pos="8838" w:leader="none"/>
      </w:tabs>
    </w:pPr>
    <w:rPr/>
  </w:style>
  <w:style w:type="paragraph" w:styleId="Footer">
    <w:name w:val="footer"/>
    <w:basedOn w:val="Normal"/>
    <w:link w:val="FooterChar"/>
    <w:uiPriority w:val="99"/>
    <w:unhideWhenUsed/>
    <w:rsid w:val="00df2841"/>
    <w:pPr>
      <w:tabs>
        <w:tab w:val="clear" w:pos="708"/>
        <w:tab w:val="center" w:pos="4419" w:leader="none"/>
        <w:tab w:val="right" w:pos="8838" w:leader="none"/>
      </w:tabs>
    </w:pPr>
    <w:rPr/>
  </w:style>
  <w:style w:type="paragraph" w:styleId="IndexHeading">
    <w:name w:val="index heading"/>
    <w:basedOn w:val="Heading"/>
    <w:pPr/>
    <w:rPr/>
  </w:style>
  <w:style w:type="paragraph" w:styleId="TOCHeading">
    <w:name w:val="TOC Heading"/>
    <w:basedOn w:val="Heading1"/>
    <w:next w:val="Normal"/>
    <w:uiPriority w:val="39"/>
    <w:unhideWhenUsed/>
    <w:qFormat/>
    <w:rsid w:val="00df2841"/>
    <w:pPr>
      <w:numPr>
        <w:ilvl w:val="0"/>
        <w:numId w:val="42"/>
      </w:numPr>
      <w:spacing w:lineRule="auto" w:line="276"/>
      <w:jc w:val="left"/>
      <w:outlineLvl w:val="9"/>
    </w:pPr>
    <w:rPr>
      <w:rFonts w:ascii="Cambria" w:hAnsi="Cambria" w:asciiTheme="majorHAnsi" w:hAnsiTheme="majorHAnsi"/>
      <w:color w:themeColor="accent1" w:themeShade="bf" w:val="0B5294"/>
      <w:sz w:val="28"/>
      <w:lang w:eastAsia="en-US"/>
    </w:rPr>
  </w:style>
  <w:style w:type="paragraph" w:styleId="TOC1">
    <w:name w:val="toc 1"/>
    <w:basedOn w:val="Normal"/>
    <w:next w:val="Normal"/>
    <w:autoRedefine/>
    <w:uiPriority w:val="39"/>
    <w:unhideWhenUsed/>
    <w:rsid w:val="00df2841"/>
    <w:pPr>
      <w:spacing w:before="0" w:after="100"/>
    </w:pPr>
    <w:rPr/>
  </w:style>
  <w:style w:type="paragraph" w:styleId="BalloonText">
    <w:name w:val="Balloon Text"/>
    <w:basedOn w:val="Normal"/>
    <w:link w:val="BalloonTextChar"/>
    <w:uiPriority w:val="99"/>
    <w:semiHidden/>
    <w:unhideWhenUsed/>
    <w:qFormat/>
    <w:rsid w:val="00df2841"/>
    <w:pPr/>
    <w:rPr>
      <w:rFonts w:ascii="Tahoma" w:hAnsi="Tahoma" w:cs="Tahoma"/>
      <w:sz w:val="16"/>
      <w:szCs w:val="16"/>
    </w:rPr>
  </w:style>
  <w:style w:type="paragraph" w:styleId="p2" w:customStyle="1">
    <w:name w:val="p2"/>
    <w:basedOn w:val="Normal"/>
    <w:qFormat/>
    <w:rsid w:val="00f269f6"/>
    <w:pPr>
      <w:spacing w:beforeAutospacing="1" w:afterAutospacing="1"/>
    </w:pPr>
    <w:rPr/>
  </w:style>
  <w:style w:type="paragraph" w:styleId="p3" w:customStyle="1">
    <w:name w:val="p3"/>
    <w:basedOn w:val="Normal"/>
    <w:qFormat/>
    <w:rsid w:val="00f269f6"/>
    <w:pPr>
      <w:spacing w:beforeAutospacing="1" w:afterAutospacing="1"/>
    </w:pPr>
    <w:rPr/>
  </w:style>
  <w:style w:type="paragraph" w:styleId="p1" w:customStyle="1">
    <w:name w:val="p1"/>
    <w:basedOn w:val="Normal"/>
    <w:qFormat/>
    <w:rsid w:val="00f269f6"/>
    <w:pPr>
      <w:spacing w:beforeAutospacing="1" w:afterAutospacing="1"/>
    </w:pPr>
    <w:rPr/>
  </w:style>
  <w:style w:type="paragraph" w:styleId="p4" w:customStyle="1">
    <w:name w:val="p4"/>
    <w:basedOn w:val="Normal"/>
    <w:qFormat/>
    <w:rsid w:val="00e12fe2"/>
    <w:pPr>
      <w:spacing w:beforeAutospacing="1" w:afterAutospacing="1"/>
    </w:pPr>
    <w:rPr/>
  </w:style>
  <w:style w:type="paragraph" w:styleId="ListParagraph">
    <w:name w:val="List Paragraph"/>
    <w:basedOn w:val="Normal"/>
    <w:uiPriority w:val="34"/>
    <w:qFormat/>
    <w:rsid w:val="0048492c"/>
    <w:pPr>
      <w:spacing w:before="0" w:after="0"/>
      <w:ind w:left="720"/>
      <w:contextualSpacing/>
    </w:pPr>
    <w:rPr/>
  </w:style>
  <w:style w:type="paragraph" w:styleId="Quote">
    <w:name w:val="Quote"/>
    <w:basedOn w:val="Normal"/>
    <w:next w:val="Normal"/>
    <w:link w:val="QuoteChar"/>
    <w:uiPriority w:val="29"/>
    <w:qFormat/>
    <w:rsid w:val="00287e0f"/>
    <w:pPr>
      <w:spacing w:before="160" w:after="160"/>
      <w:jc w:val="center"/>
    </w:pPr>
    <w:rPr>
      <w:rFonts w:ascii="Calibri" w:hAnsi="Calibri" w:eastAsia="Calibri" w:cs="" w:asciiTheme="minorHAnsi" w:cstheme="minorBidi" w:eastAsiaTheme="minorHAnsi" w:hAnsiTheme="minorHAnsi"/>
      <w:i/>
      <w:iCs/>
      <w:color w:themeColor="text1" w:themeTint="bf" w:val="404040"/>
      <w:kern w:val="2"/>
      <w:lang w:eastAsia="en-US"/>
      <w14:ligatures w14:val="standardContextual"/>
    </w:rPr>
  </w:style>
  <w:style w:type="paragraph" w:styleId="Revision">
    <w:name w:val="Revision"/>
    <w:uiPriority w:val="99"/>
    <w:semiHidden/>
    <w:qFormat/>
    <w:rsid w:val="00d050e6"/>
    <w:pPr>
      <w:widowControl/>
      <w:bidi w:val="0"/>
      <w:spacing w:lineRule="auto" w:line="240" w:before="0" w:after="0"/>
      <w:jc w:val="left"/>
    </w:pPr>
    <w:rPr>
      <w:rFonts w:ascii="Times New Roman" w:hAnsi="Times New Roman" w:eastAsia="Times New Roman" w:cs="Times New Roman"/>
      <w:color w:val="auto"/>
      <w:kern w:val="0"/>
      <w:sz w:val="24"/>
      <w:szCs w:val="22"/>
      <w:lang w:val="es-ES" w:eastAsia="es-ES" w:bidi="ar-SA"/>
    </w:rPr>
  </w:style>
  <w:style w:type="paragraph" w:styleId="CommentText">
    <w:name w:val="annotation text"/>
    <w:basedOn w:val="Normal"/>
    <w:link w:val="CommentTextChar"/>
    <w:uiPriority w:val="99"/>
    <w:semiHidden/>
    <w:unhideWhenUsed/>
    <w:rsid w:val="00d050e6"/>
    <w:pPr/>
    <w:rPr>
      <w:sz w:val="20"/>
      <w:szCs w:val="20"/>
    </w:rPr>
  </w:style>
  <w:style w:type="paragraph" w:styleId="annotationsubject">
    <w:name w:val="annotation subject"/>
    <w:basedOn w:val="CommentText"/>
    <w:next w:val="CommentText"/>
    <w:link w:val="CommentSubjectChar"/>
    <w:uiPriority w:val="99"/>
    <w:semiHidden/>
    <w:unhideWhenUsed/>
    <w:qFormat/>
    <w:rsid w:val="00d050e6"/>
    <w:pPr/>
    <w:rPr>
      <w:b/>
      <w:bCs/>
    </w:rPr>
  </w:style>
  <w:style w:type="paragraph" w:styleId="FootnoteText">
    <w:name w:val="footnote text"/>
    <w:basedOn w:val="Normal"/>
    <w:link w:val="FootnoteTextChar"/>
    <w:uiPriority w:val="99"/>
    <w:semiHidden/>
    <w:unhideWhenUsed/>
    <w:rsid w:val="00ee69e9"/>
    <w:pPr/>
    <w:rPr>
      <w:sz w:val="20"/>
      <w:szCs w:val="20"/>
    </w:rPr>
  </w:style>
  <w:style w:type="paragraph" w:styleId="Title">
    <w:name w:val="Title"/>
    <w:basedOn w:val="Normal"/>
    <w:next w:val="Normal"/>
    <w:link w:val="TitleChar"/>
    <w:uiPriority w:val="10"/>
    <w:qFormat/>
    <w:rsid w:val="00bf6699"/>
    <w:pPr>
      <w:spacing w:before="0" w:after="0"/>
      <w:contextualSpacing/>
    </w:pPr>
    <w:rPr>
      <w:rFonts w:ascii="Cambria" w:hAnsi="Cambria" w:eastAsia="" w:cs="" w:asciiTheme="majorHAnsi" w:cstheme="majorBidi" w:eastAsiaTheme="majorEastAsia" w:hAnsiTheme="majorHAnsi"/>
      <w:spacing w:val="-10"/>
      <w:kern w:val="2"/>
      <w:sz w:val="56"/>
      <w:szCs w:val="56"/>
    </w:rPr>
  </w:style>
  <w:style w:type="paragraph" w:styleId="TOC2">
    <w:name w:val="toc 2"/>
    <w:basedOn w:val="Normal"/>
    <w:next w:val="Normal"/>
    <w:autoRedefine/>
    <w:uiPriority w:val="39"/>
    <w:unhideWhenUsed/>
    <w:rsid w:val="00770b39"/>
    <w:pPr>
      <w:spacing w:before="0" w:after="100"/>
      <w:ind w:left="240"/>
    </w:pPr>
    <w:rPr/>
  </w:style>
  <w:style w:type="paragraph" w:styleId="TOC3">
    <w:name w:val="toc 3"/>
    <w:basedOn w:val="Normal"/>
    <w:next w:val="Normal"/>
    <w:autoRedefine/>
    <w:uiPriority w:val="39"/>
    <w:unhideWhenUsed/>
    <w:rsid w:val="00770b39"/>
    <w:pPr>
      <w:spacing w:before="0" w:after="100"/>
      <w:ind w:left="480"/>
    </w:pPr>
    <w:rPr/>
  </w:style>
  <w:style w:type="paragraph" w:styleId="TOC4">
    <w:name w:val="toc 4"/>
    <w:basedOn w:val="Normal"/>
    <w:next w:val="Normal"/>
    <w:autoRedefine/>
    <w:uiPriority w:val="39"/>
    <w:unhideWhenUsed/>
    <w:rsid w:val="00770b39"/>
    <w:pPr>
      <w:spacing w:lineRule="auto" w:line="278" w:before="0" w:after="100"/>
      <w:ind w:left="720"/>
    </w:pPr>
    <w:rPr>
      <w:rFonts w:ascii="Calibri" w:hAnsi="Calibri" w:eastAsia="" w:cs="" w:asciiTheme="minorHAnsi" w:cstheme="minorBidi" w:eastAsiaTheme="minorEastAsia" w:hAnsiTheme="minorHAnsi"/>
      <w:kern w:val="2"/>
      <w14:ligatures w14:val="standardContextual"/>
    </w:rPr>
  </w:style>
  <w:style w:type="paragraph" w:styleId="TOC5">
    <w:name w:val="toc 5"/>
    <w:basedOn w:val="Normal"/>
    <w:next w:val="Normal"/>
    <w:autoRedefine/>
    <w:uiPriority w:val="39"/>
    <w:unhideWhenUsed/>
    <w:rsid w:val="00770b39"/>
    <w:pPr>
      <w:spacing w:lineRule="auto" w:line="278" w:before="0" w:after="100"/>
      <w:ind w:left="960"/>
    </w:pPr>
    <w:rPr>
      <w:rFonts w:ascii="Calibri" w:hAnsi="Calibri" w:eastAsia="" w:cs="" w:asciiTheme="minorHAnsi" w:cstheme="minorBidi" w:eastAsiaTheme="minorEastAsia" w:hAnsiTheme="minorHAnsi"/>
      <w:kern w:val="2"/>
      <w14:ligatures w14:val="standardContextual"/>
    </w:rPr>
  </w:style>
  <w:style w:type="paragraph" w:styleId="TOC6">
    <w:name w:val="toc 6"/>
    <w:basedOn w:val="Normal"/>
    <w:next w:val="Normal"/>
    <w:autoRedefine/>
    <w:uiPriority w:val="39"/>
    <w:unhideWhenUsed/>
    <w:rsid w:val="00770b39"/>
    <w:pPr>
      <w:spacing w:lineRule="auto" w:line="278" w:before="0" w:after="100"/>
      <w:ind w:left="1200"/>
    </w:pPr>
    <w:rPr>
      <w:rFonts w:ascii="Calibri" w:hAnsi="Calibri" w:eastAsia="" w:cs="" w:asciiTheme="minorHAnsi" w:cstheme="minorBidi" w:eastAsiaTheme="minorEastAsia" w:hAnsiTheme="minorHAnsi"/>
      <w:kern w:val="2"/>
      <w14:ligatures w14:val="standardContextual"/>
    </w:rPr>
  </w:style>
  <w:style w:type="paragraph" w:styleId="TOC7">
    <w:name w:val="toc 7"/>
    <w:basedOn w:val="Normal"/>
    <w:next w:val="Normal"/>
    <w:autoRedefine/>
    <w:uiPriority w:val="39"/>
    <w:unhideWhenUsed/>
    <w:rsid w:val="00770b39"/>
    <w:pPr>
      <w:spacing w:lineRule="auto" w:line="278" w:before="0" w:after="100"/>
      <w:ind w:left="1440"/>
    </w:pPr>
    <w:rPr>
      <w:rFonts w:ascii="Calibri" w:hAnsi="Calibri" w:eastAsia="" w:cs="" w:asciiTheme="minorHAnsi" w:cstheme="minorBidi" w:eastAsiaTheme="minorEastAsia" w:hAnsiTheme="minorHAnsi"/>
      <w:kern w:val="2"/>
      <w14:ligatures w14:val="standardContextual"/>
    </w:rPr>
  </w:style>
  <w:style w:type="paragraph" w:styleId="TOC8">
    <w:name w:val="toc 8"/>
    <w:basedOn w:val="Normal"/>
    <w:next w:val="Normal"/>
    <w:autoRedefine/>
    <w:uiPriority w:val="39"/>
    <w:unhideWhenUsed/>
    <w:rsid w:val="00770b39"/>
    <w:pPr>
      <w:spacing w:lineRule="auto" w:line="278" w:before="0" w:after="100"/>
      <w:ind w:left="1680"/>
    </w:pPr>
    <w:rPr>
      <w:rFonts w:ascii="Calibri" w:hAnsi="Calibri" w:eastAsia="" w:cs="" w:asciiTheme="minorHAnsi" w:cstheme="minorBidi" w:eastAsiaTheme="minorEastAsia" w:hAnsiTheme="minorHAnsi"/>
      <w:kern w:val="2"/>
      <w14:ligatures w14:val="standardContextual"/>
    </w:rPr>
  </w:style>
  <w:style w:type="paragraph" w:styleId="TOC9">
    <w:name w:val="toc 9"/>
    <w:basedOn w:val="Normal"/>
    <w:next w:val="Normal"/>
    <w:autoRedefine/>
    <w:uiPriority w:val="39"/>
    <w:unhideWhenUsed/>
    <w:rsid w:val="00770b39"/>
    <w:pPr>
      <w:spacing w:lineRule="auto" w:line="278" w:before="0" w:after="100"/>
      <w:ind w:left="1920"/>
    </w:pPr>
    <w:rPr>
      <w:rFonts w:ascii="Calibri" w:hAnsi="Calibri" w:eastAsia="" w:cs="" w:asciiTheme="minorHAnsi" w:cstheme="minorBidi" w:eastAsiaTheme="minorEastAsia" w:hAnsiTheme="minorHAnsi"/>
      <w:kern w:val="2"/>
      <w14:ligatures w14:val="standardContextual"/>
    </w:rPr>
  </w:style>
  <w:style w:type="paragraph" w:styleId="TableofFigures">
    <w:name w:val="table of figures"/>
    <w:basedOn w:val="Normal"/>
    <w:next w:val="Normal"/>
    <w:uiPriority w:val="99"/>
    <w:unhideWhenUsed/>
    <w:rsid w:val="00f61ff4"/>
    <w:pPr/>
    <w:rPr/>
  </w:style>
  <w:style w:type="paragraph" w:styleId="NormalWeb">
    <w:name w:val="Normal (Web)"/>
    <w:basedOn w:val="Normal"/>
    <w:uiPriority w:val="99"/>
    <w:semiHidden/>
    <w:unhideWhenUsed/>
    <w:qFormat/>
    <w:rsid w:val="00db2d87"/>
    <w:pPr>
      <w:spacing w:beforeAutospacing="1" w:afterAutospacing="1"/>
    </w:pPr>
    <w:rPr/>
  </w:style>
  <w:style w:type="paragraph" w:styleId="NoSpacing">
    <w:name w:val="No Spacing"/>
    <w:uiPriority w:val="1"/>
    <w:qFormat/>
    <w:rsid w:val="00fd3b1a"/>
    <w:pPr>
      <w:widowControl/>
      <w:bidi w:val="0"/>
      <w:spacing w:lineRule="auto" w:line="240" w:before="0" w:after="0"/>
      <w:jc w:val="left"/>
    </w:pPr>
    <w:rPr>
      <w:rFonts w:ascii="Times New Roman" w:hAnsi="Times New Roman" w:eastAsia="Times New Roman" w:cs="Times New Roman"/>
      <w:color w:val="auto"/>
      <w:kern w:val="0"/>
      <w:sz w:val="24"/>
      <w:szCs w:val="24"/>
      <w:lang w:eastAsia="es-ES_tradnl" w:val="es-CR" w:bidi="ar-SA"/>
    </w:rPr>
  </w:style>
  <w:style w:type="paragraph" w:styleId="FrameContents">
    <w:name w:val="Frame Contents"/>
    <w:basedOn w:val="Normal"/>
    <w:qFormat/>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 w:type="table" w:styleId="TableGrid">
    <w:name w:val="Table Grid"/>
    <w:basedOn w:val="TableNormal"/>
    <w:uiPriority w:val="59"/>
    <w:rsid w:val="0048492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PlainTable1">
    <w:name w:val="Plain Table 1"/>
    <w:basedOn w:val="TableNormal"/>
    <w:uiPriority w:val="41"/>
    <w:rsid w:val="0048492c"/>
    <w:pPr>
      <w:spacing w:after="0" w:line="240" w:lineRule="auto"/>
    </w:pPr>
    <w:tblPr>
      <w:tblStyleRowBandSize w:val="1"/>
      <w:tblStyleColBandSize w:val="1"/>
      <w:tblBorders>
        <w:top w:val="single" w:color="BFBFBF" w:themeColor="background1" w:sz="4" w:space="0"/>
        <w:left w:val="single" w:color="BFBFBF" w:themeColor="background1" w:sz="4" w:space="0"/>
        <w:bottom w:val="single" w:color="BFBFBF" w:themeColor="background1" w:sz="4" w:space="0"/>
        <w:right w:val="single" w:color="BFBFBF" w:themeColor="background1" w:sz="4" w:space="0"/>
        <w:insideH w:val="single" w:color="BFBFBF" w:themeColor="background1" w:sz="4" w:space="0"/>
        <w:insideV w:val="single" w:color="BFBFBF" w:themeColor="background1" w:sz="4" w:space="0"/>
      </w:tblBorders>
    </w:tblPr>
    <w:tblStylePr w:type="firstRow">
      <w:rPr>
        <w:b/>
        <w:bCs/>
      </w:rPr>
      <w:tblPr/>
    </w:tblStylePr>
    <w:tblStylePr w:type="lastRow">
      <w:rPr>
        <w:b/>
        <w:bCs/>
      </w:rPr>
      <w:tblPr/>
      <w:tcPr>
        <w:tcBorders>
          <w:top w:val="double" w:color="BFBFBF" w:themeColor="background1" w:sz="4" w:space="0"/>
        </w:tcBorders>
      </w:tcPr>
    </w:tblStylePr>
    <w:tblStylePr w:type="firstCol">
      <w:rPr>
        <w:b/>
        <w:bCs/>
      </w:rPr>
      <w:tblPr/>
    </w:tblStylePr>
    <w:tblStylePr w:type="lastCol">
      <w:rPr>
        <w:b/>
        <w:bCs/>
      </w:rPr>
      <w:tbl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2-Accent1">
    <w:name w:val="Grid Table 2 Accent 1"/>
    <w:basedOn w:val="TableNormal"/>
    <w:uiPriority w:val="47"/>
    <w:rsid w:val="00323500"/>
    <w:pPr>
      <w:spacing w:after="0" w:line="240" w:lineRule="auto"/>
    </w:pPr>
    <w:tblPr>
      <w:tblStyleRowBandSize w:val="1"/>
      <w:tblStyleColBandSize w:val="1"/>
      <w:tblBorders>
        <w:top w:val="single" w:color="59A9F2" w:themeColor="accent1" w:themeTint="99" w:sz="2" w:space="0"/>
        <w:bottom w:val="single" w:color="59A9F2" w:themeColor="accent1" w:themeTint="99" w:sz="2" w:space="0"/>
        <w:insideH w:val="single" w:color="59A9F2" w:themeColor="accent1" w:themeTint="99" w:sz="2" w:space="0"/>
        <w:insideV w:val="single" w:color="59A9F2" w:themeColor="accent1" w:themeTint="99" w:sz="2" w:space="0"/>
      </w:tblBorders>
    </w:tblPr>
    <w:tblStylePr w:type="firstRow">
      <w:rPr>
        <w:b/>
        <w:bCs/>
      </w:rPr>
      <w:tblPr/>
      <w:tcPr>
        <w:tcBorders>
          <w:top w:val="nil"/>
          <w:bottom w:val="single" w:color="59A9F2" w:themeColor="accent1" w:sz="12" w:space="0"/>
          <w:insideH w:val="nil"/>
          <w:insideV w:val="nil"/>
        </w:tcBorders>
        <w:shd w:val="clear" w:color="auto" w:fill="FFFFFF" w:themeFill="background1"/>
      </w:tcPr>
    </w:tblStylePr>
    <w:tblStylePr w:type="lastRow">
      <w:rPr>
        <w:b/>
        <w:bCs/>
      </w:rPr>
      <w:tblPr/>
      <w:tcPr>
        <w:tcBorders>
          <w:top w:val="double" w:color="59A9F2" w:themeColor="accent1" w:sz="2" w:space="0"/>
          <w:bottom w:val="nil"/>
          <w:insideH w:val="nil"/>
          <w:insideV w:val="nil"/>
        </w:tcBorders>
        <w:shd w:val="clear" w:color="auto" w:fill="FFFFFF" w:themeFill="background1"/>
      </w:tcPr>
    </w:tblStylePr>
    <w:tblStylePr w:type="firstCol">
      <w:rPr>
        <w:b/>
        <w:bCs/>
      </w:rPr>
      <w:tblPr/>
    </w:tblStylePr>
    <w:tblStylePr w:type="lastCol">
      <w:rPr>
        <w:b/>
        <w:bCs/>
      </w:rPr>
      <w:tblPr/>
    </w:tblStylePr>
    <w:tblStylePr w:type="band1Vert">
      <w:tblPr/>
      <w:tcPr>
        <w:shd w:val="clear" w:color="auto" w:fill="C7E2FA" w:themeFill="accent1" w:themeFillTint="33"/>
      </w:tcPr>
    </w:tblStylePr>
    <w:tblStylePr w:type="band1Horz">
      <w:tblPr/>
      <w:tcPr>
        <w:shd w:val="clear" w:color="auto" w:fill="C7E2FA" w:themeFill="accent1" w:themeFillTint="33"/>
      </w:tcPr>
    </w:tblStylePr>
  </w:style>
  <w:style w:type="table" w:styleId="ListTable1Light-Accent1">
    <w:name w:val="List Table 1 Light Accent 1"/>
    <w:basedOn w:val="TableNormal"/>
    <w:uiPriority w:val="46"/>
    <w:rsid w:val="00bd6807"/>
    <w:pPr>
      <w:spacing w:after="0" w:line="240" w:lineRule="auto"/>
    </w:pPr>
    <w:tblPr>
      <w:tblStyleRowBandSize w:val="1"/>
      <w:tblStyleColBandSize w:val="1"/>
    </w:tblPr>
    <w:tblStylePr w:type="firstRow">
      <w:rPr>
        <w:b/>
        <w:bCs/>
      </w:rPr>
      <w:tblPr/>
      <w:tcPr>
        <w:tcBorders>
          <w:bottom w:val="single" w:color="59A9F2" w:themeColor="accent1" w:sz="4" w:space="0"/>
        </w:tcBorders>
      </w:tcPr>
    </w:tblStylePr>
    <w:tblStylePr w:type="lastRow">
      <w:rPr>
        <w:b/>
        <w:bCs/>
      </w:rPr>
      <w:tblPr/>
      <w:tcPr>
        <w:tcBorders>
          <w:top w:val="single" w:color="59A9F2" w:themeColor="accent1" w:sz="4" w:space="0"/>
        </w:tcBorders>
      </w:tcPr>
    </w:tblStylePr>
    <w:tblStylePr w:type="firstCol">
      <w:rPr>
        <w:b/>
        <w:bCs/>
      </w:rPr>
      <w:tblPr/>
    </w:tblStylePr>
    <w:tblStylePr w:type="lastCol">
      <w:rPr>
        <w:b/>
        <w:bCs/>
      </w:rPr>
      <w:tblPr/>
    </w:tblStylePr>
    <w:tblStylePr w:type="band1Vert">
      <w:tblPr/>
      <w:tcPr>
        <w:shd w:val="clear" w:color="auto" w:fill="C7E2FA" w:themeFill="accent1" w:themeFillTint="33"/>
      </w:tcPr>
    </w:tblStylePr>
    <w:tblStylePr w:type="band1Horz">
      <w:tblPr/>
      <w:tcPr>
        <w:shd w:val="clear" w:color="auto" w:fill="C7E2FA" w:themeFill="accent1" w:themeFillTint="33"/>
      </w:tcPr>
    </w:tblStylePr>
  </w:style>
  <w:style w:type="table" w:styleId="PlainTable4">
    <w:name w:val="Plain Table 4"/>
    <w:basedOn w:val="TableNormal"/>
    <w:uiPriority w:val="44"/>
    <w:rsid w:val="00bd6807"/>
    <w:pPr>
      <w:spacing w:after="0" w:line="240" w:lineRule="auto"/>
    </w:pPr>
    <w:tblPr>
      <w:tblStyleRowBandSize w:val="1"/>
      <w:tblStyleColBandSize w:val="1"/>
    </w:tblPr>
    <w:tblStylePr w:type="firstRow">
      <w:rPr>
        <w:b/>
        <w:bCs/>
      </w:rPr>
      <w:tblPr/>
    </w:tblStylePr>
    <w:tblStylePr w:type="lastRow">
      <w:rPr>
        <w:b/>
        <w:bCs/>
      </w:rPr>
      <w:tblPr/>
    </w:tblStylePr>
    <w:tblStylePr w:type="firstCol">
      <w:rPr>
        <w:b/>
        <w:bCs/>
      </w:rPr>
      <w:tblPr/>
    </w:tblStylePr>
    <w:tblStylePr w:type="lastCol">
      <w:rPr>
        <w:b/>
        <w:bCs/>
      </w:rPr>
      <w:tbl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Accent3">
    <w:name w:val="Grid Table 4 Accent 3"/>
    <w:basedOn w:val="TableNormal"/>
    <w:uiPriority w:val="49"/>
    <w:rsid w:val="00707558"/>
    <w:pPr>
      <w:spacing w:after="0" w:line="240" w:lineRule="auto"/>
    </w:pPr>
    <w:tblPr>
      <w:tblStyleRowBandSize w:val="1"/>
      <w:tblStyleColBandSize w:val="1"/>
      <w:tblBorders>
        <w:top w:val="single" w:color="5DEFF6" w:themeColor="accent3" w:themeTint="99" w:sz="4" w:space="0"/>
        <w:left w:val="single" w:color="5DEFF6" w:themeColor="accent3" w:themeTint="99" w:sz="4" w:space="0"/>
        <w:bottom w:val="single" w:color="5DEFF6" w:themeColor="accent3" w:themeTint="99" w:sz="4" w:space="0"/>
        <w:right w:val="single" w:color="5DEFF6" w:themeColor="accent3" w:themeTint="99" w:sz="4" w:space="0"/>
        <w:insideH w:val="single" w:color="5DEFF6" w:themeColor="accent3" w:themeTint="99" w:sz="4" w:space="0"/>
        <w:insideV w:val="single" w:color="5DEFF6" w:themeColor="accent3" w:themeTint="99" w:sz="4" w:space="0"/>
      </w:tblBorders>
    </w:tblPr>
    <w:tblStylePr w:type="firstRow">
      <w:rPr>
        <w:b/>
        <w:bCs/>
        <w:color w:themeColor="background1"/>
      </w:rPr>
      <w:tblPr/>
      <w:tcPr>
        <w:tcBorders>
          <w:top w:val="single" w:color="0BD0D9" w:themeColor="accent3" w:sz="4" w:space="0"/>
          <w:left w:val="single" w:color="0BD0D9" w:themeColor="accent3" w:sz="4" w:space="0"/>
          <w:bottom w:val="single" w:color="0BD0D9" w:themeColor="accent3" w:sz="4" w:space="0"/>
          <w:right w:val="single" w:color="0BD0D9" w:themeColor="accent3" w:sz="4" w:space="0"/>
          <w:insideH w:val="nil"/>
          <w:insideV w:val="nil"/>
        </w:tcBorders>
        <w:shd w:val="clear" w:color="auto" w:fill="0BD0D9" w:themeFill="accent3"/>
      </w:tcPr>
    </w:tblStylePr>
    <w:tblStylePr w:type="lastRow">
      <w:rPr>
        <w:b/>
        <w:bCs/>
      </w:rPr>
      <w:tblPr/>
      <w:tcPr>
        <w:tcBorders>
          <w:top w:val="double" w:color="0BD0D9" w:themeColor="accent3" w:sz="4" w:space="0"/>
        </w:tcBorders>
      </w:tcPr>
    </w:tblStylePr>
    <w:tblStylePr w:type="firstCol">
      <w:rPr>
        <w:b/>
        <w:bCs/>
      </w:rPr>
      <w:tblPr/>
    </w:tblStylePr>
    <w:tblStylePr w:type="lastCol">
      <w:rPr>
        <w:b/>
        <w:bCs/>
      </w:rPr>
      <w:tblPr/>
    </w:tblStylePr>
    <w:tblStylePr w:type="band1Vert">
      <w:tblPr/>
      <w:tcPr>
        <w:shd w:val="clear" w:color="auto" w:fill="C9F9FC" w:themeFill="accent3" w:themeFillTint="33"/>
      </w:tcPr>
    </w:tblStylePr>
    <w:tblStylePr w:type="band1Horz">
      <w:tblPr/>
      <w:tcPr>
        <w:shd w:val="clear" w:color="auto" w:fill="C9F9FC" w:themeFill="accent3" w:themeFillTint="33"/>
      </w:tcPr>
    </w:tblStylePr>
  </w:style>
  <w:style w:type="table" w:styleId="GridTable4-Accent5">
    <w:name w:val="Grid Table 4 Accent 5"/>
    <w:basedOn w:val="TableNormal"/>
    <w:uiPriority w:val="49"/>
    <w:rsid w:val="00707558"/>
    <w:pPr>
      <w:spacing w:after="0" w:line="240" w:lineRule="auto"/>
    </w:pPr>
    <w:tblPr>
      <w:tblStyleRowBandSize w:val="1"/>
      <w:tblStyleColBandSize w:val="1"/>
      <w:tblBorders>
        <w:top w:val="single" w:color="B0DFA0" w:themeColor="accent5" w:themeTint="99" w:sz="4" w:space="0"/>
        <w:left w:val="single" w:color="B0DFA0" w:themeColor="accent5" w:themeTint="99" w:sz="4" w:space="0"/>
        <w:bottom w:val="single" w:color="B0DFA0" w:themeColor="accent5" w:themeTint="99" w:sz="4" w:space="0"/>
        <w:right w:val="single" w:color="B0DFA0" w:themeColor="accent5" w:themeTint="99" w:sz="4" w:space="0"/>
        <w:insideH w:val="single" w:color="B0DFA0" w:themeColor="accent5" w:themeTint="99" w:sz="4" w:space="0"/>
        <w:insideV w:val="single" w:color="B0DFA0" w:themeColor="accent5" w:themeTint="99" w:sz="4" w:space="0"/>
      </w:tblBorders>
    </w:tblPr>
    <w:tblStylePr w:type="firstRow">
      <w:rPr>
        <w:b/>
        <w:bCs/>
        <w:color w:themeColor="background1"/>
      </w:rPr>
      <w:tblPr/>
      <w:tcPr>
        <w:tcBorders>
          <w:top w:val="single" w:color="7CCA62" w:themeColor="accent5" w:sz="4" w:space="0"/>
          <w:left w:val="single" w:color="7CCA62" w:themeColor="accent5" w:sz="4" w:space="0"/>
          <w:bottom w:val="single" w:color="7CCA62" w:themeColor="accent5" w:sz="4" w:space="0"/>
          <w:right w:val="single" w:color="7CCA62" w:themeColor="accent5" w:sz="4" w:space="0"/>
          <w:insideH w:val="nil"/>
          <w:insideV w:val="nil"/>
        </w:tcBorders>
        <w:shd w:val="clear" w:color="auto" w:fill="7CCA62" w:themeFill="accent5"/>
      </w:tcPr>
    </w:tblStylePr>
    <w:tblStylePr w:type="lastRow">
      <w:rPr>
        <w:b/>
        <w:bCs/>
      </w:rPr>
      <w:tblPr/>
      <w:tcPr>
        <w:tcBorders>
          <w:top w:val="double" w:color="7CCA62" w:themeColor="accent5" w:sz="4" w:space="0"/>
        </w:tcBorders>
      </w:tcPr>
    </w:tblStylePr>
    <w:tblStylePr w:type="firstCol">
      <w:rPr>
        <w:b/>
        <w:bCs/>
      </w:rPr>
      <w:tblPr/>
    </w:tblStylePr>
    <w:tblStylePr w:type="lastCol">
      <w:rPr>
        <w:b/>
        <w:bCs/>
      </w:rPr>
      <w:tblPr/>
    </w:tblStylePr>
    <w:tblStylePr w:type="band1Vert">
      <w:tblPr/>
      <w:tcPr>
        <w:shd w:val="clear" w:color="auto" w:fill="E4F4DF" w:themeFill="accent5" w:themeFillTint="33"/>
      </w:tcPr>
    </w:tblStylePr>
    <w:tblStylePr w:type="band1Horz">
      <w:tblPr/>
      <w:tcPr>
        <w:shd w:val="clear" w:color="auto" w:fill="E4F4DF" w:themeFill="accent5" w:themeFillTint="33"/>
      </w:tcPr>
    </w:tblStylePr>
  </w:style>
  <w:style w:type="table" w:styleId="GridTable2">
    <w:name w:val="Grid Table 2"/>
    <w:basedOn w:val="TableNormal"/>
    <w:uiPriority w:val="47"/>
    <w:rsid w:val="00707558"/>
    <w:pPr>
      <w:spacing w:after="0" w:line="240" w:lineRule="auto"/>
    </w:pPr>
    <w:tblPr>
      <w:tblStyleRowBandSize w:val="1"/>
      <w:tblStyleColBandSize w:val="1"/>
      <w:tblBorders>
        <w:top w:val="single" w:color="666666" w:themeColor="text1" w:themeTint="99" w:sz="2" w:space="0"/>
        <w:bottom w:val="single" w:color="666666" w:themeColor="text1" w:themeTint="99" w:sz="2" w:space="0"/>
        <w:insideH w:val="single" w:color="666666" w:themeColor="text1" w:themeTint="99" w:sz="2" w:space="0"/>
        <w:insideV w:val="single" w:color="666666" w:themeColor="text1" w:themeTint="99" w:sz="2" w:space="0"/>
      </w:tblBorders>
    </w:tblPr>
    <w:tblStylePr w:type="firstRow">
      <w:rPr>
        <w:b/>
        <w:bCs/>
      </w:rPr>
      <w:tblPr/>
      <w:tcPr>
        <w:tcBorders>
          <w:top w:val="nil"/>
          <w:bottom w:val="single" w:color="666666" w:themeColor="text1" w:sz="12" w:space="0"/>
          <w:insideH w:val="nil"/>
          <w:insideV w:val="nil"/>
        </w:tcBorders>
        <w:shd w:val="clear" w:color="auto" w:fill="FFFFFF" w:themeFill="background1"/>
      </w:tcPr>
    </w:tblStylePr>
    <w:tblStylePr w:type="lastRow">
      <w:rPr>
        <w:b/>
        <w:bCs/>
      </w:rPr>
      <w:tblPr/>
      <w:tcPr>
        <w:tcBorders>
          <w:top w:val="double" w:color="666666" w:themeColor="text1" w:sz="2" w:space="0"/>
          <w:bottom w:val="nil"/>
          <w:insideH w:val="nil"/>
          <w:insideV w:val="nil"/>
        </w:tcBorders>
        <w:shd w:val="clear" w:color="auto" w:fill="FFFFFF" w:themeFill="background1"/>
      </w:tcPr>
    </w:tblStylePr>
    <w:tblStylePr w:type="firstCol">
      <w:rPr>
        <w:b/>
        <w:bCs/>
      </w:rPr>
      <w:tblPr/>
    </w:tblStylePr>
    <w:tblStylePr w:type="lastCol">
      <w:rPr>
        <w:b/>
        <w:bCs/>
      </w:rPr>
      <w:tbl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1Light-Accent1">
    <w:name w:val="Grid Table 1 Light Accent 1"/>
    <w:basedOn w:val="TableNormal"/>
    <w:uiPriority w:val="46"/>
    <w:rsid w:val="008e2a31"/>
    <w:pPr>
      <w:spacing w:after="0" w:line="240" w:lineRule="auto"/>
    </w:pPr>
    <w:tblPr>
      <w:tblStyleRowBandSize w:val="1"/>
      <w:tblStyleColBandSize w:val="1"/>
      <w:tblBorders>
        <w:top w:val="single" w:color="90C5F6" w:themeColor="accent1" w:themeTint="66" w:sz="4" w:space="0"/>
        <w:left w:val="single" w:color="90C5F6" w:themeColor="accent1" w:themeTint="66" w:sz="4" w:space="0"/>
        <w:bottom w:val="single" w:color="90C5F6" w:themeColor="accent1" w:themeTint="66" w:sz="4" w:space="0"/>
        <w:right w:val="single" w:color="90C5F6" w:themeColor="accent1" w:themeTint="66" w:sz="4" w:space="0"/>
        <w:insideH w:val="single" w:color="90C5F6" w:themeColor="accent1" w:themeTint="66" w:sz="4" w:space="0"/>
        <w:insideV w:val="single" w:color="90C5F6" w:themeColor="accent1" w:themeTint="66" w:sz="4" w:space="0"/>
      </w:tblBorders>
    </w:tblPr>
    <w:tblStylePr w:type="firstRow">
      <w:rPr>
        <w:b/>
        <w:bCs/>
      </w:rPr>
      <w:tblPr/>
      <w:tcPr>
        <w:tcBorders>
          <w:bottom w:val="single" w:color="59A9F2" w:themeColor="accent1" w:sz="12" w:space="0"/>
        </w:tcBorders>
      </w:tcPr>
    </w:tblStylePr>
    <w:tblStylePr w:type="lastRow">
      <w:rPr>
        <w:b/>
        <w:bCs/>
      </w:rPr>
      <w:tblPr/>
      <w:tcPr>
        <w:tcBorders>
          <w:top w:val="double" w:color="59A9F2" w:themeColor="accent1" w:sz="2" w:space="0"/>
        </w:tcBorders>
      </w:tcPr>
    </w:tblStylePr>
    <w:tblStylePr w:type="firstCol">
      <w:rPr>
        <w:b/>
        <w:bCs/>
      </w:rPr>
      <w:tblPr/>
    </w:tblStylePr>
    <w:tblStylePr w:type="lastCol">
      <w:rPr>
        <w:b/>
        <w:bCs/>
      </w:rPr>
      <w:tblPr/>
    </w:tblStylePr>
  </w:style>
  <w:style w:type="table" w:styleId="ListTable1Light">
    <w:name w:val="List Table 1 Light"/>
    <w:basedOn w:val="TableNormal"/>
    <w:uiPriority w:val="46"/>
    <w:rsid w:val="008e2a31"/>
    <w:pPr>
      <w:spacing w:after="0" w:line="240" w:lineRule="auto"/>
    </w:pPr>
    <w:tblPr>
      <w:tblStyleRowBandSize w:val="1"/>
      <w:tblStyleColBandSize w:val="1"/>
    </w:tblPr>
    <w:tblStylePr w:type="firstRow">
      <w:rPr>
        <w:b/>
        <w:bCs/>
      </w:rPr>
      <w:tblPr/>
      <w:tcPr>
        <w:tcBorders>
          <w:bottom w:val="single" w:color="666666" w:themeColor="text1" w:sz="4" w:space="0"/>
        </w:tcBorders>
      </w:tcPr>
    </w:tblStylePr>
    <w:tblStylePr w:type="lastRow">
      <w:rPr>
        <w:b/>
        <w:bCs/>
      </w:rPr>
      <w:tblPr/>
      <w:tcPr>
        <w:tcBorders>
          <w:top w:val="single" w:color="666666" w:themeColor="text1" w:sz="4" w:space="0"/>
        </w:tcBorders>
      </w:tcPr>
    </w:tblStylePr>
    <w:tblStylePr w:type="firstCol">
      <w:rPr>
        <w:b/>
        <w:bCs/>
      </w:rPr>
      <w:tblPr/>
    </w:tblStylePr>
    <w:tblStylePr w:type="lastCol">
      <w:rPr>
        <w:b/>
        <w:bCs/>
      </w:rPr>
      <w:tbl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8d64e3"/>
    <w:pPr>
      <w:spacing w:after="0" w:line="240" w:lineRule="auto"/>
    </w:pPr>
    <w:tblPr>
      <w:tblStyleRowBandSize w:val="1"/>
      <w:tblStyleColBandSize w:val="1"/>
    </w:tblPr>
    <w:tblStylePr w:type="firstRow">
      <w:rPr>
        <w:b/>
        <w:bCs/>
        <w:caps/>
      </w:rPr>
      <w:tblPr/>
      <w:tcPr>
        <w:tcBorders>
          <w:bottom w:val="single" w:color="7F7F7F" w:themeColor="text1"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chart" Target="charts/chart1.xml"/><Relationship Id="rId11" Type="http://schemas.openxmlformats.org/officeDocument/2006/relationships/chart" Target="charts/chart2.xml"/><Relationship Id="rId12" Type="http://schemas.openxmlformats.org/officeDocument/2006/relationships/chart" Target="charts/chart3.xml"/><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chart" Target="charts/chart4.xml"/><Relationship Id="rId16" Type="http://schemas.openxmlformats.org/officeDocument/2006/relationships/chart" Target="charts/chart5.xml"/><Relationship Id="rId17" Type="http://schemas.openxmlformats.org/officeDocument/2006/relationships/chart" Target="charts/chart6.xml"/><Relationship Id="rId18" Type="http://schemas.openxmlformats.org/officeDocument/2006/relationships/chart" Target="charts/chart7.xml"/><Relationship Id="rId19" Type="http://schemas.openxmlformats.org/officeDocument/2006/relationships/chart" Target="charts/chart8.xml"/><Relationship Id="rId20" Type="http://schemas.openxmlformats.org/officeDocument/2006/relationships/chart" Target="charts/chart9.xml"/><Relationship Id="rId21" Type="http://schemas.openxmlformats.org/officeDocument/2006/relationships/chart" Target="charts/chart10.xml"/><Relationship Id="rId22" Type="http://schemas.openxmlformats.org/officeDocument/2006/relationships/chart" Target="charts/chart11.xml"/><Relationship Id="rId23" Type="http://schemas.openxmlformats.org/officeDocument/2006/relationships/chart" Target="charts/chart12.xml"/><Relationship Id="rId24" Type="http://schemas.openxmlformats.org/officeDocument/2006/relationships/image" Target="media/image8.png"/><Relationship Id="rId25" Type="http://schemas.openxmlformats.org/officeDocument/2006/relationships/header" Target="header1.xml"/><Relationship Id="rId26" Type="http://schemas.openxmlformats.org/officeDocument/2006/relationships/header" Target="header2.xml"/><Relationship Id="rId27" Type="http://schemas.openxmlformats.org/officeDocument/2006/relationships/header" Target="header3.xml"/><Relationship Id="rId28" Type="http://schemas.openxmlformats.org/officeDocument/2006/relationships/footer" Target="footer4.xml"/><Relationship Id="rId29" Type="http://schemas.openxmlformats.org/officeDocument/2006/relationships/footer" Target="footer5.xml"/><Relationship Id="rId30" Type="http://schemas.openxmlformats.org/officeDocument/2006/relationships/footer" Target="footer6.xml"/><Relationship Id="rId31" Type="http://schemas.openxmlformats.org/officeDocument/2006/relationships/numbering" Target="numbering.xml"/><Relationship Id="rId32" Type="http://schemas.openxmlformats.org/officeDocument/2006/relationships/fontTable" Target="fontTable.xml"/><Relationship Id="rId33" Type="http://schemas.openxmlformats.org/officeDocument/2006/relationships/settings" Target="settings.xml"/><Relationship Id="rId34" Type="http://schemas.openxmlformats.org/officeDocument/2006/relationships/theme" Target="theme/theme1.xml"/><Relationship Id="rId35" Type="http://schemas.openxmlformats.org/officeDocument/2006/relationships/glossaryDocument" Target="glossary/document.xml"/><Relationship Id="rId36" Type="http://schemas.openxmlformats.org/officeDocument/2006/relationships/customXml" Target="../customXml/item1.xml"/>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Series1</c:v>
                </c:pt>
              </c:strCache>
            </c:strRef>
          </c:tx>
          <c:spPr>
            <a:solidFill>
              <a:srgbClr val="0f6fc6"/>
            </a:solidFill>
            <a:ln w="0">
              <a:noFill/>
            </a:ln>
          </c:spPr>
          <c:explosion val="0"/>
          <c:dPt>
            <c:idx val="0"/>
            <c:spPr>
              <a:solidFill>
                <a:srgbClr val="0f6fc6"/>
              </a:solidFill>
              <a:ln w="19080">
                <a:solidFill>
                  <a:srgbClr val="ffffff"/>
                </a:solidFill>
                <a:round/>
              </a:ln>
            </c:spPr>
          </c:dPt>
          <c:dPt>
            <c:idx val="1"/>
            <c:spPr>
              <a:solidFill>
                <a:srgbClr val="009dd9"/>
              </a:solidFill>
              <a:ln w="19080">
                <a:solidFill>
                  <a:srgbClr val="ffffff"/>
                </a:solidFill>
                <a:round/>
              </a:ln>
            </c:spPr>
          </c:dPt>
          <c:dLbls>
            <c:dLbl>
              <c:idx val="0"/>
              <c:txPr>
                <a:bodyPr wrap="square"/>
                <a:lstStyle/>
                <a:p>
                  <a:pPr>
                    <a:defRPr b="0" sz="900" strike="noStrike" u="none">
                      <a:solidFill>
                        <a:srgbClr val="404040"/>
                      </a:solidFill>
                      <a:uFillTx/>
                      <a:latin typeface="Calibri"/>
                    </a:defRPr>
                  </a:pPr>
                </a:p>
              </c:txPr>
              <c:dLblPos val="ctr"/>
              <c:showLegendKey val="0"/>
              <c:showVal val="0"/>
              <c:showCatName val="0"/>
              <c:showSerName val="0"/>
              <c:showPercent val="1"/>
              <c:separator>
</c:separator>
            </c:dLbl>
            <c:dLbl>
              <c:idx val="1"/>
              <c:txPr>
                <a:bodyPr wrap="square"/>
                <a:lstStyle/>
                <a:p>
                  <a:pPr>
                    <a:defRPr b="0" sz="900" strike="noStrike" u="none">
                      <a:solidFill>
                        <a:srgbClr val="404040"/>
                      </a:solidFill>
                      <a:uFillTx/>
                      <a:latin typeface="Calibri"/>
                    </a:defRPr>
                  </a:pPr>
                </a:p>
              </c:txPr>
              <c:dLblPos val="ctr"/>
              <c:showLegendKey val="0"/>
              <c:showVal val="0"/>
              <c:showCatName val="0"/>
              <c:showSerName val="0"/>
              <c:showPercent val="1"/>
              <c:separator>
</c:separator>
            </c:dLbl>
            <c:txPr>
              <a:bodyPr wrap="square"/>
              <a:lstStyle/>
              <a:p>
                <a:pPr>
                  <a:defRPr b="0" sz="900" strike="noStrike" u="none">
                    <a:solidFill>
                      <a:srgbClr val="404040"/>
                    </a:solidFill>
                    <a:uFillTx/>
                    <a:latin typeface="Calibri"/>
                  </a:defRPr>
                </a:pPr>
              </a:p>
            </c:txPr>
            <c:dLblPos val="ctr"/>
            <c:showLegendKey val="0"/>
            <c:showVal val="0"/>
            <c:showCatName val="0"/>
            <c:showSerName val="0"/>
            <c:showPercent val="1"/>
            <c:separator>
</c:separator>
            <c:showLeaderLines val="1"/>
            <c:leaderLines>
              <c:spPr>
                <a:ln w="0">
                  <a:solidFill>
                    <a:srgbClr val="a6a6a6"/>
                  </a:solidFill>
                </a:ln>
              </c:spPr>
            </c:leaderLines>
          </c:dLbls>
          <c:cat>
            <c:strRef>
              <c:f>categories</c:f>
              <c:strCache>
                <c:ptCount val="2"/>
                <c:pt idx="0">
                  <c:v>Hombres</c:v>
                </c:pt>
                <c:pt idx="1">
                  <c:v>Mujeres</c:v>
                </c:pt>
              </c:strCache>
            </c:strRef>
          </c:cat>
          <c:val>
            <c:numRef>
              <c:f>0</c:f>
              <c:numCache>
                <c:formatCode>General</c:formatCode>
                <c:ptCount val="2"/>
                <c:pt idx="0">
                  <c:v>71</c:v>
                </c:pt>
                <c:pt idx="1">
                  <c:v>89</c:v>
                </c:pt>
              </c:numCache>
            </c:numRef>
          </c:val>
        </c:ser>
        <c:firstSliceAng val="0"/>
      </c:pieChart>
      <c:spPr>
        <a:noFill/>
        <a:ln w="0">
          <a:noFill/>
        </a:ln>
      </c:spPr>
    </c:plotArea>
    <c:legend>
      <c:legendPos val="b"/>
      <c:overlay val="0"/>
      <c:spPr>
        <a:noFill/>
        <a:ln w="0">
          <a:noFill/>
        </a:ln>
      </c:spPr>
      <c:txPr>
        <a:bodyPr/>
        <a:lstStyle/>
        <a:p>
          <a:pPr>
            <a:defRPr b="0" sz="900" strike="noStrike" u="none">
              <a:solidFill>
                <a:srgbClr val="595959"/>
              </a:solidFill>
              <a:uFillTx/>
              <a:latin typeface="Calibri"/>
            </a:defRPr>
          </a:pPr>
        </a:p>
      </c:txPr>
    </c:legend>
    <c:plotVisOnly val="1"/>
    <c:dispBlanksAs val="gap"/>
  </c:chart>
  <c:spPr>
    <a:solidFill>
      <a:srgbClr val="ffffff"/>
    </a:solidFill>
    <a:ln w="9360">
      <a:solidFill>
        <a:srgbClr val="d9d9d9"/>
      </a:solidFill>
      <a:round/>
    </a:ln>
  </c:spPr>
</c:chartSpace>
</file>

<file path=word/charts/chart10.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Conocimiento de técnica HIPEC implementada en la CCSS</c:v>
                </c:pt>
              </c:strCache>
            </c:strRef>
          </c:tx>
          <c:spPr>
            <a:solidFill>
              <a:srgbClr val="0f6fc6"/>
            </a:solidFill>
            <a:ln w="0">
              <a:noFill/>
            </a:ln>
          </c:spPr>
          <c:explosion val="0"/>
          <c:dPt>
            <c:idx val="0"/>
            <c:spPr>
              <a:solidFill>
                <a:srgbClr val="0f6fc6"/>
              </a:solidFill>
              <a:ln w="19080">
                <a:solidFill>
                  <a:srgbClr val="ffffff"/>
                </a:solidFill>
                <a:round/>
              </a:ln>
            </c:spPr>
          </c:dPt>
          <c:dPt>
            <c:idx val="1"/>
            <c:spPr>
              <a:solidFill>
                <a:srgbClr val="009dd9"/>
              </a:solidFill>
              <a:ln w="19080">
                <a:solidFill>
                  <a:srgbClr val="ffffff"/>
                </a:solidFill>
                <a:round/>
              </a:ln>
            </c:spPr>
          </c:dPt>
          <c:dLbls>
            <c:dLbl>
              <c:idx val="0"/>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dLbl>
              <c:idx val="1"/>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showLeaderLines val="1"/>
            <c:leaderLines>
              <c:spPr>
                <a:ln w="0">
                  <a:solidFill>
                    <a:srgbClr val="a6a6a6"/>
                  </a:solidFill>
                </a:ln>
              </c:spPr>
            </c:leaderLines>
          </c:dLbls>
          <c:cat>
            <c:strRef>
              <c:f>categories</c:f>
              <c:strCache>
                <c:ptCount val="2"/>
                <c:pt idx="0">
                  <c:v>Sí </c:v>
                </c:pt>
                <c:pt idx="1">
                  <c:v>No </c:v>
                </c:pt>
              </c:strCache>
            </c:strRef>
          </c:cat>
          <c:val>
            <c:numRef>
              <c:f>0</c:f>
              <c:numCache>
                <c:formatCode>General</c:formatCode>
                <c:ptCount val="2"/>
                <c:pt idx="0">
                  <c:v>12</c:v>
                </c:pt>
                <c:pt idx="1">
                  <c:v>23</c:v>
                </c:pt>
              </c:numCache>
            </c:numRef>
          </c:val>
        </c:ser>
        <c:firstSliceAng val="0"/>
      </c:pieChart>
      <c:spPr>
        <a:noFill/>
        <a:ln w="0">
          <a:noFill/>
        </a:ln>
      </c:spPr>
    </c:plotArea>
    <c:legend>
      <c:legendPos val="b"/>
      <c:overlay val="0"/>
      <c:spPr>
        <a:noFill/>
        <a:ln w="0">
          <a:noFill/>
        </a:ln>
      </c:spPr>
      <c:txPr>
        <a:bodyPr/>
        <a:lstStyle/>
        <a:p>
          <a:pPr>
            <a:defRPr b="0" sz="1050" strike="noStrike" u="none">
              <a:solidFill>
                <a:srgbClr val="595959"/>
              </a:solidFill>
              <a:uFillTx/>
              <a:latin typeface="Calibri"/>
            </a:defRPr>
          </a:pPr>
        </a:p>
      </c:txPr>
    </c:legend>
    <c:plotVisOnly val="1"/>
    <c:dispBlanksAs val="gap"/>
  </c:chart>
  <c:spPr>
    <a:solidFill>
      <a:srgbClr val="ffffff"/>
    </a:solidFill>
    <a:ln w="9360">
      <a:solidFill>
        <a:srgbClr val="d9d9d9"/>
      </a:solidFill>
      <a:round/>
    </a:ln>
  </c:spPr>
</c:chartSpace>
</file>

<file path=word/charts/chart1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Consideración de los profesionales encuestados sobre la viabilidad de implementar HIPEC</c:v>
                </c:pt>
              </c:strCache>
            </c:strRef>
          </c:tx>
          <c:spPr>
            <a:solidFill>
              <a:srgbClr val="0f6fc6"/>
            </a:solidFill>
            <a:ln w="0">
              <a:noFill/>
            </a:ln>
          </c:spPr>
          <c:explosion val="0"/>
          <c:dPt>
            <c:idx val="0"/>
            <c:spPr>
              <a:solidFill>
                <a:srgbClr val="0f6fc6"/>
              </a:solidFill>
              <a:ln w="19080">
                <a:solidFill>
                  <a:srgbClr val="ffffff"/>
                </a:solidFill>
                <a:round/>
              </a:ln>
            </c:spPr>
          </c:dPt>
          <c:dPt>
            <c:idx val="1"/>
            <c:spPr>
              <a:solidFill>
                <a:srgbClr val="009dd9"/>
              </a:solidFill>
              <a:ln w="19080">
                <a:solidFill>
                  <a:srgbClr val="ffffff"/>
                </a:solidFill>
                <a:round/>
              </a:ln>
            </c:spPr>
          </c:dPt>
          <c:dLbls>
            <c:dLbl>
              <c:idx val="0"/>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dLbl>
              <c:idx val="1"/>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showLeaderLines val="1"/>
            <c:leaderLines>
              <c:spPr>
                <a:ln w="0">
                  <a:solidFill>
                    <a:srgbClr val="a6a6a6"/>
                  </a:solidFill>
                </a:ln>
              </c:spPr>
            </c:leaderLines>
          </c:dLbls>
          <c:cat>
            <c:strRef>
              <c:f>categories</c:f>
              <c:strCache>
                <c:ptCount val="2"/>
                <c:pt idx="0">
                  <c:v>Sí </c:v>
                </c:pt>
                <c:pt idx="1">
                  <c:v>No </c:v>
                </c:pt>
              </c:strCache>
            </c:strRef>
          </c:cat>
          <c:val>
            <c:numRef>
              <c:f>0</c:f>
              <c:numCache>
                <c:formatCode>General</c:formatCode>
                <c:ptCount val="2"/>
                <c:pt idx="0">
                  <c:v>20</c:v>
                </c:pt>
                <c:pt idx="1">
                  <c:v>15</c:v>
                </c:pt>
              </c:numCache>
            </c:numRef>
          </c:val>
        </c:ser>
        <c:firstSliceAng val="0"/>
      </c:pieChart>
      <c:spPr>
        <a:noFill/>
        <a:ln w="0">
          <a:noFill/>
        </a:ln>
      </c:spPr>
    </c:plotArea>
    <c:legend>
      <c:legendPos val="b"/>
      <c:overlay val="0"/>
      <c:spPr>
        <a:noFill/>
        <a:ln w="0">
          <a:noFill/>
        </a:ln>
      </c:spPr>
      <c:txPr>
        <a:bodyPr/>
        <a:lstStyle/>
        <a:p>
          <a:pPr>
            <a:defRPr b="0" sz="1050" strike="noStrike" u="none">
              <a:solidFill>
                <a:srgbClr val="595959"/>
              </a:solidFill>
              <a:uFillTx/>
              <a:latin typeface="Calibri"/>
            </a:defRPr>
          </a:pPr>
        </a:p>
      </c:txPr>
    </c:legend>
    <c:plotVisOnly val="1"/>
    <c:dispBlanksAs val="gap"/>
  </c:chart>
  <c:spPr>
    <a:solidFill>
      <a:srgbClr val="ffffff"/>
    </a:solidFill>
    <a:ln w="9360">
      <a:solidFill>
        <a:srgbClr val="d9d9d9"/>
      </a:solidFill>
      <a:round/>
    </a:ln>
  </c:spPr>
</c:chartSpace>
</file>

<file path=word/charts/chart12.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bar"/>
        <c:grouping val="clustered"/>
        <c:varyColors val="0"/>
        <c:ser>
          <c:idx val="0"/>
          <c:order val="0"/>
          <c:tx>
            <c:strRef>
              <c:f>label 0</c:f>
              <c:strCache>
                <c:ptCount val="1"/>
                <c:pt idx="0">
                  <c:v>Series1</c:v>
                </c:pt>
              </c:strCache>
            </c:strRef>
          </c:tx>
          <c:spPr>
            <a:solidFill>
              <a:srgbClr val="0f6fc6"/>
            </a:solidFill>
            <a:ln w="0">
              <a:noFill/>
            </a:ln>
          </c:spPr>
          <c:invertIfNegative val="0"/>
          <c:dLbls>
            <c:numFmt formatCode="0.00%" sourceLinked="0"/>
            <c:txPr>
              <a:bodyPr wrap="square"/>
              <a:lstStyle/>
              <a:p>
                <a:pPr>
                  <a:defRPr b="0" sz="900" strike="noStrike" u="none">
                    <a:solidFill>
                      <a:srgbClr val="595959"/>
                    </a:solidFill>
                    <a:uFillTx/>
                    <a:latin typeface="Calibri"/>
                  </a:defRPr>
                </a:pPr>
              </a:p>
            </c:txPr>
            <c:dLblPos val="outEnd"/>
            <c:showLegendKey val="0"/>
            <c:showVal val="1"/>
            <c:showCatName val="0"/>
            <c:showSerName val="0"/>
            <c:showPercent val="0"/>
            <c:separator>; </c:separator>
            <c:showLeaderLines val="1"/>
            <c:leaderLines>
              <c:spPr>
                <a:ln w="0">
                  <a:solidFill>
                    <a:srgbClr val="000000"/>
                  </a:solidFill>
                </a:ln>
              </c:spPr>
            </c:leaderLines>
            <c:extLst>
              <c:ext xmlns:c15="http://schemas.microsoft.com/office/drawing/2012/chart" uri="{CE6537A1-D6FC-4f65-9D91-7224C49458BB}">
                <c15:showLeaderLines val="1"/>
              </c:ext>
            </c:extLst>
          </c:dLbls>
          <c:cat>
            <c:strRef>
              <c:f>categories</c:f>
              <c:strCache>
                <c:ptCount val="4"/>
                <c:pt idx="0">
                  <c:v>Recurso humano especializado </c:v>
                </c:pt>
                <c:pt idx="1">
                  <c:v>Recursos (equipo)</c:v>
                </c:pt>
                <c:pt idx="2">
                  <c:v>Volumen de casos</c:v>
                </c:pt>
                <c:pt idx="3">
                  <c:v>Otros</c:v>
                </c:pt>
              </c:strCache>
            </c:strRef>
          </c:cat>
          <c:val>
            <c:numRef>
              <c:f>0</c:f>
              <c:numCache>
                <c:formatCode>General</c:formatCode>
                <c:ptCount val="4"/>
                <c:pt idx="0">
                  <c:v>0.285</c:v>
                </c:pt>
                <c:pt idx="1">
                  <c:v>0.315</c:v>
                </c:pt>
                <c:pt idx="2">
                  <c:v>0.115</c:v>
                </c:pt>
                <c:pt idx="3">
                  <c:v>0.285</c:v>
                </c:pt>
              </c:numCache>
            </c:numRef>
          </c:val>
        </c:ser>
        <c:gapWidth val="6"/>
        <c:overlap val="0"/>
        <c:axId val="70140144"/>
        <c:axId val="88201939"/>
      </c:barChart>
      <c:catAx>
        <c:axId val="70140144"/>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b="0" sz="900" strike="noStrike" u="none">
                <a:solidFill>
                  <a:srgbClr val="595959"/>
                </a:solidFill>
                <a:uFillTx/>
                <a:latin typeface="Calibri"/>
              </a:defRPr>
            </a:pPr>
          </a:p>
        </c:txPr>
        <c:crossAx val="88201939"/>
        <c:crosses val="autoZero"/>
        <c:auto val="1"/>
        <c:lblAlgn val="ctr"/>
        <c:lblOffset val="100"/>
        <c:noMultiLvlLbl val="0"/>
      </c:catAx>
      <c:valAx>
        <c:axId val="88201939"/>
        <c:scaling>
          <c:orientation val="minMax"/>
        </c:scaling>
        <c:delete val="1"/>
        <c:axPos val="l"/>
        <c:majorGridlines>
          <c:spPr>
            <a:ln w="9360">
              <a:solidFill>
                <a:srgbClr val="d9d9d9"/>
              </a:solidFill>
              <a:round/>
            </a:ln>
          </c:spPr>
        </c:majorGridlines>
        <c:numFmt formatCode="0.00%" sourceLinked="1"/>
        <c:majorTickMark val="none"/>
        <c:minorTickMark val="none"/>
        <c:tickLblPos val="nextTo"/>
        <c:spPr>
          <a:ln w="9360">
            <a:solidFill>
              <a:srgbClr val="878787"/>
            </a:solidFill>
            <a:round/>
          </a:ln>
        </c:spPr>
        <c:txPr>
          <a:bodyPr/>
          <a:lstStyle/>
          <a:p>
            <a:pPr>
              <a:defRPr b="0" sz="1000" strike="noStrike" u="none">
                <a:solidFill>
                  <a:srgbClr val="000000"/>
                </a:solidFill>
                <a:uFillTx/>
                <a:latin typeface="Calibri"/>
              </a:defRPr>
            </a:pPr>
          </a:p>
        </c:txPr>
        <c:crossAx val="70140144"/>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0" sz="1300" strike="noStrike" u="none">
                <a:uFillTx/>
                <a:latin typeface="Arial"/>
              </a:defRPr>
            </a:pPr>
            <a:r>
              <a:rPr b="0" lang="es-MX" sz="1400" strike="noStrike" u="none">
                <a:solidFill>
                  <a:srgbClr val="595959"/>
                </a:solidFill>
                <a:uFillTx/>
                <a:latin typeface="Calibri"/>
              </a:rPr>
              <a:t>Subtipos Histológicos de Cáncer Apendicular en Población Masculina</a:t>
            </a:r>
            <a:r>
              <a:rPr b="0" lang="es-MX" sz="1400" strike="noStrike" u="none">
                <a:solidFill>
                  <a:srgbClr val="595959"/>
                </a:solidFill>
                <a:uFillTx/>
                <a:latin typeface="Calibri"/>
              </a:rPr>
              <a:t> en CR durante el 2000-2022</a:t>
            </a:r>
          </a:p>
        </c:rich>
      </c:tx>
      <c:overlay val="0"/>
      <c:spPr>
        <a:noFill/>
        <a:ln w="0">
          <a:noFill/>
        </a:ln>
      </c:spPr>
    </c:title>
    <c:autoTitleDeleted val="0"/>
    <c:plotArea>
      <c:barChart>
        <c:barDir val="col"/>
        <c:grouping val="clustered"/>
        <c:varyColors val="0"/>
        <c:ser>
          <c:idx val="0"/>
          <c:order val="0"/>
          <c:tx>
            <c:strRef>
              <c:f>label 0</c:f>
              <c:strCache>
                <c:ptCount val="1"/>
                <c:pt idx="0">
                  <c:v>Series1</c:v>
                </c:pt>
              </c:strCache>
            </c:strRef>
          </c:tx>
          <c:spPr>
            <a:solidFill>
              <a:srgbClr val="0f6fc6"/>
            </a:solidFill>
            <a:ln w="0">
              <a:noFill/>
            </a:ln>
          </c:spPr>
          <c:invertIfNegative val="0"/>
          <c:dPt>
            <c:idx val="0"/>
            <c:invertIfNegative val="0"/>
            <c:spPr>
              <a:solidFill>
                <a:srgbClr val="0f6fc6"/>
              </a:solidFill>
              <a:ln w="0">
                <a:noFill/>
              </a:ln>
            </c:spPr>
          </c:dPt>
          <c:dPt>
            <c:idx val="1"/>
            <c:invertIfNegative val="0"/>
            <c:spPr>
              <a:solidFill>
                <a:srgbClr val="0f6fc6"/>
              </a:solidFill>
              <a:ln w="0">
                <a:noFill/>
              </a:ln>
            </c:spPr>
          </c:dPt>
          <c:dPt>
            <c:idx val="2"/>
            <c:invertIfNegative val="0"/>
            <c:spPr>
              <a:solidFill>
                <a:srgbClr val="0f6fc6"/>
              </a:solidFill>
              <a:ln w="0">
                <a:noFill/>
              </a:ln>
            </c:spPr>
          </c:dPt>
          <c:dPt>
            <c:idx val="3"/>
            <c:invertIfNegative val="0"/>
            <c:spPr>
              <a:solidFill>
                <a:srgbClr val="0f6fc6"/>
              </a:solidFill>
              <a:ln w="0">
                <a:noFill/>
              </a:ln>
            </c:spPr>
          </c:dPt>
          <c:dPt>
            <c:idx val="4"/>
            <c:invertIfNegative val="0"/>
            <c:spPr>
              <a:solidFill>
                <a:srgbClr val="0f6fc6"/>
              </a:solidFill>
              <a:ln w="0">
                <a:noFill/>
              </a:ln>
            </c:spPr>
          </c:dPt>
          <c:dPt>
            <c:idx val="5"/>
            <c:invertIfNegative val="0"/>
            <c:spPr>
              <a:solidFill>
                <a:srgbClr val="0f6fc6"/>
              </a:solidFill>
              <a:ln w="0">
                <a:noFill/>
              </a:ln>
            </c:spPr>
          </c:dPt>
          <c:dPt>
            <c:idx val="6"/>
            <c:invertIfNegative val="0"/>
            <c:spPr>
              <a:solidFill>
                <a:srgbClr val="0f6fc6"/>
              </a:solidFill>
              <a:ln w="0">
                <a:noFill/>
              </a:ln>
            </c:spPr>
          </c:dPt>
          <c:dPt>
            <c:idx val="7"/>
            <c:invertIfNegative val="0"/>
            <c:spPr>
              <a:solidFill>
                <a:srgbClr val="0f6fc6"/>
              </a:solidFill>
              <a:ln w="0">
                <a:noFill/>
              </a:ln>
            </c:spPr>
          </c:dPt>
          <c:dPt>
            <c:idx val="8"/>
            <c:invertIfNegative val="0"/>
            <c:spPr>
              <a:solidFill>
                <a:srgbClr val="0f6fc6"/>
              </a:solidFill>
              <a:ln w="0">
                <a:noFill/>
              </a:ln>
            </c:spPr>
          </c:dPt>
          <c:dPt>
            <c:idx val="9"/>
            <c:invertIfNegative val="0"/>
            <c:spPr>
              <a:solidFill>
                <a:srgbClr val="0f6fc6"/>
              </a:solidFill>
              <a:ln w="0">
                <a:noFill/>
              </a:ln>
            </c:spPr>
          </c:dPt>
          <c:dPt>
            <c:idx val="10"/>
            <c:invertIfNegative val="0"/>
            <c:spPr>
              <a:solidFill>
                <a:srgbClr val="0f6fc6"/>
              </a:solidFill>
              <a:ln w="0">
                <a:noFill/>
              </a:ln>
            </c:spPr>
          </c:dPt>
          <c:dPt>
            <c:idx val="11"/>
            <c:invertIfNegative val="0"/>
            <c:spPr>
              <a:solidFill>
                <a:srgbClr val="0f6fc6"/>
              </a:solidFill>
              <a:ln w="0">
                <a:noFill/>
              </a:ln>
            </c:spPr>
          </c:dPt>
          <c:dPt>
            <c:idx val="12"/>
            <c:invertIfNegative val="0"/>
            <c:spPr>
              <a:solidFill>
                <a:srgbClr val="0f6fc6"/>
              </a:solidFill>
              <a:ln w="0">
                <a:noFill/>
              </a:ln>
            </c:spPr>
          </c:dPt>
          <c:dLbls>
            <c:dLbl>
              <c:idx val="0"/>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1"/>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2"/>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3"/>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4"/>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5"/>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6"/>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7"/>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8"/>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9"/>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10"/>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11"/>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dLbl>
              <c:idx val="12"/>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dLbl>
            <c:txPr>
              <a:bodyPr wrap="square"/>
              <a:lstStyle/>
              <a:p>
                <a:pPr>
                  <a:defRPr b="0" sz="900" strike="noStrike" u="none">
                    <a:solidFill>
                      <a:srgbClr val="404040"/>
                    </a:solidFill>
                    <a:uFillTx/>
                    <a:latin typeface="Calibri"/>
                  </a:defRPr>
                </a:pPr>
              </a:p>
            </c:txPr>
            <c:dLblPos val="outEnd"/>
            <c:showLegendKey val="0"/>
            <c:showVal val="0"/>
            <c:showCatName val="0"/>
            <c:showSerName val="0"/>
            <c:showPercent val="0"/>
            <c:separator>; </c:separator>
            <c:showLeaderLines val="1"/>
            <c:leaderLines>
              <c:spPr>
                <a:ln w="0">
                  <a:solidFill>
                    <a:srgbClr val="000000"/>
                  </a:solidFill>
                </a:ln>
              </c:spPr>
            </c:leaderLines>
            <c:extLst>
              <c:ext xmlns:c15="http://schemas.microsoft.com/office/drawing/2012/chart" uri="{CE6537A1-D6FC-4f65-9D91-7224C49458BB}">
                <c15:showLeaderLines val="1"/>
              </c:ext>
            </c:extLst>
          </c:dLbls>
          <c:cat>
            <c:strRef>
              <c:f>categories</c:f>
              <c:strCache>
                <c:ptCount val="13"/>
                <c:pt idx="0">
                  <c:v>Neoplasia maligna SAI</c:v>
                </c:pt>
                <c:pt idx="1">
                  <c:v>Carcinoma SAI</c:v>
                </c:pt>
                <c:pt idx="2">
                  <c:v>Carcinoma neuroendocrino de células grandes</c:v>
                </c:pt>
                <c:pt idx="3">
                  <c:v>Carcinoma papilar, SAI</c:v>
                </c:pt>
                <c:pt idx="4">
                  <c:v>Adenocarcinoma, SAI</c:v>
                </c:pt>
                <c:pt idx="5">
                  <c:v>Adenocarcinoma, tipo intestinal</c:v>
                </c:pt>
                <c:pt idx="6">
                  <c:v>Adenocarcinoma tubular</c:v>
                </c:pt>
                <c:pt idx="7">
                  <c:v>Carcinoma de células caliciformes</c:v>
                </c:pt>
                <c:pt idx="8">
                  <c:v>Tumor adenocarcinoide</c:v>
                </c:pt>
                <c:pt idx="9">
                  <c:v>Carcinoma neuroendocrino, SAI</c:v>
                </c:pt>
                <c:pt idx="10">
                  <c:v>Adenocarcinoma en adenoma velloso</c:v>
                </c:pt>
                <c:pt idx="11">
                  <c:v>Adenocarcinoma en adenoma tubulovelloso</c:v>
                </c:pt>
                <c:pt idx="12">
                  <c:v>Adenocarcinoma mucinoso</c:v>
                </c:pt>
              </c:strCache>
            </c:strRef>
          </c:cat>
          <c:val>
            <c:numRef>
              <c:f>0</c:f>
              <c:numCache>
                <c:formatCode>General</c:formatCode>
                <c:ptCount val="13"/>
                <c:pt idx="0">
                  <c:v>13</c:v>
                </c:pt>
                <c:pt idx="1">
                  <c:v>1</c:v>
                </c:pt>
                <c:pt idx="2">
                  <c:v>3</c:v>
                </c:pt>
                <c:pt idx="3">
                  <c:v>1</c:v>
                </c:pt>
                <c:pt idx="4">
                  <c:v>22</c:v>
                </c:pt>
                <c:pt idx="5">
                  <c:v>1</c:v>
                </c:pt>
                <c:pt idx="6">
                  <c:v>2</c:v>
                </c:pt>
                <c:pt idx="7">
                  <c:v>1</c:v>
                </c:pt>
                <c:pt idx="8">
                  <c:v>2</c:v>
                </c:pt>
                <c:pt idx="9">
                  <c:v>8</c:v>
                </c:pt>
                <c:pt idx="10">
                  <c:v>1</c:v>
                </c:pt>
                <c:pt idx="11">
                  <c:v>3</c:v>
                </c:pt>
                <c:pt idx="12">
                  <c:v>13</c:v>
                </c:pt>
              </c:numCache>
            </c:numRef>
          </c:val>
        </c:ser>
        <c:gapWidth val="219"/>
        <c:overlap val="-27"/>
        <c:axId val="32317132"/>
        <c:axId val="27856922"/>
      </c:barChart>
      <c:catAx>
        <c:axId val="32317132"/>
        <c:scaling>
          <c:orientation val="minMax"/>
        </c:scaling>
        <c:delete val="0"/>
        <c:axPos val="b"/>
        <c:title>
          <c:tx>
            <c:rich>
              <a:bodyPr rot="0"/>
              <a:lstStyle/>
              <a:p>
                <a:pPr>
                  <a:defRPr b="0" sz="1300" strike="noStrike" u="none">
                    <a:uFillTx/>
                    <a:latin typeface="Arial"/>
                  </a:defRPr>
                </a:pPr>
                <a:r>
                  <a:rPr b="0" lang="es-MX" sz="1000" strike="noStrike" u="none">
                    <a:solidFill>
                      <a:srgbClr val="595959"/>
                    </a:solidFill>
                    <a:uFillTx/>
                    <a:latin typeface="Calibri"/>
                  </a:rPr>
                  <a:t>Subtipo</a:t>
                </a:r>
              </a:p>
            </c:rich>
          </c:tx>
          <c:overlay val="0"/>
          <c:spPr>
            <a:noFill/>
            <a:ln w="0">
              <a:noFill/>
            </a:ln>
          </c:spPr>
        </c:title>
        <c:numFmt formatCode="General" sourceLinked="0"/>
        <c:majorTickMark val="none"/>
        <c:minorTickMark val="none"/>
        <c:tickLblPos val="nextTo"/>
        <c:spPr>
          <a:ln w="9360">
            <a:solidFill>
              <a:srgbClr val="d9d9d9"/>
            </a:solidFill>
            <a:round/>
          </a:ln>
        </c:spPr>
        <c:txPr>
          <a:bodyPr/>
          <a:lstStyle/>
          <a:p>
            <a:pPr>
              <a:defRPr b="0" sz="900" strike="noStrike" u="none">
                <a:solidFill>
                  <a:srgbClr val="595959"/>
                </a:solidFill>
                <a:uFillTx/>
                <a:latin typeface="Calibri"/>
              </a:defRPr>
            </a:pPr>
          </a:p>
        </c:txPr>
        <c:crossAx val="27856922"/>
        <c:crosses val="autoZero"/>
        <c:auto val="1"/>
        <c:lblAlgn val="ctr"/>
        <c:lblOffset val="100"/>
        <c:noMultiLvlLbl val="0"/>
      </c:catAx>
      <c:valAx>
        <c:axId val="27856922"/>
        <c:scaling>
          <c:orientation val="minMax"/>
        </c:scaling>
        <c:delete val="0"/>
        <c:axPos val="l"/>
        <c:majorGridlines>
          <c:spPr>
            <a:ln w="9360">
              <a:solidFill>
                <a:srgbClr val="d9d9d9"/>
              </a:solidFill>
              <a:round/>
            </a:ln>
          </c:spPr>
        </c:majorGridlines>
        <c:title>
          <c:tx>
            <c:rich>
              <a:bodyPr rot="-5400000"/>
              <a:lstStyle/>
              <a:p>
                <a:pPr>
                  <a:defRPr b="0" sz="1300" strike="noStrike" u="none">
                    <a:uFillTx/>
                    <a:latin typeface="Arial"/>
                  </a:defRPr>
                </a:pPr>
                <a:r>
                  <a:rPr b="0" lang="es-MX" sz="1000" strike="noStrike" u="none">
                    <a:solidFill>
                      <a:srgbClr val="595959"/>
                    </a:solidFill>
                    <a:uFillTx/>
                    <a:latin typeface="Calibri"/>
                  </a:rPr>
                  <a:t>Número de casos registrados</a:t>
                </a:r>
              </a:p>
            </c:rich>
          </c:tx>
          <c:overlay val="0"/>
          <c:spPr>
            <a:noFill/>
            <a:ln w="0">
              <a:noFill/>
            </a:ln>
          </c:spPr>
        </c:title>
        <c:numFmt formatCode="General" sourceLinked="0"/>
        <c:majorTickMark val="none"/>
        <c:minorTickMark val="none"/>
        <c:tickLblPos val="nextTo"/>
        <c:spPr>
          <a:ln w="9360">
            <a:noFill/>
          </a:ln>
        </c:spPr>
        <c:txPr>
          <a:bodyPr/>
          <a:lstStyle/>
          <a:p>
            <a:pPr>
              <a:defRPr b="0" sz="900" strike="noStrike" u="none">
                <a:solidFill>
                  <a:srgbClr val="595959"/>
                </a:solidFill>
                <a:uFillTx/>
                <a:latin typeface="Calibri"/>
              </a:defRPr>
            </a:pPr>
          </a:p>
        </c:txPr>
        <c:crossAx val="32317132"/>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3.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0" sz="1300" strike="noStrike" u="none">
                <a:uFillTx/>
                <a:latin typeface="Arial"/>
              </a:defRPr>
            </a:pPr>
            <a:r>
              <a:rPr b="0" lang="es-MX" sz="1400" strike="noStrike" u="none">
                <a:solidFill>
                  <a:srgbClr val="595959"/>
                </a:solidFill>
                <a:uFillTx/>
                <a:latin typeface="Calibri"/>
              </a:rPr>
              <a:t>Subtipos Histológicos de Cáncer Apendicular en Población Femenina en CR durante el 2000-2022</a:t>
            </a:r>
          </a:p>
        </c:rich>
      </c:tx>
      <c:overlay val="0"/>
      <c:spPr>
        <a:noFill/>
        <a:ln w="0">
          <a:noFill/>
        </a:ln>
      </c:spPr>
    </c:title>
    <c:autoTitleDeleted val="0"/>
    <c:plotArea>
      <c:barChart>
        <c:barDir val="col"/>
        <c:grouping val="clustered"/>
        <c:varyColors val="0"/>
        <c:ser>
          <c:idx val="0"/>
          <c:order val="0"/>
          <c:tx>
            <c:strRef>
              <c:f>label 0</c:f>
              <c:strCache>
                <c:ptCount val="1"/>
                <c:pt idx="0">
                  <c:v>Series1</c:v>
                </c:pt>
              </c:strCache>
            </c:strRef>
          </c:tx>
          <c:spPr>
            <a:solidFill>
              <a:srgbClr val="0f6fc6"/>
            </a:solidFill>
            <a:ln w="0">
              <a:noFill/>
            </a:ln>
          </c:spPr>
          <c:invertIfNegative val="0"/>
          <c:dLbls>
            <c:numFmt formatCode="General" sourceLinked="0"/>
            <c:txPr>
              <a:bodyPr wrap="square"/>
              <a:lstStyle/>
              <a:p>
                <a:pPr>
                  <a:defRPr b="0" sz="900" strike="noStrike" u="none">
                    <a:solidFill>
                      <a:srgbClr val="404040"/>
                    </a:solidFill>
                    <a:uFillTx/>
                    <a:latin typeface="Calibri"/>
                  </a:defRPr>
                </a:pPr>
              </a:p>
            </c:txPr>
            <c:dLblPos val="outEnd"/>
            <c:showLegendKey val="0"/>
            <c:showVal val="1"/>
            <c:showCatName val="0"/>
            <c:showSerName val="0"/>
            <c:showPercent val="0"/>
            <c:separator>; </c:separator>
            <c:showLeaderLines val="1"/>
            <c:leaderLines>
              <c:spPr>
                <a:ln w="0">
                  <a:solidFill>
                    <a:srgbClr val="000000"/>
                  </a:solidFill>
                </a:ln>
              </c:spPr>
            </c:leaderLines>
            <c:extLst>
              <c:ext xmlns:c15="http://schemas.microsoft.com/office/drawing/2012/chart" uri="{CE6537A1-D6FC-4f65-9D91-7224C49458BB}">
                <c15:showLeaderLines val="1"/>
              </c:ext>
            </c:extLst>
          </c:dLbls>
          <c:cat>
            <c:strRef>
              <c:f>categories</c:f>
              <c:strCache>
                <c:ptCount val="15"/>
                <c:pt idx="0">
                  <c:v>Neoplasia, maligna SAI</c:v>
                </c:pt>
                <c:pt idx="1">
                  <c:v>Carcinoma, SAI</c:v>
                </c:pt>
                <c:pt idx="2">
                  <c:v>Carcinoma neuroendocrino de células grandes</c:v>
                </c:pt>
                <c:pt idx="3">
                  <c:v>Adenocarcinoma, SAI</c:v>
                </c:pt>
                <c:pt idx="4">
                  <c:v>Adenocarcinoma tubular</c:v>
                </c:pt>
                <c:pt idx="5">
                  <c:v>Adenocarcinoma en poliposis adenomatosa del colon</c:v>
                </c:pt>
                <c:pt idx="6">
                  <c:v>Carcinoma de células caliciformes</c:v>
                </c:pt>
                <c:pt idx="7">
                  <c:v>Tumor adenocarcinoide</c:v>
                </c:pt>
                <c:pt idx="8">
                  <c:v>Carcinoma neuroendocrino, SAI</c:v>
                </c:pt>
                <c:pt idx="9">
                  <c:v>Adenocarcinoma en adenoma velloso</c:v>
                </c:pt>
                <c:pt idx="10">
                  <c:v>Adenocarcinoma velloso</c:v>
                </c:pt>
                <c:pt idx="11">
                  <c:v>Cistadenocarcinoma, SAI</c:v>
                </c:pt>
                <c:pt idx="12">
                  <c:v>Cistadenocarcinoma mucinoso, SAI</c:v>
                </c:pt>
                <c:pt idx="13">
                  <c:v>Adenocarcinoma mucinoso</c:v>
                </c:pt>
                <c:pt idx="14">
                  <c:v>Carcinoma de células en anillo de sello</c:v>
                </c:pt>
              </c:strCache>
            </c:strRef>
          </c:cat>
          <c:val>
            <c:numRef>
              <c:f>0</c:f>
              <c:numCache>
                <c:formatCode>General</c:formatCode>
                <c:ptCount val="15"/>
                <c:pt idx="0">
                  <c:v>27</c:v>
                </c:pt>
                <c:pt idx="1">
                  <c:v>3</c:v>
                </c:pt>
                <c:pt idx="2">
                  <c:v>1</c:v>
                </c:pt>
                <c:pt idx="3">
                  <c:v>17</c:v>
                </c:pt>
                <c:pt idx="4">
                  <c:v>1</c:v>
                </c:pt>
                <c:pt idx="5">
                  <c:v>1</c:v>
                </c:pt>
                <c:pt idx="6">
                  <c:v>1</c:v>
                </c:pt>
                <c:pt idx="7">
                  <c:v>1</c:v>
                </c:pt>
                <c:pt idx="8">
                  <c:v>12</c:v>
                </c:pt>
                <c:pt idx="9">
                  <c:v>1</c:v>
                </c:pt>
                <c:pt idx="10">
                  <c:v>1</c:v>
                </c:pt>
                <c:pt idx="11">
                  <c:v>3</c:v>
                </c:pt>
                <c:pt idx="12">
                  <c:v>1</c:v>
                </c:pt>
                <c:pt idx="13">
                  <c:v>17</c:v>
                </c:pt>
                <c:pt idx="14">
                  <c:v>2</c:v>
                </c:pt>
              </c:numCache>
            </c:numRef>
          </c:val>
        </c:ser>
        <c:gapWidth val="219"/>
        <c:overlap val="-27"/>
        <c:axId val="14031701"/>
        <c:axId val="20289105"/>
      </c:barChart>
      <c:catAx>
        <c:axId val="14031701"/>
        <c:scaling>
          <c:orientation val="minMax"/>
        </c:scaling>
        <c:delete val="0"/>
        <c:axPos val="b"/>
        <c:title>
          <c:tx>
            <c:rich>
              <a:bodyPr rot="0"/>
              <a:lstStyle/>
              <a:p>
                <a:pPr>
                  <a:defRPr b="0" sz="1300" strike="noStrike" u="none">
                    <a:uFillTx/>
                    <a:latin typeface="Arial"/>
                  </a:defRPr>
                </a:pPr>
                <a:r>
                  <a:rPr b="0" lang="es-MX" sz="1000" strike="noStrike" u="none">
                    <a:solidFill>
                      <a:srgbClr val="595959"/>
                    </a:solidFill>
                    <a:uFillTx/>
                    <a:latin typeface="Calibri"/>
                  </a:rPr>
                  <a:t>Subtipo</a:t>
                </a:r>
              </a:p>
            </c:rich>
          </c:tx>
          <c:overlay val="0"/>
          <c:spPr>
            <a:noFill/>
            <a:ln w="0">
              <a:noFill/>
            </a:ln>
          </c:spPr>
        </c:title>
        <c:numFmt formatCode="General" sourceLinked="0"/>
        <c:majorTickMark val="none"/>
        <c:minorTickMark val="none"/>
        <c:tickLblPos val="nextTo"/>
        <c:spPr>
          <a:ln w="9360">
            <a:solidFill>
              <a:srgbClr val="d9d9d9"/>
            </a:solidFill>
            <a:round/>
          </a:ln>
        </c:spPr>
        <c:txPr>
          <a:bodyPr/>
          <a:lstStyle/>
          <a:p>
            <a:pPr>
              <a:defRPr b="0" sz="900" strike="noStrike" u="none">
                <a:solidFill>
                  <a:srgbClr val="595959"/>
                </a:solidFill>
                <a:uFillTx/>
                <a:latin typeface="Calibri"/>
              </a:defRPr>
            </a:pPr>
          </a:p>
        </c:txPr>
        <c:crossAx val="20289105"/>
        <c:crosses val="autoZero"/>
        <c:auto val="1"/>
        <c:lblAlgn val="ctr"/>
        <c:lblOffset val="100"/>
        <c:noMultiLvlLbl val="0"/>
      </c:catAx>
      <c:valAx>
        <c:axId val="20289105"/>
        <c:scaling>
          <c:orientation val="minMax"/>
        </c:scaling>
        <c:delete val="0"/>
        <c:axPos val="l"/>
        <c:majorGridlines>
          <c:spPr>
            <a:ln w="9360">
              <a:solidFill>
                <a:srgbClr val="d9d9d9"/>
              </a:solidFill>
              <a:round/>
            </a:ln>
          </c:spPr>
        </c:majorGridlines>
        <c:title>
          <c:tx>
            <c:rich>
              <a:bodyPr rot="-5400000"/>
              <a:lstStyle/>
              <a:p>
                <a:pPr>
                  <a:defRPr b="0" sz="1300" strike="noStrike" u="none">
                    <a:uFillTx/>
                    <a:latin typeface="Arial"/>
                  </a:defRPr>
                </a:pPr>
                <a:r>
                  <a:rPr b="0" lang="es-MX" sz="1000" strike="noStrike" u="none">
                    <a:solidFill>
                      <a:srgbClr val="595959"/>
                    </a:solidFill>
                    <a:uFillTx/>
                    <a:latin typeface="Calibri"/>
                  </a:rPr>
                  <a:t>Número de casos registrados</a:t>
                </a:r>
              </a:p>
            </c:rich>
          </c:tx>
          <c:overlay val="0"/>
          <c:spPr>
            <a:noFill/>
            <a:ln w="0">
              <a:noFill/>
            </a:ln>
          </c:spPr>
        </c:title>
        <c:numFmt formatCode="General" sourceLinked="0"/>
        <c:majorTickMark val="none"/>
        <c:minorTickMark val="none"/>
        <c:tickLblPos val="nextTo"/>
        <c:spPr>
          <a:ln w="9360">
            <a:noFill/>
          </a:ln>
        </c:spPr>
        <c:txPr>
          <a:bodyPr/>
          <a:lstStyle/>
          <a:p>
            <a:pPr>
              <a:defRPr b="0" sz="900" strike="noStrike" u="none">
                <a:solidFill>
                  <a:srgbClr val="595959"/>
                </a:solidFill>
                <a:uFillTx/>
                <a:latin typeface="Calibri"/>
              </a:defRPr>
            </a:pPr>
          </a:p>
        </c:txPr>
        <c:crossAx val="14031701"/>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4.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Porcentaje</c:v>
                </c:pt>
              </c:strCache>
            </c:strRef>
          </c:tx>
          <c:spPr>
            <a:solidFill>
              <a:srgbClr val="0f6fc6"/>
            </a:solidFill>
            <a:ln w="0">
              <a:noFill/>
            </a:ln>
          </c:spPr>
          <c:explosion val="0"/>
          <c:dPt>
            <c:idx val="0"/>
            <c:spPr>
              <a:solidFill>
                <a:srgbClr val="0f6fc6"/>
              </a:solidFill>
              <a:ln w="0">
                <a:noFill/>
              </a:ln>
            </c:spPr>
          </c:dPt>
          <c:dPt>
            <c:idx val="1"/>
            <c:spPr>
              <a:solidFill>
                <a:srgbClr val="009dd9"/>
              </a:solidFill>
              <a:ln w="0">
                <a:noFill/>
              </a:ln>
            </c:spPr>
          </c:dPt>
          <c:dLbls>
            <c:dLbl>
              <c:idx val="0"/>
              <c:spPr>
                <a:solidFill>
                  <a:srgbClr val="595959"/>
                </a:solidFill>
              </c:spPr>
              <c:txPr>
                <a:bodyPr wrap="square"/>
                <a:lstStyle/>
                <a:p>
                  <a:pPr>
                    <a:defRPr b="1" sz="1000" strike="noStrike" u="none">
                      <a:solidFill>
                        <a:srgbClr val="ffffff"/>
                      </a:solidFill>
                      <a:uFillTx/>
                      <a:latin typeface="Calibri"/>
                    </a:defRPr>
                  </a:pPr>
                </a:p>
              </c:txPr>
              <c:dLblPos val="ctr"/>
              <c:showLegendKey val="0"/>
              <c:showVal val="0"/>
              <c:showCatName val="0"/>
              <c:showSerName val="0"/>
              <c:showPercent val="1"/>
              <c:separator>
</c:separator>
            </c:dLbl>
            <c:dLbl>
              <c:idx val="1"/>
              <c:spPr>
                <a:solidFill>
                  <a:srgbClr val="595959"/>
                </a:solidFill>
              </c:spPr>
              <c:txPr>
                <a:bodyPr wrap="square"/>
                <a:lstStyle/>
                <a:p>
                  <a:pPr>
                    <a:defRPr b="1" sz="1000" strike="noStrike" u="none">
                      <a:solidFill>
                        <a:srgbClr val="ffffff"/>
                      </a:solidFill>
                      <a:uFillTx/>
                      <a:latin typeface="Calibri"/>
                    </a:defRPr>
                  </a:pPr>
                </a:p>
              </c:txPr>
              <c:dLblPos val="ctr"/>
              <c:showLegendKey val="0"/>
              <c:showVal val="0"/>
              <c:showCatName val="0"/>
              <c:showSerName val="0"/>
              <c:showPercent val="1"/>
              <c:separator>
</c:separator>
            </c:dLbl>
            <c:spPr>
              <a:solidFill>
                <a:srgbClr val="595959"/>
              </a:solidFill>
            </c:spPr>
            <c:txPr>
              <a:bodyPr wrap="square"/>
              <a:lstStyle/>
              <a:p>
                <a:pPr>
                  <a:defRPr b="1" sz="1000" strike="noStrike" u="none">
                    <a:solidFill>
                      <a:srgbClr val="ffffff"/>
                    </a:solidFill>
                    <a:uFillTx/>
                    <a:latin typeface="Calibri"/>
                  </a:defRPr>
                </a:pPr>
              </a:p>
            </c:txPr>
            <c:dLblPos val="ctr"/>
            <c:showLegendKey val="0"/>
            <c:showVal val="0"/>
            <c:showCatName val="0"/>
            <c:showSerName val="0"/>
            <c:showPercent val="1"/>
            <c:separator>
</c:separator>
            <c:showLeaderLines val="1"/>
            <c:leaderLines>
              <c:spPr>
                <a:ln w="0">
                  <a:solidFill>
                    <a:srgbClr val="808080"/>
                  </a:solidFill>
                </a:ln>
              </c:spPr>
            </c:leaderLines>
          </c:dLbls>
          <c:cat>
            <c:strRef>
              <c:f>categories</c:f>
              <c:strCache>
                <c:ptCount val="2"/>
                <c:pt idx="0">
                  <c:v>Cirujano General</c:v>
                </c:pt>
                <c:pt idx="1">
                  <c:v>Oncólogo Quirúrjuco</c:v>
                </c:pt>
              </c:strCache>
            </c:strRef>
          </c:cat>
          <c:val>
            <c:numRef>
              <c:f>0</c:f>
              <c:numCache>
                <c:formatCode>General</c:formatCode>
                <c:ptCount val="2"/>
                <c:pt idx="0">
                  <c:v>0.914285714285714</c:v>
                </c:pt>
                <c:pt idx="1">
                  <c:v>0.0857142857142857</c:v>
                </c:pt>
              </c:numCache>
            </c:numRef>
          </c:val>
        </c:ser>
        <c:firstSliceAng val="0"/>
      </c:pieChart>
      <c:spPr>
        <a:noFill/>
        <a:ln w="0">
          <a:noFill/>
        </a:ln>
      </c:spPr>
    </c:plotArea>
    <c:legend>
      <c:legendPos val="r"/>
      <c:overlay val="0"/>
      <c:spPr>
        <a:solidFill>
          <a:srgbClr val="f2f2f2">
            <a:alpha val="39000"/>
          </a:srgbClr>
        </a:solidFill>
        <a:ln w="0">
          <a:noFill/>
        </a:ln>
      </c:spPr>
      <c:txPr>
        <a:bodyPr/>
        <a:lstStyle/>
        <a:p>
          <a:pPr>
            <a:defRPr b="0" sz="900" strike="noStrike" u="none">
              <a:solidFill>
                <a:srgbClr val="404040"/>
              </a:solidFill>
              <a:uFillTx/>
              <a:latin typeface="Calibri"/>
            </a:defRPr>
          </a:pPr>
        </a:p>
      </c:txPr>
    </c:legend>
    <c:plotVisOnly val="1"/>
    <c:dispBlanksAs val="gap"/>
  </c:chart>
  <c:spPr>
    <a:gradFill>
      <a:gsLst>
        <a:gs pos="0">
          <a:srgbClr val="ffffff"/>
        </a:gs>
        <a:gs pos="39000">
          <a:srgbClr val="ffffff"/>
        </a:gs>
        <a:gs pos="100000">
          <a:srgbClr val="bfbfbf"/>
        </a:gs>
      </a:gsLst>
      <a:path path="circle">
        <a:fillToRect l="50000" t="0" r="50000" b="100000"/>
      </a:path>
    </a:gradFill>
    <a:ln w="9360">
      <a:solidFill>
        <a:srgbClr val="bfbfbf"/>
      </a:solidFill>
      <a:round/>
    </a:ln>
  </c:spPr>
</c:chartSpace>
</file>

<file path=word/charts/chart5.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Series1</c:v>
                </c:pt>
              </c:strCache>
            </c:strRef>
          </c:tx>
          <c:spPr>
            <a:solidFill>
              <a:srgbClr val="0f6fc6"/>
            </a:solidFill>
            <a:ln w="0">
              <a:noFill/>
            </a:ln>
          </c:spPr>
          <c:invertIfNegative val="0"/>
          <c:dLbls>
            <c:numFmt formatCode="0.0%" sourceLinked="0"/>
            <c:txPr>
              <a:bodyPr wrap="square"/>
              <a:lstStyle/>
              <a:p>
                <a:pPr>
                  <a:defRPr b="0" sz="900" strike="noStrike" u="none">
                    <a:solidFill>
                      <a:srgbClr val="ffffff"/>
                    </a:solidFill>
                    <a:uFillTx/>
                    <a:latin typeface="Calibri"/>
                  </a:defRPr>
                </a:pPr>
              </a:p>
            </c:txPr>
            <c:dLblPos val="ctr"/>
            <c:showLegendKey val="0"/>
            <c:showVal val="1"/>
            <c:showCatName val="0"/>
            <c:showSerName val="0"/>
            <c:showPercent val="0"/>
            <c:separator>; </c:separator>
            <c:showLeaderLines val="1"/>
            <c:leaderLines>
              <c:spPr>
                <a:ln w="0">
                  <a:solidFill>
                    <a:srgbClr val="000000"/>
                  </a:solidFill>
                </a:ln>
              </c:spPr>
            </c:leaderLines>
            <c:extLst>
              <c:ext xmlns:c15="http://schemas.microsoft.com/office/drawing/2012/chart" uri="{CE6537A1-D6FC-4f65-9D91-7224C49458BB}">
                <c15:showLeaderLines val="1"/>
              </c:ext>
            </c:extLst>
          </c:dLbls>
          <c:cat>
            <c:strRef>
              <c:f>categories</c:f>
              <c:strCache>
                <c:ptCount val="3"/>
                <c:pt idx="0">
                  <c:v>Hospital Central Nacional</c:v>
                </c:pt>
                <c:pt idx="1">
                  <c:v>Hospital Regional</c:v>
                </c:pt>
                <c:pt idx="2">
                  <c:v>Hospital Periférico</c:v>
                </c:pt>
              </c:strCache>
            </c:strRef>
          </c:cat>
          <c:val>
            <c:numRef>
              <c:f>0</c:f>
              <c:numCache>
                <c:formatCode>General</c:formatCode>
                <c:ptCount val="3"/>
                <c:pt idx="0">
                  <c:v>0.542857142857143</c:v>
                </c:pt>
                <c:pt idx="1">
                  <c:v>0.342857142857143</c:v>
                </c:pt>
                <c:pt idx="2">
                  <c:v>0.114285714285714</c:v>
                </c:pt>
              </c:numCache>
            </c:numRef>
          </c:val>
        </c:ser>
        <c:gapWidth val="219"/>
        <c:overlap val="-27"/>
        <c:axId val="89703698"/>
        <c:axId val="84054316"/>
      </c:barChart>
      <c:catAx>
        <c:axId val="89703698"/>
        <c:scaling>
          <c:orientation val="minMax"/>
        </c:scaling>
        <c:delete val="0"/>
        <c:axPos val="b"/>
        <c:title>
          <c:tx>
            <c:rich>
              <a:bodyPr rot="0"/>
              <a:lstStyle/>
              <a:p>
                <a:pPr>
                  <a:defRPr b="0" sz="1300" strike="noStrike" u="none">
                    <a:uFillTx/>
                    <a:latin typeface="Arial"/>
                  </a:defRPr>
                </a:pPr>
                <a:r>
                  <a:rPr b="0" lang="es-MX" sz="1100" strike="noStrike" u="none">
                    <a:solidFill>
                      <a:srgbClr val="000000"/>
                    </a:solidFill>
                    <a:uFillTx/>
                    <a:latin typeface="Arial"/>
                  </a:rPr>
                  <a:t>Categoría de Hospital</a:t>
                </a:r>
              </a:p>
            </c:rich>
          </c:tx>
          <c:overlay val="0"/>
          <c:spPr>
            <a:noFill/>
            <a:ln w="0">
              <a:noFill/>
            </a:ln>
          </c:spPr>
        </c:title>
        <c:numFmt formatCode="General" sourceLinked="0"/>
        <c:majorTickMark val="none"/>
        <c:minorTickMark val="none"/>
        <c:tickLblPos val="nextTo"/>
        <c:spPr>
          <a:ln w="9360">
            <a:solidFill>
              <a:srgbClr val="d9d9d9"/>
            </a:solidFill>
            <a:round/>
          </a:ln>
        </c:spPr>
        <c:txPr>
          <a:bodyPr/>
          <a:lstStyle/>
          <a:p>
            <a:pPr>
              <a:defRPr b="0" sz="1100" strike="noStrike" u="none">
                <a:solidFill>
                  <a:srgbClr val="000000"/>
                </a:solidFill>
                <a:uFillTx/>
                <a:latin typeface="Arial"/>
              </a:defRPr>
            </a:pPr>
          </a:p>
        </c:txPr>
        <c:crossAx val="84054316"/>
        <c:crosses val="autoZero"/>
        <c:auto val="1"/>
        <c:lblAlgn val="ctr"/>
        <c:lblOffset val="100"/>
        <c:noMultiLvlLbl val="0"/>
      </c:catAx>
      <c:valAx>
        <c:axId val="84054316"/>
        <c:scaling>
          <c:orientation val="minMax"/>
        </c:scaling>
        <c:delete val="0"/>
        <c:axPos val="l"/>
        <c:majorGridlines>
          <c:spPr>
            <a:ln w="9360">
              <a:solidFill>
                <a:srgbClr val="d9d9d9"/>
              </a:solidFill>
              <a:round/>
            </a:ln>
          </c:spPr>
        </c:majorGridlines>
        <c:title>
          <c:tx>
            <c:rich>
              <a:bodyPr rot="-5400000"/>
              <a:lstStyle/>
              <a:p>
                <a:pPr>
                  <a:defRPr b="0" sz="1300" strike="noStrike" u="none">
                    <a:uFillTx/>
                    <a:latin typeface="Arial"/>
                  </a:defRPr>
                </a:pPr>
                <a:r>
                  <a:rPr b="0" lang="es-MX" sz="1100" strike="noStrike" u="none">
                    <a:solidFill>
                      <a:srgbClr val="000000"/>
                    </a:solidFill>
                    <a:uFillTx/>
                    <a:latin typeface="Arial"/>
                  </a:rPr>
                  <a:t>Frecuencia</a:t>
                </a:r>
              </a:p>
            </c:rich>
          </c:tx>
          <c:overlay val="0"/>
          <c:spPr>
            <a:noFill/>
            <a:ln w="0">
              <a:noFill/>
            </a:ln>
          </c:spPr>
        </c:title>
        <c:numFmt formatCode="0.0%" sourceLinked="0"/>
        <c:majorTickMark val="none"/>
        <c:minorTickMark val="none"/>
        <c:tickLblPos val="nextTo"/>
        <c:spPr>
          <a:ln w="9360">
            <a:noFill/>
          </a:ln>
        </c:spPr>
        <c:txPr>
          <a:bodyPr/>
          <a:lstStyle/>
          <a:p>
            <a:pPr>
              <a:defRPr b="0" sz="900" strike="noStrike" u="none">
                <a:solidFill>
                  <a:srgbClr val="000000"/>
                </a:solidFill>
                <a:uFillTx/>
                <a:latin typeface="Arial"/>
              </a:defRPr>
            </a:pPr>
          </a:p>
        </c:txPr>
        <c:crossAx val="89703698"/>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6.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Existencia de protocolos sobre neoplasia apendicular en los Hospitales de trabajo de los profesionales consultados</c:v>
                </c:pt>
              </c:strCache>
            </c:strRef>
          </c:tx>
          <c:spPr>
            <a:solidFill>
              <a:srgbClr val="0f6fc6"/>
            </a:solidFill>
            <a:ln w="0">
              <a:noFill/>
            </a:ln>
          </c:spPr>
          <c:explosion val="0"/>
          <c:dPt>
            <c:idx val="0"/>
            <c:spPr>
              <a:solidFill>
                <a:srgbClr val="0f6fc6"/>
              </a:solidFill>
              <a:ln w="19080">
                <a:solidFill>
                  <a:srgbClr val="ffffff"/>
                </a:solidFill>
                <a:round/>
              </a:ln>
            </c:spPr>
          </c:dPt>
          <c:dPt>
            <c:idx val="1"/>
            <c:spPr>
              <a:solidFill>
                <a:srgbClr val="009dd9"/>
              </a:solidFill>
              <a:ln w="19080">
                <a:solidFill>
                  <a:srgbClr val="ffffff"/>
                </a:solidFill>
                <a:round/>
              </a:ln>
            </c:spPr>
          </c:dPt>
          <c:dPt>
            <c:idx val="2"/>
            <c:spPr>
              <a:solidFill>
                <a:srgbClr val="0bd0d9"/>
              </a:solidFill>
              <a:ln w="19080">
                <a:solidFill>
                  <a:srgbClr val="ffffff"/>
                </a:solidFill>
                <a:round/>
              </a:ln>
            </c:spPr>
          </c:dPt>
          <c:dLbls>
            <c:dLbl>
              <c:idx val="0"/>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dLbl>
              <c:idx val="1"/>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dLbl>
              <c:idx val="2"/>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showLeaderLines val="1"/>
            <c:leaderLines>
              <c:spPr>
                <a:ln w="0">
                  <a:solidFill>
                    <a:srgbClr val="a6a6a6"/>
                  </a:solidFill>
                </a:ln>
              </c:spPr>
            </c:leaderLines>
          </c:dLbls>
          <c:cat>
            <c:strRef>
              <c:f>categories</c:f>
              <c:strCache>
                <c:ptCount val="3"/>
                <c:pt idx="0">
                  <c:v>Sí</c:v>
                </c:pt>
                <c:pt idx="1">
                  <c:v>No</c:v>
                </c:pt>
                <c:pt idx="2">
                  <c:v>Desconoce</c:v>
                </c:pt>
              </c:strCache>
            </c:strRef>
          </c:cat>
          <c:val>
            <c:numRef>
              <c:f>0</c:f>
              <c:numCache>
                <c:formatCode>General</c:formatCode>
                <c:ptCount val="3"/>
                <c:pt idx="0">
                  <c:v>6</c:v>
                </c:pt>
                <c:pt idx="1">
                  <c:v>20</c:v>
                </c:pt>
                <c:pt idx="2">
                  <c:v>9</c:v>
                </c:pt>
              </c:numCache>
            </c:numRef>
          </c:val>
        </c:ser>
        <c:firstSliceAng val="0"/>
      </c:pieChart>
      <c:spPr>
        <a:noFill/>
        <a:ln w="0">
          <a:noFill/>
        </a:ln>
      </c:spPr>
    </c:plotArea>
    <c:legend>
      <c:legendPos val="b"/>
      <c:overlay val="0"/>
      <c:spPr>
        <a:noFill/>
        <a:ln w="0">
          <a:noFill/>
        </a:ln>
      </c:spPr>
      <c:txPr>
        <a:bodyPr/>
        <a:lstStyle/>
        <a:p>
          <a:pPr>
            <a:defRPr b="0" sz="1050" strike="noStrike" u="none">
              <a:solidFill>
                <a:srgbClr val="595959"/>
              </a:solidFill>
              <a:uFillTx/>
              <a:latin typeface="Calibri"/>
            </a:defRPr>
          </a:pPr>
        </a:p>
      </c:txPr>
    </c:legend>
    <c:plotVisOnly val="1"/>
    <c:dispBlanksAs val="gap"/>
  </c:chart>
  <c:spPr>
    <a:solidFill>
      <a:srgbClr val="ffffff"/>
    </a:solidFill>
    <a:ln w="9360">
      <a:solidFill>
        <a:srgbClr val="d9d9d9"/>
      </a:solidFill>
      <a:round/>
    </a:ln>
  </c:spPr>
</c:chartSpace>
</file>

<file path=word/charts/chart7.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Casos de neoplasia apendicular atendidos por los profesionales consultados</c:v>
                </c:pt>
              </c:strCache>
            </c:strRef>
          </c:tx>
          <c:spPr>
            <a:solidFill>
              <a:srgbClr val="0f6fc6"/>
            </a:solidFill>
            <a:ln w="0">
              <a:noFill/>
            </a:ln>
          </c:spPr>
          <c:explosion val="0"/>
          <c:dPt>
            <c:idx val="0"/>
            <c:spPr>
              <a:solidFill>
                <a:srgbClr val="0f6fc6"/>
              </a:solidFill>
              <a:ln w="19080">
                <a:solidFill>
                  <a:srgbClr val="ffffff"/>
                </a:solidFill>
                <a:round/>
              </a:ln>
            </c:spPr>
          </c:dPt>
          <c:dPt>
            <c:idx val="1"/>
            <c:spPr>
              <a:solidFill>
                <a:srgbClr val="009dd9"/>
              </a:solidFill>
              <a:ln w="19080">
                <a:solidFill>
                  <a:srgbClr val="ffffff"/>
                </a:solidFill>
                <a:round/>
              </a:ln>
            </c:spPr>
          </c:dPt>
          <c:dPt>
            <c:idx val="2"/>
            <c:spPr>
              <a:solidFill>
                <a:srgbClr val="0bd0d9"/>
              </a:solidFill>
              <a:ln w="19080">
                <a:solidFill>
                  <a:srgbClr val="ffffff"/>
                </a:solidFill>
                <a:round/>
              </a:ln>
            </c:spPr>
          </c:dPt>
          <c:dLbls>
            <c:dLbl>
              <c:idx val="0"/>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dLbl>
              <c:idx val="1"/>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dLbl>
              <c:idx val="2"/>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dLbl>
            <c:txPr>
              <a:bodyPr wrap="square"/>
              <a:lstStyle/>
              <a:p>
                <a:pPr>
                  <a:defRPr b="0" sz="1050" strike="noStrike" u="none">
                    <a:solidFill>
                      <a:srgbClr val="ffffff"/>
                    </a:solidFill>
                    <a:uFillTx/>
                    <a:latin typeface="Calibri"/>
                  </a:defRPr>
                </a:pPr>
              </a:p>
            </c:txPr>
            <c:dLblPos val="ctr"/>
            <c:showLegendKey val="0"/>
            <c:showVal val="0"/>
            <c:showCatName val="0"/>
            <c:showSerName val="0"/>
            <c:showPercent val="1"/>
            <c:separator>
</c:separator>
            <c:showLeaderLines val="1"/>
            <c:leaderLines>
              <c:spPr>
                <a:ln w="0">
                  <a:solidFill>
                    <a:srgbClr val="a6a6a6"/>
                  </a:solidFill>
                </a:ln>
              </c:spPr>
            </c:leaderLines>
          </c:dLbls>
          <c:cat>
            <c:strRef>
              <c:f>categories</c:f>
              <c:strCache>
                <c:ptCount val="3"/>
                <c:pt idx="0">
                  <c:v>Nunca</c:v>
                </c:pt>
                <c:pt idx="1">
                  <c:v>Una vez</c:v>
                </c:pt>
                <c:pt idx="2">
                  <c:v>Más de una vez</c:v>
                </c:pt>
              </c:strCache>
            </c:strRef>
          </c:cat>
          <c:val>
            <c:numRef>
              <c:f>0</c:f>
              <c:numCache>
                <c:formatCode>General</c:formatCode>
                <c:ptCount val="3"/>
                <c:pt idx="0">
                  <c:v>4</c:v>
                </c:pt>
                <c:pt idx="1">
                  <c:v>6</c:v>
                </c:pt>
                <c:pt idx="2">
                  <c:v>25</c:v>
                </c:pt>
              </c:numCache>
            </c:numRef>
          </c:val>
        </c:ser>
        <c:firstSliceAng val="0"/>
      </c:pieChart>
      <c:spPr>
        <a:noFill/>
        <a:ln w="0">
          <a:noFill/>
        </a:ln>
      </c:spPr>
    </c:plotArea>
    <c:legend>
      <c:legendPos val="b"/>
      <c:overlay val="0"/>
      <c:spPr>
        <a:noFill/>
        <a:ln w="0">
          <a:noFill/>
        </a:ln>
      </c:spPr>
      <c:txPr>
        <a:bodyPr/>
        <a:lstStyle/>
        <a:p>
          <a:pPr>
            <a:defRPr b="0" sz="1050" strike="noStrike" u="none">
              <a:solidFill>
                <a:srgbClr val="595959"/>
              </a:solidFill>
              <a:uFillTx/>
              <a:latin typeface="Calibri"/>
            </a:defRPr>
          </a:pPr>
        </a:p>
      </c:txPr>
    </c:legend>
    <c:plotVisOnly val="1"/>
    <c:dispBlanksAs val="gap"/>
  </c:chart>
  <c:spPr>
    <a:solidFill>
      <a:srgbClr val="ffffff"/>
    </a:solidFill>
    <a:ln w="9360">
      <a:solidFill>
        <a:srgbClr val="d9d9d9"/>
      </a:solidFill>
      <a:round/>
    </a:ln>
  </c:spPr>
</c:chartSpace>
</file>

<file path=word/charts/chart8.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bar"/>
        <c:grouping val="clustered"/>
        <c:varyColors val="0"/>
        <c:ser>
          <c:idx val="0"/>
          <c:order val="0"/>
          <c:tx>
            <c:strRef>
              <c:f>label 0</c:f>
              <c:strCache>
                <c:ptCount val="1"/>
                <c:pt idx="0">
                  <c:v>Series1</c:v>
                </c:pt>
              </c:strCache>
            </c:strRef>
          </c:tx>
          <c:spPr>
            <a:solidFill>
              <a:srgbClr val="0f6fc6"/>
            </a:solidFill>
            <a:ln w="0">
              <a:noFill/>
            </a:ln>
          </c:spPr>
          <c:invertIfNegative val="0"/>
          <c:dLbls>
            <c:numFmt formatCode="0.0%" sourceLinked="0"/>
            <c:txPr>
              <a:bodyPr wrap="square"/>
              <a:lstStyle/>
              <a:p>
                <a:pPr>
                  <a:defRPr b="0" sz="1000" strike="noStrike" u="none">
                    <a:solidFill>
                      <a:srgbClr val="404040"/>
                    </a:solidFill>
                    <a:uFillTx/>
                    <a:latin typeface="Arial"/>
                  </a:defRPr>
                </a:pPr>
              </a:p>
            </c:txPr>
            <c:dLblPos val="outEnd"/>
            <c:showLegendKey val="0"/>
            <c:showVal val="1"/>
            <c:showCatName val="0"/>
            <c:showSerName val="0"/>
            <c:showPercent val="0"/>
            <c:separator>; </c:separator>
            <c:showLeaderLines val="1"/>
            <c:leaderLines>
              <c:spPr>
                <a:ln w="0">
                  <a:solidFill>
                    <a:srgbClr val="000000"/>
                  </a:solidFill>
                </a:ln>
              </c:spPr>
            </c:leaderLines>
            <c:extLst>
              <c:ext xmlns:c15="http://schemas.microsoft.com/office/drawing/2012/chart" uri="{CE6537A1-D6FC-4f65-9D91-7224C49458BB}">
                <c15:showLeaderLines val="1"/>
              </c:ext>
            </c:extLst>
          </c:dLbls>
          <c:cat>
            <c:strRef>
              <c:f>categories</c:f>
              <c:strCache>
                <c:ptCount val="3"/>
                <c:pt idx="0">
                  <c:v>Postquirúrgico</c:v>
                </c:pt>
                <c:pt idx="1">
                  <c:v>Prequirúrjico</c:v>
                </c:pt>
                <c:pt idx="2">
                  <c:v>Transoperatorio</c:v>
                </c:pt>
              </c:strCache>
            </c:strRef>
          </c:cat>
          <c:val>
            <c:numRef>
              <c:f>0</c:f>
              <c:numCache>
                <c:formatCode>General</c:formatCode>
                <c:ptCount val="3"/>
                <c:pt idx="0">
                  <c:v>0.709677419354839</c:v>
                </c:pt>
                <c:pt idx="1">
                  <c:v>0.0645161290322581</c:v>
                </c:pt>
                <c:pt idx="2">
                  <c:v>0.225806451612903</c:v>
                </c:pt>
              </c:numCache>
            </c:numRef>
          </c:val>
        </c:ser>
        <c:gapWidth val="182"/>
        <c:overlap val="0"/>
        <c:axId val="52988739"/>
        <c:axId val="68201059"/>
      </c:barChart>
      <c:catAx>
        <c:axId val="52988739"/>
        <c:scaling>
          <c:orientation val="minMax"/>
        </c:scaling>
        <c:delete val="0"/>
        <c:axPos val="b"/>
        <c:title>
          <c:tx>
            <c:rich>
              <a:bodyPr rot="-5400000"/>
              <a:lstStyle/>
              <a:p>
                <a:pPr>
                  <a:defRPr b="0" sz="1300" strike="noStrike" u="none">
                    <a:uFillTx/>
                    <a:latin typeface="Arial"/>
                  </a:defRPr>
                </a:pPr>
                <a:r>
                  <a:rPr b="0" lang="es-MX" sz="1100" strike="noStrike" u="none">
                    <a:solidFill>
                      <a:srgbClr val="000000"/>
                    </a:solidFill>
                    <a:uFillTx/>
                    <a:latin typeface="Arial"/>
                  </a:rPr>
                  <a:t>Momento</a:t>
                </a:r>
                <a:r>
                  <a:rPr b="0" lang="es-MX" sz="1100" strike="noStrike" u="none">
                    <a:solidFill>
                      <a:srgbClr val="000000"/>
                    </a:solidFill>
                    <a:uFillTx/>
                    <a:latin typeface="Arial"/>
                  </a:rPr>
                  <a:t> del diagnóstico</a:t>
                </a:r>
              </a:p>
            </c:rich>
          </c:tx>
          <c:overlay val="0"/>
          <c:spPr>
            <a:noFill/>
            <a:ln w="0">
              <a:noFill/>
            </a:ln>
          </c:spPr>
        </c:title>
        <c:numFmt formatCode="General" sourceLinked="0"/>
        <c:majorTickMark val="none"/>
        <c:minorTickMark val="none"/>
        <c:tickLblPos val="nextTo"/>
        <c:spPr>
          <a:ln w="9360">
            <a:solidFill>
              <a:srgbClr val="d9d9d9"/>
            </a:solidFill>
            <a:round/>
          </a:ln>
        </c:spPr>
        <c:txPr>
          <a:bodyPr/>
          <a:lstStyle/>
          <a:p>
            <a:pPr>
              <a:defRPr b="0" sz="1000" strike="noStrike" u="none">
                <a:solidFill>
                  <a:srgbClr val="000000"/>
                </a:solidFill>
                <a:uFillTx/>
                <a:latin typeface="Arial"/>
              </a:defRPr>
            </a:pPr>
          </a:p>
        </c:txPr>
        <c:crossAx val="68201059"/>
        <c:crosses val="autoZero"/>
        <c:auto val="1"/>
        <c:lblAlgn val="ctr"/>
        <c:lblOffset val="100"/>
        <c:noMultiLvlLbl val="0"/>
      </c:catAx>
      <c:valAx>
        <c:axId val="68201059"/>
        <c:scaling>
          <c:orientation val="minMax"/>
        </c:scaling>
        <c:delete val="0"/>
        <c:axPos val="l"/>
        <c:majorGridlines>
          <c:spPr>
            <a:ln w="9360">
              <a:solidFill>
                <a:srgbClr val="d9d9d9"/>
              </a:solidFill>
              <a:round/>
            </a:ln>
          </c:spPr>
        </c:majorGridlines>
        <c:title>
          <c:tx>
            <c:rich>
              <a:bodyPr rot="0"/>
              <a:lstStyle/>
              <a:p>
                <a:pPr>
                  <a:defRPr b="0" sz="1300" strike="noStrike" u="none">
                    <a:uFillTx/>
                    <a:latin typeface="Arial"/>
                  </a:defRPr>
                </a:pPr>
                <a:r>
                  <a:rPr b="0" lang="es-MX" sz="1100" strike="noStrike" u="none">
                    <a:solidFill>
                      <a:srgbClr val="000000"/>
                    </a:solidFill>
                    <a:uFillTx/>
                    <a:latin typeface="Arial"/>
                  </a:rPr>
                  <a:t>Frecuencia</a:t>
                </a:r>
              </a:p>
            </c:rich>
          </c:tx>
          <c:overlay val="0"/>
          <c:spPr>
            <a:noFill/>
            <a:ln w="0">
              <a:noFill/>
            </a:ln>
          </c:spPr>
        </c:title>
        <c:numFmt formatCode="0.0%" sourceLinked="0"/>
        <c:majorTickMark val="none"/>
        <c:minorTickMark val="none"/>
        <c:tickLblPos val="nextTo"/>
        <c:spPr>
          <a:ln w="9360">
            <a:noFill/>
          </a:ln>
        </c:spPr>
        <c:txPr>
          <a:bodyPr/>
          <a:lstStyle/>
          <a:p>
            <a:pPr>
              <a:defRPr b="0" sz="900" strike="noStrike" u="none">
                <a:solidFill>
                  <a:srgbClr val="000000"/>
                </a:solidFill>
                <a:uFillTx/>
                <a:latin typeface="Arial"/>
              </a:defRPr>
            </a:pPr>
          </a:p>
        </c:txPr>
        <c:crossAx val="52988739"/>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9.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doughnutChart>
        <c:varyColors val="1"/>
        <c:ser>
          <c:idx val="0"/>
          <c:order val="0"/>
          <c:tx>
            <c:strRef>
              <c:f>label 0</c:f>
              <c:strCache>
                <c:ptCount val="1"/>
                <c:pt idx="0">
                  <c:v>Series1</c:v>
                </c:pt>
              </c:strCache>
            </c:strRef>
          </c:tx>
          <c:spPr>
            <a:solidFill>
              <a:srgbClr val="0f6fc6"/>
            </a:solidFill>
            <a:ln w="0">
              <a:noFill/>
            </a:ln>
          </c:spPr>
          <c:explosion val="0"/>
          <c:dPt>
            <c:idx val="0"/>
            <c:spPr>
              <a:solidFill>
                <a:srgbClr val="0f6fc6"/>
              </a:solidFill>
              <a:ln w="19080">
                <a:solidFill>
                  <a:srgbClr val="ffffff">
                    <a:alpha val="38000"/>
                  </a:srgbClr>
                </a:solidFill>
                <a:round/>
              </a:ln>
            </c:spPr>
          </c:dPt>
          <c:dPt>
            <c:idx val="1"/>
            <c:spPr>
              <a:solidFill>
                <a:srgbClr val="009dd9"/>
              </a:solidFill>
              <a:ln w="34920">
                <a:solidFill>
                  <a:srgbClr val="ffffff">
                    <a:alpha val="38000"/>
                  </a:srgbClr>
                </a:solidFill>
                <a:round/>
              </a:ln>
            </c:spPr>
          </c:dPt>
          <c:dLbls>
            <c:dLbl>
              <c:idx val="0"/>
              <c:layout>
                <c:manualLayout>
                  <c:x val="0.0585243310462688"/>
                  <c:y val="-0.0848553283466909"/>
                </c:manualLayout>
              </c:layout>
              <c:txPr>
                <a:bodyPr wrap="square"/>
                <a:lstStyle/>
                <a:p>
                  <a:pPr>
                    <a:defRPr b="1" sz="900" strike="noStrike" u="none">
                      <a:solidFill>
                        <a:srgbClr val="000000"/>
                      </a:solidFill>
                      <a:uFillTx/>
                      <a:latin typeface="Arial"/>
                    </a:defRPr>
                  </a:pPr>
                </a:p>
              </c:txPr>
              <c:showLegendKey val="0"/>
              <c:showVal val="0"/>
              <c:showCatName val="0"/>
              <c:showSerName val="0"/>
              <c:showPercent val="1"/>
              <c:separator>
</c:separator>
            </c:dLbl>
            <c:dLbl>
              <c:idx val="1"/>
              <c:layout>
                <c:manualLayout>
                  <c:x val="-0.111474916278607"/>
                  <c:y val="0.0565702188977939"/>
                </c:manualLayout>
              </c:layout>
              <c:txPr>
                <a:bodyPr wrap="square"/>
                <a:lstStyle/>
                <a:p>
                  <a:pPr>
                    <a:defRPr b="1" sz="900" strike="noStrike" u="none">
                      <a:solidFill>
                        <a:srgbClr val="000000"/>
                      </a:solidFill>
                      <a:uFillTx/>
                      <a:latin typeface="Arial"/>
                    </a:defRPr>
                  </a:pPr>
                </a:p>
              </c:txPr>
              <c:showLegendKey val="0"/>
              <c:showVal val="0"/>
              <c:showCatName val="0"/>
              <c:showSerName val="0"/>
              <c:showPercent val="1"/>
              <c:separator>
</c:separator>
            </c:dLbl>
            <c:txPr>
              <a:bodyPr wrap="square"/>
              <a:lstStyle/>
              <a:p>
                <a:pPr>
                  <a:defRPr b="1" sz="900" strike="noStrike" u="none">
                    <a:solidFill>
                      <a:srgbClr val="000000"/>
                    </a:solidFill>
                    <a:uFillTx/>
                    <a:latin typeface="Arial"/>
                  </a:defRPr>
                </a:pPr>
              </a:p>
            </c:txPr>
            <c:showLegendKey val="0"/>
            <c:showVal val="0"/>
            <c:showCatName val="0"/>
            <c:showSerName val="0"/>
            <c:showPercent val="1"/>
            <c:separator>
</c:separator>
            <c:showLeaderLines val="1"/>
            <c:leaderLines>
              <c:spPr>
                <a:ln w="0">
                  <a:solidFill>
                    <a:srgbClr val="a6a6a6"/>
                  </a:solidFill>
                </a:ln>
              </c:spPr>
            </c:leaderLines>
          </c:dLbls>
          <c:cat>
            <c:strRef>
              <c:f>categories</c:f>
              <c:strCache>
                <c:ptCount val="2"/>
                <c:pt idx="0">
                  <c:v>Estadio Avanzado</c:v>
                </c:pt>
                <c:pt idx="1">
                  <c:v>Estadio Temprano</c:v>
                </c:pt>
              </c:strCache>
            </c:strRef>
          </c:cat>
          <c:val>
            <c:numRef>
              <c:f>0</c:f>
              <c:numCache>
                <c:formatCode>General</c:formatCode>
                <c:ptCount val="2"/>
                <c:pt idx="0">
                  <c:v>7</c:v>
                </c:pt>
                <c:pt idx="1">
                  <c:v>24</c:v>
                </c:pt>
              </c:numCache>
            </c:numRef>
          </c:val>
        </c:ser>
        <c:firstSliceAng val="0"/>
        <c:holeSize val="50"/>
      </c:doughnutChart>
      <c:spPr>
        <a:noFill/>
        <a:ln w="0">
          <a:noFill/>
        </a:ln>
      </c:spPr>
    </c:plotArea>
    <c:legend>
      <c:legendPos val="l"/>
      <c:overlay val="0"/>
      <c:spPr>
        <a:noFill/>
        <a:ln w="0">
          <a:noFill/>
        </a:ln>
      </c:spPr>
      <c:txPr>
        <a:bodyPr/>
        <a:lstStyle/>
        <a:p>
          <a:pPr>
            <a:defRPr b="0" sz="1100" strike="noStrike" u="none">
              <a:solidFill>
                <a:srgbClr val="000000"/>
              </a:solidFill>
              <a:uFillTx/>
              <a:latin typeface="Arial"/>
            </a:defRPr>
          </a:pPr>
        </a:p>
      </c:txPr>
    </c:legend>
    <c:plotVisOnly val="1"/>
    <c:dispBlanksAs val="gap"/>
  </c:chart>
  <c:spPr>
    <a:solidFill>
      <a:srgbClr val="ffffff"/>
    </a:solidFill>
    <a:ln w="9360">
      <a:solidFill>
        <a:srgbClr val="d9d9d9"/>
      </a:solidFill>
      <a:round/>
    </a:ln>
  </c:spPr>
</c:chartSpace>
</file>

<file path=word/glossary/_rels/document.xml.rels><?xml version="1.0" encoding="UTF-8"?>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7DF59CF-E0C6-3A4C-B3E2-8A7E408B20A7}"/>
      </w:docPartPr>
      <w:docPartBody>
        <w:p w:rsidR="00F303FA" w:rsidRDefault="00E740E7">
          <w:r w:rsidRPr="00E83264">
            <w:rPr>
              <w:rStyle w:val="PlaceholderText"/>
            </w:rPr>
            <w:t>Haga clic o pulse aquí para escribir texto.</w:t>
          </w:r>
        </w:p>
      </w:docPartBody>
    </w:docPart>
    <w:docPart>
      <w:docPartPr>
        <w:name w:val="13D5783366895E4E91DA5595CCD5A367"/>
        <w:category>
          <w:name w:val="General"/>
          <w:gallery w:val="placeholder"/>
        </w:category>
        <w:types>
          <w:type w:val="bbPlcHdr"/>
        </w:types>
        <w:behaviors>
          <w:behavior w:val="content"/>
        </w:behaviors>
        <w:guid w:val="{018EE4EA-1B1C-1C44-8B5C-47B4B5225515}"/>
      </w:docPartPr>
      <w:docPartBody>
        <w:p w:rsidR="00D85552" w:rsidRDefault="00D50007" w:rsidP="00D50007">
          <w:pPr>
            <w:pStyle w:val="13D5783366895E4E91DA5595CCD5A367"/>
          </w:pPr>
          <w:r w:rsidRPr="00E83264">
            <w:rPr>
              <w:rStyle w:val="PlaceholderText"/>
            </w:rPr>
            <w:t>Haga clic o pulse aquí para escribir texto.</w:t>
          </w:r>
        </w:p>
      </w:docPartBody>
    </w:docPart>
    <w:docPart>
      <w:docPartPr>
        <w:name w:val="3B1E5956E20FFA4CBE01AE00CE877EBE"/>
        <w:category>
          <w:name w:val="General"/>
          <w:gallery w:val="placeholder"/>
        </w:category>
        <w:types>
          <w:type w:val="bbPlcHdr"/>
        </w:types>
        <w:behaviors>
          <w:behavior w:val="content"/>
        </w:behaviors>
        <w:guid w:val="{68B57A40-555E-5247-BC2E-0530815D41A0}"/>
      </w:docPartPr>
      <w:docPartBody>
        <w:p w:rsidR="00D85552" w:rsidRDefault="00D85552" w:rsidP="00D85552">
          <w:pPr>
            <w:pStyle w:val="3B1E5956E20FFA4CBE01AE00CE877EBE"/>
          </w:pPr>
          <w:r w:rsidRPr="00E83264">
            <w:rPr>
              <w:rStyle w:val="PlaceholderText"/>
            </w:rPr>
            <w:t>Haga clic o pulse aquí para escribir texto.</w:t>
          </w:r>
        </w:p>
      </w:docPartBody>
    </w:docPart>
    <w:docPart>
      <w:docPartPr>
        <w:name w:val="57C54CCC0E0DE449B5BA28A6FDDA9C98"/>
        <w:category>
          <w:name w:val="General"/>
          <w:gallery w:val="placeholder"/>
        </w:category>
        <w:types>
          <w:type w:val="bbPlcHdr"/>
        </w:types>
        <w:behaviors>
          <w:behavior w:val="content"/>
        </w:behaviors>
        <w:guid w:val="{335E3011-0ECD-2A41-A4BF-67F94E3AC9B8}"/>
      </w:docPartPr>
      <w:docPartBody>
        <w:p w:rsidR="00D85552" w:rsidRDefault="00D85552" w:rsidP="00D85552">
          <w:pPr>
            <w:pStyle w:val="57C54CCC0E0DE449B5BA28A6FDDA9C98"/>
          </w:pPr>
          <w:r w:rsidRPr="00E83264">
            <w:rPr>
              <w:rStyle w:val="PlaceholderText"/>
            </w:rPr>
            <w:t>Haga clic o pulse aquí para escribir texto.</w:t>
          </w:r>
        </w:p>
      </w:docPartBody>
    </w:docPart>
    <w:docPart>
      <w:docPartPr>
        <w:name w:val="1F5EEDD973DE2944AC4083DEE7A1E755"/>
        <w:category>
          <w:name w:val="General"/>
          <w:gallery w:val="placeholder"/>
        </w:category>
        <w:types>
          <w:type w:val="bbPlcHdr"/>
        </w:types>
        <w:behaviors>
          <w:behavior w:val="content"/>
        </w:behaviors>
        <w:guid w:val="{F4C29262-2E24-C547-93CA-259A3EBBE21A}"/>
      </w:docPartPr>
      <w:docPartBody>
        <w:p w:rsidR="00D85552" w:rsidRDefault="00D85552" w:rsidP="00D85552">
          <w:pPr>
            <w:pStyle w:val="1F5EEDD973DE2944AC4083DEE7A1E755"/>
          </w:pPr>
          <w:r w:rsidRPr="00E83264">
            <w:rPr>
              <w:rStyle w:val="PlaceholderText"/>
            </w:rPr>
            <w:t>Haga clic o pulse aquí para escribir texto.</w:t>
          </w:r>
        </w:p>
      </w:docPartBody>
    </w:docPart>
    <w:docPart>
      <w:docPartPr>
        <w:name w:val="3DC624430E78194794DFC75B201524A4"/>
        <w:category>
          <w:name w:val="General"/>
          <w:gallery w:val="placeholder"/>
        </w:category>
        <w:types>
          <w:type w:val="bbPlcHdr"/>
        </w:types>
        <w:behaviors>
          <w:behavior w:val="content"/>
        </w:behaviors>
        <w:guid w:val="{67F12FB7-C1CF-D04A-A198-5B36BC903094}"/>
      </w:docPartPr>
      <w:docPartBody>
        <w:p w:rsidR="00D85552" w:rsidRDefault="00D85552" w:rsidP="00D85552">
          <w:pPr>
            <w:pStyle w:val="3DC624430E78194794DFC75B201524A4"/>
          </w:pPr>
          <w:r w:rsidRPr="00E83264">
            <w:rPr>
              <w:rStyle w:val="PlaceholderText"/>
            </w:rPr>
            <w:t>Haga clic o pulse aquí para escribir texto.</w:t>
          </w:r>
        </w:p>
      </w:docPartBody>
    </w:docPart>
    <w:docPart>
      <w:docPartPr>
        <w:name w:val="275A40CBBB09094C8B3ED7B2805C1E08"/>
        <w:category>
          <w:name w:val="General"/>
          <w:gallery w:val="placeholder"/>
        </w:category>
        <w:types>
          <w:type w:val="bbPlcHdr"/>
        </w:types>
        <w:behaviors>
          <w:behavior w:val="content"/>
        </w:behaviors>
        <w:guid w:val="{07C859CE-670E-B748-85FC-81B131C884A0}"/>
      </w:docPartPr>
      <w:docPartBody>
        <w:p w:rsidR="00D85552" w:rsidRDefault="00D85552" w:rsidP="00D85552">
          <w:pPr>
            <w:pStyle w:val="275A40CBBB09094C8B3ED7B2805C1E08"/>
          </w:pPr>
          <w:r w:rsidRPr="00E83264">
            <w:rPr>
              <w:rStyle w:val="PlaceholderText"/>
            </w:rPr>
            <w:t>Haga clic o pulse aquí para escribir texto.</w:t>
          </w:r>
        </w:p>
      </w:docPartBody>
    </w:docPart>
    <w:docPart>
      <w:docPartPr>
        <w:name w:val="1E2B417F234543469802E4D0BEBE35C8"/>
        <w:category>
          <w:name w:val="General"/>
          <w:gallery w:val="placeholder"/>
        </w:category>
        <w:types>
          <w:type w:val="bbPlcHdr"/>
        </w:types>
        <w:behaviors>
          <w:behavior w:val="content"/>
        </w:behaviors>
        <w:guid w:val="{7F1DC68C-14EA-654C-A330-D8D8B963379E}"/>
      </w:docPartPr>
      <w:docPartBody>
        <w:p w:rsidR="00D85552" w:rsidRDefault="00D85552" w:rsidP="00D85552">
          <w:pPr>
            <w:pStyle w:val="1E2B417F234543469802E4D0BEBE35C8"/>
          </w:pPr>
          <w:r w:rsidRPr="00E83264">
            <w:rPr>
              <w:rStyle w:val="PlaceholderText"/>
            </w:rPr>
            <w:t>Haga clic o pulse aquí para escribir texto.</w:t>
          </w:r>
        </w:p>
      </w:docPartBody>
    </w:docPart>
    <w:docPart>
      <w:docPartPr>
        <w:name w:val="5F1E430047BBDA4182492335205C45C0"/>
        <w:category>
          <w:name w:val="General"/>
          <w:gallery w:val="placeholder"/>
        </w:category>
        <w:types>
          <w:type w:val="bbPlcHdr"/>
        </w:types>
        <w:behaviors>
          <w:behavior w:val="content"/>
        </w:behaviors>
        <w:guid w:val="{BE65183D-4393-3646-878C-5BA5BC79D091}"/>
      </w:docPartPr>
      <w:docPartBody>
        <w:p w:rsidR="00D85552" w:rsidRDefault="00D85552" w:rsidP="00D85552">
          <w:pPr>
            <w:pStyle w:val="5F1E430047BBDA4182492335205C45C0"/>
          </w:pPr>
          <w:r w:rsidRPr="00E83264">
            <w:rPr>
              <w:rStyle w:val="PlaceholderText"/>
            </w:rPr>
            <w:t>Haga clic o pulse aquí para escribir texto.</w:t>
          </w:r>
        </w:p>
      </w:docPartBody>
    </w:docPart>
    <w:docPart>
      <w:docPartPr>
        <w:name w:val="BAF3B3A71982F34B854CBEE35FDE0BC5"/>
        <w:category>
          <w:name w:val="General"/>
          <w:gallery w:val="placeholder"/>
        </w:category>
        <w:types>
          <w:type w:val="bbPlcHdr"/>
        </w:types>
        <w:behaviors>
          <w:behavior w:val="content"/>
        </w:behaviors>
        <w:guid w:val="{44B99EE1-C767-4343-8013-0A04A7CEB209}"/>
      </w:docPartPr>
      <w:docPartBody>
        <w:p w:rsidR="00D85552" w:rsidRDefault="00D85552" w:rsidP="00D85552">
          <w:pPr>
            <w:pStyle w:val="BAF3B3A71982F34B854CBEE35FDE0BC5"/>
          </w:pPr>
          <w:r w:rsidRPr="00E83264">
            <w:rPr>
              <w:rStyle w:val="PlaceholderText"/>
            </w:rPr>
            <w:t>Haga clic o pulse aquí para escribir texto.</w:t>
          </w:r>
        </w:p>
      </w:docPartBody>
    </w:docPart>
    <w:docPart>
      <w:docPartPr>
        <w:name w:val="F06F188AF611244982B313C9D162552D"/>
        <w:category>
          <w:name w:val="General"/>
          <w:gallery w:val="placeholder"/>
        </w:category>
        <w:types>
          <w:type w:val="bbPlcHdr"/>
        </w:types>
        <w:behaviors>
          <w:behavior w:val="content"/>
        </w:behaviors>
        <w:guid w:val="{3214C67A-1225-EC43-9AD9-8507DC3B6BA2}"/>
      </w:docPartPr>
      <w:docPartBody>
        <w:p w:rsidR="00D85552" w:rsidRDefault="00D85552" w:rsidP="00D85552">
          <w:pPr>
            <w:pStyle w:val="F06F188AF611244982B313C9D162552D"/>
          </w:pPr>
          <w:r w:rsidRPr="00E83264">
            <w:rPr>
              <w:rStyle w:val="PlaceholderText"/>
            </w:rPr>
            <w:t>Haga clic o pulse aquí para escribir texto.</w:t>
          </w:r>
        </w:p>
      </w:docPartBody>
    </w:docPart>
    <w:docPart>
      <w:docPartPr>
        <w:name w:val="7705C490FC91A04C8452A18B498F395A"/>
        <w:category>
          <w:name w:val="General"/>
          <w:gallery w:val="placeholder"/>
        </w:category>
        <w:types>
          <w:type w:val="bbPlcHdr"/>
        </w:types>
        <w:behaviors>
          <w:behavior w:val="content"/>
        </w:behaviors>
        <w:guid w:val="{A03AD8B6-8201-B047-A154-6FFC2DAAD538}"/>
      </w:docPartPr>
      <w:docPartBody>
        <w:p w:rsidR="00D85552" w:rsidRDefault="00D85552" w:rsidP="00D85552">
          <w:pPr>
            <w:pStyle w:val="7705C490FC91A04C8452A18B498F395A"/>
          </w:pPr>
          <w:r w:rsidRPr="00E83264">
            <w:rPr>
              <w:rStyle w:val="PlaceholderText"/>
            </w:rPr>
            <w:t>Haga clic o pulse aquí para escribir texto.</w:t>
          </w:r>
        </w:p>
      </w:docPartBody>
    </w:docPart>
    <w:docPart>
      <w:docPartPr>
        <w:name w:val="E4502C676B5A99418CAE7C3A3E1130F6"/>
        <w:category>
          <w:name w:val="General"/>
          <w:gallery w:val="placeholder"/>
        </w:category>
        <w:types>
          <w:type w:val="bbPlcHdr"/>
        </w:types>
        <w:behaviors>
          <w:behavior w:val="content"/>
        </w:behaviors>
        <w:guid w:val="{1BF3162F-7140-1A49-8D83-CB08E31EDB0A}"/>
      </w:docPartPr>
      <w:docPartBody>
        <w:p w:rsidR="00D85552" w:rsidRDefault="00D85552" w:rsidP="00D85552">
          <w:pPr>
            <w:pStyle w:val="E4502C676B5A99418CAE7C3A3E1130F6"/>
          </w:pPr>
          <w:r w:rsidRPr="00E83264">
            <w:rPr>
              <w:rStyle w:val="PlaceholderText"/>
            </w:rPr>
            <w:t>Haga clic o pulse aquí para escribir texto.</w:t>
          </w:r>
        </w:p>
      </w:docPartBody>
    </w:docPart>
    <w:docPart>
      <w:docPartPr>
        <w:name w:val="B18690BDBB2E7B46973312666CD52CF1"/>
        <w:category>
          <w:name w:val="General"/>
          <w:gallery w:val="placeholder"/>
        </w:category>
        <w:types>
          <w:type w:val="bbPlcHdr"/>
        </w:types>
        <w:behaviors>
          <w:behavior w:val="content"/>
        </w:behaviors>
        <w:guid w:val="{8B3C8AC4-1842-1B4F-AA37-3BC263E24AA9}"/>
      </w:docPartPr>
      <w:docPartBody>
        <w:p w:rsidR="00D85552" w:rsidRDefault="00D85552" w:rsidP="00D85552">
          <w:pPr>
            <w:pStyle w:val="B18690BDBB2E7B46973312666CD52CF1"/>
          </w:pPr>
          <w:r w:rsidRPr="00E83264">
            <w:rPr>
              <w:rStyle w:val="PlaceholderText"/>
            </w:rPr>
            <w:t>Haga clic o pulse aquí para escribir texto.</w:t>
          </w:r>
        </w:p>
      </w:docPartBody>
    </w:docPart>
    <w:docPart>
      <w:docPartPr>
        <w:name w:val="4A389E49B84373468F8D3FA3B32755B9"/>
        <w:category>
          <w:name w:val="General"/>
          <w:gallery w:val="placeholder"/>
        </w:category>
        <w:types>
          <w:type w:val="bbPlcHdr"/>
        </w:types>
        <w:behaviors>
          <w:behavior w:val="content"/>
        </w:behaviors>
        <w:guid w:val="{A560AF20-6728-124A-ABC2-041BE5330550}"/>
      </w:docPartPr>
      <w:docPartBody>
        <w:p w:rsidR="00D85552" w:rsidRDefault="00D85552" w:rsidP="00D85552">
          <w:pPr>
            <w:pStyle w:val="4A389E49B84373468F8D3FA3B32755B9"/>
          </w:pPr>
          <w:r w:rsidRPr="00E83264">
            <w:rPr>
              <w:rStyle w:val="PlaceholderText"/>
            </w:rPr>
            <w:t>Haga clic o pulse aquí para escribir texto.</w:t>
          </w:r>
        </w:p>
      </w:docPartBody>
    </w:docPart>
    <w:docPart>
      <w:docPartPr>
        <w:name w:val="9D67ECB40FD89B4E89DDA70CF7778F7C"/>
        <w:category>
          <w:name w:val="General"/>
          <w:gallery w:val="placeholder"/>
        </w:category>
        <w:types>
          <w:type w:val="bbPlcHdr"/>
        </w:types>
        <w:behaviors>
          <w:behavior w:val="content"/>
        </w:behaviors>
        <w:guid w:val="{8A1E6F97-BD46-854F-B4BF-5A5DA8E09843}"/>
      </w:docPartPr>
      <w:docPartBody>
        <w:p w:rsidR="008F7D4F" w:rsidRDefault="008F7D4F">
          <w:pPr>
            <w:pStyle w:val="9D67ECB40FD89B4E89DDA70CF7778F7C"/>
          </w:pPr>
          <w:r w:rsidRPr="00E83264">
            <w:rPr>
              <w:rStyle w:val="PlaceholderText"/>
            </w:rPr>
            <w:t>Haga clic o pulse aquí para escribir texto.</w:t>
          </w:r>
        </w:p>
      </w:docPartBody>
    </w:docPart>
    <w:docPart>
      <w:docPartPr>
        <w:name w:val="61AC9410BE2661409631997F603FB21F"/>
        <w:category>
          <w:name w:val="General"/>
          <w:gallery w:val="placeholder"/>
        </w:category>
        <w:types>
          <w:type w:val="bbPlcHdr"/>
        </w:types>
        <w:behaviors>
          <w:behavior w:val="content"/>
        </w:behaviors>
        <w:guid w:val="{55ECB689-9A19-9040-A0A8-7FFBB28CEADB}"/>
      </w:docPartPr>
      <w:docPartBody>
        <w:p w:rsidR="008F7D4F" w:rsidRDefault="008F7D4F">
          <w:pPr>
            <w:pStyle w:val="61AC9410BE2661409631997F603FB21F"/>
          </w:pPr>
          <w:r w:rsidRPr="00E83264">
            <w:rPr>
              <w:rStyle w:val="PlaceholderText"/>
            </w:rPr>
            <w:t>Haga clic o pulse aquí para escribir texto.</w:t>
          </w:r>
        </w:p>
      </w:docPartBody>
    </w:docPart>
    <w:docPart>
      <w:docPartPr>
        <w:name w:val="8791429B75A07D49B181E5EF00238717"/>
        <w:category>
          <w:name w:val="General"/>
          <w:gallery w:val="placeholder"/>
        </w:category>
        <w:types>
          <w:type w:val="bbPlcHdr"/>
        </w:types>
        <w:behaviors>
          <w:behavior w:val="content"/>
        </w:behaviors>
        <w:guid w:val="{6F9B533B-64DF-9A44-9F6E-4F53CFFFDC17}"/>
      </w:docPartPr>
      <w:docPartBody>
        <w:p w:rsidR="008F7D4F" w:rsidRDefault="008F7D4F">
          <w:pPr>
            <w:pStyle w:val="8791429B75A07D49B181E5EF00238717"/>
          </w:pPr>
          <w:r w:rsidRPr="00E83264">
            <w:rPr>
              <w:rStyle w:val="PlaceholderText"/>
            </w:rPr>
            <w:t>Haga clic o pulse aquí para escribir texto.</w:t>
          </w:r>
        </w:p>
      </w:docPartBody>
    </w:docPart>
    <w:docPart>
      <w:docPartPr>
        <w:name w:val="E8A7AB10AA6EFB4BB56988FE38DA3B10"/>
        <w:category>
          <w:name w:val="General"/>
          <w:gallery w:val="placeholder"/>
        </w:category>
        <w:types>
          <w:type w:val="bbPlcHdr"/>
        </w:types>
        <w:behaviors>
          <w:behavior w:val="content"/>
        </w:behaviors>
        <w:guid w:val="{644B63D7-DB32-B24C-9518-D08999AC593E}"/>
      </w:docPartPr>
      <w:docPartBody>
        <w:p w:rsidR="00BC31D0" w:rsidRDefault="003B40D5">
          <w:pPr>
            <w:pStyle w:val="E8A7AB10AA6EFB4BB56988FE38DA3B10"/>
          </w:pPr>
          <w:r w:rsidRPr="00E83264">
            <w:rPr>
              <w:rStyle w:val="PlaceholderText"/>
            </w:rPr>
            <w:t>Haga clic o pulse aquí para escribir texto.</w:t>
          </w:r>
        </w:p>
      </w:docPartBody>
    </w:docPart>
    <w:docPart>
      <w:docPartPr>
        <w:name w:val="DD2448CE148E474C9E574E336B594A73"/>
        <w:category>
          <w:name w:val="General"/>
          <w:gallery w:val="placeholder"/>
        </w:category>
        <w:types>
          <w:type w:val="bbPlcHdr"/>
        </w:types>
        <w:behaviors>
          <w:behavior w:val="content"/>
        </w:behaviors>
        <w:guid w:val="{376CFEBC-5FB4-3A4C-B0A3-E2EC38BD0D96}"/>
      </w:docPartPr>
      <w:docPartBody>
        <w:p w:rsidR="00BC31D0" w:rsidRDefault="003B40D5">
          <w:pPr>
            <w:pStyle w:val="DD2448CE148E474C9E574E336B594A73"/>
          </w:pPr>
          <w:r w:rsidRPr="00E83264">
            <w:rPr>
              <w:rStyle w:val="PlaceholderText"/>
            </w:rPr>
            <w:t>Haga clic o pulse aquí para escribir texto.</w:t>
          </w:r>
        </w:p>
      </w:docPartBody>
    </w:docPart>
    <w:docPart>
      <w:docPartPr>
        <w:name w:val="E75642A32CB27044A8A8B94054B9ECCD"/>
        <w:category>
          <w:name w:val="General"/>
          <w:gallery w:val="placeholder"/>
        </w:category>
        <w:types>
          <w:type w:val="bbPlcHdr"/>
        </w:types>
        <w:behaviors>
          <w:behavior w:val="content"/>
        </w:behaviors>
        <w:guid w:val="{FC776941-ACE0-984F-ADFD-F43E3A8A9C12}"/>
      </w:docPartPr>
      <w:docPartBody>
        <w:p w:rsidR="00E47D8A" w:rsidRDefault="00BC31D0" w:rsidP="00BC31D0">
          <w:pPr>
            <w:pStyle w:val="E75642A32CB27044A8A8B94054B9ECCD"/>
          </w:pPr>
          <w:r w:rsidRPr="00E83264">
            <w:rPr>
              <w:rStyle w:val="PlaceholderText"/>
            </w:rPr>
            <w:t>Haga clic o pulse aquí para escribir texto.</w:t>
          </w:r>
        </w:p>
      </w:docPartBody>
    </w:docPart>
    <w:docPart>
      <w:docPartPr>
        <w:name w:val="F952DC79D295FF4FB98D6E79193B76F7"/>
        <w:category>
          <w:name w:val="General"/>
          <w:gallery w:val="placeholder"/>
        </w:category>
        <w:types>
          <w:type w:val="bbPlcHdr"/>
        </w:types>
        <w:behaviors>
          <w:behavior w:val="content"/>
        </w:behaviors>
        <w:guid w:val="{43344F49-732D-7645-946F-E285459C42F3}"/>
      </w:docPartPr>
      <w:docPartBody>
        <w:p w:rsidR="005A7274" w:rsidRDefault="002029E9" w:rsidP="002029E9">
          <w:pPr>
            <w:pStyle w:val="F952DC79D295FF4FB98D6E79193B76F7"/>
          </w:pPr>
          <w:r w:rsidRPr="00E83264">
            <w:rPr>
              <w:rStyle w:val="PlaceholderText"/>
            </w:rPr>
            <w:t>Haga clic o pulse aquí para escribir texto.</w:t>
          </w:r>
        </w:p>
      </w:docPartBody>
    </w:docPart>
    <w:docPart>
      <w:docPartPr>
        <w:name w:val="9362F79D54ABA84480E8848BF0A0E4F9"/>
        <w:category>
          <w:name w:val="General"/>
          <w:gallery w:val="placeholder"/>
        </w:category>
        <w:types>
          <w:type w:val="bbPlcHdr"/>
        </w:types>
        <w:behaviors>
          <w:behavior w:val="content"/>
        </w:behaviors>
        <w:guid w:val="{A64A8E9B-38A8-F84E-AA3B-6F66988B2BC6}"/>
      </w:docPartPr>
      <w:docPartBody>
        <w:p w:rsidR="005A7274" w:rsidRDefault="002029E9" w:rsidP="002029E9">
          <w:pPr>
            <w:pStyle w:val="9362F79D54ABA84480E8848BF0A0E4F9"/>
          </w:pPr>
          <w:r w:rsidRPr="00E83264">
            <w:rPr>
              <w:rStyle w:val="PlaceholderText"/>
            </w:rPr>
            <w:t>Haga clic o pulse aquí para escribir texto.</w:t>
          </w:r>
        </w:p>
      </w:docPartBody>
    </w:docPart>
    <w:docPart>
      <w:docPartPr>
        <w:name w:val="DC71A1471761B24CA6E639F2DC1D438C"/>
        <w:category>
          <w:name w:val="General"/>
          <w:gallery w:val="placeholder"/>
        </w:category>
        <w:types>
          <w:type w:val="bbPlcHdr"/>
        </w:types>
        <w:behaviors>
          <w:behavior w:val="content"/>
        </w:behaviors>
        <w:guid w:val="{62D4912C-CDDD-E84F-85B3-309DE66D3FE2}"/>
      </w:docPartPr>
      <w:docPartBody>
        <w:p w:rsidR="008A30F0" w:rsidRDefault="005A7274" w:rsidP="005A7274">
          <w:pPr>
            <w:pStyle w:val="DC71A1471761B24CA6E639F2DC1D438C"/>
          </w:pPr>
          <w:r w:rsidRPr="00E83264">
            <w:rPr>
              <w:rStyle w:val="PlaceholderText"/>
            </w:rPr>
            <w:t>Haga clic o pulse aquí para escribir texto.</w:t>
          </w:r>
        </w:p>
      </w:docPartBody>
    </w:docPart>
    <w:docPart>
      <w:docPartPr>
        <w:name w:val="7AF64A0C8C6CBC42891A556F431266DD"/>
        <w:category>
          <w:name w:val="General"/>
          <w:gallery w:val="placeholder"/>
        </w:category>
        <w:types>
          <w:type w:val="bbPlcHdr"/>
        </w:types>
        <w:behaviors>
          <w:behavior w:val="content"/>
        </w:behaviors>
        <w:guid w:val="{26BC2B5F-6F8D-6E46-9DE6-B2AD22DA6A7B}"/>
      </w:docPartPr>
      <w:docPartBody>
        <w:p w:rsidR="008A30F0" w:rsidRDefault="005A7274" w:rsidP="005A7274">
          <w:pPr>
            <w:pStyle w:val="7AF64A0C8C6CBC42891A556F431266DD"/>
          </w:pPr>
          <w:r w:rsidRPr="00E83264">
            <w:rPr>
              <w:rStyle w:val="PlaceholderText"/>
            </w:rPr>
            <w:t>Haga clic o pulse aquí para escribir texto.</w:t>
          </w:r>
        </w:p>
      </w:docPartBody>
    </w:docPart>
    <w:docPart>
      <w:docPartPr>
        <w:name w:val="0243DCBF25F5184DA9DF8CB4149CFFAF"/>
        <w:category>
          <w:name w:val="General"/>
          <w:gallery w:val="placeholder"/>
        </w:category>
        <w:types>
          <w:type w:val="bbPlcHdr"/>
        </w:types>
        <w:behaviors>
          <w:behavior w:val="content"/>
        </w:behaviors>
        <w:guid w:val="{1B58E0CA-D47B-6E4B-A33C-E837C56AAF51}"/>
      </w:docPartPr>
      <w:docPartBody>
        <w:p w:rsidR="002037FB" w:rsidRDefault="002143DA" w:rsidP="002143DA">
          <w:pPr>
            <w:pStyle w:val="0243DCBF25F5184DA9DF8CB4149CFFAF"/>
          </w:pPr>
          <w:r w:rsidRPr="00E83264">
            <w:rPr>
              <w:rStyle w:val="PlaceholderText"/>
            </w:rPr>
            <w:t>Haga clic o pulse aquí para escribir texto.</w:t>
          </w:r>
        </w:p>
      </w:docPartBody>
    </w:docPart>
    <w:docPart>
      <w:docPartPr>
        <w:name w:val="00D569FFC2606C46B2D6001ABC759CDF"/>
        <w:category>
          <w:name w:val="General"/>
          <w:gallery w:val="placeholder"/>
        </w:category>
        <w:types>
          <w:type w:val="bbPlcHdr"/>
        </w:types>
        <w:behaviors>
          <w:behavior w:val="content"/>
        </w:behaviors>
        <w:guid w:val="{4CE475E0-E2B5-D54C-9F2B-6BCEDA879BFB}"/>
      </w:docPartPr>
      <w:docPartBody>
        <w:p w:rsidR="006F5218" w:rsidRDefault="001613DD" w:rsidP="001613DD">
          <w:pPr>
            <w:pStyle w:val="00D569FFC2606C46B2D6001ABC759CDF"/>
          </w:pPr>
          <w:r w:rsidRPr="00E83264">
            <w:rPr>
              <w:rStyle w:val="PlaceholderText"/>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0E7"/>
    <w:rsid w:val="00001ABD"/>
    <w:rsid w:val="001613DD"/>
    <w:rsid w:val="001C0989"/>
    <w:rsid w:val="001D36C0"/>
    <w:rsid w:val="002029E9"/>
    <w:rsid w:val="002037FB"/>
    <w:rsid w:val="002143DA"/>
    <w:rsid w:val="00237890"/>
    <w:rsid w:val="002A3FF7"/>
    <w:rsid w:val="002E367C"/>
    <w:rsid w:val="003A0501"/>
    <w:rsid w:val="003A6D97"/>
    <w:rsid w:val="003B40D5"/>
    <w:rsid w:val="003B5536"/>
    <w:rsid w:val="003B7D42"/>
    <w:rsid w:val="00440234"/>
    <w:rsid w:val="00453CD5"/>
    <w:rsid w:val="004E2406"/>
    <w:rsid w:val="004E4551"/>
    <w:rsid w:val="0050772F"/>
    <w:rsid w:val="00555C4C"/>
    <w:rsid w:val="005A7274"/>
    <w:rsid w:val="005E3BC7"/>
    <w:rsid w:val="005F4461"/>
    <w:rsid w:val="006053BA"/>
    <w:rsid w:val="00616CED"/>
    <w:rsid w:val="00644F59"/>
    <w:rsid w:val="0065157F"/>
    <w:rsid w:val="006525B1"/>
    <w:rsid w:val="006F5218"/>
    <w:rsid w:val="007A309D"/>
    <w:rsid w:val="007C6ED8"/>
    <w:rsid w:val="00805918"/>
    <w:rsid w:val="008242A0"/>
    <w:rsid w:val="00833B02"/>
    <w:rsid w:val="008A30F0"/>
    <w:rsid w:val="008F7D4F"/>
    <w:rsid w:val="00A5168B"/>
    <w:rsid w:val="00A73323"/>
    <w:rsid w:val="00AD50E8"/>
    <w:rsid w:val="00B14C1E"/>
    <w:rsid w:val="00BC31D0"/>
    <w:rsid w:val="00C06426"/>
    <w:rsid w:val="00C22851"/>
    <w:rsid w:val="00C30C2B"/>
    <w:rsid w:val="00CD5C2E"/>
    <w:rsid w:val="00D50007"/>
    <w:rsid w:val="00D85552"/>
    <w:rsid w:val="00E15D50"/>
    <w:rsid w:val="00E47D8A"/>
    <w:rsid w:val="00E57CF7"/>
    <w:rsid w:val="00E740E7"/>
    <w:rsid w:val="00F303FA"/>
    <w:rsid w:val="00F939D3"/>
    <w:rsid w:val="00FD621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R" w:eastAsia="es-ES_trad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5218"/>
    <w:rPr>
      <w:color w:val="666666"/>
    </w:rPr>
  </w:style>
  <w:style w:type="paragraph" w:customStyle="1" w:styleId="0D1B8F8AB8EA314FAE5720E947B83E06">
    <w:name w:val="0D1B8F8AB8EA314FAE5720E947B83E06"/>
    <w:rsid w:val="00F303FA"/>
  </w:style>
  <w:style w:type="paragraph" w:customStyle="1" w:styleId="75D9298E35986E4CB39DE546BDD6444F">
    <w:name w:val="75D9298E35986E4CB39DE546BDD6444F"/>
  </w:style>
  <w:style w:type="paragraph" w:customStyle="1" w:styleId="3B1E5956E20FFA4CBE01AE00CE877EBE">
    <w:name w:val="3B1E5956E20FFA4CBE01AE00CE877EBE"/>
    <w:rsid w:val="00D85552"/>
  </w:style>
  <w:style w:type="paragraph" w:customStyle="1" w:styleId="13D5783366895E4E91DA5595CCD5A367">
    <w:name w:val="13D5783366895E4E91DA5595CCD5A367"/>
    <w:rsid w:val="00D50007"/>
  </w:style>
  <w:style w:type="paragraph" w:customStyle="1" w:styleId="57C54CCC0E0DE449B5BA28A6FDDA9C98">
    <w:name w:val="57C54CCC0E0DE449B5BA28A6FDDA9C98"/>
    <w:rsid w:val="00D85552"/>
  </w:style>
  <w:style w:type="paragraph" w:customStyle="1" w:styleId="E8A7AB10AA6EFB4BB56988FE38DA3B10">
    <w:name w:val="E8A7AB10AA6EFB4BB56988FE38DA3B10"/>
  </w:style>
  <w:style w:type="paragraph" w:customStyle="1" w:styleId="1F5EEDD973DE2944AC4083DEE7A1E755">
    <w:name w:val="1F5EEDD973DE2944AC4083DEE7A1E755"/>
    <w:rsid w:val="00D85552"/>
  </w:style>
  <w:style w:type="paragraph" w:customStyle="1" w:styleId="3DC624430E78194794DFC75B201524A4">
    <w:name w:val="3DC624430E78194794DFC75B201524A4"/>
    <w:rsid w:val="00D85552"/>
  </w:style>
  <w:style w:type="paragraph" w:customStyle="1" w:styleId="275A40CBBB09094C8B3ED7B2805C1E08">
    <w:name w:val="275A40CBBB09094C8B3ED7B2805C1E08"/>
    <w:rsid w:val="00D85552"/>
  </w:style>
  <w:style w:type="paragraph" w:customStyle="1" w:styleId="1E2B417F234543469802E4D0BEBE35C8">
    <w:name w:val="1E2B417F234543469802E4D0BEBE35C8"/>
    <w:rsid w:val="00D85552"/>
  </w:style>
  <w:style w:type="paragraph" w:customStyle="1" w:styleId="5F1E430047BBDA4182492335205C45C0">
    <w:name w:val="5F1E430047BBDA4182492335205C45C0"/>
    <w:rsid w:val="00D85552"/>
  </w:style>
  <w:style w:type="paragraph" w:customStyle="1" w:styleId="BAF3B3A71982F34B854CBEE35FDE0BC5">
    <w:name w:val="BAF3B3A71982F34B854CBEE35FDE0BC5"/>
    <w:rsid w:val="00D85552"/>
  </w:style>
  <w:style w:type="paragraph" w:customStyle="1" w:styleId="F06F188AF611244982B313C9D162552D">
    <w:name w:val="F06F188AF611244982B313C9D162552D"/>
    <w:rsid w:val="00D85552"/>
  </w:style>
  <w:style w:type="paragraph" w:customStyle="1" w:styleId="7705C490FC91A04C8452A18B498F395A">
    <w:name w:val="7705C490FC91A04C8452A18B498F395A"/>
    <w:rsid w:val="00D85552"/>
  </w:style>
  <w:style w:type="paragraph" w:customStyle="1" w:styleId="E4502C676B5A99418CAE7C3A3E1130F6">
    <w:name w:val="E4502C676B5A99418CAE7C3A3E1130F6"/>
    <w:rsid w:val="00D85552"/>
  </w:style>
  <w:style w:type="paragraph" w:customStyle="1" w:styleId="B18690BDBB2E7B46973312666CD52CF1">
    <w:name w:val="B18690BDBB2E7B46973312666CD52CF1"/>
    <w:rsid w:val="00D85552"/>
  </w:style>
  <w:style w:type="paragraph" w:customStyle="1" w:styleId="4A389E49B84373468F8D3FA3B32755B9">
    <w:name w:val="4A389E49B84373468F8D3FA3B32755B9"/>
    <w:rsid w:val="00D85552"/>
  </w:style>
  <w:style w:type="paragraph" w:customStyle="1" w:styleId="9D67ECB40FD89B4E89DDA70CF7778F7C">
    <w:name w:val="9D67ECB40FD89B4E89DDA70CF7778F7C"/>
  </w:style>
  <w:style w:type="paragraph" w:customStyle="1" w:styleId="D0B5707280267948AE0A4780733D3C15">
    <w:name w:val="D0B5707280267948AE0A4780733D3C15"/>
  </w:style>
  <w:style w:type="paragraph" w:customStyle="1" w:styleId="DD2448CE148E474C9E574E336B594A73">
    <w:name w:val="DD2448CE148E474C9E574E336B594A73"/>
  </w:style>
  <w:style w:type="paragraph" w:customStyle="1" w:styleId="61AC9410BE2661409631997F603FB21F">
    <w:name w:val="61AC9410BE2661409631997F603FB21F"/>
  </w:style>
  <w:style w:type="paragraph" w:customStyle="1" w:styleId="8791429B75A07D49B181E5EF00238717">
    <w:name w:val="8791429B75A07D49B181E5EF00238717"/>
  </w:style>
  <w:style w:type="paragraph" w:customStyle="1" w:styleId="55E00E36DA238741A560B81729FA1764">
    <w:name w:val="55E00E36DA238741A560B81729FA1764"/>
  </w:style>
  <w:style w:type="paragraph" w:customStyle="1" w:styleId="D91D665B1AAF8B4AB70E53D6970789C5">
    <w:name w:val="D91D665B1AAF8B4AB70E53D6970789C5"/>
  </w:style>
  <w:style w:type="paragraph" w:customStyle="1" w:styleId="E75642A32CB27044A8A8B94054B9ECCD">
    <w:name w:val="E75642A32CB27044A8A8B94054B9ECCD"/>
    <w:rsid w:val="00BC31D0"/>
  </w:style>
  <w:style w:type="paragraph" w:customStyle="1" w:styleId="61FD40A2A776334E80B545C960BB74DF">
    <w:name w:val="61FD40A2A776334E80B545C960BB74DF"/>
    <w:rsid w:val="00BC31D0"/>
  </w:style>
  <w:style w:type="paragraph" w:customStyle="1" w:styleId="70EB8BA6F6FD924188CF8FDCFE3662A7">
    <w:name w:val="70EB8BA6F6FD924188CF8FDCFE3662A7"/>
    <w:rsid w:val="002029E9"/>
  </w:style>
  <w:style w:type="paragraph" w:customStyle="1" w:styleId="F952DC79D295FF4FB98D6E79193B76F7">
    <w:name w:val="F952DC79D295FF4FB98D6E79193B76F7"/>
    <w:rsid w:val="002029E9"/>
  </w:style>
  <w:style w:type="paragraph" w:customStyle="1" w:styleId="400878C2C575834F81FCACCB6EC61C89">
    <w:name w:val="400878C2C575834F81FCACCB6EC61C89"/>
    <w:rsid w:val="002029E9"/>
  </w:style>
  <w:style w:type="paragraph" w:customStyle="1" w:styleId="9362F79D54ABA84480E8848BF0A0E4F9">
    <w:name w:val="9362F79D54ABA84480E8848BF0A0E4F9"/>
    <w:rsid w:val="002029E9"/>
  </w:style>
  <w:style w:type="paragraph" w:customStyle="1" w:styleId="9FAD50B661E92B4EB08FF9AD74F59D1A">
    <w:name w:val="9FAD50B661E92B4EB08FF9AD74F59D1A"/>
    <w:rsid w:val="002029E9"/>
  </w:style>
  <w:style w:type="paragraph" w:customStyle="1" w:styleId="4DDA752A5CBFF64487863E195AB8EDC2">
    <w:name w:val="4DDA752A5CBFF64487863E195AB8EDC2"/>
    <w:rsid w:val="005A7274"/>
  </w:style>
  <w:style w:type="paragraph" w:customStyle="1" w:styleId="DC71A1471761B24CA6E639F2DC1D438C">
    <w:name w:val="DC71A1471761B24CA6E639F2DC1D438C"/>
    <w:rsid w:val="005A7274"/>
  </w:style>
  <w:style w:type="paragraph" w:customStyle="1" w:styleId="80643F115F3C0248BC67777EF95350F9">
    <w:name w:val="80643F115F3C0248BC67777EF95350F9"/>
    <w:rsid w:val="005A7274"/>
  </w:style>
  <w:style w:type="paragraph" w:customStyle="1" w:styleId="7AF64A0C8C6CBC42891A556F431266DD">
    <w:name w:val="7AF64A0C8C6CBC42891A556F431266DD"/>
    <w:rsid w:val="005A7274"/>
  </w:style>
  <w:style w:type="paragraph" w:customStyle="1" w:styleId="E5309ACA64AB4A49AAEFA05BB3659E80">
    <w:name w:val="E5309ACA64AB4A49AAEFA05BB3659E80"/>
    <w:rsid w:val="002143DA"/>
  </w:style>
  <w:style w:type="paragraph" w:customStyle="1" w:styleId="157257DCBB977E40B02D1008705269FF">
    <w:name w:val="157257DCBB977E40B02D1008705269FF"/>
    <w:rsid w:val="002143DA"/>
  </w:style>
  <w:style w:type="paragraph" w:customStyle="1" w:styleId="099B5D97F73F434D852BAF660DAC8018">
    <w:name w:val="099B5D97F73F434D852BAF660DAC8018"/>
    <w:rsid w:val="002143DA"/>
  </w:style>
  <w:style w:type="paragraph" w:customStyle="1" w:styleId="0243DCBF25F5184DA9DF8CB4149CFFAF">
    <w:name w:val="0243DCBF25F5184DA9DF8CB4149CFFAF"/>
    <w:rsid w:val="002143DA"/>
  </w:style>
  <w:style w:type="paragraph" w:customStyle="1" w:styleId="EFE94BBBA7B64B4AB354A4363295CA69">
    <w:name w:val="EFE94BBBA7B64B4AB354A4363295CA69"/>
    <w:rsid w:val="002143DA"/>
  </w:style>
  <w:style w:type="paragraph" w:customStyle="1" w:styleId="B446ECA2138B4591AEA9F577F46B59B5">
    <w:name w:val="B446ECA2138B4591AEA9F577F46B59B5"/>
    <w:pPr>
      <w:spacing w:line="259" w:lineRule="auto"/>
    </w:pPr>
    <w:rPr>
      <w:kern w:val="0"/>
      <w:sz w:val="22"/>
      <w:szCs w:val="22"/>
      <w:lang w:eastAsia="es-CR"/>
      <w14:ligatures w14:val="none"/>
    </w:rPr>
  </w:style>
  <w:style w:type="paragraph" w:customStyle="1" w:styleId="F23686AB0E98447E985059ABA33450D5">
    <w:name w:val="F23686AB0E98447E985059ABA33450D5"/>
    <w:pPr>
      <w:spacing w:line="259" w:lineRule="auto"/>
    </w:pPr>
    <w:rPr>
      <w:kern w:val="0"/>
      <w:sz w:val="22"/>
      <w:szCs w:val="22"/>
      <w:lang w:eastAsia="es-CR"/>
      <w14:ligatures w14:val="none"/>
    </w:rPr>
  </w:style>
  <w:style w:type="paragraph" w:customStyle="1" w:styleId="386558439E7544E0B45A92CBEDD4531D">
    <w:name w:val="386558439E7544E0B45A92CBEDD4531D"/>
    <w:pPr>
      <w:spacing w:line="259" w:lineRule="auto"/>
    </w:pPr>
    <w:rPr>
      <w:kern w:val="0"/>
      <w:sz w:val="22"/>
      <w:szCs w:val="22"/>
      <w:lang w:eastAsia="es-CR"/>
      <w14:ligatures w14:val="none"/>
    </w:rPr>
  </w:style>
  <w:style w:type="paragraph" w:customStyle="1" w:styleId="075E162328B94112BA4FDD7D82A1E9C5">
    <w:name w:val="075E162328B94112BA4FDD7D82A1E9C5"/>
    <w:pPr>
      <w:spacing w:line="259" w:lineRule="auto"/>
    </w:pPr>
    <w:rPr>
      <w:kern w:val="0"/>
      <w:sz w:val="22"/>
      <w:szCs w:val="22"/>
      <w:lang w:eastAsia="es-CR"/>
      <w14:ligatures w14:val="none"/>
    </w:rPr>
  </w:style>
  <w:style w:type="paragraph" w:customStyle="1" w:styleId="D36F4FC327834D82992CB2C9FD573BD2">
    <w:name w:val="D36F4FC327834D82992CB2C9FD573BD2"/>
    <w:pPr>
      <w:spacing w:line="259" w:lineRule="auto"/>
    </w:pPr>
    <w:rPr>
      <w:kern w:val="0"/>
      <w:sz w:val="22"/>
      <w:szCs w:val="22"/>
      <w:lang w:eastAsia="es-CR"/>
      <w14:ligatures w14:val="none"/>
    </w:rPr>
  </w:style>
  <w:style w:type="paragraph" w:customStyle="1" w:styleId="8AEB92853FDA48F8BCFF35B1CCDA9C45">
    <w:name w:val="8AEB92853FDA48F8BCFF35B1CCDA9C45"/>
    <w:pPr>
      <w:spacing w:line="259" w:lineRule="auto"/>
    </w:pPr>
    <w:rPr>
      <w:kern w:val="0"/>
      <w:sz w:val="22"/>
      <w:szCs w:val="22"/>
      <w:lang w:eastAsia="es-CR"/>
      <w14:ligatures w14:val="none"/>
    </w:rPr>
  </w:style>
  <w:style w:type="paragraph" w:customStyle="1" w:styleId="D4AD75125DE043E7875F9CE1A94184C2">
    <w:name w:val="D4AD75125DE043E7875F9CE1A94184C2"/>
    <w:pPr>
      <w:spacing w:line="259" w:lineRule="auto"/>
    </w:pPr>
    <w:rPr>
      <w:kern w:val="0"/>
      <w:sz w:val="22"/>
      <w:szCs w:val="22"/>
      <w:lang w:eastAsia="es-CR"/>
      <w14:ligatures w14:val="none"/>
    </w:rPr>
  </w:style>
  <w:style w:type="paragraph" w:customStyle="1" w:styleId="22B5FEC6BA6545A1B45AA3FFDB5E4578">
    <w:name w:val="22B5FEC6BA6545A1B45AA3FFDB5E4578"/>
    <w:pPr>
      <w:spacing w:line="259" w:lineRule="auto"/>
    </w:pPr>
    <w:rPr>
      <w:kern w:val="0"/>
      <w:sz w:val="22"/>
      <w:szCs w:val="22"/>
      <w:lang w:eastAsia="es-CR"/>
      <w14:ligatures w14:val="none"/>
    </w:rPr>
  </w:style>
  <w:style w:type="paragraph" w:customStyle="1" w:styleId="2AADC92A49E041DBA24D0184BF272A1D">
    <w:name w:val="2AADC92A49E041DBA24D0184BF272A1D"/>
    <w:pPr>
      <w:spacing w:line="259" w:lineRule="auto"/>
    </w:pPr>
    <w:rPr>
      <w:kern w:val="0"/>
      <w:sz w:val="22"/>
      <w:szCs w:val="22"/>
      <w:lang w:eastAsia="es-CR"/>
      <w14:ligatures w14:val="none"/>
    </w:rPr>
  </w:style>
  <w:style w:type="paragraph" w:customStyle="1" w:styleId="4277CDFFA50F47E7A99982A0BFC94EB0">
    <w:name w:val="4277CDFFA50F47E7A99982A0BFC94EB0"/>
    <w:pPr>
      <w:spacing w:line="259" w:lineRule="auto"/>
    </w:pPr>
    <w:rPr>
      <w:kern w:val="0"/>
      <w:sz w:val="22"/>
      <w:szCs w:val="22"/>
      <w:lang w:eastAsia="es-CR"/>
      <w14:ligatures w14:val="none"/>
    </w:rPr>
  </w:style>
  <w:style w:type="paragraph" w:customStyle="1" w:styleId="B96EC6C382D1495AB4099E84D2D65D94">
    <w:name w:val="B96EC6C382D1495AB4099E84D2D65D94"/>
    <w:pPr>
      <w:spacing w:line="259" w:lineRule="auto"/>
    </w:pPr>
    <w:rPr>
      <w:kern w:val="0"/>
      <w:sz w:val="22"/>
      <w:szCs w:val="22"/>
      <w:lang w:eastAsia="es-CR"/>
      <w14:ligatures w14:val="none"/>
    </w:rPr>
  </w:style>
  <w:style w:type="paragraph" w:customStyle="1" w:styleId="DFE2B9A84DD944F9ADF3979BEC42D22F">
    <w:name w:val="DFE2B9A84DD944F9ADF3979BEC42D22F"/>
    <w:pPr>
      <w:spacing w:line="259" w:lineRule="auto"/>
    </w:pPr>
    <w:rPr>
      <w:kern w:val="0"/>
      <w:sz w:val="22"/>
      <w:szCs w:val="22"/>
      <w:lang w:eastAsia="es-CR"/>
      <w14:ligatures w14:val="none"/>
    </w:rPr>
  </w:style>
  <w:style w:type="paragraph" w:customStyle="1" w:styleId="8B543BC365BE44DEB03FFB942FA583DC">
    <w:name w:val="8B543BC365BE44DEB03FFB942FA583DC"/>
    <w:pPr>
      <w:spacing w:line="259" w:lineRule="auto"/>
    </w:pPr>
    <w:rPr>
      <w:kern w:val="0"/>
      <w:sz w:val="22"/>
      <w:szCs w:val="22"/>
      <w:lang w:eastAsia="es-CR"/>
      <w14:ligatures w14:val="none"/>
    </w:rPr>
  </w:style>
  <w:style w:type="paragraph" w:customStyle="1" w:styleId="A8AE422EBDBE4DA7A91B884F4F98B077">
    <w:name w:val="A8AE422EBDBE4DA7A91B884F4F98B077"/>
    <w:pPr>
      <w:spacing w:line="259" w:lineRule="auto"/>
    </w:pPr>
    <w:rPr>
      <w:kern w:val="0"/>
      <w:sz w:val="22"/>
      <w:szCs w:val="22"/>
      <w:lang w:eastAsia="es-CR"/>
      <w14:ligatures w14:val="none"/>
    </w:rPr>
  </w:style>
  <w:style w:type="paragraph" w:customStyle="1" w:styleId="10CF5B4F54724A089AE23887F6EF755E">
    <w:name w:val="10CF5B4F54724A089AE23887F6EF755E"/>
    <w:pPr>
      <w:spacing w:line="259" w:lineRule="auto"/>
    </w:pPr>
    <w:rPr>
      <w:kern w:val="0"/>
      <w:sz w:val="22"/>
      <w:szCs w:val="22"/>
      <w:lang w:eastAsia="es-CR"/>
      <w14:ligatures w14:val="none"/>
    </w:rPr>
  </w:style>
  <w:style w:type="paragraph" w:customStyle="1" w:styleId="F8B349B3420A41279E62092D57D822EA">
    <w:name w:val="F8B349B3420A41279E62092D57D822EA"/>
    <w:pPr>
      <w:spacing w:line="259" w:lineRule="auto"/>
    </w:pPr>
    <w:rPr>
      <w:kern w:val="0"/>
      <w:sz w:val="22"/>
      <w:szCs w:val="22"/>
      <w:lang w:eastAsia="es-CR"/>
      <w14:ligatures w14:val="none"/>
    </w:rPr>
  </w:style>
  <w:style w:type="paragraph" w:customStyle="1" w:styleId="3551131B6BC7457F9F0173DBA13BE5A8">
    <w:name w:val="3551131B6BC7457F9F0173DBA13BE5A8"/>
    <w:pPr>
      <w:spacing w:line="259" w:lineRule="auto"/>
    </w:pPr>
    <w:rPr>
      <w:kern w:val="0"/>
      <w:sz w:val="22"/>
      <w:szCs w:val="22"/>
      <w:lang w:eastAsia="es-CR"/>
      <w14:ligatures w14:val="none"/>
    </w:rPr>
  </w:style>
  <w:style w:type="paragraph" w:customStyle="1" w:styleId="7F9DA73480904A0EB5FE731B076C320A">
    <w:name w:val="7F9DA73480904A0EB5FE731B076C320A"/>
    <w:pPr>
      <w:spacing w:line="259" w:lineRule="auto"/>
    </w:pPr>
    <w:rPr>
      <w:kern w:val="0"/>
      <w:sz w:val="22"/>
      <w:szCs w:val="22"/>
      <w:lang w:eastAsia="es-CR"/>
      <w14:ligatures w14:val="none"/>
    </w:rPr>
  </w:style>
  <w:style w:type="paragraph" w:customStyle="1" w:styleId="A8BAD3FBDBBB4650A4CF9DCCC7FC9775">
    <w:name w:val="A8BAD3FBDBBB4650A4CF9DCCC7FC9775"/>
    <w:pPr>
      <w:spacing w:line="259" w:lineRule="auto"/>
    </w:pPr>
    <w:rPr>
      <w:kern w:val="0"/>
      <w:sz w:val="22"/>
      <w:szCs w:val="22"/>
      <w:lang w:eastAsia="es-CR"/>
      <w14:ligatures w14:val="none"/>
    </w:rPr>
  </w:style>
  <w:style w:type="paragraph" w:customStyle="1" w:styleId="EB2185F395A24CE0BE011C4D2239BAFA">
    <w:name w:val="EB2185F395A24CE0BE011C4D2239BAFA"/>
    <w:pPr>
      <w:spacing w:line="259" w:lineRule="auto"/>
    </w:pPr>
    <w:rPr>
      <w:kern w:val="0"/>
      <w:sz w:val="22"/>
      <w:szCs w:val="22"/>
      <w:lang w:eastAsia="es-CR"/>
      <w14:ligatures w14:val="none"/>
    </w:rPr>
  </w:style>
  <w:style w:type="paragraph" w:customStyle="1" w:styleId="DEC3836C7F3841FF82EBE58246A95A62">
    <w:name w:val="DEC3836C7F3841FF82EBE58246A95A62"/>
    <w:pPr>
      <w:spacing w:line="259" w:lineRule="auto"/>
    </w:pPr>
    <w:rPr>
      <w:kern w:val="0"/>
      <w:sz w:val="22"/>
      <w:szCs w:val="22"/>
      <w:lang w:eastAsia="es-CR"/>
      <w14:ligatures w14:val="none"/>
    </w:rPr>
  </w:style>
  <w:style w:type="paragraph" w:customStyle="1" w:styleId="BC1A57E6025C4B2BAF5DAFD195C25488">
    <w:name w:val="BC1A57E6025C4B2BAF5DAFD195C25488"/>
    <w:pPr>
      <w:spacing w:line="259" w:lineRule="auto"/>
    </w:pPr>
    <w:rPr>
      <w:kern w:val="0"/>
      <w:sz w:val="22"/>
      <w:szCs w:val="22"/>
      <w:lang w:eastAsia="es-CR"/>
      <w14:ligatures w14:val="none"/>
    </w:rPr>
  </w:style>
  <w:style w:type="paragraph" w:customStyle="1" w:styleId="1121EC52F4B44470A0D22870952EDF4A">
    <w:name w:val="1121EC52F4B44470A0D22870952EDF4A"/>
    <w:pPr>
      <w:spacing w:line="259" w:lineRule="auto"/>
    </w:pPr>
    <w:rPr>
      <w:kern w:val="0"/>
      <w:sz w:val="22"/>
      <w:szCs w:val="22"/>
      <w:lang w:eastAsia="es-CR"/>
      <w14:ligatures w14:val="none"/>
    </w:rPr>
  </w:style>
  <w:style w:type="paragraph" w:customStyle="1" w:styleId="EFEC1DC48678484889DB713BB18D07D9">
    <w:name w:val="EFEC1DC48678484889DB713BB18D07D9"/>
    <w:pPr>
      <w:spacing w:line="259" w:lineRule="auto"/>
    </w:pPr>
    <w:rPr>
      <w:kern w:val="0"/>
      <w:sz w:val="22"/>
      <w:szCs w:val="22"/>
      <w:lang w:eastAsia="es-CR"/>
      <w14:ligatures w14:val="none"/>
    </w:rPr>
  </w:style>
  <w:style w:type="paragraph" w:customStyle="1" w:styleId="00D569FFC2606C46B2D6001ABC759CDF">
    <w:name w:val="00D569FFC2606C46B2D6001ABC759CDF"/>
    <w:rsid w:val="001613DD"/>
  </w:style>
  <w:style w:type="paragraph" w:customStyle="1" w:styleId="DEB390CC6E8B459FA745EE862D3BE8A0">
    <w:name w:val="DEB390CC6E8B459FA745EE862D3BE8A0"/>
    <w:rsid w:val="006F5218"/>
    <w:pPr>
      <w:spacing w:line="259" w:lineRule="auto"/>
    </w:pPr>
    <w:rPr>
      <w:kern w:val="0"/>
      <w:sz w:val="22"/>
      <w:szCs w:val="22"/>
      <w:lang w:eastAsia="es-CR"/>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r="http://schemas.openxmlformats.org/officeDocument/2006/relationships" name="Tema de Office">
  <a:themeElements>
    <a:clrScheme name="Azul">
      <a:dk1>
        <a:srgbClr val="000000"/>
      </a:dk1>
      <a:lt1>
        <a:srgbClr val="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282D53-2828-4392-A5DA-233CA2925D1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Application>LibreOffice/25.2.5.2$Linux_X86_64 LibreOffice_project/fb4792146257752f54eab576deb869869b108571</Application>
  <AppVersion>15.0000</AppVersion>
  <Pages>104</Pages>
  <Words>24182</Words>
  <Characters>145553</Characters>
  <CharactersWithSpaces>168621</CharactersWithSpaces>
  <Paragraphs>943</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2025-08-12T16:05:00Z</dcterms:created>
  <dc:creator>nfernandez</dc:creator>
  <dc:description/>
  <dc:language>en-US</dc:language>
  <cp:lastModifiedBy/>
  <dcterms:modified xsi:type="dcterms:W3CDTF">2025-08-12T10:51:15Z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