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4CE81" w14:textId="18BCBACC" w:rsidR="00205715" w:rsidRPr="00E1125C" w:rsidRDefault="00261E97" w:rsidP="00825F52">
      <w:pPr>
        <w:pStyle w:val="Ttulo1"/>
      </w:pPr>
      <w:r w:rsidRPr="00E1125C">
        <w:t xml:space="preserve">La </w:t>
      </w:r>
      <w:r w:rsidR="0024319B" w:rsidRPr="00E1125C">
        <w:t>acumulación</w:t>
      </w:r>
      <w:r w:rsidRPr="00E1125C">
        <w:t xml:space="preserve"> de capital</w:t>
      </w:r>
      <w:r w:rsidR="0024319B" w:rsidRPr="00E1125C">
        <w:t>,</w:t>
      </w:r>
      <w:r w:rsidR="00BD40C6" w:rsidRPr="00E1125C">
        <w:t xml:space="preserve"> impedimento </w:t>
      </w:r>
      <w:r w:rsidR="007642CA" w:rsidRPr="00E1125C">
        <w:t>para los equilibrios</w:t>
      </w:r>
      <w:r w:rsidR="00E96F8A" w:rsidRPr="00E1125C">
        <w:t xml:space="preserve"> eficaces del sistema</w:t>
      </w:r>
      <w:r w:rsidR="00585B53" w:rsidRPr="00E1125C">
        <w:t xml:space="preserve"> económico</w:t>
      </w:r>
      <w:r w:rsidR="007642CA" w:rsidRPr="00E1125C">
        <w:t xml:space="preserve">  </w:t>
      </w:r>
    </w:p>
    <w:p w14:paraId="7581031D" w14:textId="2A8A263C" w:rsidR="00D31C7F" w:rsidRPr="00E1125C" w:rsidRDefault="0024319B" w:rsidP="00825F52">
      <w:pPr>
        <w:pStyle w:val="Ttulo1"/>
        <w:rPr>
          <w:sz w:val="28"/>
          <w:szCs w:val="28"/>
          <w:lang w:val="en-US"/>
        </w:rPr>
      </w:pPr>
      <w:r w:rsidRPr="00E1125C">
        <w:rPr>
          <w:sz w:val="28"/>
          <w:szCs w:val="28"/>
          <w:lang w:val="en-US"/>
        </w:rPr>
        <w:t>Accumulation of Capital</w:t>
      </w:r>
      <w:r w:rsidR="006A7872" w:rsidRPr="00E1125C">
        <w:rPr>
          <w:sz w:val="28"/>
          <w:szCs w:val="28"/>
          <w:lang w:val="en-US"/>
        </w:rPr>
        <w:t xml:space="preserve">, </w:t>
      </w:r>
      <w:r w:rsidR="00B165EC" w:rsidRPr="00E1125C">
        <w:rPr>
          <w:sz w:val="28"/>
          <w:szCs w:val="28"/>
          <w:lang w:val="en-US"/>
        </w:rPr>
        <w:t>I</w:t>
      </w:r>
      <w:r w:rsidR="006A7872" w:rsidRPr="00E1125C">
        <w:rPr>
          <w:sz w:val="28"/>
          <w:szCs w:val="28"/>
          <w:lang w:val="en-US"/>
        </w:rPr>
        <w:t xml:space="preserve">mpediment to </w:t>
      </w:r>
      <w:r w:rsidR="00F00EA5" w:rsidRPr="00E1125C">
        <w:rPr>
          <w:sz w:val="28"/>
          <w:szCs w:val="28"/>
          <w:lang w:val="en-US"/>
        </w:rPr>
        <w:t>Efficient</w:t>
      </w:r>
      <w:r w:rsidR="00B165EC" w:rsidRPr="00E1125C">
        <w:rPr>
          <w:sz w:val="28"/>
          <w:szCs w:val="28"/>
          <w:lang w:val="en-US"/>
        </w:rPr>
        <w:t xml:space="preserve"> </w:t>
      </w:r>
      <w:r w:rsidR="00A54C57" w:rsidRPr="00E1125C">
        <w:rPr>
          <w:sz w:val="28"/>
          <w:szCs w:val="28"/>
          <w:lang w:val="en-US"/>
        </w:rPr>
        <w:t xml:space="preserve">Economic </w:t>
      </w:r>
      <w:r w:rsidR="00B165EC" w:rsidRPr="00E1125C">
        <w:rPr>
          <w:sz w:val="28"/>
          <w:szCs w:val="28"/>
          <w:lang w:val="en-US"/>
        </w:rPr>
        <w:t>S</w:t>
      </w:r>
      <w:r w:rsidR="006A7872" w:rsidRPr="00E1125C">
        <w:rPr>
          <w:sz w:val="28"/>
          <w:szCs w:val="28"/>
          <w:lang w:val="en-US"/>
        </w:rPr>
        <w:t>ystem</w:t>
      </w:r>
      <w:r w:rsidR="00BD40C6" w:rsidRPr="00E1125C">
        <w:rPr>
          <w:sz w:val="28"/>
          <w:szCs w:val="28"/>
          <w:lang w:val="en-US"/>
        </w:rPr>
        <w:t xml:space="preserve"> </w:t>
      </w:r>
      <w:r w:rsidR="00B165EC" w:rsidRPr="00E1125C">
        <w:rPr>
          <w:sz w:val="28"/>
          <w:szCs w:val="28"/>
          <w:lang w:val="en-US"/>
        </w:rPr>
        <w:t>Equilibria</w:t>
      </w:r>
      <w:r w:rsidR="00D37A5E" w:rsidRPr="00E1125C">
        <w:rPr>
          <w:sz w:val="28"/>
          <w:szCs w:val="28"/>
          <w:lang w:val="en-US"/>
        </w:rPr>
        <w:t xml:space="preserve"> </w:t>
      </w:r>
    </w:p>
    <w:p w14:paraId="4B70051A" w14:textId="77777777" w:rsidR="00C25748" w:rsidRPr="00E1125C" w:rsidRDefault="00C25748" w:rsidP="00825F52">
      <w:pPr>
        <w:pStyle w:val="Ttulo1"/>
        <w:rPr>
          <w:lang w:val="en-US"/>
        </w:rPr>
      </w:pPr>
    </w:p>
    <w:p w14:paraId="6306557D" w14:textId="16081A07" w:rsidR="00A26BA5" w:rsidRPr="00E1125C" w:rsidRDefault="00CE1952" w:rsidP="00E134B9">
      <w:pPr>
        <w:pStyle w:val="Ttulo2"/>
        <w:jc w:val="center"/>
        <w:rPr>
          <w:rStyle w:val="Textoennegrita"/>
          <w:b w:val="0"/>
          <w:bCs w:val="0"/>
        </w:rPr>
      </w:pPr>
      <w:r w:rsidRPr="00E1125C">
        <w:rPr>
          <w:rStyle w:val="Textoennegrita"/>
          <w:b w:val="0"/>
          <w:bCs w:val="0"/>
        </w:rPr>
        <w:t>Reseña de cinco artículos y</w:t>
      </w:r>
      <w:r w:rsidR="00893FB4" w:rsidRPr="00E1125C">
        <w:rPr>
          <w:rStyle w:val="Textoennegrita"/>
          <w:b w:val="0"/>
          <w:bCs w:val="0"/>
        </w:rPr>
        <w:t xml:space="preserve"> e</w:t>
      </w:r>
      <w:r w:rsidR="00A26BA5" w:rsidRPr="00E1125C">
        <w:rPr>
          <w:rStyle w:val="Textoennegrita"/>
          <w:b w:val="0"/>
          <w:bCs w:val="0"/>
        </w:rPr>
        <w:t xml:space="preserve">studio de la concentración de </w:t>
      </w:r>
      <w:r w:rsidR="00D77BA6" w:rsidRPr="00E1125C">
        <w:rPr>
          <w:rStyle w:val="Textoennegrita"/>
          <w:b w:val="0"/>
          <w:bCs w:val="0"/>
        </w:rPr>
        <w:t>la producción</w:t>
      </w:r>
      <w:r w:rsidR="00A26BA5" w:rsidRPr="00E1125C">
        <w:rPr>
          <w:rStyle w:val="Textoennegrita"/>
          <w:b w:val="0"/>
          <w:bCs w:val="0"/>
        </w:rPr>
        <w:t xml:space="preserve"> en los sectores productivos de Costa Rica</w:t>
      </w:r>
      <w:r w:rsidR="00893FB4" w:rsidRPr="00E1125C">
        <w:rPr>
          <w:rStyle w:val="Textoennegrita"/>
          <w:b w:val="0"/>
          <w:bCs w:val="0"/>
        </w:rPr>
        <w:t xml:space="preserve"> entre 2012 y 2018</w:t>
      </w:r>
    </w:p>
    <w:p w14:paraId="157E6A3C" w14:textId="0DB93A2D" w:rsidR="005B1BDD" w:rsidRPr="00E1125C" w:rsidRDefault="005B1BDD" w:rsidP="008E64C0">
      <w:pPr>
        <w:rPr>
          <w:rFonts w:ascii="Times New Roman" w:eastAsia="Times New Roman" w:hAnsi="Times New Roman" w:cs="Times New Roman"/>
          <w:b/>
          <w:bCs/>
          <w:sz w:val="36"/>
          <w:szCs w:val="36"/>
        </w:rPr>
      </w:pPr>
    </w:p>
    <w:p w14:paraId="15F98BFE" w14:textId="77777777" w:rsidR="0039398D" w:rsidRPr="00E1125C" w:rsidRDefault="0039398D" w:rsidP="008E64C0">
      <w:pPr>
        <w:rPr>
          <w:rFonts w:ascii="Times New Roman" w:eastAsia="Times New Roman" w:hAnsi="Times New Roman" w:cs="Times New Roman"/>
          <w:b/>
          <w:bCs/>
          <w:sz w:val="36"/>
          <w:szCs w:val="36"/>
        </w:rPr>
      </w:pPr>
    </w:p>
    <w:p w14:paraId="62F0FCD2" w14:textId="0CFDDF51" w:rsidR="007E5629" w:rsidRPr="00E1125C" w:rsidRDefault="007E5629" w:rsidP="007E5629">
      <w:pPr>
        <w:pStyle w:val="Ttulo3"/>
        <w:rPr>
          <w:rFonts w:ascii="Book Antiqua" w:eastAsia="Times New Roman" w:hAnsi="Book Antiqua"/>
          <w:color w:val="auto"/>
          <w:sz w:val="22"/>
          <w:szCs w:val="22"/>
        </w:rPr>
      </w:pPr>
      <w:r w:rsidRPr="00E1125C">
        <w:rPr>
          <w:rFonts w:ascii="Book Antiqua" w:eastAsia="Times New Roman" w:hAnsi="Book Antiqua"/>
          <w:color w:val="auto"/>
          <w:sz w:val="22"/>
          <w:szCs w:val="22"/>
        </w:rPr>
        <w:t>Índices JEL: A12, B50, E71, M38</w:t>
      </w:r>
      <w:r w:rsidR="0027581E" w:rsidRPr="00E1125C">
        <w:rPr>
          <w:rFonts w:ascii="Book Antiqua" w:eastAsia="Times New Roman" w:hAnsi="Book Antiqua"/>
          <w:color w:val="auto"/>
          <w:sz w:val="22"/>
          <w:szCs w:val="22"/>
        </w:rPr>
        <w:t>.</w:t>
      </w:r>
    </w:p>
    <w:p w14:paraId="47D5FF5B" w14:textId="2259F57A" w:rsidR="007E5629" w:rsidRPr="00E1125C" w:rsidRDefault="007E5629" w:rsidP="008634F0">
      <w:pPr>
        <w:pStyle w:val="Ttulo3"/>
        <w:rPr>
          <w:rFonts w:ascii="Book Antiqua" w:eastAsia="Times New Roman" w:hAnsi="Book Antiqua"/>
          <w:color w:val="auto"/>
          <w:sz w:val="22"/>
          <w:szCs w:val="22"/>
        </w:rPr>
      </w:pPr>
      <w:r w:rsidRPr="00E1125C">
        <w:rPr>
          <w:rFonts w:ascii="Book Antiqua" w:eastAsia="Times New Roman" w:hAnsi="Book Antiqua"/>
          <w:color w:val="auto"/>
          <w:sz w:val="22"/>
          <w:szCs w:val="22"/>
        </w:rPr>
        <w:t>Palabras clave: Sistema económico, Capitalismo, Mercados imperfecto, Equilibrio macroeconómico, Estructura productiva, Concentración de mercados, Concentración de capital.</w:t>
      </w:r>
    </w:p>
    <w:p w14:paraId="702B0C01" w14:textId="3E787587" w:rsidR="00F00EA5" w:rsidRPr="00E1125C" w:rsidRDefault="00F00EA5" w:rsidP="00F00EA5">
      <w:pPr>
        <w:rPr>
          <w:sz w:val="22"/>
        </w:rPr>
      </w:pPr>
    </w:p>
    <w:p w14:paraId="476F188E" w14:textId="67EB4C09" w:rsidR="00F00EA5" w:rsidRPr="00E1125C" w:rsidRDefault="0019111B" w:rsidP="00F00E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rFonts w:eastAsia="Times New Roman" w:cs="Courier New"/>
          <w:sz w:val="22"/>
          <w:lang w:val="en-US" w:eastAsia="es-CR"/>
        </w:rPr>
      </w:pPr>
      <w:r w:rsidRPr="00E1125C">
        <w:rPr>
          <w:rFonts w:eastAsia="Times New Roman" w:cs="Courier New"/>
          <w:sz w:val="22"/>
          <w:lang w:val="en" w:eastAsia="es-CR"/>
        </w:rPr>
        <w:t xml:space="preserve">Key Words: </w:t>
      </w:r>
      <w:r w:rsidR="00F00EA5" w:rsidRPr="00E1125C">
        <w:rPr>
          <w:rFonts w:eastAsia="Times New Roman" w:cs="Courier New"/>
          <w:sz w:val="22"/>
          <w:lang w:val="en" w:eastAsia="es-CR"/>
        </w:rPr>
        <w:t>Economic system, Capitalism, Imperfect markets, Macroeconomic balance, Productive structure, Market concentration, Capital concentration.</w:t>
      </w:r>
    </w:p>
    <w:p w14:paraId="2E419CED" w14:textId="77777777" w:rsidR="00F00EA5" w:rsidRPr="00E1125C" w:rsidRDefault="00F00EA5" w:rsidP="00F00EA5">
      <w:pPr>
        <w:rPr>
          <w:lang w:val="en-US"/>
        </w:rPr>
      </w:pPr>
    </w:p>
    <w:p w14:paraId="06F49270" w14:textId="77777777" w:rsidR="007E5629" w:rsidRPr="00E1125C" w:rsidRDefault="007E5629" w:rsidP="007E5629">
      <w:pPr>
        <w:rPr>
          <w:lang w:val="en-US"/>
        </w:rPr>
      </w:pPr>
    </w:p>
    <w:p w14:paraId="2FED085F" w14:textId="27E64446" w:rsidR="008634F0" w:rsidRPr="00E1125C" w:rsidRDefault="008634F0" w:rsidP="008634F0">
      <w:pPr>
        <w:pStyle w:val="Ttulo3"/>
        <w:rPr>
          <w:rFonts w:ascii="Book Antiqua" w:eastAsia="Times New Roman" w:hAnsi="Book Antiqua"/>
          <w:i/>
          <w:iCs/>
          <w:color w:val="auto"/>
        </w:rPr>
      </w:pPr>
      <w:r w:rsidRPr="00E1125C">
        <w:rPr>
          <w:rFonts w:ascii="Book Antiqua" w:eastAsia="Times New Roman" w:hAnsi="Book Antiqua"/>
          <w:i/>
          <w:iCs/>
          <w:color w:val="auto"/>
        </w:rPr>
        <w:t>Resumen</w:t>
      </w:r>
    </w:p>
    <w:p w14:paraId="3366FC54" w14:textId="213A757D" w:rsidR="008634F0" w:rsidRPr="00E1125C" w:rsidRDefault="008634F0" w:rsidP="008634F0">
      <w:pPr>
        <w:rPr>
          <w:rFonts w:ascii="Times New Roman" w:eastAsia="Times New Roman" w:hAnsi="Times New Roman" w:cs="Times New Roman"/>
          <w:sz w:val="22"/>
        </w:rPr>
      </w:pPr>
      <w:r w:rsidRPr="00E1125C">
        <w:rPr>
          <w:rFonts w:ascii="Times New Roman" w:eastAsia="Times New Roman" w:hAnsi="Times New Roman" w:cs="Times New Roman"/>
          <w:sz w:val="22"/>
        </w:rPr>
        <w:t xml:space="preserve">En este artículo se pasa revista </w:t>
      </w:r>
      <w:r w:rsidR="00F32147" w:rsidRPr="00E1125C">
        <w:rPr>
          <w:rFonts w:ascii="Times New Roman" w:eastAsia="Times New Roman" w:hAnsi="Times New Roman" w:cs="Times New Roman"/>
          <w:sz w:val="22"/>
        </w:rPr>
        <w:t>a</w:t>
      </w:r>
      <w:r w:rsidRPr="00E1125C">
        <w:rPr>
          <w:rFonts w:ascii="Times New Roman" w:eastAsia="Times New Roman" w:hAnsi="Times New Roman" w:cs="Times New Roman"/>
          <w:sz w:val="22"/>
        </w:rPr>
        <w:t xml:space="preserve"> cinco artículos publicados </w:t>
      </w:r>
      <w:r w:rsidR="00F32147" w:rsidRPr="00E1125C">
        <w:rPr>
          <w:rFonts w:ascii="Times New Roman" w:eastAsia="Times New Roman" w:hAnsi="Times New Roman" w:cs="Times New Roman"/>
          <w:sz w:val="22"/>
        </w:rPr>
        <w:t>en l</w:t>
      </w:r>
      <w:r w:rsidR="00C25E0C" w:rsidRPr="00E1125C">
        <w:rPr>
          <w:rFonts w:ascii="Times New Roman" w:eastAsia="Times New Roman" w:hAnsi="Times New Roman" w:cs="Times New Roman"/>
          <w:sz w:val="22"/>
        </w:rPr>
        <w:t>a</w:t>
      </w:r>
      <w:r w:rsidR="00F32147" w:rsidRPr="00E1125C">
        <w:rPr>
          <w:rFonts w:ascii="Times New Roman" w:eastAsia="Times New Roman" w:hAnsi="Times New Roman" w:cs="Times New Roman"/>
          <w:sz w:val="22"/>
        </w:rPr>
        <w:t xml:space="preserve"> Revista</w:t>
      </w:r>
      <w:r w:rsidR="00004F1C" w:rsidRPr="00E1125C">
        <w:rPr>
          <w:rFonts w:ascii="Times New Roman" w:eastAsia="Times New Roman" w:hAnsi="Times New Roman" w:cs="Times New Roman"/>
          <w:sz w:val="22"/>
        </w:rPr>
        <w:t xml:space="preserve"> de</w:t>
      </w:r>
      <w:r w:rsidR="00F32147" w:rsidRPr="00E1125C">
        <w:rPr>
          <w:rFonts w:ascii="Times New Roman" w:eastAsia="Times New Roman" w:hAnsi="Times New Roman" w:cs="Times New Roman"/>
          <w:sz w:val="22"/>
        </w:rPr>
        <w:t xml:space="preserve"> Ciencias Económicas de la Universidad de Costa Rica</w:t>
      </w:r>
      <w:r w:rsidRPr="00E1125C">
        <w:rPr>
          <w:rFonts w:ascii="Times New Roman" w:eastAsia="Times New Roman" w:hAnsi="Times New Roman" w:cs="Times New Roman"/>
          <w:sz w:val="22"/>
        </w:rPr>
        <w:t xml:space="preserve">, en los que se exponen los resultados de un programa de investigación que </w:t>
      </w:r>
      <w:r w:rsidR="00004F1C" w:rsidRPr="00E1125C">
        <w:rPr>
          <w:rFonts w:ascii="Times New Roman" w:eastAsia="Times New Roman" w:hAnsi="Times New Roman" w:cs="Times New Roman"/>
          <w:sz w:val="22"/>
        </w:rPr>
        <w:t xml:space="preserve">se </w:t>
      </w:r>
      <w:r w:rsidRPr="00E1125C">
        <w:rPr>
          <w:rFonts w:ascii="Times New Roman" w:eastAsia="Times New Roman" w:hAnsi="Times New Roman" w:cs="Times New Roman"/>
          <w:sz w:val="22"/>
        </w:rPr>
        <w:t xml:space="preserve">inició con </w:t>
      </w:r>
      <w:r w:rsidR="00F32147" w:rsidRPr="00E1125C">
        <w:rPr>
          <w:rFonts w:ascii="Times New Roman" w:eastAsia="Times New Roman" w:hAnsi="Times New Roman" w:cs="Times New Roman"/>
          <w:sz w:val="22"/>
        </w:rPr>
        <w:t>el</w:t>
      </w:r>
      <w:r w:rsidRPr="00E1125C">
        <w:rPr>
          <w:rFonts w:ascii="Times New Roman" w:eastAsia="Times New Roman" w:hAnsi="Times New Roman" w:cs="Times New Roman"/>
          <w:sz w:val="22"/>
        </w:rPr>
        <w:t xml:space="preserve"> intento de explicar la crisis de las </w:t>
      </w:r>
      <w:proofErr w:type="spellStart"/>
      <w:r w:rsidRPr="00E1125C">
        <w:rPr>
          <w:rFonts w:ascii="Times New Roman" w:eastAsia="Times New Roman" w:hAnsi="Times New Roman" w:cs="Times New Roman"/>
          <w:i/>
          <w:iCs/>
          <w:sz w:val="22"/>
        </w:rPr>
        <w:t>su</w:t>
      </w:r>
      <w:r w:rsidR="00C25E0C" w:rsidRPr="00E1125C">
        <w:rPr>
          <w:rFonts w:ascii="Times New Roman" w:eastAsia="Times New Roman" w:hAnsi="Times New Roman" w:cs="Times New Roman"/>
          <w:i/>
          <w:iCs/>
          <w:sz w:val="22"/>
        </w:rPr>
        <w:t>b</w:t>
      </w:r>
      <w:r w:rsidRPr="00E1125C">
        <w:rPr>
          <w:rFonts w:ascii="Times New Roman" w:eastAsia="Times New Roman" w:hAnsi="Times New Roman" w:cs="Times New Roman"/>
          <w:i/>
          <w:iCs/>
          <w:sz w:val="22"/>
        </w:rPr>
        <w:t>prime</w:t>
      </w:r>
      <w:proofErr w:type="spellEnd"/>
      <w:r w:rsidRPr="00E1125C">
        <w:rPr>
          <w:rFonts w:ascii="Times New Roman" w:eastAsia="Times New Roman" w:hAnsi="Times New Roman" w:cs="Times New Roman"/>
          <w:sz w:val="22"/>
        </w:rPr>
        <w:t xml:space="preserve"> con una perspectiva heterodoxa de la economía utilizando las principales categorías de la Economía Política.  Los artículos abarcan un lapso de 12 años desde el primero publicado en esta revista en 2008, hasta el último, publicado en esta misma revista en 2020.  Para presentar un fundamento empírico que le diera solidez a las hipótesis e inferencias formuladas en esos artículos, se adiciona un estudio con datos de la composición empresarial de cuatro sectores económicos de Costa Rica.  Las conclusiones de la investigación teórica y los resultados del estudio empírico dan pie para sustentar la necesidad de regular de múltiples formas, según las condiciones de cada sociedad, el proceso de acumulación de capital que regenta las producciones nacionales.</w:t>
      </w:r>
    </w:p>
    <w:p w14:paraId="10EAF7DD" w14:textId="77777777" w:rsidR="008634F0" w:rsidRPr="00E1125C" w:rsidRDefault="008634F0" w:rsidP="008634F0">
      <w:pPr>
        <w:rPr>
          <w:rFonts w:ascii="Times New Roman" w:eastAsia="Times New Roman" w:hAnsi="Times New Roman" w:cs="Times New Roman"/>
          <w:sz w:val="22"/>
        </w:rPr>
      </w:pPr>
    </w:p>
    <w:p w14:paraId="2133887E" w14:textId="77777777" w:rsidR="008634F0" w:rsidRPr="00E1125C" w:rsidRDefault="008634F0" w:rsidP="008634F0">
      <w:pPr>
        <w:pStyle w:val="Ttulo3"/>
        <w:rPr>
          <w:rFonts w:ascii="Book Antiqua" w:eastAsia="Times New Roman" w:hAnsi="Book Antiqua"/>
          <w:i/>
          <w:iCs/>
          <w:color w:val="auto"/>
          <w:lang w:val="en-US"/>
        </w:rPr>
      </w:pPr>
      <w:r w:rsidRPr="00E1125C">
        <w:rPr>
          <w:rFonts w:ascii="Book Antiqua" w:eastAsia="Times New Roman" w:hAnsi="Book Antiqua"/>
          <w:i/>
          <w:iCs/>
          <w:color w:val="auto"/>
          <w:lang w:val="en-US"/>
        </w:rPr>
        <w:t>Abstract</w:t>
      </w:r>
    </w:p>
    <w:p w14:paraId="27778355" w14:textId="30686939" w:rsidR="00FC3652" w:rsidRPr="00E1125C" w:rsidRDefault="008634F0" w:rsidP="00FC3652">
      <w:pPr>
        <w:rPr>
          <w:rFonts w:ascii="Times New Roman" w:eastAsia="Times New Roman" w:hAnsi="Times New Roman" w:cs="Times New Roman"/>
          <w:sz w:val="22"/>
          <w:lang w:val="en-US"/>
        </w:rPr>
      </w:pPr>
      <w:r w:rsidRPr="00E1125C">
        <w:rPr>
          <w:sz w:val="22"/>
          <w:lang w:val="en"/>
        </w:rPr>
        <w:t xml:space="preserve">This paper is a review of five articles published </w:t>
      </w:r>
      <w:r w:rsidR="00F32147" w:rsidRPr="00E1125C">
        <w:rPr>
          <w:sz w:val="22"/>
          <w:lang w:val="en"/>
        </w:rPr>
        <w:t>at the Revista de Ciencias Económicas of the Universidad de Costa Rica</w:t>
      </w:r>
      <w:r w:rsidRPr="00E1125C">
        <w:rPr>
          <w:sz w:val="22"/>
          <w:lang w:val="en"/>
        </w:rPr>
        <w:t xml:space="preserve">, which presents the results of a research program that began with an attempt to explain the crisis of </w:t>
      </w:r>
      <w:r w:rsidR="00C25E0C" w:rsidRPr="00E1125C">
        <w:rPr>
          <w:i/>
          <w:iCs/>
          <w:sz w:val="22"/>
          <w:lang w:val="en"/>
        </w:rPr>
        <w:t>sub</w:t>
      </w:r>
      <w:r w:rsidRPr="00E1125C">
        <w:rPr>
          <w:i/>
          <w:iCs/>
          <w:sz w:val="22"/>
          <w:lang w:val="en"/>
        </w:rPr>
        <w:t>prime</w:t>
      </w:r>
      <w:r w:rsidRPr="00E1125C">
        <w:rPr>
          <w:sz w:val="22"/>
          <w:lang w:val="en"/>
        </w:rPr>
        <w:t xml:space="preserve"> with a heterodox perspective of the economy, using the main categories of Political</w:t>
      </w:r>
      <w:r w:rsidRPr="00E1125C">
        <w:rPr>
          <w:lang w:val="en"/>
        </w:rPr>
        <w:t xml:space="preserve"> </w:t>
      </w:r>
      <w:r w:rsidRPr="00E1125C">
        <w:rPr>
          <w:sz w:val="22"/>
          <w:lang w:val="en"/>
        </w:rPr>
        <w:t xml:space="preserve">Economy.  The articles cover a span of 12 years from the first published in this journal in 2008, to the last, published in this same journal in 2020.  To present an empirical basis that would give solidity to the hypotheses and inferences formulated in these articles, a study is added with data on the business composition of four </w:t>
      </w:r>
      <w:r w:rsidRPr="00E1125C">
        <w:rPr>
          <w:sz w:val="22"/>
          <w:lang w:val="en"/>
        </w:rPr>
        <w:lastRenderedPageBreak/>
        <w:t xml:space="preserve">economic sectors in Costa Rica.  The conclusions of the theoretical research and the result of the empirical study rises issues to support the need to regulate in multiple ways, according to the conditions of each society, the process of capital accumulation that governs </w:t>
      </w:r>
      <w:proofErr w:type="gramStart"/>
      <w:r w:rsidR="00004F1C" w:rsidRPr="00E1125C">
        <w:rPr>
          <w:sz w:val="22"/>
          <w:lang w:val="en"/>
        </w:rPr>
        <w:t>nationals</w:t>
      </w:r>
      <w:proofErr w:type="gramEnd"/>
      <w:r w:rsidRPr="00E1125C">
        <w:rPr>
          <w:sz w:val="22"/>
          <w:lang w:val="en"/>
        </w:rPr>
        <w:t xml:space="preserve"> production</w:t>
      </w:r>
      <w:r w:rsidR="00D36698" w:rsidRPr="00E1125C">
        <w:rPr>
          <w:sz w:val="22"/>
          <w:lang w:val="en"/>
        </w:rPr>
        <w:t>s</w:t>
      </w:r>
      <w:r w:rsidRPr="00E1125C">
        <w:rPr>
          <w:sz w:val="22"/>
          <w:lang w:val="en"/>
        </w:rPr>
        <w:t>.</w:t>
      </w:r>
    </w:p>
    <w:p w14:paraId="3264DEA0" w14:textId="62BD6655" w:rsidR="00FC3652" w:rsidRPr="00E1125C" w:rsidRDefault="00FC3652" w:rsidP="00FC3652">
      <w:pPr>
        <w:rPr>
          <w:rFonts w:eastAsia="Times New Roman"/>
          <w:lang w:val="en-US"/>
        </w:rPr>
      </w:pPr>
    </w:p>
    <w:p w14:paraId="170BAC4A" w14:textId="20A49551" w:rsidR="00FC3652" w:rsidRPr="00E1125C" w:rsidRDefault="00FC3652" w:rsidP="00FC3652">
      <w:pPr>
        <w:rPr>
          <w:rFonts w:eastAsia="Times New Roman"/>
          <w:i/>
          <w:iCs/>
        </w:rPr>
      </w:pPr>
      <w:r w:rsidRPr="00E1125C">
        <w:rPr>
          <w:rFonts w:eastAsia="Times New Roman"/>
          <w:i/>
          <w:iCs/>
        </w:rPr>
        <w:t>Reconocimiento</w:t>
      </w:r>
    </w:p>
    <w:p w14:paraId="65010D1B" w14:textId="784DC984" w:rsidR="00FC3652" w:rsidRPr="00E1125C" w:rsidRDefault="00FC3652" w:rsidP="00FC3652">
      <w:pPr>
        <w:rPr>
          <w:rFonts w:eastAsia="Times New Roman"/>
        </w:rPr>
      </w:pPr>
      <w:r w:rsidRPr="00E1125C">
        <w:rPr>
          <w:rFonts w:eastAsia="Times New Roman"/>
        </w:rPr>
        <w:t xml:space="preserve">Quiero reconocer los invaluables comentarios que me hizo la señora Lic. </w:t>
      </w:r>
      <w:r w:rsidR="00602EE7" w:rsidRPr="00E1125C">
        <w:rPr>
          <w:rFonts w:eastAsia="Times New Roman"/>
        </w:rPr>
        <w:t xml:space="preserve">María Elena Gonzalez, cuando le solicité que revisara el cálculo y procedimiento que había utilizado al </w:t>
      </w:r>
      <w:r w:rsidR="00E30ADC" w:rsidRPr="00E1125C">
        <w:rPr>
          <w:rFonts w:eastAsia="Times New Roman"/>
        </w:rPr>
        <w:t>estimar</w:t>
      </w:r>
      <w:r w:rsidR="00602EE7" w:rsidRPr="00E1125C">
        <w:rPr>
          <w:rFonts w:eastAsia="Times New Roman"/>
        </w:rPr>
        <w:t xml:space="preserve"> el Índice de Gini para medir el grado de concentración de los sectores productivos </w:t>
      </w:r>
      <w:r w:rsidR="008B26CA" w:rsidRPr="00E1125C">
        <w:rPr>
          <w:rFonts w:eastAsia="Times New Roman"/>
        </w:rPr>
        <w:t>estudiados</w:t>
      </w:r>
      <w:r w:rsidR="00E065A9" w:rsidRPr="00E1125C">
        <w:rPr>
          <w:rFonts w:eastAsia="Times New Roman"/>
        </w:rPr>
        <w:t xml:space="preserve"> en la </w:t>
      </w:r>
      <w:r w:rsidR="00E30ADC" w:rsidRPr="00E1125C">
        <w:rPr>
          <w:rFonts w:eastAsia="Times New Roman"/>
        </w:rPr>
        <w:t>II</w:t>
      </w:r>
      <w:r w:rsidR="00E065A9" w:rsidRPr="00E1125C">
        <w:rPr>
          <w:rFonts w:eastAsia="Times New Roman"/>
        </w:rPr>
        <w:t xml:space="preserve"> parte de este trabajo</w:t>
      </w:r>
      <w:r w:rsidR="008B26CA" w:rsidRPr="00E1125C">
        <w:rPr>
          <w:rFonts w:eastAsia="Times New Roman"/>
        </w:rPr>
        <w:t>.  Esa consulta motivó un rico intercambio de opiniones</w:t>
      </w:r>
      <w:r w:rsidR="00E30ADC" w:rsidRPr="00E1125C">
        <w:rPr>
          <w:rFonts w:eastAsia="Times New Roman"/>
        </w:rPr>
        <w:t xml:space="preserve"> y </w:t>
      </w:r>
      <w:r w:rsidR="00E134B9" w:rsidRPr="00E1125C">
        <w:rPr>
          <w:rFonts w:eastAsia="Times New Roman"/>
        </w:rPr>
        <w:t>comentarios</w:t>
      </w:r>
      <w:r w:rsidR="008B26CA" w:rsidRPr="00E1125C">
        <w:rPr>
          <w:rFonts w:eastAsia="Times New Roman"/>
        </w:rPr>
        <w:t xml:space="preserve"> que </w:t>
      </w:r>
      <w:r w:rsidR="00E134B9" w:rsidRPr="00E1125C">
        <w:rPr>
          <w:rFonts w:eastAsia="Times New Roman"/>
        </w:rPr>
        <w:t>concordaron</w:t>
      </w:r>
      <w:r w:rsidR="008B26CA" w:rsidRPr="00E1125C">
        <w:rPr>
          <w:rFonts w:eastAsia="Times New Roman"/>
        </w:rPr>
        <w:t xml:space="preserve"> en </w:t>
      </w:r>
      <w:r w:rsidR="00E134B9" w:rsidRPr="00E1125C">
        <w:rPr>
          <w:rFonts w:eastAsia="Times New Roman"/>
        </w:rPr>
        <w:t>e</w:t>
      </w:r>
      <w:r w:rsidR="008B26CA" w:rsidRPr="00E1125C">
        <w:rPr>
          <w:rFonts w:eastAsia="Times New Roman"/>
        </w:rPr>
        <w:t>l uso</w:t>
      </w:r>
      <w:r w:rsidR="00E134B9" w:rsidRPr="00E1125C">
        <w:rPr>
          <w:rFonts w:eastAsia="Times New Roman"/>
        </w:rPr>
        <w:t xml:space="preserve"> oportuno</w:t>
      </w:r>
      <w:r w:rsidR="008B26CA" w:rsidRPr="00E1125C">
        <w:rPr>
          <w:rFonts w:eastAsia="Times New Roman"/>
        </w:rPr>
        <w:t xml:space="preserve"> de dicho indicador con los datos agrupados como los facilita el Banco Central de Costa Rica.  Desde luego, los eventuales errores </w:t>
      </w:r>
      <w:r w:rsidR="005C47A4" w:rsidRPr="00E1125C">
        <w:rPr>
          <w:rFonts w:eastAsia="Times New Roman"/>
        </w:rPr>
        <w:t xml:space="preserve">incurridos </w:t>
      </w:r>
      <w:r w:rsidR="008B26CA" w:rsidRPr="00E1125C">
        <w:rPr>
          <w:rFonts w:eastAsia="Times New Roman"/>
        </w:rPr>
        <w:t>y limitaciones no señalad</w:t>
      </w:r>
      <w:r w:rsidR="005C47A4" w:rsidRPr="00E1125C">
        <w:rPr>
          <w:rFonts w:eastAsia="Times New Roman"/>
        </w:rPr>
        <w:t>a</w:t>
      </w:r>
      <w:r w:rsidR="008B26CA" w:rsidRPr="00E1125C">
        <w:rPr>
          <w:rFonts w:eastAsia="Times New Roman"/>
        </w:rPr>
        <w:t>s en este trabajo son responsabilidad del autor.</w:t>
      </w:r>
    </w:p>
    <w:p w14:paraId="5B38B2A1" w14:textId="1C769E13" w:rsidR="009438D8" w:rsidRPr="00E1125C" w:rsidRDefault="00644C23" w:rsidP="00FC3652">
      <w:pPr>
        <w:rPr>
          <w:rFonts w:eastAsia="Times New Roman"/>
        </w:rPr>
      </w:pPr>
      <w:r w:rsidRPr="00E1125C">
        <w:rPr>
          <w:rFonts w:eastAsia="Times New Roman"/>
        </w:rPr>
        <w:tab/>
        <w:t>As</w:t>
      </w:r>
      <w:r w:rsidR="00EB1EEE" w:rsidRPr="00E1125C">
        <w:rPr>
          <w:rFonts w:eastAsia="Times New Roman"/>
        </w:rPr>
        <w:t>i</w:t>
      </w:r>
      <w:r w:rsidRPr="00E1125C">
        <w:rPr>
          <w:rFonts w:eastAsia="Times New Roman"/>
        </w:rPr>
        <w:t>mismo,</w:t>
      </w:r>
      <w:r w:rsidR="00EB1EEE" w:rsidRPr="00E1125C">
        <w:rPr>
          <w:rFonts w:eastAsia="Times New Roman"/>
        </w:rPr>
        <w:t xml:space="preserve"> queremos hacer un reconocimiento </w:t>
      </w:r>
      <w:r w:rsidR="00F25942" w:rsidRPr="00E1125C">
        <w:rPr>
          <w:rFonts w:eastAsia="Times New Roman"/>
        </w:rPr>
        <w:t xml:space="preserve">al señor </w:t>
      </w:r>
      <w:r w:rsidR="005134A9" w:rsidRPr="00E1125C">
        <w:rPr>
          <w:rFonts w:eastAsia="Times New Roman"/>
        </w:rPr>
        <w:t xml:space="preserve">Henry Vargas del </w:t>
      </w:r>
    </w:p>
    <w:p w14:paraId="28A08EF1" w14:textId="2AFAD97F" w:rsidR="00A33BD3" w:rsidRPr="00E1125C" w:rsidRDefault="0079650F" w:rsidP="008E64C0">
      <w:pPr>
        <w:rPr>
          <w:rFonts w:eastAsia="Times New Roman"/>
        </w:rPr>
      </w:pPr>
      <w:r w:rsidRPr="00E1125C">
        <w:rPr>
          <w:rFonts w:eastAsia="Times New Roman"/>
        </w:rPr>
        <w:t xml:space="preserve">Departamento de </w:t>
      </w:r>
      <w:r w:rsidR="005134A9" w:rsidRPr="00E1125C">
        <w:rPr>
          <w:rFonts w:eastAsia="Times New Roman"/>
        </w:rPr>
        <w:t>Estadísticas Económicas del Banco Central</w:t>
      </w:r>
      <w:r w:rsidR="00940FD9" w:rsidRPr="00E1125C">
        <w:rPr>
          <w:rFonts w:eastAsia="Times New Roman"/>
        </w:rPr>
        <w:t xml:space="preserve"> y </w:t>
      </w:r>
      <w:r w:rsidR="00F3043E" w:rsidRPr="00E1125C">
        <w:rPr>
          <w:rFonts w:eastAsia="Times New Roman"/>
        </w:rPr>
        <w:t xml:space="preserve">a </w:t>
      </w:r>
      <w:r w:rsidR="00940FD9" w:rsidRPr="00E1125C">
        <w:rPr>
          <w:rFonts w:eastAsia="Times New Roman"/>
        </w:rPr>
        <w:t xml:space="preserve">su asistente </w:t>
      </w:r>
      <w:r w:rsidR="00F3043E" w:rsidRPr="00E1125C">
        <w:rPr>
          <w:rFonts w:eastAsia="Times New Roman"/>
        </w:rPr>
        <w:t>Ilse Sobrado Gonzáles</w:t>
      </w:r>
      <w:r w:rsidR="00D450C4" w:rsidRPr="00E1125C">
        <w:rPr>
          <w:rFonts w:eastAsia="Times New Roman"/>
        </w:rPr>
        <w:t xml:space="preserve"> por elaborar los datos de acuerdo con nuestra</w:t>
      </w:r>
      <w:r w:rsidR="00B31B1D" w:rsidRPr="00E1125C">
        <w:rPr>
          <w:rFonts w:eastAsia="Times New Roman"/>
        </w:rPr>
        <w:t>s</w:t>
      </w:r>
      <w:r w:rsidR="00D450C4" w:rsidRPr="00E1125C">
        <w:rPr>
          <w:rFonts w:eastAsia="Times New Roman"/>
        </w:rPr>
        <w:t xml:space="preserve"> necesidades</w:t>
      </w:r>
      <w:r w:rsidR="00FA7DEC" w:rsidRPr="00E1125C">
        <w:rPr>
          <w:rFonts w:eastAsia="Times New Roman"/>
        </w:rPr>
        <w:t xml:space="preserve"> y condiciones</w:t>
      </w:r>
      <w:r w:rsidR="00D450C4" w:rsidRPr="00E1125C">
        <w:rPr>
          <w:rFonts w:eastAsia="Times New Roman"/>
        </w:rPr>
        <w:t xml:space="preserve"> de</w:t>
      </w:r>
      <w:r w:rsidR="002C4EC4" w:rsidRPr="00E1125C">
        <w:rPr>
          <w:rFonts w:eastAsia="Times New Roman"/>
        </w:rPr>
        <w:t xml:space="preserve"> investigación.</w:t>
      </w:r>
    </w:p>
    <w:p w14:paraId="350E0757" w14:textId="386530A4" w:rsidR="00A96942" w:rsidRPr="00E1125C" w:rsidRDefault="00A30DC4" w:rsidP="008E64C0">
      <w:pPr>
        <w:rPr>
          <w:rFonts w:eastAsia="Times New Roman"/>
        </w:rPr>
      </w:pPr>
      <w:r w:rsidRPr="00E1125C">
        <w:rPr>
          <w:rFonts w:eastAsia="Times New Roman"/>
        </w:rPr>
        <w:tab/>
        <w:t>Finalmente debo señalar que las observaciones que fueron hechas por los revisores de la Revista</w:t>
      </w:r>
      <w:r w:rsidR="006567BC" w:rsidRPr="00E1125C">
        <w:rPr>
          <w:rFonts w:eastAsia="Times New Roman"/>
        </w:rPr>
        <w:t xml:space="preserve"> para la publicación de</w:t>
      </w:r>
      <w:r w:rsidR="0019111B" w:rsidRPr="00E1125C">
        <w:rPr>
          <w:rFonts w:eastAsia="Times New Roman"/>
        </w:rPr>
        <w:t>l artículo</w:t>
      </w:r>
      <w:r w:rsidR="006567BC" w:rsidRPr="00E1125C">
        <w:rPr>
          <w:rFonts w:eastAsia="Times New Roman"/>
        </w:rPr>
        <w:t xml:space="preserve"> ayudaron sustancialmente a darle </w:t>
      </w:r>
      <w:r w:rsidR="000B00E2" w:rsidRPr="00E1125C">
        <w:rPr>
          <w:rFonts w:eastAsia="Times New Roman"/>
        </w:rPr>
        <w:t>un carácter más académico</w:t>
      </w:r>
      <w:r w:rsidR="00D36698" w:rsidRPr="00E1125C">
        <w:rPr>
          <w:rFonts w:eastAsia="Times New Roman"/>
        </w:rPr>
        <w:t xml:space="preserve"> y acabad</w:t>
      </w:r>
      <w:r w:rsidR="005A45E8" w:rsidRPr="00E1125C">
        <w:rPr>
          <w:rFonts w:eastAsia="Times New Roman"/>
        </w:rPr>
        <w:t>o</w:t>
      </w:r>
      <w:r w:rsidR="000B00E2" w:rsidRPr="00E1125C">
        <w:rPr>
          <w:rFonts w:eastAsia="Times New Roman"/>
        </w:rPr>
        <w:t xml:space="preserve"> a </w:t>
      </w:r>
      <w:r w:rsidR="00334850" w:rsidRPr="00E1125C">
        <w:rPr>
          <w:rFonts w:eastAsia="Times New Roman"/>
        </w:rPr>
        <w:t xml:space="preserve">la </w:t>
      </w:r>
      <w:r w:rsidR="000B00E2" w:rsidRPr="00E1125C">
        <w:rPr>
          <w:rFonts w:eastAsia="Times New Roman"/>
        </w:rPr>
        <w:t>versión presentada.</w:t>
      </w:r>
    </w:p>
    <w:p w14:paraId="37026868" w14:textId="726C22F0" w:rsidR="008B7633" w:rsidRPr="00E1125C" w:rsidRDefault="008B7633" w:rsidP="008E64C0">
      <w:pPr>
        <w:rPr>
          <w:rFonts w:eastAsia="Times New Roman"/>
        </w:rPr>
      </w:pPr>
    </w:p>
    <w:p w14:paraId="39854421" w14:textId="4893720A" w:rsidR="008B7633" w:rsidRPr="00E1125C" w:rsidRDefault="008B7633" w:rsidP="008E64C0">
      <w:pPr>
        <w:rPr>
          <w:rFonts w:eastAsia="Times New Roman"/>
        </w:rPr>
      </w:pPr>
    </w:p>
    <w:p w14:paraId="5B8AD17B" w14:textId="10E9A814" w:rsidR="008B7633" w:rsidRPr="00E1125C" w:rsidRDefault="008B7633" w:rsidP="001405EF">
      <w:pPr>
        <w:pStyle w:val="Ttulo2"/>
        <w:jc w:val="center"/>
        <w:rPr>
          <w:rFonts w:eastAsia="Times New Roman"/>
        </w:rPr>
      </w:pPr>
      <w:r w:rsidRPr="00E1125C">
        <w:rPr>
          <w:rFonts w:eastAsia="Times New Roman"/>
        </w:rPr>
        <w:t>Introducción</w:t>
      </w:r>
    </w:p>
    <w:p w14:paraId="1CCA61D9" w14:textId="5F4DF6C8" w:rsidR="00CD09C3" w:rsidRPr="00E1125C" w:rsidRDefault="002F7EF6" w:rsidP="00A33BD3">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El siguiente es un</w:t>
      </w:r>
      <w:r w:rsidR="00AC6C83" w:rsidRPr="00E1125C">
        <w:rPr>
          <w:rFonts w:ascii="Times New Roman" w:eastAsia="Times New Roman" w:hAnsi="Times New Roman" w:cs="Times New Roman"/>
          <w:szCs w:val="24"/>
        </w:rPr>
        <w:t xml:space="preserve"> trabajo que pasa revista a </w:t>
      </w:r>
      <w:r w:rsidR="00C22EEA" w:rsidRPr="00E1125C">
        <w:rPr>
          <w:rFonts w:ascii="Times New Roman" w:eastAsia="Times New Roman" w:hAnsi="Times New Roman" w:cs="Times New Roman"/>
          <w:szCs w:val="24"/>
        </w:rPr>
        <w:t xml:space="preserve">cinco artículos publicados en la </w:t>
      </w:r>
      <w:r w:rsidR="00C22EEA" w:rsidRPr="00E1125C">
        <w:rPr>
          <w:rFonts w:ascii="Times New Roman" w:eastAsia="Times New Roman" w:hAnsi="Times New Roman" w:cs="Times New Roman"/>
          <w:i/>
          <w:iCs/>
          <w:szCs w:val="24"/>
        </w:rPr>
        <w:t>Revista de Ciencias Económicas</w:t>
      </w:r>
      <w:r w:rsidR="005A45E8" w:rsidRPr="00E1125C">
        <w:rPr>
          <w:rFonts w:ascii="Times New Roman" w:eastAsia="Times New Roman" w:hAnsi="Times New Roman" w:cs="Times New Roman"/>
          <w:szCs w:val="24"/>
        </w:rPr>
        <w:t>,</w:t>
      </w:r>
      <w:r w:rsidR="00C22EEA" w:rsidRPr="00E1125C">
        <w:rPr>
          <w:rFonts w:ascii="Times New Roman" w:eastAsia="Times New Roman" w:hAnsi="Times New Roman" w:cs="Times New Roman"/>
          <w:szCs w:val="24"/>
        </w:rPr>
        <w:t xml:space="preserve"> en</w:t>
      </w:r>
      <w:r w:rsidR="00C22EEA" w:rsidRPr="00E1125C">
        <w:rPr>
          <w:rFonts w:ascii="Times New Roman" w:eastAsia="Times New Roman" w:hAnsi="Times New Roman" w:cs="Times New Roman"/>
          <w:i/>
          <w:iCs/>
          <w:szCs w:val="24"/>
        </w:rPr>
        <w:t xml:space="preserve"> la Revista de Ciencias So</w:t>
      </w:r>
      <w:r w:rsidR="00010113" w:rsidRPr="00E1125C">
        <w:rPr>
          <w:rFonts w:ascii="Times New Roman" w:eastAsia="Times New Roman" w:hAnsi="Times New Roman" w:cs="Times New Roman"/>
          <w:i/>
          <w:iCs/>
          <w:szCs w:val="24"/>
        </w:rPr>
        <w:t>ciales de</w:t>
      </w:r>
      <w:r w:rsidR="00F373A3" w:rsidRPr="00E1125C">
        <w:rPr>
          <w:rFonts w:ascii="Times New Roman" w:eastAsia="Times New Roman" w:hAnsi="Times New Roman" w:cs="Times New Roman"/>
          <w:i/>
          <w:iCs/>
          <w:szCs w:val="24"/>
        </w:rPr>
        <w:t xml:space="preserve"> </w:t>
      </w:r>
      <w:r w:rsidR="00010113" w:rsidRPr="00E1125C">
        <w:rPr>
          <w:rFonts w:ascii="Times New Roman" w:eastAsia="Times New Roman" w:hAnsi="Times New Roman" w:cs="Times New Roman"/>
          <w:i/>
          <w:iCs/>
          <w:szCs w:val="24"/>
        </w:rPr>
        <w:t>la Universidad de Costa Rica</w:t>
      </w:r>
      <w:r w:rsidR="00F373A3" w:rsidRPr="00E1125C">
        <w:rPr>
          <w:rFonts w:ascii="Times New Roman" w:eastAsia="Times New Roman" w:hAnsi="Times New Roman" w:cs="Times New Roman"/>
          <w:szCs w:val="24"/>
        </w:rPr>
        <w:t>,</w:t>
      </w:r>
      <w:r w:rsidR="005A45E8" w:rsidRPr="00E1125C">
        <w:rPr>
          <w:rFonts w:ascii="Times New Roman" w:eastAsia="Times New Roman" w:hAnsi="Times New Roman" w:cs="Times New Roman"/>
          <w:szCs w:val="24"/>
        </w:rPr>
        <w:t xml:space="preserve"> y en dos revistas del Instituto de Investigaciones en Ciencias Económicas y Sociales, José Ortiz Mercado </w:t>
      </w:r>
      <w:r w:rsidR="00C97AC4" w:rsidRPr="00E1125C">
        <w:rPr>
          <w:rFonts w:ascii="Times New Roman" w:eastAsia="Times New Roman" w:hAnsi="Times New Roman" w:cs="Times New Roman"/>
          <w:szCs w:val="24"/>
        </w:rPr>
        <w:t>de la Universidad de la Sierra</w:t>
      </w:r>
      <w:r w:rsidR="005A45E8" w:rsidRPr="00E1125C">
        <w:rPr>
          <w:rFonts w:ascii="Times New Roman" w:eastAsia="Times New Roman" w:hAnsi="Times New Roman" w:cs="Times New Roman"/>
          <w:szCs w:val="24"/>
        </w:rPr>
        <w:t xml:space="preserve"> </w:t>
      </w:r>
      <w:r w:rsidR="00F373A3" w:rsidRPr="00E1125C">
        <w:rPr>
          <w:rFonts w:ascii="Times New Roman" w:eastAsia="Times New Roman" w:hAnsi="Times New Roman" w:cs="Times New Roman"/>
          <w:szCs w:val="24"/>
        </w:rPr>
        <w:t xml:space="preserve">que </w:t>
      </w:r>
      <w:r w:rsidR="001C676E" w:rsidRPr="00E1125C">
        <w:rPr>
          <w:rFonts w:ascii="Times New Roman" w:eastAsia="Times New Roman" w:hAnsi="Times New Roman" w:cs="Times New Roman"/>
          <w:szCs w:val="24"/>
        </w:rPr>
        <w:t xml:space="preserve">en su conjunto </w:t>
      </w:r>
      <w:r w:rsidR="00590430" w:rsidRPr="00E1125C">
        <w:rPr>
          <w:rFonts w:ascii="Times New Roman" w:eastAsia="Times New Roman" w:hAnsi="Times New Roman" w:cs="Times New Roman"/>
          <w:szCs w:val="24"/>
        </w:rPr>
        <w:t>plantean una perspectiva teóricamente heterodoxa</w:t>
      </w:r>
      <w:r w:rsidR="007675FC" w:rsidRPr="00E1125C">
        <w:rPr>
          <w:rFonts w:ascii="Times New Roman" w:eastAsia="Times New Roman" w:hAnsi="Times New Roman" w:cs="Times New Roman"/>
          <w:szCs w:val="24"/>
        </w:rPr>
        <w:t xml:space="preserve"> </w:t>
      </w:r>
      <w:r w:rsidR="00C97AC4" w:rsidRPr="00E1125C">
        <w:rPr>
          <w:rFonts w:ascii="Times New Roman" w:eastAsia="Times New Roman" w:hAnsi="Times New Roman" w:cs="Times New Roman"/>
          <w:szCs w:val="24"/>
        </w:rPr>
        <w:t>para</w:t>
      </w:r>
      <w:r w:rsidR="007675FC" w:rsidRPr="00E1125C">
        <w:rPr>
          <w:rFonts w:ascii="Times New Roman" w:eastAsia="Times New Roman" w:hAnsi="Times New Roman" w:cs="Times New Roman"/>
          <w:szCs w:val="24"/>
        </w:rPr>
        <w:t xml:space="preserve"> analizar y entender las causas de la</w:t>
      </w:r>
      <w:r w:rsidR="00441F5A" w:rsidRPr="00E1125C">
        <w:rPr>
          <w:rFonts w:ascii="Times New Roman" w:eastAsia="Times New Roman" w:hAnsi="Times New Roman" w:cs="Times New Roman"/>
          <w:szCs w:val="24"/>
        </w:rPr>
        <w:t>s últimas crisis económicas</w:t>
      </w:r>
      <w:r w:rsidR="00216ED8" w:rsidRPr="00E1125C">
        <w:rPr>
          <w:rFonts w:ascii="Times New Roman" w:eastAsia="Times New Roman" w:hAnsi="Times New Roman" w:cs="Times New Roman"/>
          <w:szCs w:val="24"/>
        </w:rPr>
        <w:t>,</w:t>
      </w:r>
      <w:r w:rsidR="00441F5A" w:rsidRPr="00E1125C">
        <w:rPr>
          <w:rFonts w:ascii="Times New Roman" w:eastAsia="Times New Roman" w:hAnsi="Times New Roman" w:cs="Times New Roman"/>
          <w:szCs w:val="24"/>
        </w:rPr>
        <w:t xml:space="preserve"> </w:t>
      </w:r>
      <w:r w:rsidR="007B25FE" w:rsidRPr="00E1125C">
        <w:rPr>
          <w:rFonts w:ascii="Times New Roman" w:eastAsia="Times New Roman" w:hAnsi="Times New Roman" w:cs="Times New Roman"/>
          <w:szCs w:val="24"/>
        </w:rPr>
        <w:t>con efectos s</w:t>
      </w:r>
      <w:r w:rsidR="00216ED8" w:rsidRPr="00E1125C">
        <w:rPr>
          <w:rFonts w:ascii="Times New Roman" w:eastAsia="Times New Roman" w:hAnsi="Times New Roman" w:cs="Times New Roman"/>
          <w:szCs w:val="24"/>
        </w:rPr>
        <w:t>o</w:t>
      </w:r>
      <w:r w:rsidR="007B25FE" w:rsidRPr="00E1125C">
        <w:rPr>
          <w:rFonts w:ascii="Times New Roman" w:eastAsia="Times New Roman" w:hAnsi="Times New Roman" w:cs="Times New Roman"/>
          <w:szCs w:val="24"/>
        </w:rPr>
        <w:t>ciales, de las sociedades contem</w:t>
      </w:r>
      <w:r w:rsidR="00214735" w:rsidRPr="00E1125C">
        <w:rPr>
          <w:rFonts w:ascii="Times New Roman" w:eastAsia="Times New Roman" w:hAnsi="Times New Roman" w:cs="Times New Roman"/>
          <w:szCs w:val="24"/>
        </w:rPr>
        <w:t>po</w:t>
      </w:r>
      <w:r w:rsidR="007B25FE" w:rsidRPr="00E1125C">
        <w:rPr>
          <w:rFonts w:ascii="Times New Roman" w:eastAsia="Times New Roman" w:hAnsi="Times New Roman" w:cs="Times New Roman"/>
          <w:szCs w:val="24"/>
        </w:rPr>
        <w:t>ráneas</w:t>
      </w:r>
      <w:r w:rsidR="00214735" w:rsidRPr="00E1125C">
        <w:rPr>
          <w:rFonts w:ascii="Times New Roman" w:eastAsia="Times New Roman" w:hAnsi="Times New Roman" w:cs="Times New Roman"/>
          <w:szCs w:val="24"/>
        </w:rPr>
        <w:t>.</w:t>
      </w:r>
      <w:r w:rsidR="004F66DA" w:rsidRPr="00E1125C">
        <w:rPr>
          <w:rFonts w:ascii="Times New Roman" w:eastAsia="Times New Roman" w:hAnsi="Times New Roman" w:cs="Times New Roman"/>
          <w:szCs w:val="24"/>
        </w:rPr>
        <w:t xml:space="preserve">  La decisión de </w:t>
      </w:r>
      <w:r w:rsidR="00CD4D23" w:rsidRPr="00E1125C">
        <w:rPr>
          <w:rFonts w:ascii="Times New Roman" w:eastAsia="Times New Roman" w:hAnsi="Times New Roman" w:cs="Times New Roman"/>
          <w:szCs w:val="24"/>
        </w:rPr>
        <w:t>revisar</w:t>
      </w:r>
      <w:r w:rsidR="00C97AC4" w:rsidRPr="00E1125C">
        <w:rPr>
          <w:rFonts w:ascii="Times New Roman" w:eastAsia="Times New Roman" w:hAnsi="Times New Roman" w:cs="Times New Roman"/>
          <w:szCs w:val="24"/>
        </w:rPr>
        <w:t xml:space="preserve"> y articular</w:t>
      </w:r>
      <w:r w:rsidR="00CD4D23" w:rsidRPr="00E1125C">
        <w:rPr>
          <w:rFonts w:ascii="Times New Roman" w:eastAsia="Times New Roman" w:hAnsi="Times New Roman" w:cs="Times New Roman"/>
          <w:szCs w:val="24"/>
        </w:rPr>
        <w:t xml:space="preserve"> tales artículos obedeció a que </w:t>
      </w:r>
      <w:r w:rsidR="00AC0C93" w:rsidRPr="00E1125C">
        <w:rPr>
          <w:rFonts w:ascii="Times New Roman" w:eastAsia="Times New Roman" w:hAnsi="Times New Roman" w:cs="Times New Roman"/>
          <w:szCs w:val="24"/>
        </w:rPr>
        <w:t>guardan entre sí una coherencia teórico-metodológica</w:t>
      </w:r>
      <w:r w:rsidR="00685A05" w:rsidRPr="00E1125C">
        <w:rPr>
          <w:rFonts w:ascii="Times New Roman" w:eastAsia="Times New Roman" w:hAnsi="Times New Roman" w:cs="Times New Roman"/>
          <w:szCs w:val="24"/>
        </w:rPr>
        <w:t xml:space="preserve"> que ayuda</w:t>
      </w:r>
      <w:r w:rsidR="00141909" w:rsidRPr="00E1125C">
        <w:rPr>
          <w:rFonts w:ascii="Times New Roman" w:eastAsia="Times New Roman" w:hAnsi="Times New Roman" w:cs="Times New Roman"/>
          <w:szCs w:val="24"/>
        </w:rPr>
        <w:t xml:space="preserve"> a</w:t>
      </w:r>
      <w:r w:rsidR="00685A05" w:rsidRPr="00E1125C">
        <w:rPr>
          <w:rFonts w:ascii="Times New Roman" w:eastAsia="Times New Roman" w:hAnsi="Times New Roman" w:cs="Times New Roman"/>
          <w:szCs w:val="24"/>
        </w:rPr>
        <w:t xml:space="preserve"> levantar una crítica consistente </w:t>
      </w:r>
      <w:r w:rsidR="00E938D0" w:rsidRPr="00E1125C">
        <w:rPr>
          <w:rFonts w:ascii="Times New Roman" w:eastAsia="Times New Roman" w:hAnsi="Times New Roman" w:cs="Times New Roman"/>
          <w:szCs w:val="24"/>
        </w:rPr>
        <w:t>al paradigma</w:t>
      </w:r>
      <w:r w:rsidR="00141909" w:rsidRPr="00E1125C">
        <w:rPr>
          <w:rFonts w:ascii="Times New Roman" w:eastAsia="Times New Roman" w:hAnsi="Times New Roman" w:cs="Times New Roman"/>
          <w:szCs w:val="24"/>
        </w:rPr>
        <w:t xml:space="preserve"> económico hegemónico</w:t>
      </w:r>
      <w:r w:rsidR="00835437" w:rsidRPr="00E1125C">
        <w:rPr>
          <w:rFonts w:ascii="Times New Roman" w:eastAsia="Times New Roman" w:hAnsi="Times New Roman" w:cs="Times New Roman"/>
          <w:szCs w:val="24"/>
        </w:rPr>
        <w:t xml:space="preserve"> y a sus </w:t>
      </w:r>
      <w:r w:rsidR="00696AA2" w:rsidRPr="00E1125C">
        <w:rPr>
          <w:rFonts w:ascii="Times New Roman" w:eastAsia="Times New Roman" w:hAnsi="Times New Roman" w:cs="Times New Roman"/>
          <w:szCs w:val="24"/>
        </w:rPr>
        <w:t>explicaciones y justificaciones a dichas crisis</w:t>
      </w:r>
      <w:r w:rsidR="00D3518D" w:rsidRPr="00E1125C">
        <w:rPr>
          <w:rFonts w:ascii="Times New Roman" w:eastAsia="Times New Roman" w:hAnsi="Times New Roman" w:cs="Times New Roman"/>
          <w:szCs w:val="24"/>
        </w:rPr>
        <w:t xml:space="preserve">, así como </w:t>
      </w:r>
      <w:r w:rsidR="00D66160" w:rsidRPr="00E1125C">
        <w:rPr>
          <w:rFonts w:ascii="Times New Roman" w:eastAsia="Times New Roman" w:hAnsi="Times New Roman" w:cs="Times New Roman"/>
          <w:szCs w:val="24"/>
        </w:rPr>
        <w:t xml:space="preserve">a darle sustento teórico al análisis empírico que se presenta en la II </w:t>
      </w:r>
      <w:r w:rsidR="004E0176" w:rsidRPr="00E1125C">
        <w:rPr>
          <w:rFonts w:ascii="Times New Roman" w:eastAsia="Times New Roman" w:hAnsi="Times New Roman" w:cs="Times New Roman"/>
          <w:szCs w:val="24"/>
        </w:rPr>
        <w:t>P</w:t>
      </w:r>
      <w:r w:rsidR="00D66160" w:rsidRPr="00E1125C">
        <w:rPr>
          <w:rFonts w:ascii="Times New Roman" w:eastAsia="Times New Roman" w:hAnsi="Times New Roman" w:cs="Times New Roman"/>
          <w:szCs w:val="24"/>
        </w:rPr>
        <w:t>arte</w:t>
      </w:r>
      <w:r w:rsidR="0095738C" w:rsidRPr="00E1125C">
        <w:rPr>
          <w:rFonts w:ascii="Times New Roman" w:eastAsia="Times New Roman" w:hAnsi="Times New Roman" w:cs="Times New Roman"/>
          <w:szCs w:val="24"/>
        </w:rPr>
        <w:t>,</w:t>
      </w:r>
      <w:r w:rsidR="004E0176" w:rsidRPr="00E1125C">
        <w:rPr>
          <w:rFonts w:ascii="Times New Roman" w:eastAsia="Times New Roman" w:hAnsi="Times New Roman" w:cs="Times New Roman"/>
          <w:szCs w:val="24"/>
        </w:rPr>
        <w:t xml:space="preserve"> y </w:t>
      </w:r>
      <w:r w:rsidR="0095738C" w:rsidRPr="00E1125C">
        <w:rPr>
          <w:rFonts w:ascii="Times New Roman" w:eastAsia="Times New Roman" w:hAnsi="Times New Roman" w:cs="Times New Roman"/>
          <w:szCs w:val="24"/>
        </w:rPr>
        <w:t>a</w:t>
      </w:r>
      <w:r w:rsidR="004E0176" w:rsidRPr="00E1125C">
        <w:rPr>
          <w:rFonts w:ascii="Times New Roman" w:eastAsia="Times New Roman" w:hAnsi="Times New Roman" w:cs="Times New Roman"/>
          <w:szCs w:val="24"/>
        </w:rPr>
        <w:t xml:space="preserve"> las Conclusiones</w:t>
      </w:r>
      <w:r w:rsidR="00696AA2" w:rsidRPr="00E1125C">
        <w:rPr>
          <w:rFonts w:ascii="Times New Roman" w:eastAsia="Times New Roman" w:hAnsi="Times New Roman" w:cs="Times New Roman"/>
          <w:szCs w:val="24"/>
        </w:rPr>
        <w:t>.</w:t>
      </w:r>
      <w:r w:rsidR="000803B7" w:rsidRPr="00E1125C">
        <w:rPr>
          <w:rStyle w:val="Refdenotaalpie"/>
          <w:rFonts w:ascii="Times New Roman" w:eastAsia="Times New Roman" w:hAnsi="Times New Roman" w:cs="Times New Roman"/>
          <w:szCs w:val="24"/>
        </w:rPr>
        <w:footnoteReference w:id="1"/>
      </w:r>
    </w:p>
    <w:p w14:paraId="0BADCF39" w14:textId="05CF0666" w:rsidR="00834ABA" w:rsidRPr="00E1125C" w:rsidRDefault="000D69FF" w:rsidP="00A33BD3">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lastRenderedPageBreak/>
        <w:t xml:space="preserve">Consideramos que en los mencionados artículos </w:t>
      </w:r>
      <w:r w:rsidR="00990DD6" w:rsidRPr="00E1125C">
        <w:rPr>
          <w:rFonts w:ascii="Times New Roman" w:eastAsia="Times New Roman" w:hAnsi="Times New Roman" w:cs="Times New Roman"/>
          <w:szCs w:val="24"/>
        </w:rPr>
        <w:t xml:space="preserve">se plantea con la rigurosidad correspondiente a las publicaciones </w:t>
      </w:r>
      <w:r w:rsidR="00BD50DF" w:rsidRPr="00E1125C">
        <w:rPr>
          <w:rFonts w:ascii="Times New Roman" w:eastAsia="Times New Roman" w:hAnsi="Times New Roman" w:cs="Times New Roman"/>
          <w:szCs w:val="24"/>
        </w:rPr>
        <w:t xml:space="preserve">académicas, el marco teórico general que le da fundamento </w:t>
      </w:r>
      <w:r w:rsidR="00E80E87" w:rsidRPr="00E1125C">
        <w:rPr>
          <w:rFonts w:ascii="Times New Roman" w:eastAsia="Times New Roman" w:hAnsi="Times New Roman" w:cs="Times New Roman"/>
          <w:szCs w:val="24"/>
        </w:rPr>
        <w:t>al estudio empírico que se presenta en la segunda parte de este trabajo</w:t>
      </w:r>
      <w:r w:rsidR="007D501E" w:rsidRPr="00E1125C">
        <w:rPr>
          <w:rFonts w:ascii="Times New Roman" w:eastAsia="Times New Roman" w:hAnsi="Times New Roman" w:cs="Times New Roman"/>
          <w:szCs w:val="24"/>
        </w:rPr>
        <w:t>,</w:t>
      </w:r>
      <w:r w:rsidR="001B61BE" w:rsidRPr="00E1125C">
        <w:rPr>
          <w:rFonts w:ascii="Times New Roman" w:eastAsia="Times New Roman" w:hAnsi="Times New Roman" w:cs="Times New Roman"/>
          <w:szCs w:val="24"/>
        </w:rPr>
        <w:t xml:space="preserve"> </w:t>
      </w:r>
      <w:r w:rsidR="00C97AC4" w:rsidRPr="00E1125C">
        <w:rPr>
          <w:rFonts w:ascii="Times New Roman" w:eastAsia="Times New Roman" w:hAnsi="Times New Roman" w:cs="Times New Roman"/>
          <w:szCs w:val="24"/>
        </w:rPr>
        <w:t>marco</w:t>
      </w:r>
      <w:r w:rsidR="001B61BE" w:rsidRPr="00E1125C">
        <w:rPr>
          <w:rFonts w:ascii="Times New Roman" w:eastAsia="Times New Roman" w:hAnsi="Times New Roman" w:cs="Times New Roman"/>
          <w:szCs w:val="24"/>
        </w:rPr>
        <w:t xml:space="preserve"> que resumimos de la siguiente manera:</w:t>
      </w:r>
    </w:p>
    <w:p w14:paraId="2D9B8CB5" w14:textId="5E53DB6E" w:rsidR="001B61BE" w:rsidRPr="00E1125C" w:rsidRDefault="00641009" w:rsidP="00A33BD3">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El proceso de</w:t>
      </w:r>
      <w:r w:rsidR="0088437A" w:rsidRPr="00E1125C">
        <w:rPr>
          <w:rFonts w:ascii="Times New Roman" w:eastAsia="Times New Roman" w:hAnsi="Times New Roman" w:cs="Times New Roman"/>
          <w:szCs w:val="24"/>
        </w:rPr>
        <w:t xml:space="preserve"> “globalización” de la acumulación de capital</w:t>
      </w:r>
      <w:r w:rsidR="00493471" w:rsidRPr="00E1125C">
        <w:rPr>
          <w:rFonts w:ascii="Times New Roman" w:eastAsia="Times New Roman" w:hAnsi="Times New Roman" w:cs="Times New Roman"/>
          <w:szCs w:val="24"/>
        </w:rPr>
        <w:t>, como fenómeno de extensión a escala mundial de</w:t>
      </w:r>
      <w:r w:rsidR="000C090E" w:rsidRPr="00E1125C">
        <w:rPr>
          <w:rFonts w:ascii="Times New Roman" w:eastAsia="Times New Roman" w:hAnsi="Times New Roman" w:cs="Times New Roman"/>
          <w:szCs w:val="24"/>
        </w:rPr>
        <w:t xml:space="preserve"> la acumulac</w:t>
      </w:r>
      <w:r w:rsidR="00DF7896">
        <w:rPr>
          <w:rFonts w:ascii="Times New Roman" w:eastAsia="Times New Roman" w:hAnsi="Times New Roman" w:cs="Times New Roman"/>
          <w:szCs w:val="24"/>
        </w:rPr>
        <w:t>ión</w:t>
      </w:r>
      <w:r w:rsidR="000C090E" w:rsidRPr="00E1125C">
        <w:rPr>
          <w:rFonts w:ascii="Times New Roman" w:eastAsia="Times New Roman" w:hAnsi="Times New Roman" w:cs="Times New Roman"/>
          <w:szCs w:val="24"/>
        </w:rPr>
        <w:t xml:space="preserve"> de</w:t>
      </w:r>
      <w:r w:rsidR="00DF7896">
        <w:rPr>
          <w:rFonts w:ascii="Times New Roman" w:eastAsia="Times New Roman" w:hAnsi="Times New Roman" w:cs="Times New Roman"/>
          <w:szCs w:val="24"/>
        </w:rPr>
        <w:t xml:space="preserve"> los</w:t>
      </w:r>
      <w:r w:rsidR="000C090E" w:rsidRPr="00E1125C">
        <w:rPr>
          <w:rFonts w:ascii="Times New Roman" w:eastAsia="Times New Roman" w:hAnsi="Times New Roman" w:cs="Times New Roman"/>
          <w:szCs w:val="24"/>
        </w:rPr>
        <w:t xml:space="preserve"> capital</w:t>
      </w:r>
      <w:r w:rsidR="00DF7896">
        <w:rPr>
          <w:rFonts w:ascii="Times New Roman" w:eastAsia="Times New Roman" w:hAnsi="Times New Roman" w:cs="Times New Roman"/>
          <w:szCs w:val="24"/>
        </w:rPr>
        <w:t>es nacionales</w:t>
      </w:r>
      <w:r w:rsidR="000C090E" w:rsidRPr="00E1125C">
        <w:rPr>
          <w:rFonts w:ascii="Times New Roman" w:eastAsia="Times New Roman" w:hAnsi="Times New Roman" w:cs="Times New Roman"/>
          <w:szCs w:val="24"/>
        </w:rPr>
        <w:t xml:space="preserve"> </w:t>
      </w:r>
      <w:r w:rsidR="00D069BE" w:rsidRPr="00E1125C">
        <w:rPr>
          <w:rFonts w:ascii="Times New Roman" w:eastAsia="Times New Roman" w:hAnsi="Times New Roman" w:cs="Times New Roman"/>
          <w:szCs w:val="24"/>
        </w:rPr>
        <w:t>(</w:t>
      </w:r>
      <w:r w:rsidR="000C090E" w:rsidRPr="00E1125C">
        <w:rPr>
          <w:rFonts w:ascii="Times New Roman" w:eastAsia="Times New Roman" w:hAnsi="Times New Roman" w:cs="Times New Roman"/>
          <w:szCs w:val="24"/>
        </w:rPr>
        <w:t>mecanismo l</w:t>
      </w:r>
      <w:r w:rsidR="00DC7EA0" w:rsidRPr="00E1125C">
        <w:rPr>
          <w:rFonts w:ascii="Times New Roman" w:eastAsia="Times New Roman" w:hAnsi="Times New Roman" w:cs="Times New Roman"/>
          <w:szCs w:val="24"/>
        </w:rPr>
        <w:t>ógic</w:t>
      </w:r>
      <w:r w:rsidR="00C97AC4" w:rsidRPr="00E1125C">
        <w:rPr>
          <w:rFonts w:ascii="Times New Roman" w:eastAsia="Times New Roman" w:hAnsi="Times New Roman" w:cs="Times New Roman"/>
          <w:szCs w:val="24"/>
        </w:rPr>
        <w:t>o</w:t>
      </w:r>
      <w:r w:rsidR="00DC7EA0" w:rsidRPr="00E1125C">
        <w:rPr>
          <w:rFonts w:ascii="Times New Roman" w:eastAsia="Times New Roman" w:hAnsi="Times New Roman" w:cs="Times New Roman"/>
          <w:szCs w:val="24"/>
        </w:rPr>
        <w:t xml:space="preserve"> de la actividad productiva y comercial</w:t>
      </w:r>
      <w:r w:rsidR="0006547B" w:rsidRPr="00E1125C">
        <w:rPr>
          <w:rFonts w:ascii="Times New Roman" w:eastAsia="Times New Roman" w:hAnsi="Times New Roman" w:cs="Times New Roman"/>
          <w:szCs w:val="24"/>
        </w:rPr>
        <w:t xml:space="preserve"> bajo la égida del c</w:t>
      </w:r>
      <w:r w:rsidR="004A2766" w:rsidRPr="00E1125C">
        <w:rPr>
          <w:rFonts w:ascii="Times New Roman" w:eastAsia="Times New Roman" w:hAnsi="Times New Roman" w:cs="Times New Roman"/>
          <w:szCs w:val="24"/>
        </w:rPr>
        <w:t>a</w:t>
      </w:r>
      <w:r w:rsidR="0006547B" w:rsidRPr="00E1125C">
        <w:rPr>
          <w:rFonts w:ascii="Times New Roman" w:eastAsia="Times New Roman" w:hAnsi="Times New Roman" w:cs="Times New Roman"/>
          <w:szCs w:val="24"/>
        </w:rPr>
        <w:t>pital</w:t>
      </w:r>
      <w:r w:rsidR="00D069BE" w:rsidRPr="00E1125C">
        <w:rPr>
          <w:rFonts w:ascii="Times New Roman" w:eastAsia="Times New Roman" w:hAnsi="Times New Roman" w:cs="Times New Roman"/>
          <w:szCs w:val="24"/>
        </w:rPr>
        <w:t>)</w:t>
      </w:r>
      <w:r w:rsidR="00DC7EA0" w:rsidRPr="00E1125C">
        <w:rPr>
          <w:rFonts w:ascii="Times New Roman" w:eastAsia="Times New Roman" w:hAnsi="Times New Roman" w:cs="Times New Roman"/>
          <w:szCs w:val="24"/>
        </w:rPr>
        <w:t xml:space="preserve">, </w:t>
      </w:r>
      <w:r w:rsidR="00171B36" w:rsidRPr="00E1125C">
        <w:rPr>
          <w:rFonts w:ascii="Times New Roman" w:eastAsia="Times New Roman" w:hAnsi="Times New Roman" w:cs="Times New Roman"/>
          <w:szCs w:val="24"/>
        </w:rPr>
        <w:t xml:space="preserve">y los grados de acumulación y concentración de </w:t>
      </w:r>
      <w:r w:rsidR="006F6401" w:rsidRPr="00E1125C">
        <w:rPr>
          <w:rFonts w:ascii="Times New Roman" w:eastAsia="Times New Roman" w:hAnsi="Times New Roman" w:cs="Times New Roman"/>
          <w:szCs w:val="24"/>
        </w:rPr>
        <w:t xml:space="preserve">capital </w:t>
      </w:r>
      <w:r w:rsidR="00333D7E" w:rsidRPr="00E1125C">
        <w:rPr>
          <w:rFonts w:ascii="Times New Roman" w:eastAsia="Times New Roman" w:hAnsi="Times New Roman" w:cs="Times New Roman"/>
          <w:szCs w:val="24"/>
        </w:rPr>
        <w:t>alcanzados ya por</w:t>
      </w:r>
      <w:r w:rsidR="006F6401" w:rsidRPr="00E1125C">
        <w:rPr>
          <w:rFonts w:ascii="Times New Roman" w:eastAsia="Times New Roman" w:hAnsi="Times New Roman" w:cs="Times New Roman"/>
          <w:szCs w:val="24"/>
        </w:rPr>
        <w:t xml:space="preserve"> </w:t>
      </w:r>
      <w:r w:rsidR="00653929">
        <w:rPr>
          <w:rFonts w:ascii="Times New Roman" w:eastAsia="Times New Roman" w:hAnsi="Times New Roman" w:cs="Times New Roman"/>
          <w:szCs w:val="24"/>
        </w:rPr>
        <w:t xml:space="preserve">los capitales de </w:t>
      </w:r>
      <w:r w:rsidR="006F6401" w:rsidRPr="00E1125C">
        <w:rPr>
          <w:rFonts w:ascii="Times New Roman" w:eastAsia="Times New Roman" w:hAnsi="Times New Roman" w:cs="Times New Roman"/>
          <w:szCs w:val="24"/>
        </w:rPr>
        <w:t>ciertos países</w:t>
      </w:r>
      <w:r w:rsidR="007F36F5" w:rsidRPr="00E1125C">
        <w:rPr>
          <w:rFonts w:ascii="Times New Roman" w:eastAsia="Times New Roman" w:hAnsi="Times New Roman" w:cs="Times New Roman"/>
          <w:szCs w:val="24"/>
        </w:rPr>
        <w:t>,</w:t>
      </w:r>
      <w:r w:rsidR="00F4164A" w:rsidRPr="00E1125C">
        <w:rPr>
          <w:rFonts w:ascii="Times New Roman" w:eastAsia="Times New Roman" w:hAnsi="Times New Roman" w:cs="Times New Roman"/>
          <w:szCs w:val="24"/>
        </w:rPr>
        <w:t xml:space="preserve"> determinó un sistema de relaciones económicas</w:t>
      </w:r>
      <w:r w:rsidR="00C84ABB" w:rsidRPr="00E1125C">
        <w:rPr>
          <w:rFonts w:ascii="Times New Roman" w:eastAsia="Times New Roman" w:hAnsi="Times New Roman" w:cs="Times New Roman"/>
          <w:szCs w:val="24"/>
        </w:rPr>
        <w:t xml:space="preserve"> cuya tendencia intrínseca</w:t>
      </w:r>
      <w:r w:rsidR="001B0AC4" w:rsidRPr="00E1125C">
        <w:rPr>
          <w:rFonts w:ascii="Times New Roman" w:eastAsia="Times New Roman" w:hAnsi="Times New Roman" w:cs="Times New Roman"/>
          <w:szCs w:val="24"/>
        </w:rPr>
        <w:t xml:space="preserve"> es hacia la</w:t>
      </w:r>
      <w:r w:rsidR="004D7C59" w:rsidRPr="00E1125C">
        <w:rPr>
          <w:rFonts w:ascii="Times New Roman" w:eastAsia="Times New Roman" w:hAnsi="Times New Roman" w:cs="Times New Roman"/>
          <w:szCs w:val="24"/>
        </w:rPr>
        <w:t xml:space="preserve"> </w:t>
      </w:r>
      <w:r w:rsidR="004D7C59" w:rsidRPr="00653929">
        <w:rPr>
          <w:rFonts w:ascii="Times New Roman" w:eastAsia="Times New Roman" w:hAnsi="Times New Roman" w:cs="Times New Roman"/>
          <w:i/>
          <w:iCs/>
          <w:szCs w:val="24"/>
        </w:rPr>
        <w:t>concentración</w:t>
      </w:r>
      <w:r w:rsidR="004D7C59" w:rsidRPr="00E1125C">
        <w:rPr>
          <w:rFonts w:ascii="Times New Roman" w:eastAsia="Times New Roman" w:hAnsi="Times New Roman" w:cs="Times New Roman"/>
          <w:szCs w:val="24"/>
        </w:rPr>
        <w:t xml:space="preserve"> en pocas manos del capital y la </w:t>
      </w:r>
      <w:r w:rsidR="00D4306A" w:rsidRPr="00E1125C">
        <w:rPr>
          <w:rFonts w:ascii="Times New Roman" w:eastAsia="Times New Roman" w:hAnsi="Times New Roman" w:cs="Times New Roman"/>
          <w:szCs w:val="24"/>
        </w:rPr>
        <w:t>riqueza.</w:t>
      </w:r>
      <w:r w:rsidR="00D533D0" w:rsidRPr="00E1125C">
        <w:rPr>
          <w:rFonts w:ascii="Times New Roman" w:eastAsia="Times New Roman" w:hAnsi="Times New Roman" w:cs="Times New Roman"/>
          <w:szCs w:val="24"/>
        </w:rPr>
        <w:t xml:space="preserve">  Esta tendencia</w:t>
      </w:r>
      <w:r w:rsidR="000C1EC5" w:rsidRPr="00E1125C">
        <w:rPr>
          <w:rFonts w:ascii="Times New Roman" w:eastAsia="Times New Roman" w:hAnsi="Times New Roman" w:cs="Times New Roman"/>
          <w:szCs w:val="24"/>
        </w:rPr>
        <w:t xml:space="preserve"> impone</w:t>
      </w:r>
      <w:r w:rsidR="00E65D54" w:rsidRPr="00E1125C">
        <w:rPr>
          <w:rFonts w:ascii="Times New Roman" w:eastAsia="Times New Roman" w:hAnsi="Times New Roman" w:cs="Times New Roman"/>
          <w:szCs w:val="24"/>
        </w:rPr>
        <w:t>, por la misma lógica del mecanismo de acumulaci</w:t>
      </w:r>
      <w:r w:rsidR="000C1EC5" w:rsidRPr="00E1125C">
        <w:rPr>
          <w:rFonts w:ascii="Times New Roman" w:eastAsia="Times New Roman" w:hAnsi="Times New Roman" w:cs="Times New Roman"/>
          <w:szCs w:val="24"/>
        </w:rPr>
        <w:t xml:space="preserve">ón, </w:t>
      </w:r>
      <w:r w:rsidR="00D162D3" w:rsidRPr="00E1125C">
        <w:rPr>
          <w:rFonts w:ascii="Times New Roman" w:eastAsia="Times New Roman" w:hAnsi="Times New Roman" w:cs="Times New Roman"/>
          <w:szCs w:val="24"/>
        </w:rPr>
        <w:t xml:space="preserve">el paulatino control de los mercados por </w:t>
      </w:r>
      <w:r w:rsidR="00BD3CAC" w:rsidRPr="00E1125C">
        <w:rPr>
          <w:rFonts w:ascii="Times New Roman" w:eastAsia="Times New Roman" w:hAnsi="Times New Roman" w:cs="Times New Roman"/>
          <w:szCs w:val="24"/>
        </w:rPr>
        <w:t>empresas con cada vez mayor poder de mercado</w:t>
      </w:r>
      <w:r w:rsidR="0065763E" w:rsidRPr="00E1125C">
        <w:rPr>
          <w:rFonts w:ascii="Times New Roman" w:eastAsia="Times New Roman" w:hAnsi="Times New Roman" w:cs="Times New Roman"/>
          <w:szCs w:val="24"/>
        </w:rPr>
        <w:t xml:space="preserve"> (Azar, </w:t>
      </w:r>
      <w:proofErr w:type="spellStart"/>
      <w:r w:rsidR="0065763E" w:rsidRPr="00E1125C">
        <w:rPr>
          <w:rFonts w:ascii="Times New Roman" w:eastAsia="Times New Roman" w:hAnsi="Times New Roman" w:cs="Times New Roman"/>
          <w:szCs w:val="24"/>
        </w:rPr>
        <w:t>S</w:t>
      </w:r>
      <w:r w:rsidR="00D95124" w:rsidRPr="00E1125C">
        <w:rPr>
          <w:rFonts w:ascii="Times New Roman" w:eastAsia="Times New Roman" w:hAnsi="Times New Roman" w:cs="Times New Roman"/>
          <w:szCs w:val="24"/>
        </w:rPr>
        <w:t>c</w:t>
      </w:r>
      <w:r w:rsidR="0065763E" w:rsidRPr="00E1125C">
        <w:rPr>
          <w:rFonts w:ascii="Times New Roman" w:eastAsia="Times New Roman" w:hAnsi="Times New Roman" w:cs="Times New Roman"/>
          <w:szCs w:val="24"/>
        </w:rPr>
        <w:t>hmalz</w:t>
      </w:r>
      <w:proofErr w:type="spellEnd"/>
      <w:r w:rsidR="00D95124" w:rsidRPr="00E1125C">
        <w:rPr>
          <w:rFonts w:ascii="Times New Roman" w:eastAsia="Times New Roman" w:hAnsi="Times New Roman" w:cs="Times New Roman"/>
          <w:szCs w:val="24"/>
        </w:rPr>
        <w:t xml:space="preserve"> y </w:t>
      </w:r>
      <w:proofErr w:type="spellStart"/>
      <w:r w:rsidR="00D95124" w:rsidRPr="00E1125C">
        <w:rPr>
          <w:rFonts w:ascii="Times New Roman" w:eastAsia="Times New Roman" w:hAnsi="Times New Roman" w:cs="Times New Roman"/>
          <w:szCs w:val="24"/>
        </w:rPr>
        <w:t>Tecu</w:t>
      </w:r>
      <w:proofErr w:type="spellEnd"/>
      <w:r w:rsidR="00D95124" w:rsidRPr="00E1125C">
        <w:rPr>
          <w:rFonts w:ascii="Times New Roman" w:eastAsia="Times New Roman" w:hAnsi="Times New Roman" w:cs="Times New Roman"/>
          <w:szCs w:val="24"/>
        </w:rPr>
        <w:t>, 2018), (</w:t>
      </w:r>
      <w:proofErr w:type="spellStart"/>
      <w:r w:rsidR="00B51111" w:rsidRPr="00E1125C">
        <w:rPr>
          <w:rFonts w:ascii="Times New Roman" w:eastAsia="Times New Roman" w:hAnsi="Times New Roman" w:cs="Times New Roman"/>
          <w:szCs w:val="24"/>
        </w:rPr>
        <w:t>Davoudi</w:t>
      </w:r>
      <w:proofErr w:type="spellEnd"/>
      <w:r w:rsidR="00B51111" w:rsidRPr="00E1125C">
        <w:rPr>
          <w:rFonts w:ascii="Times New Roman" w:eastAsia="Times New Roman" w:hAnsi="Times New Roman" w:cs="Times New Roman"/>
          <w:szCs w:val="24"/>
        </w:rPr>
        <w:t xml:space="preserve">, </w:t>
      </w:r>
      <w:proofErr w:type="spellStart"/>
      <w:r w:rsidR="00B51111" w:rsidRPr="00E1125C">
        <w:rPr>
          <w:rFonts w:ascii="Times New Roman" w:eastAsia="Times New Roman" w:hAnsi="Times New Roman" w:cs="Times New Roman"/>
          <w:szCs w:val="24"/>
        </w:rPr>
        <w:t>McKenna</w:t>
      </w:r>
      <w:proofErr w:type="spellEnd"/>
      <w:r w:rsidR="00B51111" w:rsidRPr="00E1125C">
        <w:rPr>
          <w:rFonts w:ascii="Times New Roman" w:eastAsia="Times New Roman" w:hAnsi="Times New Roman" w:cs="Times New Roman"/>
          <w:szCs w:val="24"/>
        </w:rPr>
        <w:t>, Olegario, 2018)</w:t>
      </w:r>
      <w:r w:rsidR="00225B36" w:rsidRPr="00E1125C">
        <w:rPr>
          <w:rFonts w:ascii="Times New Roman" w:eastAsia="Times New Roman" w:hAnsi="Times New Roman" w:cs="Times New Roman"/>
          <w:szCs w:val="24"/>
        </w:rPr>
        <w:t>, (Gordon, 2018)</w:t>
      </w:r>
      <w:r w:rsidR="0041020A" w:rsidRPr="00E1125C">
        <w:rPr>
          <w:rFonts w:ascii="Times New Roman" w:eastAsia="Times New Roman" w:hAnsi="Times New Roman" w:cs="Times New Roman"/>
          <w:szCs w:val="24"/>
        </w:rPr>
        <w:t>, (</w:t>
      </w:r>
      <w:proofErr w:type="spellStart"/>
      <w:r w:rsidR="0041020A" w:rsidRPr="00E1125C">
        <w:rPr>
          <w:rFonts w:ascii="Times New Roman" w:eastAsia="Times New Roman" w:hAnsi="Times New Roman" w:cs="Times New Roman"/>
          <w:szCs w:val="24"/>
        </w:rPr>
        <w:t>Hsieh</w:t>
      </w:r>
      <w:proofErr w:type="spellEnd"/>
      <w:r w:rsidR="0041020A" w:rsidRPr="00E1125C">
        <w:rPr>
          <w:rFonts w:ascii="Times New Roman" w:eastAsia="Times New Roman" w:hAnsi="Times New Roman" w:cs="Times New Roman"/>
          <w:szCs w:val="24"/>
        </w:rPr>
        <w:t xml:space="preserve">, Meyer, Rodin y </w:t>
      </w:r>
      <w:r w:rsidR="00347FCE" w:rsidRPr="00E1125C">
        <w:rPr>
          <w:rFonts w:ascii="Times New Roman" w:eastAsia="Times New Roman" w:hAnsi="Times New Roman" w:cs="Times New Roman"/>
          <w:szCs w:val="24"/>
        </w:rPr>
        <w:t xml:space="preserve">T </w:t>
      </w:r>
      <w:proofErr w:type="spellStart"/>
      <w:r w:rsidR="00347FCE" w:rsidRPr="00E1125C">
        <w:rPr>
          <w:rFonts w:ascii="Times New Roman" w:eastAsia="Times New Roman" w:hAnsi="Times New Roman" w:cs="Times New Roman"/>
          <w:szCs w:val="24"/>
        </w:rPr>
        <w:t>Klooster</w:t>
      </w:r>
      <w:proofErr w:type="spellEnd"/>
      <w:r w:rsidR="00347FCE" w:rsidRPr="00E1125C">
        <w:rPr>
          <w:rFonts w:ascii="Times New Roman" w:eastAsia="Times New Roman" w:hAnsi="Times New Roman" w:cs="Times New Roman"/>
          <w:szCs w:val="24"/>
        </w:rPr>
        <w:t>, (2018)</w:t>
      </w:r>
      <w:r w:rsidR="0000634B" w:rsidRPr="00E1125C">
        <w:rPr>
          <w:rFonts w:ascii="Times New Roman" w:eastAsia="Times New Roman" w:hAnsi="Times New Roman" w:cs="Times New Roman"/>
          <w:szCs w:val="24"/>
        </w:rPr>
        <w:t xml:space="preserve"> (Villalonga, 2018)</w:t>
      </w:r>
      <w:r w:rsidR="000C0D75" w:rsidRPr="00E1125C">
        <w:rPr>
          <w:rFonts w:ascii="Times New Roman" w:eastAsia="Times New Roman" w:hAnsi="Times New Roman" w:cs="Times New Roman"/>
          <w:szCs w:val="24"/>
        </w:rPr>
        <w:t>.</w:t>
      </w:r>
      <w:r w:rsidR="00C84ABB" w:rsidRPr="00E1125C">
        <w:rPr>
          <w:rFonts w:ascii="Times New Roman" w:eastAsia="Times New Roman" w:hAnsi="Times New Roman" w:cs="Times New Roman"/>
          <w:szCs w:val="24"/>
        </w:rPr>
        <w:t xml:space="preserve"> </w:t>
      </w:r>
      <w:r w:rsidR="00F4164A" w:rsidRPr="00E1125C">
        <w:rPr>
          <w:rFonts w:ascii="Times New Roman" w:eastAsia="Times New Roman" w:hAnsi="Times New Roman" w:cs="Times New Roman"/>
          <w:szCs w:val="24"/>
        </w:rPr>
        <w:t xml:space="preserve"> </w:t>
      </w:r>
      <w:r w:rsidR="007F36F5" w:rsidRPr="00E1125C">
        <w:rPr>
          <w:rFonts w:ascii="Times New Roman" w:eastAsia="Times New Roman" w:hAnsi="Times New Roman" w:cs="Times New Roman"/>
          <w:szCs w:val="24"/>
        </w:rPr>
        <w:t>Y esta</w:t>
      </w:r>
      <w:r w:rsidR="00896063" w:rsidRPr="00E1125C">
        <w:rPr>
          <w:rFonts w:ascii="Times New Roman" w:eastAsia="Times New Roman" w:hAnsi="Times New Roman" w:cs="Times New Roman"/>
          <w:szCs w:val="24"/>
        </w:rPr>
        <w:t xml:space="preserve"> situación</w:t>
      </w:r>
      <w:r w:rsidR="001D2034" w:rsidRPr="00E1125C">
        <w:rPr>
          <w:rFonts w:ascii="Times New Roman" w:eastAsia="Times New Roman" w:hAnsi="Times New Roman" w:cs="Times New Roman"/>
          <w:szCs w:val="24"/>
        </w:rPr>
        <w:t>, como dice la teoría económica,</w:t>
      </w:r>
      <w:r w:rsidR="00896063" w:rsidRPr="00E1125C">
        <w:rPr>
          <w:rFonts w:ascii="Times New Roman" w:eastAsia="Times New Roman" w:hAnsi="Times New Roman" w:cs="Times New Roman"/>
          <w:szCs w:val="24"/>
        </w:rPr>
        <w:t xml:space="preserve"> impide el buen funcionamiento de </w:t>
      </w:r>
      <w:r w:rsidR="009053CE" w:rsidRPr="00E1125C">
        <w:rPr>
          <w:rFonts w:ascii="Times New Roman" w:eastAsia="Times New Roman" w:hAnsi="Times New Roman" w:cs="Times New Roman"/>
          <w:szCs w:val="24"/>
        </w:rPr>
        <w:t>e</w:t>
      </w:r>
      <w:r w:rsidR="00896063" w:rsidRPr="00E1125C">
        <w:rPr>
          <w:rFonts w:ascii="Times New Roman" w:eastAsia="Times New Roman" w:hAnsi="Times New Roman" w:cs="Times New Roman"/>
          <w:szCs w:val="24"/>
        </w:rPr>
        <w:t xml:space="preserve">stos mercados </w:t>
      </w:r>
      <w:r w:rsidR="009053CE" w:rsidRPr="00E1125C">
        <w:rPr>
          <w:rFonts w:ascii="Times New Roman" w:eastAsia="Times New Roman" w:hAnsi="Times New Roman" w:cs="Times New Roman"/>
          <w:szCs w:val="24"/>
        </w:rPr>
        <w:t>como medio</w:t>
      </w:r>
      <w:r w:rsidR="001D2034" w:rsidRPr="00E1125C">
        <w:rPr>
          <w:rFonts w:ascii="Times New Roman" w:eastAsia="Times New Roman" w:hAnsi="Times New Roman" w:cs="Times New Roman"/>
          <w:szCs w:val="24"/>
        </w:rPr>
        <w:t>s</w:t>
      </w:r>
      <w:r w:rsidR="009053CE" w:rsidRPr="00E1125C">
        <w:rPr>
          <w:rFonts w:ascii="Times New Roman" w:eastAsia="Times New Roman" w:hAnsi="Times New Roman" w:cs="Times New Roman"/>
          <w:szCs w:val="24"/>
        </w:rPr>
        <w:t xml:space="preserve"> de formación de un sistema de</w:t>
      </w:r>
      <w:r w:rsidR="00B955E2" w:rsidRPr="00E1125C">
        <w:rPr>
          <w:rFonts w:ascii="Times New Roman" w:eastAsia="Times New Roman" w:hAnsi="Times New Roman" w:cs="Times New Roman"/>
          <w:szCs w:val="24"/>
        </w:rPr>
        <w:t xml:space="preserve"> </w:t>
      </w:r>
      <w:r w:rsidR="009053CE" w:rsidRPr="00E1125C">
        <w:rPr>
          <w:rFonts w:ascii="Times New Roman" w:eastAsia="Times New Roman" w:hAnsi="Times New Roman" w:cs="Times New Roman"/>
          <w:szCs w:val="24"/>
        </w:rPr>
        <w:t xml:space="preserve">precios </w:t>
      </w:r>
      <w:r w:rsidR="00B955E2" w:rsidRPr="00E1125C">
        <w:rPr>
          <w:rFonts w:ascii="Times New Roman" w:eastAsia="Times New Roman" w:hAnsi="Times New Roman" w:cs="Times New Roman"/>
          <w:szCs w:val="24"/>
        </w:rPr>
        <w:t xml:space="preserve">relativos </w:t>
      </w:r>
      <w:r w:rsidR="004F3E02" w:rsidRPr="00E1125C">
        <w:rPr>
          <w:rFonts w:ascii="Times New Roman" w:eastAsia="Times New Roman" w:hAnsi="Times New Roman" w:cs="Times New Roman"/>
          <w:szCs w:val="24"/>
        </w:rPr>
        <w:t xml:space="preserve">que </w:t>
      </w:r>
      <w:r w:rsidR="005B493B" w:rsidRPr="00E1125C">
        <w:rPr>
          <w:rFonts w:ascii="Times New Roman" w:eastAsia="Times New Roman" w:hAnsi="Times New Roman" w:cs="Times New Roman"/>
          <w:szCs w:val="24"/>
        </w:rPr>
        <w:t>establezca la correspondiente</w:t>
      </w:r>
      <w:r w:rsidR="00C33A9B" w:rsidRPr="00E1125C">
        <w:rPr>
          <w:rFonts w:ascii="Times New Roman" w:eastAsia="Times New Roman" w:hAnsi="Times New Roman" w:cs="Times New Roman"/>
          <w:szCs w:val="24"/>
        </w:rPr>
        <w:t xml:space="preserve"> y eficiente</w:t>
      </w:r>
      <w:r w:rsidR="005B493B" w:rsidRPr="00E1125C">
        <w:rPr>
          <w:rFonts w:ascii="Times New Roman" w:eastAsia="Times New Roman" w:hAnsi="Times New Roman" w:cs="Times New Roman"/>
          <w:szCs w:val="24"/>
        </w:rPr>
        <w:t xml:space="preserve"> remuneración</w:t>
      </w:r>
      <w:r w:rsidR="004F0C5C" w:rsidRPr="00E1125C">
        <w:rPr>
          <w:rFonts w:ascii="Times New Roman" w:eastAsia="Times New Roman" w:hAnsi="Times New Roman" w:cs="Times New Roman"/>
          <w:szCs w:val="24"/>
        </w:rPr>
        <w:t xml:space="preserve"> </w:t>
      </w:r>
      <w:r w:rsidR="00E72D1B" w:rsidRPr="00E1125C">
        <w:rPr>
          <w:rFonts w:ascii="Times New Roman" w:eastAsia="Times New Roman" w:hAnsi="Times New Roman" w:cs="Times New Roman"/>
          <w:szCs w:val="24"/>
        </w:rPr>
        <w:t>de</w:t>
      </w:r>
      <w:r w:rsidR="004F0C5C" w:rsidRPr="00E1125C">
        <w:rPr>
          <w:rFonts w:ascii="Times New Roman" w:eastAsia="Times New Roman" w:hAnsi="Times New Roman" w:cs="Times New Roman"/>
          <w:szCs w:val="24"/>
        </w:rPr>
        <w:t xml:space="preserve"> los factores de la producción </w:t>
      </w:r>
      <w:r w:rsidR="0046427B" w:rsidRPr="00E1125C">
        <w:rPr>
          <w:rFonts w:ascii="Times New Roman" w:eastAsia="Times New Roman" w:hAnsi="Times New Roman" w:cs="Times New Roman"/>
          <w:szCs w:val="24"/>
        </w:rPr>
        <w:t>y la distribución de la riqueza.</w:t>
      </w:r>
    </w:p>
    <w:p w14:paraId="14C14450" w14:textId="55375DC6" w:rsidR="00656178" w:rsidRPr="00E1125C" w:rsidRDefault="00656178" w:rsidP="00A33BD3">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Así, el artícu</w:t>
      </w:r>
      <w:r w:rsidR="00D116BF" w:rsidRPr="00E1125C">
        <w:rPr>
          <w:rFonts w:ascii="Times New Roman" w:eastAsia="Times New Roman" w:hAnsi="Times New Roman" w:cs="Times New Roman"/>
          <w:szCs w:val="24"/>
        </w:rPr>
        <w:t>l</w:t>
      </w:r>
      <w:r w:rsidRPr="00E1125C">
        <w:rPr>
          <w:rFonts w:ascii="Times New Roman" w:eastAsia="Times New Roman" w:hAnsi="Times New Roman" w:cs="Times New Roman"/>
          <w:szCs w:val="24"/>
        </w:rPr>
        <w:t>o está compuesto de tres partes</w:t>
      </w:r>
      <w:r w:rsidR="00022413" w:rsidRPr="00E1125C">
        <w:rPr>
          <w:rFonts w:ascii="Times New Roman" w:eastAsia="Times New Roman" w:hAnsi="Times New Roman" w:cs="Times New Roman"/>
          <w:szCs w:val="24"/>
        </w:rPr>
        <w:t>: en la primera se pasa revista a los cinco artí</w:t>
      </w:r>
      <w:r w:rsidR="002729B2" w:rsidRPr="00E1125C">
        <w:rPr>
          <w:rFonts w:ascii="Times New Roman" w:eastAsia="Times New Roman" w:hAnsi="Times New Roman" w:cs="Times New Roman"/>
          <w:szCs w:val="24"/>
        </w:rPr>
        <w:t>c</w:t>
      </w:r>
      <w:r w:rsidR="00022413" w:rsidRPr="00E1125C">
        <w:rPr>
          <w:rFonts w:ascii="Times New Roman" w:eastAsia="Times New Roman" w:hAnsi="Times New Roman" w:cs="Times New Roman"/>
          <w:szCs w:val="24"/>
        </w:rPr>
        <w:t>ulos</w:t>
      </w:r>
      <w:r w:rsidR="002729B2" w:rsidRPr="00E1125C">
        <w:rPr>
          <w:rFonts w:ascii="Times New Roman" w:eastAsia="Times New Roman" w:hAnsi="Times New Roman" w:cs="Times New Roman"/>
          <w:szCs w:val="24"/>
        </w:rPr>
        <w:t xml:space="preserve"> en los que</w:t>
      </w:r>
      <w:r w:rsidR="00B66B7A" w:rsidRPr="00E1125C">
        <w:rPr>
          <w:rFonts w:ascii="Times New Roman" w:eastAsia="Times New Roman" w:hAnsi="Times New Roman" w:cs="Times New Roman"/>
          <w:szCs w:val="24"/>
        </w:rPr>
        <w:t xml:space="preserve"> se</w:t>
      </w:r>
      <w:r w:rsidR="002729B2" w:rsidRPr="00E1125C">
        <w:rPr>
          <w:rFonts w:ascii="Times New Roman" w:eastAsia="Times New Roman" w:hAnsi="Times New Roman" w:cs="Times New Roman"/>
          <w:szCs w:val="24"/>
        </w:rPr>
        <w:t xml:space="preserve"> expo</w:t>
      </w:r>
      <w:r w:rsidR="00B700C3" w:rsidRPr="00E1125C">
        <w:rPr>
          <w:rFonts w:ascii="Times New Roman" w:eastAsia="Times New Roman" w:hAnsi="Times New Roman" w:cs="Times New Roman"/>
          <w:szCs w:val="24"/>
        </w:rPr>
        <w:t>ne</w:t>
      </w:r>
      <w:r w:rsidR="002729B2" w:rsidRPr="00E1125C">
        <w:rPr>
          <w:rFonts w:ascii="Times New Roman" w:eastAsia="Times New Roman" w:hAnsi="Times New Roman" w:cs="Times New Roman"/>
          <w:szCs w:val="24"/>
        </w:rPr>
        <w:t xml:space="preserve"> la perspectiva teórica que fundamenta la</w:t>
      </w:r>
      <w:r w:rsidR="00165612" w:rsidRPr="00E1125C">
        <w:rPr>
          <w:rFonts w:ascii="Times New Roman" w:eastAsia="Times New Roman" w:hAnsi="Times New Roman" w:cs="Times New Roman"/>
          <w:szCs w:val="24"/>
        </w:rPr>
        <w:t>s</w:t>
      </w:r>
      <w:r w:rsidR="002729B2" w:rsidRPr="00E1125C">
        <w:rPr>
          <w:rFonts w:ascii="Times New Roman" w:eastAsia="Times New Roman" w:hAnsi="Times New Roman" w:cs="Times New Roman"/>
          <w:szCs w:val="24"/>
        </w:rPr>
        <w:t xml:space="preserve"> hipótesis de</w:t>
      </w:r>
      <w:r w:rsidR="007D1378" w:rsidRPr="00E1125C">
        <w:rPr>
          <w:rFonts w:ascii="Times New Roman" w:eastAsia="Times New Roman" w:hAnsi="Times New Roman" w:cs="Times New Roman"/>
          <w:szCs w:val="24"/>
        </w:rPr>
        <w:t xml:space="preserve"> que el mismo proceso de acumula</w:t>
      </w:r>
      <w:r w:rsidR="00FA6CF2" w:rsidRPr="00E1125C">
        <w:rPr>
          <w:rFonts w:ascii="Times New Roman" w:eastAsia="Times New Roman" w:hAnsi="Times New Roman" w:cs="Times New Roman"/>
          <w:szCs w:val="24"/>
        </w:rPr>
        <w:t>ción</w:t>
      </w:r>
      <w:r w:rsidR="007D1378" w:rsidRPr="00E1125C">
        <w:rPr>
          <w:rFonts w:ascii="Times New Roman" w:eastAsia="Times New Roman" w:hAnsi="Times New Roman" w:cs="Times New Roman"/>
          <w:szCs w:val="24"/>
        </w:rPr>
        <w:t xml:space="preserve"> de capital que rige </w:t>
      </w:r>
      <w:r w:rsidR="009247F3" w:rsidRPr="00E1125C">
        <w:rPr>
          <w:rFonts w:ascii="Times New Roman" w:eastAsia="Times New Roman" w:hAnsi="Times New Roman" w:cs="Times New Roman"/>
          <w:szCs w:val="24"/>
        </w:rPr>
        <w:t>l</w:t>
      </w:r>
      <w:r w:rsidR="007D1378" w:rsidRPr="00E1125C">
        <w:rPr>
          <w:rFonts w:ascii="Times New Roman" w:eastAsia="Times New Roman" w:hAnsi="Times New Roman" w:cs="Times New Roman"/>
          <w:szCs w:val="24"/>
        </w:rPr>
        <w:t>a lógica económica</w:t>
      </w:r>
      <w:r w:rsidR="009247F3" w:rsidRPr="00E1125C">
        <w:rPr>
          <w:rFonts w:ascii="Times New Roman" w:eastAsia="Times New Roman" w:hAnsi="Times New Roman" w:cs="Times New Roman"/>
          <w:szCs w:val="24"/>
        </w:rPr>
        <w:t xml:space="preserve"> en el capitalismo</w:t>
      </w:r>
      <w:r w:rsidR="00297011" w:rsidRPr="00E1125C">
        <w:rPr>
          <w:rFonts w:ascii="Times New Roman" w:eastAsia="Times New Roman" w:hAnsi="Times New Roman" w:cs="Times New Roman"/>
          <w:szCs w:val="24"/>
        </w:rPr>
        <w:t xml:space="preserve"> genera </w:t>
      </w:r>
      <w:r w:rsidR="00374904" w:rsidRPr="00E1125C">
        <w:rPr>
          <w:rFonts w:ascii="Times New Roman" w:eastAsia="Times New Roman" w:hAnsi="Times New Roman" w:cs="Times New Roman"/>
          <w:szCs w:val="24"/>
        </w:rPr>
        <w:t>una</w:t>
      </w:r>
      <w:r w:rsidR="00297011" w:rsidRPr="00E1125C">
        <w:rPr>
          <w:rFonts w:ascii="Times New Roman" w:eastAsia="Times New Roman" w:hAnsi="Times New Roman" w:cs="Times New Roman"/>
          <w:szCs w:val="24"/>
        </w:rPr>
        <w:t xml:space="preserve"> tendencia</w:t>
      </w:r>
      <w:r w:rsidR="00374904" w:rsidRPr="00E1125C">
        <w:rPr>
          <w:rFonts w:ascii="Times New Roman" w:eastAsia="Times New Roman" w:hAnsi="Times New Roman" w:cs="Times New Roman"/>
          <w:szCs w:val="24"/>
        </w:rPr>
        <w:t xml:space="preserve"> inevitable</w:t>
      </w:r>
      <w:r w:rsidR="00297011" w:rsidRPr="00E1125C">
        <w:rPr>
          <w:rFonts w:ascii="Times New Roman" w:eastAsia="Times New Roman" w:hAnsi="Times New Roman" w:cs="Times New Roman"/>
          <w:szCs w:val="24"/>
        </w:rPr>
        <w:t xml:space="preserve"> a la concentración del capital </w:t>
      </w:r>
      <w:r w:rsidR="002D4BF3" w:rsidRPr="00E1125C">
        <w:rPr>
          <w:rFonts w:ascii="Times New Roman" w:eastAsia="Times New Roman" w:hAnsi="Times New Roman" w:cs="Times New Roman"/>
          <w:szCs w:val="24"/>
        </w:rPr>
        <w:t>(</w:t>
      </w:r>
      <w:r w:rsidR="006407C8" w:rsidRPr="00E1125C">
        <w:rPr>
          <w:rFonts w:ascii="Times New Roman" w:eastAsia="Times New Roman" w:hAnsi="Times New Roman" w:cs="Times New Roman"/>
          <w:szCs w:val="24"/>
        </w:rPr>
        <w:t>Marx, El Capita</w:t>
      </w:r>
      <w:r w:rsidR="00645F19" w:rsidRPr="00E1125C">
        <w:rPr>
          <w:rFonts w:ascii="Times New Roman" w:eastAsia="Times New Roman" w:hAnsi="Times New Roman" w:cs="Times New Roman"/>
          <w:szCs w:val="24"/>
        </w:rPr>
        <w:t>l</w:t>
      </w:r>
      <w:r w:rsidR="00CC3DCD" w:rsidRPr="00E1125C">
        <w:rPr>
          <w:rFonts w:ascii="Times New Roman" w:eastAsia="Times New Roman" w:hAnsi="Times New Roman" w:cs="Times New Roman"/>
          <w:szCs w:val="24"/>
        </w:rPr>
        <w:t xml:space="preserve">, </w:t>
      </w:r>
      <w:r w:rsidR="00653929">
        <w:rPr>
          <w:rFonts w:ascii="Times New Roman" w:eastAsia="Times New Roman" w:hAnsi="Times New Roman" w:cs="Times New Roman"/>
          <w:szCs w:val="24"/>
        </w:rPr>
        <w:t xml:space="preserve">T. </w:t>
      </w:r>
      <w:proofErr w:type="spellStart"/>
      <w:r w:rsidR="00653929">
        <w:rPr>
          <w:rFonts w:ascii="Times New Roman" w:eastAsia="Times New Roman" w:hAnsi="Times New Roman" w:cs="Times New Roman"/>
          <w:szCs w:val="24"/>
        </w:rPr>
        <w:t>I,</w:t>
      </w:r>
      <w:r w:rsidR="00CC3DCD" w:rsidRPr="00E1125C">
        <w:rPr>
          <w:rFonts w:ascii="Times New Roman" w:eastAsia="Times New Roman" w:hAnsi="Times New Roman" w:cs="Times New Roman"/>
          <w:szCs w:val="24"/>
        </w:rPr>
        <w:t>cap</w:t>
      </w:r>
      <w:proofErr w:type="spellEnd"/>
      <w:r w:rsidR="00CC3DCD" w:rsidRPr="00E1125C">
        <w:rPr>
          <w:rFonts w:ascii="Times New Roman" w:eastAsia="Times New Roman" w:hAnsi="Times New Roman" w:cs="Times New Roman"/>
          <w:szCs w:val="24"/>
        </w:rPr>
        <w:t>.</w:t>
      </w:r>
      <w:r w:rsidR="00653929">
        <w:rPr>
          <w:rFonts w:ascii="Times New Roman" w:eastAsia="Times New Roman" w:hAnsi="Times New Roman" w:cs="Times New Roman"/>
          <w:szCs w:val="24"/>
        </w:rPr>
        <w:t xml:space="preserve"> XXIII</w:t>
      </w:r>
      <w:r w:rsidR="00645F19" w:rsidRPr="00E1125C">
        <w:rPr>
          <w:rFonts w:ascii="Times New Roman" w:eastAsia="Times New Roman" w:hAnsi="Times New Roman" w:cs="Times New Roman"/>
          <w:szCs w:val="24"/>
        </w:rPr>
        <w:t>)</w:t>
      </w:r>
      <w:r w:rsidR="00653929">
        <w:rPr>
          <w:rStyle w:val="Refdenotaalpie"/>
          <w:rFonts w:ascii="Times New Roman" w:eastAsia="Times New Roman" w:hAnsi="Times New Roman" w:cs="Times New Roman"/>
          <w:szCs w:val="24"/>
        </w:rPr>
        <w:footnoteReference w:id="2"/>
      </w:r>
      <w:r w:rsidR="002D4BF3" w:rsidRPr="00E1125C">
        <w:rPr>
          <w:rFonts w:ascii="Times New Roman" w:eastAsia="Times New Roman" w:hAnsi="Times New Roman" w:cs="Times New Roman"/>
          <w:szCs w:val="24"/>
        </w:rPr>
        <w:t xml:space="preserve">, </w:t>
      </w:r>
      <w:r w:rsidR="00165612" w:rsidRPr="00E1125C">
        <w:rPr>
          <w:rFonts w:ascii="Times New Roman" w:eastAsia="Times New Roman" w:hAnsi="Times New Roman" w:cs="Times New Roman"/>
          <w:szCs w:val="24"/>
        </w:rPr>
        <w:t xml:space="preserve">y que, </w:t>
      </w:r>
      <w:r w:rsidR="00D14A90" w:rsidRPr="00E1125C">
        <w:rPr>
          <w:rFonts w:ascii="Times New Roman" w:eastAsia="Times New Roman" w:hAnsi="Times New Roman" w:cs="Times New Roman"/>
          <w:szCs w:val="24"/>
        </w:rPr>
        <w:t xml:space="preserve">como resultado de esta tendencia, los mercados </w:t>
      </w:r>
      <w:r w:rsidR="004D6F65" w:rsidRPr="00E1125C">
        <w:rPr>
          <w:rFonts w:ascii="Times New Roman" w:eastAsia="Times New Roman" w:hAnsi="Times New Roman" w:cs="Times New Roman"/>
          <w:szCs w:val="24"/>
        </w:rPr>
        <w:t>van perdiendo ineludiblemente ante la falta de una regulación, su</w:t>
      </w:r>
      <w:r w:rsidR="00CF42AD" w:rsidRPr="00E1125C">
        <w:rPr>
          <w:rFonts w:ascii="Times New Roman" w:eastAsia="Times New Roman" w:hAnsi="Times New Roman" w:cs="Times New Roman"/>
          <w:szCs w:val="24"/>
        </w:rPr>
        <w:t xml:space="preserve">s condiciones </w:t>
      </w:r>
      <w:r w:rsidR="00D116BF" w:rsidRPr="00E1125C">
        <w:rPr>
          <w:rFonts w:ascii="Times New Roman" w:eastAsia="Times New Roman" w:hAnsi="Times New Roman" w:cs="Times New Roman"/>
          <w:szCs w:val="24"/>
        </w:rPr>
        <w:t>que los hacen eficientes</w:t>
      </w:r>
      <w:r w:rsidR="00130E22" w:rsidRPr="00E1125C">
        <w:rPr>
          <w:rFonts w:ascii="Times New Roman" w:eastAsia="Times New Roman" w:hAnsi="Times New Roman" w:cs="Times New Roman"/>
          <w:szCs w:val="24"/>
        </w:rPr>
        <w:t>, generando así equilibr</w:t>
      </w:r>
      <w:r w:rsidR="003F4F40" w:rsidRPr="00E1125C">
        <w:rPr>
          <w:rFonts w:ascii="Times New Roman" w:eastAsia="Times New Roman" w:hAnsi="Times New Roman" w:cs="Times New Roman"/>
          <w:szCs w:val="24"/>
        </w:rPr>
        <w:t>i</w:t>
      </w:r>
      <w:r w:rsidR="00130E22" w:rsidRPr="00E1125C">
        <w:rPr>
          <w:rFonts w:ascii="Times New Roman" w:eastAsia="Times New Roman" w:hAnsi="Times New Roman" w:cs="Times New Roman"/>
          <w:szCs w:val="24"/>
        </w:rPr>
        <w:t>os macroeconómicos imperf</w:t>
      </w:r>
      <w:r w:rsidR="00C51050" w:rsidRPr="00E1125C">
        <w:rPr>
          <w:rFonts w:ascii="Times New Roman" w:eastAsia="Times New Roman" w:hAnsi="Times New Roman" w:cs="Times New Roman"/>
          <w:szCs w:val="24"/>
        </w:rPr>
        <w:t>e</w:t>
      </w:r>
      <w:r w:rsidR="003F4F40" w:rsidRPr="00E1125C">
        <w:rPr>
          <w:rFonts w:ascii="Times New Roman" w:eastAsia="Times New Roman" w:hAnsi="Times New Roman" w:cs="Times New Roman"/>
          <w:szCs w:val="24"/>
        </w:rPr>
        <w:t>c</w:t>
      </w:r>
      <w:r w:rsidR="00130E22" w:rsidRPr="00E1125C">
        <w:rPr>
          <w:rFonts w:ascii="Times New Roman" w:eastAsia="Times New Roman" w:hAnsi="Times New Roman" w:cs="Times New Roman"/>
          <w:szCs w:val="24"/>
        </w:rPr>
        <w:t>tos</w:t>
      </w:r>
      <w:r w:rsidR="009A0E99" w:rsidRPr="00E1125C">
        <w:rPr>
          <w:rFonts w:ascii="Times New Roman" w:eastAsia="Times New Roman" w:hAnsi="Times New Roman" w:cs="Times New Roman"/>
          <w:szCs w:val="24"/>
        </w:rPr>
        <w:t>.</w:t>
      </w:r>
      <w:r w:rsidR="004D218E" w:rsidRPr="00E1125C">
        <w:rPr>
          <w:rFonts w:ascii="Times New Roman" w:eastAsia="Times New Roman" w:hAnsi="Times New Roman" w:cs="Times New Roman"/>
          <w:szCs w:val="24"/>
        </w:rPr>
        <w:t xml:space="preserve">  En la segunda parte se presenta</w:t>
      </w:r>
      <w:r w:rsidR="00C51050" w:rsidRPr="00E1125C">
        <w:rPr>
          <w:rFonts w:ascii="Times New Roman" w:eastAsia="Times New Roman" w:hAnsi="Times New Roman" w:cs="Times New Roman"/>
          <w:szCs w:val="24"/>
        </w:rPr>
        <w:t xml:space="preserve"> </w:t>
      </w:r>
      <w:r w:rsidR="00936BF2" w:rsidRPr="00E1125C">
        <w:rPr>
          <w:rFonts w:ascii="Times New Roman" w:eastAsia="Times New Roman" w:hAnsi="Times New Roman" w:cs="Times New Roman"/>
          <w:szCs w:val="24"/>
        </w:rPr>
        <w:t>la investigación empírica sobre la concentración de la estructura produ</w:t>
      </w:r>
      <w:r w:rsidR="00C5612C" w:rsidRPr="00E1125C">
        <w:rPr>
          <w:rFonts w:ascii="Times New Roman" w:eastAsia="Times New Roman" w:hAnsi="Times New Roman" w:cs="Times New Roman"/>
          <w:szCs w:val="24"/>
        </w:rPr>
        <w:t>ctiva de Costa Rica</w:t>
      </w:r>
      <w:r w:rsidR="007F7F94" w:rsidRPr="00E1125C">
        <w:rPr>
          <w:rFonts w:ascii="Times New Roman" w:eastAsia="Times New Roman" w:hAnsi="Times New Roman" w:cs="Times New Roman"/>
          <w:szCs w:val="24"/>
        </w:rPr>
        <w:t>, el origen de los datos, el procedimiento metod</w:t>
      </w:r>
      <w:r w:rsidR="001B232D" w:rsidRPr="00E1125C">
        <w:rPr>
          <w:rFonts w:ascii="Times New Roman" w:eastAsia="Times New Roman" w:hAnsi="Times New Roman" w:cs="Times New Roman"/>
          <w:szCs w:val="24"/>
        </w:rPr>
        <w:t>o</w:t>
      </w:r>
      <w:r w:rsidR="007F7F94" w:rsidRPr="00E1125C">
        <w:rPr>
          <w:rFonts w:ascii="Times New Roman" w:eastAsia="Times New Roman" w:hAnsi="Times New Roman" w:cs="Times New Roman"/>
          <w:szCs w:val="24"/>
        </w:rPr>
        <w:t>l</w:t>
      </w:r>
      <w:r w:rsidR="001B232D" w:rsidRPr="00E1125C">
        <w:rPr>
          <w:rFonts w:ascii="Times New Roman" w:eastAsia="Times New Roman" w:hAnsi="Times New Roman" w:cs="Times New Roman"/>
          <w:szCs w:val="24"/>
        </w:rPr>
        <w:t>ó</w:t>
      </w:r>
      <w:r w:rsidR="007F7F94" w:rsidRPr="00E1125C">
        <w:rPr>
          <w:rFonts w:ascii="Times New Roman" w:eastAsia="Times New Roman" w:hAnsi="Times New Roman" w:cs="Times New Roman"/>
          <w:szCs w:val="24"/>
        </w:rPr>
        <w:t xml:space="preserve">gico y sus resultados.  Y la tercera parte </w:t>
      </w:r>
      <w:r w:rsidR="00DE35C5" w:rsidRPr="00E1125C">
        <w:rPr>
          <w:rFonts w:ascii="Times New Roman" w:eastAsia="Times New Roman" w:hAnsi="Times New Roman" w:cs="Times New Roman"/>
          <w:szCs w:val="24"/>
        </w:rPr>
        <w:t xml:space="preserve">recoge las conclusiones </w:t>
      </w:r>
      <w:r w:rsidR="001B232D" w:rsidRPr="00E1125C">
        <w:rPr>
          <w:rFonts w:ascii="Times New Roman" w:eastAsia="Times New Roman" w:hAnsi="Times New Roman" w:cs="Times New Roman"/>
          <w:szCs w:val="24"/>
        </w:rPr>
        <w:t>g</w:t>
      </w:r>
      <w:r w:rsidR="00B931E4" w:rsidRPr="00E1125C">
        <w:rPr>
          <w:rFonts w:ascii="Times New Roman" w:eastAsia="Times New Roman" w:hAnsi="Times New Roman" w:cs="Times New Roman"/>
          <w:szCs w:val="24"/>
        </w:rPr>
        <w:t xml:space="preserve">enerales, con lagunas sugerencias sobre las formas </w:t>
      </w:r>
      <w:r w:rsidR="00DB2636" w:rsidRPr="00E1125C">
        <w:rPr>
          <w:rFonts w:ascii="Times New Roman" w:eastAsia="Times New Roman" w:hAnsi="Times New Roman" w:cs="Times New Roman"/>
          <w:szCs w:val="24"/>
        </w:rPr>
        <w:t xml:space="preserve">de regulación y los nuevos instrumentos tecnológicos </w:t>
      </w:r>
      <w:r w:rsidR="00FA40A7" w:rsidRPr="00E1125C">
        <w:rPr>
          <w:rFonts w:ascii="Times New Roman" w:eastAsia="Times New Roman" w:hAnsi="Times New Roman" w:cs="Times New Roman"/>
          <w:szCs w:val="24"/>
        </w:rPr>
        <w:t>de que disponen hoy día las sociedades.</w:t>
      </w:r>
      <w:r w:rsidR="00DB2636" w:rsidRPr="00E1125C">
        <w:rPr>
          <w:rFonts w:ascii="Times New Roman" w:eastAsia="Times New Roman" w:hAnsi="Times New Roman" w:cs="Times New Roman"/>
          <w:szCs w:val="24"/>
        </w:rPr>
        <w:t xml:space="preserve"> </w:t>
      </w:r>
      <w:r w:rsidR="00B931E4" w:rsidRPr="00E1125C">
        <w:rPr>
          <w:rFonts w:ascii="Times New Roman" w:eastAsia="Times New Roman" w:hAnsi="Times New Roman" w:cs="Times New Roman"/>
          <w:szCs w:val="24"/>
        </w:rPr>
        <w:t xml:space="preserve"> </w:t>
      </w:r>
    </w:p>
    <w:p w14:paraId="5AC9C6B4" w14:textId="4A957CB3" w:rsidR="00B5596F" w:rsidRPr="00E1125C" w:rsidRDefault="00B5596F" w:rsidP="00E75572">
      <w:pPr>
        <w:pStyle w:val="Ttulo2"/>
        <w:jc w:val="center"/>
        <w:rPr>
          <w:rFonts w:eastAsia="Times New Roman"/>
        </w:rPr>
      </w:pPr>
      <w:r w:rsidRPr="00E1125C">
        <w:rPr>
          <w:rFonts w:eastAsia="Times New Roman"/>
        </w:rPr>
        <w:t>I Parte</w:t>
      </w:r>
    </w:p>
    <w:p w14:paraId="63DDCA06" w14:textId="73CB62E6" w:rsidR="00B5596F" w:rsidRPr="00E1125C" w:rsidRDefault="00D05551" w:rsidP="00E75572">
      <w:pPr>
        <w:pStyle w:val="Ttulo2"/>
        <w:jc w:val="center"/>
      </w:pPr>
      <w:r w:rsidRPr="00E1125C">
        <w:t>La r</w:t>
      </w:r>
      <w:r w:rsidR="00B5596F" w:rsidRPr="00E1125C">
        <w:t xml:space="preserve">acionalidad económica </w:t>
      </w:r>
      <w:r w:rsidRPr="00E1125C">
        <w:t>y</w:t>
      </w:r>
      <w:r w:rsidR="00B5596F" w:rsidRPr="00E1125C">
        <w:t xml:space="preserve"> </w:t>
      </w:r>
      <w:r w:rsidRPr="00E1125C">
        <w:t xml:space="preserve">la </w:t>
      </w:r>
      <w:r w:rsidR="00B5596F" w:rsidRPr="00E1125C">
        <w:t>concentración de capital</w:t>
      </w:r>
    </w:p>
    <w:p w14:paraId="7B831E27" w14:textId="77777777" w:rsidR="002F7EF6" w:rsidRPr="00E1125C" w:rsidRDefault="002F7EF6" w:rsidP="00E75572">
      <w:pPr>
        <w:pStyle w:val="Ttulo2"/>
        <w:rPr>
          <w:rFonts w:eastAsia="Times New Roman"/>
        </w:rPr>
      </w:pPr>
      <w:r w:rsidRPr="00E1125C">
        <w:rPr>
          <w:rFonts w:eastAsia="Times New Roman"/>
        </w:rPr>
        <w:t>1.- Las discusiones preliminares</w:t>
      </w:r>
    </w:p>
    <w:p w14:paraId="7028C6E9" w14:textId="77777777" w:rsidR="002F7EF6" w:rsidRPr="00E1125C" w:rsidRDefault="002F7EF6" w:rsidP="00DC3C80">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 xml:space="preserve">La fundamentación teórica de esa crítica se originó en sendos estudios sobre los principales elementos que caracterizan a la organización de la producción y distribución del producto social de las sociedades contemporáneas.  El primero, publicado en la </w:t>
      </w:r>
      <w:r w:rsidRPr="00E1125C">
        <w:rPr>
          <w:rFonts w:ascii="Times New Roman" w:eastAsia="Times New Roman" w:hAnsi="Times New Roman" w:cs="Times New Roman"/>
          <w:i/>
          <w:iCs/>
          <w:szCs w:val="24"/>
        </w:rPr>
        <w:t>Revista de Ciencias Económicas</w:t>
      </w:r>
      <w:r w:rsidRPr="00E1125C">
        <w:rPr>
          <w:rFonts w:ascii="Times New Roman" w:eastAsia="Times New Roman" w:hAnsi="Times New Roman" w:cs="Times New Roman"/>
          <w:szCs w:val="24"/>
        </w:rPr>
        <w:t xml:space="preserve"> de la Universidad de Costa Rica en el segundo semestre del año 2008 con el título “La crisis económica actual una visión desde la economía política” y el segundo publicado en esa misma revista, en el segundo semestre del 2012, con el título “Fundamentos hipotéticos para investigar la crisis económica contemporánea”.</w:t>
      </w:r>
    </w:p>
    <w:p w14:paraId="6763C583" w14:textId="45CB9B0E" w:rsidR="002F7EF6" w:rsidRPr="00E1125C" w:rsidRDefault="002F7EF6" w:rsidP="00DC3C80">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lastRenderedPageBreak/>
        <w:t>El artículo del 2008 critica al estudio de la crisis financiera de esos años hecho por las corrientes económicas hegemónicas y plantea la necesidad de buscar nuevas vías de comprensión de los fenómenos económicos desde otras visiones.  En él se hace una exposición detallada del paradigma económico-social de “La Regulación” que incorpora, dentro de su modelo explicativo, la variable de la regulación de la economía no sólo por parte del Estado</w:t>
      </w:r>
      <w:r w:rsidR="00E46FF4" w:rsidRPr="00E1125C">
        <w:rPr>
          <w:rFonts w:ascii="Times New Roman" w:eastAsia="Times New Roman" w:hAnsi="Times New Roman" w:cs="Times New Roman"/>
          <w:szCs w:val="24"/>
        </w:rPr>
        <w:t xml:space="preserve"> </w:t>
      </w:r>
      <w:r w:rsidRPr="00E1125C">
        <w:rPr>
          <w:rFonts w:ascii="Times New Roman" w:eastAsia="Times New Roman" w:hAnsi="Times New Roman" w:cs="Times New Roman"/>
          <w:szCs w:val="24"/>
        </w:rPr>
        <w:t>(como lo hace el keynesianismo</w:t>
      </w:r>
      <w:r w:rsidR="00CE55E4" w:rsidRPr="00E1125C">
        <w:rPr>
          <w:rFonts w:ascii="Times New Roman" w:eastAsia="Times New Roman" w:hAnsi="Times New Roman" w:cs="Times New Roman"/>
          <w:szCs w:val="24"/>
        </w:rPr>
        <w:t xml:space="preserve"> con el desempleo</w:t>
      </w:r>
      <w:r w:rsidRPr="00E1125C">
        <w:rPr>
          <w:rFonts w:ascii="Times New Roman" w:eastAsia="Times New Roman" w:hAnsi="Times New Roman" w:cs="Times New Roman"/>
          <w:szCs w:val="24"/>
        </w:rPr>
        <w:t>), sino con manifestaciones y controles originados en las normas y costumbres de la convivencia social y de la comunidad internacional</w:t>
      </w:r>
      <w:r w:rsidR="00DC3C80" w:rsidRPr="00E1125C">
        <w:rPr>
          <w:rFonts w:ascii="Times New Roman" w:eastAsia="Times New Roman" w:hAnsi="Times New Roman" w:cs="Times New Roman"/>
          <w:szCs w:val="24"/>
        </w:rPr>
        <w:t xml:space="preserve"> (Reuben, 2008, p</w:t>
      </w:r>
      <w:r w:rsidR="00B47FE9" w:rsidRPr="00E1125C">
        <w:rPr>
          <w:rFonts w:ascii="Times New Roman" w:eastAsia="Times New Roman" w:hAnsi="Times New Roman" w:cs="Times New Roman"/>
          <w:szCs w:val="24"/>
        </w:rPr>
        <w:t>p.73-76)</w:t>
      </w:r>
      <w:r w:rsidR="00366764" w:rsidRPr="00E1125C">
        <w:rPr>
          <w:rStyle w:val="Refdenotaalpie"/>
          <w:rFonts w:ascii="Times New Roman" w:eastAsia="Times New Roman" w:hAnsi="Times New Roman" w:cs="Times New Roman"/>
          <w:szCs w:val="24"/>
        </w:rPr>
        <w:footnoteReference w:id="3"/>
      </w:r>
      <w:r w:rsidR="00D10619">
        <w:rPr>
          <w:rFonts w:ascii="Times New Roman" w:eastAsia="Times New Roman" w:hAnsi="Times New Roman" w:cs="Times New Roman"/>
          <w:szCs w:val="24"/>
        </w:rPr>
        <w:t>, dando lugar a sistemas capitalistas bajos distintos “modos de regulación”</w:t>
      </w:r>
      <w:r w:rsidRPr="00E1125C">
        <w:rPr>
          <w:rFonts w:ascii="Times New Roman" w:eastAsia="Times New Roman" w:hAnsi="Times New Roman" w:cs="Times New Roman"/>
          <w:szCs w:val="24"/>
        </w:rPr>
        <w:t xml:space="preserve">.  La crisis de las </w:t>
      </w:r>
      <w:proofErr w:type="spellStart"/>
      <w:r w:rsidRPr="00E1125C">
        <w:rPr>
          <w:rFonts w:ascii="Times New Roman" w:eastAsia="Times New Roman" w:hAnsi="Times New Roman" w:cs="Times New Roman"/>
          <w:i/>
          <w:iCs/>
          <w:szCs w:val="24"/>
        </w:rPr>
        <w:t>sub</w:t>
      </w:r>
      <w:r w:rsidR="00E134B9" w:rsidRPr="00E1125C">
        <w:rPr>
          <w:rFonts w:ascii="Times New Roman" w:eastAsia="Times New Roman" w:hAnsi="Times New Roman" w:cs="Times New Roman"/>
          <w:i/>
          <w:iCs/>
          <w:szCs w:val="24"/>
        </w:rPr>
        <w:t>p</w:t>
      </w:r>
      <w:r w:rsidRPr="00E1125C">
        <w:rPr>
          <w:rFonts w:ascii="Times New Roman" w:eastAsia="Times New Roman" w:hAnsi="Times New Roman" w:cs="Times New Roman"/>
          <w:i/>
          <w:iCs/>
          <w:szCs w:val="24"/>
        </w:rPr>
        <w:t>prime</w:t>
      </w:r>
      <w:proofErr w:type="spellEnd"/>
      <w:r w:rsidRPr="00E1125C">
        <w:rPr>
          <w:rFonts w:ascii="Times New Roman" w:eastAsia="Times New Roman" w:hAnsi="Times New Roman" w:cs="Times New Roman"/>
          <w:szCs w:val="24"/>
        </w:rPr>
        <w:t xml:space="preserve">, como se le conoce, —que requirió casi un decenio para alcanzar los indicadores de crecimiento previos— se explicaba desde </w:t>
      </w:r>
      <w:r w:rsidR="00BF5EFC" w:rsidRPr="00E1125C">
        <w:rPr>
          <w:rFonts w:ascii="Times New Roman" w:eastAsia="Times New Roman" w:hAnsi="Times New Roman" w:cs="Times New Roman"/>
          <w:szCs w:val="24"/>
        </w:rPr>
        <w:t xml:space="preserve">La Regulación </w:t>
      </w:r>
      <w:r w:rsidRPr="00E1125C">
        <w:rPr>
          <w:rFonts w:ascii="Times New Roman" w:eastAsia="Times New Roman" w:hAnsi="Times New Roman" w:cs="Times New Roman"/>
          <w:szCs w:val="24"/>
        </w:rPr>
        <w:t>originada en un deterioro de la estructura socioeconómica de distribución de la riqueza</w:t>
      </w:r>
      <w:r w:rsidR="00D10619">
        <w:rPr>
          <w:rFonts w:ascii="Times New Roman" w:eastAsia="Times New Roman" w:hAnsi="Times New Roman" w:cs="Times New Roman"/>
          <w:szCs w:val="24"/>
        </w:rPr>
        <w:t xml:space="preserve"> y </w:t>
      </w:r>
      <w:r w:rsidR="001B65AD">
        <w:rPr>
          <w:rFonts w:ascii="Times New Roman" w:eastAsia="Times New Roman" w:hAnsi="Times New Roman" w:cs="Times New Roman"/>
          <w:szCs w:val="24"/>
        </w:rPr>
        <w:t>sus mecanismos de regulación</w:t>
      </w:r>
      <w:r w:rsidRPr="00E1125C">
        <w:rPr>
          <w:rFonts w:ascii="Times New Roman" w:eastAsia="Times New Roman" w:hAnsi="Times New Roman" w:cs="Times New Roman"/>
          <w:szCs w:val="24"/>
        </w:rPr>
        <w:t>.</w:t>
      </w:r>
    </w:p>
    <w:p w14:paraId="799D2FF1" w14:textId="1CFB3EE6" w:rsidR="002F7EF6" w:rsidRPr="00E1125C" w:rsidRDefault="002F7EF6" w:rsidP="00B47FE9">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Así, se concluye</w:t>
      </w:r>
      <w:r w:rsidR="00BF5EFC" w:rsidRPr="00E1125C">
        <w:rPr>
          <w:rFonts w:ascii="Times New Roman" w:eastAsia="Times New Roman" w:hAnsi="Times New Roman" w:cs="Times New Roman"/>
          <w:szCs w:val="24"/>
        </w:rPr>
        <w:t xml:space="preserve"> (</w:t>
      </w:r>
      <w:r w:rsidR="00B47FE9" w:rsidRPr="00E1125C">
        <w:rPr>
          <w:rFonts w:ascii="Times New Roman" w:eastAsia="Times New Roman" w:hAnsi="Times New Roman" w:cs="Times New Roman"/>
          <w:szCs w:val="24"/>
        </w:rPr>
        <w:t xml:space="preserve">ya en el </w:t>
      </w:r>
      <w:r w:rsidR="00BF5EFC" w:rsidRPr="00E1125C">
        <w:rPr>
          <w:rFonts w:ascii="Times New Roman" w:eastAsia="Times New Roman" w:hAnsi="Times New Roman" w:cs="Times New Roman"/>
          <w:szCs w:val="24"/>
        </w:rPr>
        <w:t xml:space="preserve">2008) </w:t>
      </w:r>
      <w:r w:rsidRPr="00E1125C">
        <w:rPr>
          <w:rFonts w:ascii="Times New Roman" w:eastAsia="Times New Roman" w:hAnsi="Times New Roman" w:cs="Times New Roman"/>
          <w:szCs w:val="24"/>
        </w:rPr>
        <w:t xml:space="preserve">que las políticas económicas impulsadas en esa época por el Banco Mundial y el Fondo Monetario Internacional de “desregulación” de la economía, </w:t>
      </w:r>
      <w:r w:rsidR="00BF5EFC" w:rsidRPr="00E1125C">
        <w:rPr>
          <w:rFonts w:ascii="Times New Roman" w:eastAsia="Times New Roman" w:hAnsi="Times New Roman" w:cs="Times New Roman"/>
          <w:szCs w:val="24"/>
        </w:rPr>
        <w:t>d</w:t>
      </w:r>
      <w:r w:rsidR="00AB42FC" w:rsidRPr="00E1125C">
        <w:rPr>
          <w:rFonts w:ascii="Times New Roman" w:eastAsia="Times New Roman" w:hAnsi="Times New Roman" w:cs="Times New Roman"/>
          <w:szCs w:val="24"/>
        </w:rPr>
        <w:t>arían</w:t>
      </w:r>
      <w:r w:rsidR="00BF5EFC" w:rsidRPr="00E1125C">
        <w:rPr>
          <w:rFonts w:ascii="Times New Roman" w:eastAsia="Times New Roman" w:hAnsi="Times New Roman" w:cs="Times New Roman"/>
          <w:szCs w:val="24"/>
        </w:rPr>
        <w:t xml:space="preserve"> pie a</w:t>
      </w:r>
      <w:r w:rsidRPr="00E1125C">
        <w:rPr>
          <w:rFonts w:ascii="Times New Roman" w:eastAsia="Times New Roman" w:hAnsi="Times New Roman" w:cs="Times New Roman"/>
          <w:szCs w:val="24"/>
        </w:rPr>
        <w:t xml:space="preserve"> una transformación de las estructuras económicas de los países, que result</w:t>
      </w:r>
      <w:r w:rsidR="00AB42FC" w:rsidRPr="00E1125C">
        <w:rPr>
          <w:rFonts w:ascii="Times New Roman" w:eastAsia="Times New Roman" w:hAnsi="Times New Roman" w:cs="Times New Roman"/>
          <w:szCs w:val="24"/>
        </w:rPr>
        <w:t>aría</w:t>
      </w:r>
      <w:r w:rsidRPr="00E1125C">
        <w:rPr>
          <w:rFonts w:ascii="Times New Roman" w:eastAsia="Times New Roman" w:hAnsi="Times New Roman" w:cs="Times New Roman"/>
          <w:szCs w:val="24"/>
        </w:rPr>
        <w:t xml:space="preserve"> en una “crisis sistémica de desigualdad”</w:t>
      </w:r>
      <w:r w:rsidR="00B47FE9" w:rsidRPr="00E1125C">
        <w:rPr>
          <w:rFonts w:ascii="Times New Roman" w:eastAsia="Times New Roman" w:hAnsi="Times New Roman" w:cs="Times New Roman"/>
          <w:szCs w:val="24"/>
        </w:rPr>
        <w:t xml:space="preserve"> (Reuben, 2008, pp.83-86)</w:t>
      </w:r>
      <w:r w:rsidRPr="00E1125C">
        <w:rPr>
          <w:rFonts w:ascii="Times New Roman" w:eastAsia="Times New Roman" w:hAnsi="Times New Roman" w:cs="Times New Roman"/>
          <w:szCs w:val="24"/>
        </w:rPr>
        <w:t xml:space="preserve">.  Crisis originada en una tendencia ahora descontrolada hacia la concentración y centralización del capital, en el establecimiento de un equilibrio desproporcionado del sistema económico </w:t>
      </w:r>
      <w:r w:rsidR="00CB0186" w:rsidRPr="00E1125C">
        <w:rPr>
          <w:rFonts w:ascii="Times New Roman" w:eastAsia="Times New Roman" w:hAnsi="Times New Roman" w:cs="Times New Roman"/>
          <w:szCs w:val="24"/>
        </w:rPr>
        <w:t>debido</w:t>
      </w:r>
      <w:r w:rsidRPr="00E1125C">
        <w:rPr>
          <w:rFonts w:ascii="Times New Roman" w:eastAsia="Times New Roman" w:hAnsi="Times New Roman" w:cs="Times New Roman"/>
          <w:szCs w:val="24"/>
        </w:rPr>
        <w:t xml:space="preserve"> </w:t>
      </w:r>
      <w:r w:rsidR="001D2034" w:rsidRPr="00E1125C">
        <w:rPr>
          <w:rFonts w:ascii="Times New Roman" w:eastAsia="Times New Roman" w:hAnsi="Times New Roman" w:cs="Times New Roman"/>
          <w:szCs w:val="24"/>
        </w:rPr>
        <w:t>a</w:t>
      </w:r>
      <w:r w:rsidRPr="00E1125C">
        <w:rPr>
          <w:rFonts w:ascii="Times New Roman" w:eastAsia="Times New Roman" w:hAnsi="Times New Roman" w:cs="Times New Roman"/>
          <w:szCs w:val="24"/>
        </w:rPr>
        <w:t xml:space="preserve"> la incapacidad del mercado de regular eficazmente la remuneración de los factores de la producción.  Resultado: el rompimiento del proceso de acumulación de capital y la crisis de producción y distribución subsecuentes a la financiera.</w:t>
      </w:r>
      <w:r w:rsidR="008F05AC" w:rsidRPr="00E1125C">
        <w:rPr>
          <w:rFonts w:ascii="Times New Roman" w:eastAsia="Times New Roman" w:hAnsi="Times New Roman" w:cs="Times New Roman"/>
          <w:szCs w:val="24"/>
        </w:rPr>
        <w:t xml:space="preserve"> (</w:t>
      </w:r>
      <w:r w:rsidR="001C4821" w:rsidRPr="00E1125C">
        <w:rPr>
          <w:rFonts w:ascii="Times New Roman" w:eastAsia="Times New Roman" w:hAnsi="Times New Roman" w:cs="Times New Roman"/>
          <w:szCs w:val="24"/>
        </w:rPr>
        <w:t>o</w:t>
      </w:r>
      <w:r w:rsidR="008F05AC" w:rsidRPr="00E1125C">
        <w:rPr>
          <w:rFonts w:ascii="Times New Roman" w:eastAsia="Times New Roman" w:hAnsi="Times New Roman" w:cs="Times New Roman"/>
          <w:szCs w:val="24"/>
        </w:rPr>
        <w:t xml:space="preserve">b. </w:t>
      </w:r>
      <w:r w:rsidR="001C4821" w:rsidRPr="00E1125C">
        <w:rPr>
          <w:rFonts w:ascii="Times New Roman" w:eastAsia="Times New Roman" w:hAnsi="Times New Roman" w:cs="Times New Roman"/>
          <w:szCs w:val="24"/>
        </w:rPr>
        <w:t>c</w:t>
      </w:r>
      <w:r w:rsidR="008F05AC" w:rsidRPr="00E1125C">
        <w:rPr>
          <w:rFonts w:ascii="Times New Roman" w:eastAsia="Times New Roman" w:hAnsi="Times New Roman" w:cs="Times New Roman"/>
          <w:szCs w:val="24"/>
        </w:rPr>
        <w:t>it. pp.87-94)</w:t>
      </w:r>
      <w:r w:rsidR="00964FE2" w:rsidRPr="00E1125C">
        <w:t>.</w:t>
      </w:r>
    </w:p>
    <w:p w14:paraId="5EC2956A" w14:textId="060F5C17" w:rsidR="002F7EF6" w:rsidRPr="00E1125C" w:rsidRDefault="002F7EF6" w:rsidP="00B47FE9">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En el trabajo del año 2012, se buscó aclarar el origen de la concentración de la riqueza</w:t>
      </w:r>
      <w:r w:rsidR="00CC6088" w:rsidRPr="00E1125C">
        <w:rPr>
          <w:rFonts w:ascii="Times New Roman" w:eastAsia="Times New Roman" w:hAnsi="Times New Roman" w:cs="Times New Roman"/>
          <w:szCs w:val="24"/>
        </w:rPr>
        <w:t xml:space="preserve"> revisando el proceso</w:t>
      </w:r>
      <w:r w:rsidRPr="00E1125C">
        <w:rPr>
          <w:rFonts w:ascii="Times New Roman" w:eastAsia="Times New Roman" w:hAnsi="Times New Roman" w:cs="Times New Roman"/>
          <w:szCs w:val="24"/>
        </w:rPr>
        <w:t xml:space="preserve"> </w:t>
      </w:r>
      <w:r w:rsidR="00CC6088" w:rsidRPr="00E1125C">
        <w:rPr>
          <w:rFonts w:ascii="Times New Roman" w:eastAsia="Times New Roman" w:hAnsi="Times New Roman" w:cs="Times New Roman"/>
          <w:szCs w:val="24"/>
        </w:rPr>
        <w:t>microeconómico de la empresa (Reuben, 2012, pp.90-</w:t>
      </w:r>
      <w:r w:rsidR="004A31A4" w:rsidRPr="00E1125C">
        <w:rPr>
          <w:rFonts w:ascii="Times New Roman" w:eastAsia="Times New Roman" w:hAnsi="Times New Roman" w:cs="Times New Roman"/>
          <w:szCs w:val="24"/>
        </w:rPr>
        <w:t>95) y</w:t>
      </w:r>
      <w:r w:rsidR="00CC6088" w:rsidRPr="00E1125C">
        <w:rPr>
          <w:rFonts w:ascii="Times New Roman" w:eastAsia="Times New Roman" w:hAnsi="Times New Roman" w:cs="Times New Roman"/>
          <w:szCs w:val="24"/>
        </w:rPr>
        <w:t xml:space="preserve"> </w:t>
      </w:r>
      <w:r w:rsidRPr="00E1125C">
        <w:rPr>
          <w:rFonts w:ascii="Times New Roman" w:eastAsia="Times New Roman" w:hAnsi="Times New Roman" w:cs="Times New Roman"/>
          <w:szCs w:val="24"/>
        </w:rPr>
        <w:t xml:space="preserve">orientando la investigación hacia el estudio de los desarrollos teóricos en el campo de los mercados imperfectos y oligopólicos –cada vez más normales dentro de las estructuras económicas contemporáneas– y el funcionamiento de la </w:t>
      </w:r>
      <w:r w:rsidRPr="00E1125C">
        <w:rPr>
          <w:rFonts w:ascii="Times New Roman" w:eastAsia="Times New Roman" w:hAnsi="Times New Roman" w:cs="Times New Roman"/>
          <w:i/>
          <w:iCs/>
          <w:szCs w:val="24"/>
        </w:rPr>
        <w:t>firma</w:t>
      </w:r>
      <w:r w:rsidRPr="00E1125C">
        <w:rPr>
          <w:rFonts w:ascii="Times New Roman" w:eastAsia="Times New Roman" w:hAnsi="Times New Roman" w:cs="Times New Roman"/>
          <w:szCs w:val="24"/>
        </w:rPr>
        <w:t xml:space="preserve"> en tales condiciones; y contrastar tales desarrollos con las teorías de la distribución del ingreso</w:t>
      </w:r>
      <w:r w:rsidR="001D2034" w:rsidRPr="00E1125C">
        <w:rPr>
          <w:rFonts w:ascii="Times New Roman" w:eastAsia="Times New Roman" w:hAnsi="Times New Roman" w:cs="Times New Roman"/>
          <w:szCs w:val="24"/>
        </w:rPr>
        <w:t xml:space="preserve"> y del equilibrio </w:t>
      </w:r>
      <w:r w:rsidR="00C54706" w:rsidRPr="00E1125C">
        <w:rPr>
          <w:rFonts w:ascii="Times New Roman" w:eastAsia="Times New Roman" w:hAnsi="Times New Roman" w:cs="Times New Roman"/>
          <w:szCs w:val="24"/>
        </w:rPr>
        <w:t>sistémico</w:t>
      </w:r>
      <w:r w:rsidRPr="00E1125C">
        <w:rPr>
          <w:rFonts w:ascii="Times New Roman" w:eastAsia="Times New Roman" w:hAnsi="Times New Roman" w:cs="Times New Roman"/>
          <w:szCs w:val="24"/>
        </w:rPr>
        <w:t>, particularmente entre los grandes agregados macroeconómicos del capital y el trabajo, y en general, entre los factores de la producción.</w:t>
      </w:r>
    </w:p>
    <w:p w14:paraId="69EAE9DC" w14:textId="37AE015D" w:rsidR="002F7EF6" w:rsidRPr="00E1125C" w:rsidRDefault="002F7EF6" w:rsidP="004A31A4">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Con ese estudio se confirmó lo que ya había sido dicho por algunos economistas (pero sistemáticamente inadvertido por los modelos teóricos generales</w:t>
      </w:r>
      <w:r w:rsidR="001B65AD">
        <w:rPr>
          <w:rFonts w:ascii="Times New Roman" w:eastAsia="Times New Roman" w:hAnsi="Times New Roman" w:cs="Times New Roman"/>
          <w:szCs w:val="24"/>
        </w:rPr>
        <w:t>),</w:t>
      </w:r>
      <w:r w:rsidRPr="00E1125C">
        <w:rPr>
          <w:rFonts w:ascii="Times New Roman" w:eastAsia="Times New Roman" w:hAnsi="Times New Roman" w:cs="Times New Roman"/>
          <w:szCs w:val="24"/>
        </w:rPr>
        <w:t xml:space="preserve"> la existencia de una inconsistencia entre la realidad del mundo de la producción y los supuestos que fundamentan el paradigma macroeconómico dominante</w:t>
      </w:r>
      <w:r w:rsidR="004A31A4" w:rsidRPr="00E1125C">
        <w:rPr>
          <w:rFonts w:ascii="Times New Roman" w:eastAsia="Times New Roman" w:hAnsi="Times New Roman" w:cs="Times New Roman"/>
          <w:szCs w:val="24"/>
        </w:rPr>
        <w:t xml:space="preserve"> (</w:t>
      </w:r>
      <w:r w:rsidR="00D36698" w:rsidRPr="00E1125C">
        <w:rPr>
          <w:rFonts w:ascii="Times New Roman" w:eastAsia="Times New Roman" w:hAnsi="Times New Roman" w:cs="Times New Roman"/>
          <w:szCs w:val="24"/>
        </w:rPr>
        <w:t>Reuben</w:t>
      </w:r>
      <w:r w:rsidR="004A31A4" w:rsidRPr="00E1125C">
        <w:rPr>
          <w:rFonts w:ascii="Times New Roman" w:eastAsia="Times New Roman" w:hAnsi="Times New Roman" w:cs="Times New Roman"/>
          <w:szCs w:val="24"/>
        </w:rPr>
        <w:t>,</w:t>
      </w:r>
      <w:r w:rsidR="00D36698" w:rsidRPr="00E1125C">
        <w:rPr>
          <w:rFonts w:ascii="Times New Roman" w:eastAsia="Times New Roman" w:hAnsi="Times New Roman" w:cs="Times New Roman"/>
          <w:szCs w:val="24"/>
        </w:rPr>
        <w:t xml:space="preserve"> 2012,</w:t>
      </w:r>
      <w:r w:rsidR="004A31A4" w:rsidRPr="00E1125C">
        <w:rPr>
          <w:rFonts w:ascii="Times New Roman" w:eastAsia="Times New Roman" w:hAnsi="Times New Roman" w:cs="Times New Roman"/>
          <w:szCs w:val="24"/>
        </w:rPr>
        <w:t xml:space="preserve"> pp.</w:t>
      </w:r>
      <w:r w:rsidR="009A2F2A" w:rsidRPr="00E1125C">
        <w:rPr>
          <w:rFonts w:ascii="Times New Roman" w:eastAsia="Times New Roman" w:hAnsi="Times New Roman" w:cs="Times New Roman"/>
          <w:szCs w:val="24"/>
        </w:rPr>
        <w:t>101-108)</w:t>
      </w:r>
      <w:r w:rsidRPr="00E1125C">
        <w:rPr>
          <w:rFonts w:ascii="Times New Roman" w:eastAsia="Times New Roman" w:hAnsi="Times New Roman" w:cs="Times New Roman"/>
          <w:szCs w:val="24"/>
        </w:rPr>
        <w:t xml:space="preserve">. </w:t>
      </w:r>
      <w:r w:rsidR="00C54706" w:rsidRPr="00E1125C">
        <w:rPr>
          <w:rFonts w:ascii="Times New Roman" w:eastAsia="Times New Roman" w:hAnsi="Times New Roman" w:cs="Times New Roman"/>
          <w:szCs w:val="24"/>
        </w:rPr>
        <w:t xml:space="preserve"> </w:t>
      </w:r>
      <w:proofErr w:type="gramStart"/>
      <w:r w:rsidRPr="00E1125C">
        <w:rPr>
          <w:rFonts w:ascii="Times New Roman" w:eastAsia="Times New Roman" w:hAnsi="Times New Roman" w:cs="Times New Roman"/>
          <w:szCs w:val="24"/>
        </w:rPr>
        <w:t>Y</w:t>
      </w:r>
      <w:proofErr w:type="gramEnd"/>
      <w:r w:rsidRPr="00E1125C">
        <w:rPr>
          <w:rFonts w:ascii="Times New Roman" w:eastAsia="Times New Roman" w:hAnsi="Times New Roman" w:cs="Times New Roman"/>
          <w:szCs w:val="24"/>
        </w:rPr>
        <w:t xml:space="preserve"> por lo tanto, debía aceptarse que las condiciones reales del sistema determinaban la formación de un equilibrio general que no podía menos que </w:t>
      </w:r>
      <w:r w:rsidR="00B0202E" w:rsidRPr="00E1125C">
        <w:rPr>
          <w:rFonts w:ascii="Times New Roman" w:eastAsia="Times New Roman" w:hAnsi="Times New Roman" w:cs="Times New Roman"/>
          <w:szCs w:val="24"/>
        </w:rPr>
        <w:t>re</w:t>
      </w:r>
      <w:r w:rsidR="00FE0A4B" w:rsidRPr="00E1125C">
        <w:rPr>
          <w:rFonts w:ascii="Times New Roman" w:eastAsia="Times New Roman" w:hAnsi="Times New Roman" w:cs="Times New Roman"/>
          <w:szCs w:val="24"/>
        </w:rPr>
        <w:t>s</w:t>
      </w:r>
      <w:r w:rsidR="00B0202E" w:rsidRPr="00E1125C">
        <w:rPr>
          <w:rFonts w:ascii="Times New Roman" w:eastAsia="Times New Roman" w:hAnsi="Times New Roman" w:cs="Times New Roman"/>
          <w:szCs w:val="24"/>
        </w:rPr>
        <w:t>ultar</w:t>
      </w:r>
      <w:r w:rsidRPr="00E1125C">
        <w:rPr>
          <w:rFonts w:ascii="Times New Roman" w:eastAsia="Times New Roman" w:hAnsi="Times New Roman" w:cs="Times New Roman"/>
          <w:szCs w:val="24"/>
        </w:rPr>
        <w:t xml:space="preserve"> </w:t>
      </w:r>
      <w:r w:rsidR="00FE0A4B" w:rsidRPr="00E1125C">
        <w:rPr>
          <w:rFonts w:ascii="Times New Roman" w:eastAsia="Times New Roman" w:hAnsi="Times New Roman" w:cs="Times New Roman"/>
          <w:szCs w:val="24"/>
        </w:rPr>
        <w:t>en</w:t>
      </w:r>
      <w:r w:rsidRPr="00E1125C">
        <w:rPr>
          <w:rFonts w:ascii="Times New Roman" w:eastAsia="Times New Roman" w:hAnsi="Times New Roman" w:cs="Times New Roman"/>
          <w:szCs w:val="24"/>
        </w:rPr>
        <w:t xml:space="preserve"> un uso </w:t>
      </w:r>
      <w:r w:rsidR="006B0B25" w:rsidRPr="00E1125C">
        <w:rPr>
          <w:rFonts w:ascii="Times New Roman" w:eastAsia="Times New Roman" w:hAnsi="Times New Roman" w:cs="Times New Roman"/>
          <w:szCs w:val="24"/>
        </w:rPr>
        <w:t>ineficiente</w:t>
      </w:r>
      <w:r w:rsidR="00BF5EFC" w:rsidRPr="00E1125C">
        <w:rPr>
          <w:rFonts w:ascii="Times New Roman" w:eastAsia="Times New Roman" w:hAnsi="Times New Roman" w:cs="Times New Roman"/>
          <w:szCs w:val="24"/>
        </w:rPr>
        <w:t xml:space="preserve"> </w:t>
      </w:r>
      <w:r w:rsidRPr="00E1125C">
        <w:rPr>
          <w:rFonts w:ascii="Times New Roman" w:eastAsia="Times New Roman" w:hAnsi="Times New Roman" w:cs="Times New Roman"/>
          <w:szCs w:val="24"/>
        </w:rPr>
        <w:t>de los recursos escasos existentes, desproporcionado y desquiciado de las necesidades sociales concretas</w:t>
      </w:r>
      <w:r w:rsidR="004A31A4" w:rsidRPr="00E1125C">
        <w:rPr>
          <w:rFonts w:ascii="Times New Roman" w:eastAsia="Times New Roman" w:hAnsi="Times New Roman" w:cs="Times New Roman"/>
          <w:szCs w:val="24"/>
        </w:rPr>
        <w:t xml:space="preserve"> (</w:t>
      </w:r>
      <w:r w:rsidR="001C4821" w:rsidRPr="00E1125C">
        <w:rPr>
          <w:rFonts w:ascii="Times New Roman" w:eastAsia="Times New Roman" w:hAnsi="Times New Roman" w:cs="Times New Roman"/>
          <w:szCs w:val="24"/>
        </w:rPr>
        <w:t>o</w:t>
      </w:r>
      <w:r w:rsidR="004A31A4" w:rsidRPr="00E1125C">
        <w:rPr>
          <w:rFonts w:ascii="Times New Roman" w:eastAsia="Times New Roman" w:hAnsi="Times New Roman" w:cs="Times New Roman"/>
          <w:szCs w:val="24"/>
        </w:rPr>
        <w:t xml:space="preserve">b. </w:t>
      </w:r>
      <w:r w:rsidR="001C4821" w:rsidRPr="00E1125C">
        <w:rPr>
          <w:rFonts w:ascii="Times New Roman" w:eastAsia="Times New Roman" w:hAnsi="Times New Roman" w:cs="Times New Roman"/>
          <w:szCs w:val="24"/>
        </w:rPr>
        <w:t>c</w:t>
      </w:r>
      <w:r w:rsidR="004A31A4" w:rsidRPr="00E1125C">
        <w:rPr>
          <w:rFonts w:ascii="Times New Roman" w:eastAsia="Times New Roman" w:hAnsi="Times New Roman" w:cs="Times New Roman"/>
          <w:szCs w:val="24"/>
        </w:rPr>
        <w:t>it., pp.96</w:t>
      </w:r>
      <w:r w:rsidRPr="00E1125C">
        <w:rPr>
          <w:rFonts w:ascii="Times New Roman" w:eastAsia="Times New Roman" w:hAnsi="Times New Roman" w:cs="Times New Roman"/>
          <w:szCs w:val="24"/>
        </w:rPr>
        <w:t>.</w:t>
      </w:r>
      <w:r w:rsidR="004A31A4" w:rsidRPr="00E1125C">
        <w:rPr>
          <w:rFonts w:ascii="Times New Roman" w:eastAsia="Times New Roman" w:hAnsi="Times New Roman" w:cs="Times New Roman"/>
          <w:szCs w:val="24"/>
        </w:rPr>
        <w:t>101)</w:t>
      </w:r>
      <w:r w:rsidR="00964FE2" w:rsidRPr="00E1125C">
        <w:rPr>
          <w:rFonts w:ascii="Times New Roman" w:eastAsia="Times New Roman" w:hAnsi="Times New Roman" w:cs="Times New Roman"/>
          <w:szCs w:val="24"/>
        </w:rPr>
        <w:t>.</w:t>
      </w:r>
    </w:p>
    <w:p w14:paraId="741A7B67" w14:textId="29771C36" w:rsidR="002F7EF6" w:rsidRPr="00E1125C" w:rsidRDefault="002F7EF6" w:rsidP="004A31A4">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 xml:space="preserve">Finalmente, en un artículo publicado en la Revista de Ciencias Sociales de la Universidad de Costa Rica en el 2018, se presentó en forma </w:t>
      </w:r>
      <w:r w:rsidR="00C54706" w:rsidRPr="00E1125C">
        <w:rPr>
          <w:rFonts w:ascii="Times New Roman" w:eastAsia="Times New Roman" w:hAnsi="Times New Roman" w:cs="Times New Roman"/>
          <w:szCs w:val="24"/>
        </w:rPr>
        <w:t xml:space="preserve">genérica </w:t>
      </w:r>
      <w:r w:rsidRPr="00E1125C">
        <w:rPr>
          <w:rFonts w:ascii="Times New Roman" w:eastAsia="Times New Roman" w:hAnsi="Times New Roman" w:cs="Times New Roman"/>
          <w:szCs w:val="24"/>
        </w:rPr>
        <w:t>una discusión sobre los efectos en las naciones de las políticas económicas y sociales surgidas a la sombra del paradigma</w:t>
      </w:r>
      <w:r w:rsidR="00501615" w:rsidRPr="00E1125C">
        <w:rPr>
          <w:rFonts w:ascii="Times New Roman" w:eastAsia="Times New Roman" w:hAnsi="Times New Roman" w:cs="Times New Roman"/>
          <w:szCs w:val="24"/>
        </w:rPr>
        <w:t xml:space="preserve"> (a la sazón ya reconocido como) </w:t>
      </w:r>
      <w:r w:rsidRPr="00E1125C">
        <w:rPr>
          <w:rFonts w:ascii="Times New Roman" w:eastAsia="Times New Roman" w:hAnsi="Times New Roman" w:cs="Times New Roman"/>
          <w:szCs w:val="24"/>
        </w:rPr>
        <w:t>neoliberal</w:t>
      </w:r>
      <w:r w:rsidR="007322EF" w:rsidRPr="00E1125C">
        <w:rPr>
          <w:rFonts w:ascii="Times New Roman" w:eastAsia="Times New Roman" w:hAnsi="Times New Roman" w:cs="Times New Roman"/>
          <w:szCs w:val="24"/>
        </w:rPr>
        <w:t>,</w:t>
      </w:r>
      <w:r w:rsidR="00272529" w:rsidRPr="00E1125C">
        <w:rPr>
          <w:rFonts w:ascii="Times New Roman" w:eastAsia="Times New Roman" w:hAnsi="Times New Roman" w:cs="Times New Roman"/>
          <w:szCs w:val="24"/>
        </w:rPr>
        <w:t xml:space="preserve"> </w:t>
      </w:r>
      <w:r w:rsidR="00E37AA0" w:rsidRPr="00E1125C">
        <w:rPr>
          <w:rFonts w:ascii="Times New Roman" w:eastAsia="Times New Roman" w:hAnsi="Times New Roman" w:cs="Times New Roman"/>
          <w:szCs w:val="24"/>
        </w:rPr>
        <w:t>y que</w:t>
      </w:r>
      <w:r w:rsidR="00511481" w:rsidRPr="00E1125C">
        <w:rPr>
          <w:rFonts w:ascii="Times New Roman" w:eastAsia="Times New Roman" w:hAnsi="Times New Roman" w:cs="Times New Roman"/>
          <w:szCs w:val="24"/>
        </w:rPr>
        <w:t xml:space="preserve"> </w:t>
      </w:r>
      <w:r w:rsidR="00E37AA0" w:rsidRPr="00E1125C">
        <w:rPr>
          <w:rFonts w:ascii="Times New Roman" w:eastAsia="Times New Roman" w:hAnsi="Times New Roman" w:cs="Times New Roman"/>
          <w:szCs w:val="24"/>
        </w:rPr>
        <w:t xml:space="preserve">reconocemos </w:t>
      </w:r>
      <w:r w:rsidR="00511481" w:rsidRPr="00E1125C">
        <w:rPr>
          <w:rFonts w:ascii="Times New Roman" w:eastAsia="Times New Roman" w:hAnsi="Times New Roman" w:cs="Times New Roman"/>
          <w:szCs w:val="24"/>
        </w:rPr>
        <w:t xml:space="preserve">fundado en los preceptos de mercados </w:t>
      </w:r>
      <w:r w:rsidR="00130D17" w:rsidRPr="00E1125C">
        <w:rPr>
          <w:rFonts w:ascii="Times New Roman" w:eastAsia="Times New Roman" w:hAnsi="Times New Roman" w:cs="Times New Roman"/>
          <w:szCs w:val="24"/>
        </w:rPr>
        <w:t xml:space="preserve">libres </w:t>
      </w:r>
      <w:r w:rsidR="00631991" w:rsidRPr="00E1125C">
        <w:rPr>
          <w:rFonts w:ascii="Times New Roman" w:eastAsia="Times New Roman" w:hAnsi="Times New Roman" w:cs="Times New Roman"/>
          <w:szCs w:val="24"/>
        </w:rPr>
        <w:t>de bienes</w:t>
      </w:r>
      <w:r w:rsidR="00875B44" w:rsidRPr="00E1125C">
        <w:rPr>
          <w:rFonts w:ascii="Times New Roman" w:eastAsia="Times New Roman" w:hAnsi="Times New Roman" w:cs="Times New Roman"/>
          <w:szCs w:val="24"/>
        </w:rPr>
        <w:t>, servicios</w:t>
      </w:r>
      <w:r w:rsidR="00631991" w:rsidRPr="00E1125C">
        <w:rPr>
          <w:rFonts w:ascii="Times New Roman" w:eastAsia="Times New Roman" w:hAnsi="Times New Roman" w:cs="Times New Roman"/>
          <w:szCs w:val="24"/>
        </w:rPr>
        <w:t xml:space="preserve"> y capitales</w:t>
      </w:r>
      <w:r w:rsidR="00511481" w:rsidRPr="00E1125C">
        <w:rPr>
          <w:rFonts w:ascii="Times New Roman" w:eastAsia="Times New Roman" w:hAnsi="Times New Roman" w:cs="Times New Roman"/>
          <w:szCs w:val="24"/>
        </w:rPr>
        <w:t xml:space="preserve">, </w:t>
      </w:r>
      <w:r w:rsidR="006A248F" w:rsidRPr="00E1125C">
        <w:rPr>
          <w:rFonts w:ascii="Times New Roman" w:eastAsia="Times New Roman" w:hAnsi="Times New Roman" w:cs="Times New Roman"/>
          <w:szCs w:val="24"/>
        </w:rPr>
        <w:t xml:space="preserve">estado y gasto público reducidos, </w:t>
      </w:r>
      <w:r w:rsidR="00875CC9" w:rsidRPr="00E1125C">
        <w:rPr>
          <w:rFonts w:ascii="Times New Roman" w:eastAsia="Times New Roman" w:hAnsi="Times New Roman" w:cs="Times New Roman"/>
          <w:szCs w:val="24"/>
        </w:rPr>
        <w:t>políticas económicas</w:t>
      </w:r>
      <w:r w:rsidR="008B41A1" w:rsidRPr="00E1125C">
        <w:rPr>
          <w:rFonts w:ascii="Times New Roman" w:eastAsia="Times New Roman" w:hAnsi="Times New Roman" w:cs="Times New Roman"/>
          <w:szCs w:val="24"/>
        </w:rPr>
        <w:t xml:space="preserve"> (inversión pública)</w:t>
      </w:r>
      <w:r w:rsidR="00875CC9" w:rsidRPr="00E1125C">
        <w:rPr>
          <w:rFonts w:ascii="Times New Roman" w:eastAsia="Times New Roman" w:hAnsi="Times New Roman" w:cs="Times New Roman"/>
          <w:szCs w:val="24"/>
        </w:rPr>
        <w:t xml:space="preserve"> </w:t>
      </w:r>
      <w:r w:rsidR="0012641A" w:rsidRPr="00E1125C">
        <w:rPr>
          <w:rFonts w:ascii="Times New Roman" w:eastAsia="Times New Roman" w:hAnsi="Times New Roman" w:cs="Times New Roman"/>
          <w:szCs w:val="24"/>
        </w:rPr>
        <w:t xml:space="preserve">y monetarias </w:t>
      </w:r>
      <w:r w:rsidR="00875CC9" w:rsidRPr="00E1125C">
        <w:rPr>
          <w:rFonts w:ascii="Times New Roman" w:eastAsia="Times New Roman" w:hAnsi="Times New Roman" w:cs="Times New Roman"/>
          <w:szCs w:val="24"/>
        </w:rPr>
        <w:t>favor</w:t>
      </w:r>
      <w:r w:rsidR="00B72888" w:rsidRPr="00E1125C">
        <w:rPr>
          <w:rFonts w:ascii="Times New Roman" w:eastAsia="Times New Roman" w:hAnsi="Times New Roman" w:cs="Times New Roman"/>
          <w:szCs w:val="24"/>
        </w:rPr>
        <w:t>a</w:t>
      </w:r>
      <w:r w:rsidR="00875CC9" w:rsidRPr="00E1125C">
        <w:rPr>
          <w:rFonts w:ascii="Times New Roman" w:eastAsia="Times New Roman" w:hAnsi="Times New Roman" w:cs="Times New Roman"/>
          <w:szCs w:val="24"/>
        </w:rPr>
        <w:t>bles a</w:t>
      </w:r>
      <w:r w:rsidR="00B90DD0" w:rsidRPr="00E1125C">
        <w:rPr>
          <w:rFonts w:ascii="Times New Roman" w:eastAsia="Times New Roman" w:hAnsi="Times New Roman" w:cs="Times New Roman"/>
          <w:szCs w:val="24"/>
        </w:rPr>
        <w:t xml:space="preserve"> las empresas</w:t>
      </w:r>
      <w:r w:rsidR="00920ACF" w:rsidRPr="00E1125C">
        <w:rPr>
          <w:rFonts w:ascii="Times New Roman" w:eastAsia="Times New Roman" w:hAnsi="Times New Roman" w:cs="Times New Roman"/>
          <w:szCs w:val="24"/>
        </w:rPr>
        <w:t xml:space="preserve"> </w:t>
      </w:r>
      <w:r w:rsidR="00920ACF" w:rsidRPr="00E1125C">
        <w:rPr>
          <w:rFonts w:ascii="Times New Roman" w:eastAsia="Times New Roman" w:hAnsi="Times New Roman" w:cs="Times New Roman"/>
          <w:szCs w:val="24"/>
        </w:rPr>
        <w:lastRenderedPageBreak/>
        <w:t>particularmente</w:t>
      </w:r>
      <w:r w:rsidR="0098315F" w:rsidRPr="00E1125C">
        <w:rPr>
          <w:rFonts w:ascii="Times New Roman" w:eastAsia="Times New Roman" w:hAnsi="Times New Roman" w:cs="Times New Roman"/>
          <w:szCs w:val="24"/>
        </w:rPr>
        <w:t xml:space="preserve"> exportadoras</w:t>
      </w:r>
      <w:r w:rsidR="009A157F" w:rsidRPr="00E1125C">
        <w:rPr>
          <w:rFonts w:ascii="Times New Roman" w:eastAsia="Times New Roman" w:hAnsi="Times New Roman" w:cs="Times New Roman"/>
          <w:szCs w:val="24"/>
        </w:rPr>
        <w:t xml:space="preserve"> (versión países en desarrollo)</w:t>
      </w:r>
      <w:r w:rsidR="00B72888" w:rsidRPr="00E1125C">
        <w:rPr>
          <w:rFonts w:ascii="Times New Roman" w:eastAsia="Times New Roman" w:hAnsi="Times New Roman" w:cs="Times New Roman"/>
          <w:szCs w:val="24"/>
        </w:rPr>
        <w:t xml:space="preserve"> y política laboral</w:t>
      </w:r>
      <w:r w:rsidR="00652B62" w:rsidRPr="00E1125C">
        <w:rPr>
          <w:rFonts w:ascii="Times New Roman" w:eastAsia="Times New Roman" w:hAnsi="Times New Roman" w:cs="Times New Roman"/>
          <w:szCs w:val="24"/>
        </w:rPr>
        <w:t xml:space="preserve"> </w:t>
      </w:r>
      <w:r w:rsidR="004B7066" w:rsidRPr="00E1125C">
        <w:rPr>
          <w:rFonts w:ascii="Times New Roman" w:eastAsia="Times New Roman" w:hAnsi="Times New Roman" w:cs="Times New Roman"/>
          <w:szCs w:val="24"/>
        </w:rPr>
        <w:t>y salarial restrictiva</w:t>
      </w:r>
      <w:r w:rsidR="00920ACF" w:rsidRPr="00E1125C">
        <w:rPr>
          <w:rFonts w:ascii="Times New Roman" w:eastAsia="Times New Roman" w:hAnsi="Times New Roman" w:cs="Times New Roman"/>
          <w:szCs w:val="24"/>
        </w:rPr>
        <w:t>.</w:t>
      </w:r>
      <w:r w:rsidR="00C54706" w:rsidRPr="00E1125C">
        <w:rPr>
          <w:rStyle w:val="Refdenotaalpie"/>
          <w:rFonts w:ascii="Times New Roman" w:eastAsia="Times New Roman" w:hAnsi="Times New Roman" w:cs="Times New Roman"/>
          <w:szCs w:val="24"/>
        </w:rPr>
        <w:footnoteReference w:id="4"/>
      </w:r>
      <w:r w:rsidR="00920ACF" w:rsidRPr="00E1125C">
        <w:rPr>
          <w:rFonts w:ascii="Times New Roman" w:eastAsia="Times New Roman" w:hAnsi="Times New Roman" w:cs="Times New Roman"/>
          <w:szCs w:val="24"/>
        </w:rPr>
        <w:t xml:space="preserve"> </w:t>
      </w:r>
      <w:r w:rsidR="00704638" w:rsidRPr="00E1125C">
        <w:rPr>
          <w:rFonts w:ascii="Times New Roman" w:eastAsia="Times New Roman" w:hAnsi="Times New Roman" w:cs="Times New Roman"/>
          <w:szCs w:val="24"/>
        </w:rPr>
        <w:t xml:space="preserve"> </w:t>
      </w:r>
      <w:r w:rsidR="00920ACF" w:rsidRPr="00E1125C">
        <w:rPr>
          <w:rFonts w:ascii="Times New Roman" w:eastAsia="Times New Roman" w:hAnsi="Times New Roman" w:cs="Times New Roman"/>
          <w:szCs w:val="24"/>
        </w:rPr>
        <w:t>E</w:t>
      </w:r>
      <w:r w:rsidR="00704638" w:rsidRPr="00E1125C">
        <w:rPr>
          <w:rFonts w:ascii="Times New Roman" w:eastAsia="Times New Roman" w:hAnsi="Times New Roman" w:cs="Times New Roman"/>
          <w:szCs w:val="24"/>
        </w:rPr>
        <w:t>n resumen</w:t>
      </w:r>
      <w:r w:rsidR="000C53DF" w:rsidRPr="00E1125C">
        <w:rPr>
          <w:rFonts w:ascii="Times New Roman" w:eastAsia="Times New Roman" w:hAnsi="Times New Roman" w:cs="Times New Roman"/>
          <w:szCs w:val="24"/>
        </w:rPr>
        <w:t>,</w:t>
      </w:r>
      <w:r w:rsidR="00704638" w:rsidRPr="00E1125C">
        <w:rPr>
          <w:rFonts w:ascii="Times New Roman" w:eastAsia="Times New Roman" w:hAnsi="Times New Roman" w:cs="Times New Roman"/>
          <w:szCs w:val="24"/>
        </w:rPr>
        <w:t xml:space="preserve"> </w:t>
      </w:r>
      <w:r w:rsidR="007671A4" w:rsidRPr="00E1125C">
        <w:rPr>
          <w:rFonts w:ascii="Times New Roman" w:eastAsia="Times New Roman" w:hAnsi="Times New Roman" w:cs="Times New Roman"/>
          <w:szCs w:val="24"/>
        </w:rPr>
        <w:t>es un paradigma que supone que la</w:t>
      </w:r>
      <w:r w:rsidR="00616818" w:rsidRPr="00E1125C">
        <w:rPr>
          <w:rFonts w:ascii="Times New Roman" w:eastAsia="Times New Roman" w:hAnsi="Times New Roman" w:cs="Times New Roman"/>
          <w:szCs w:val="24"/>
        </w:rPr>
        <w:t xml:space="preserve"> </w:t>
      </w:r>
      <w:r w:rsidR="007671A4" w:rsidRPr="00E1125C">
        <w:rPr>
          <w:rFonts w:ascii="Times New Roman" w:eastAsia="Times New Roman" w:hAnsi="Times New Roman" w:cs="Times New Roman"/>
          <w:szCs w:val="24"/>
        </w:rPr>
        <w:t>iniciativa priv</w:t>
      </w:r>
      <w:r w:rsidR="00616818" w:rsidRPr="00E1125C">
        <w:rPr>
          <w:rFonts w:ascii="Times New Roman" w:eastAsia="Times New Roman" w:hAnsi="Times New Roman" w:cs="Times New Roman"/>
          <w:szCs w:val="24"/>
        </w:rPr>
        <w:t>a</w:t>
      </w:r>
      <w:r w:rsidR="007671A4" w:rsidRPr="00E1125C">
        <w:rPr>
          <w:rFonts w:ascii="Times New Roman" w:eastAsia="Times New Roman" w:hAnsi="Times New Roman" w:cs="Times New Roman"/>
          <w:szCs w:val="24"/>
        </w:rPr>
        <w:t>da, por sí misma</w:t>
      </w:r>
      <w:r w:rsidR="00AE4B2E" w:rsidRPr="00E1125C">
        <w:rPr>
          <w:rFonts w:ascii="Times New Roman" w:eastAsia="Times New Roman" w:hAnsi="Times New Roman" w:cs="Times New Roman"/>
          <w:szCs w:val="24"/>
        </w:rPr>
        <w:t>,</w:t>
      </w:r>
      <w:r w:rsidR="00616818" w:rsidRPr="00E1125C">
        <w:rPr>
          <w:rFonts w:ascii="Times New Roman" w:eastAsia="Times New Roman" w:hAnsi="Times New Roman" w:cs="Times New Roman"/>
          <w:szCs w:val="24"/>
        </w:rPr>
        <w:t xml:space="preserve"> </w:t>
      </w:r>
      <w:r w:rsidR="000D7EBB" w:rsidRPr="00E1125C">
        <w:rPr>
          <w:rFonts w:ascii="Times New Roman" w:eastAsia="Times New Roman" w:hAnsi="Times New Roman" w:cs="Times New Roman"/>
          <w:szCs w:val="24"/>
        </w:rPr>
        <w:t>asegura</w:t>
      </w:r>
      <w:r w:rsidR="00E654E5" w:rsidRPr="00E1125C">
        <w:rPr>
          <w:rFonts w:ascii="Times New Roman" w:eastAsia="Times New Roman" w:hAnsi="Times New Roman" w:cs="Times New Roman"/>
          <w:szCs w:val="24"/>
        </w:rPr>
        <w:t xml:space="preserve"> equilibrios macroeconómicos óptimos </w:t>
      </w:r>
      <w:r w:rsidR="00EE20FD" w:rsidRPr="00E1125C">
        <w:rPr>
          <w:rFonts w:ascii="Times New Roman" w:eastAsia="Times New Roman" w:hAnsi="Times New Roman" w:cs="Times New Roman"/>
          <w:szCs w:val="24"/>
        </w:rPr>
        <w:t xml:space="preserve">por lo que la política económica debe </w:t>
      </w:r>
      <w:r w:rsidR="007326CC" w:rsidRPr="00E1125C">
        <w:rPr>
          <w:rFonts w:ascii="Times New Roman" w:eastAsia="Times New Roman" w:hAnsi="Times New Roman" w:cs="Times New Roman"/>
          <w:szCs w:val="24"/>
        </w:rPr>
        <w:t>orientarse hac</w:t>
      </w:r>
      <w:r w:rsidR="00CE67F3" w:rsidRPr="00E1125C">
        <w:rPr>
          <w:rFonts w:ascii="Times New Roman" w:eastAsia="Times New Roman" w:hAnsi="Times New Roman" w:cs="Times New Roman"/>
          <w:szCs w:val="24"/>
        </w:rPr>
        <w:t>ia</w:t>
      </w:r>
      <w:r w:rsidR="007326CC" w:rsidRPr="00E1125C">
        <w:rPr>
          <w:rFonts w:ascii="Times New Roman" w:eastAsia="Times New Roman" w:hAnsi="Times New Roman" w:cs="Times New Roman"/>
          <w:szCs w:val="24"/>
        </w:rPr>
        <w:t xml:space="preserve"> e</w:t>
      </w:r>
      <w:r w:rsidR="00BA4496" w:rsidRPr="00E1125C">
        <w:rPr>
          <w:rFonts w:ascii="Times New Roman" w:eastAsia="Times New Roman" w:hAnsi="Times New Roman" w:cs="Times New Roman"/>
          <w:szCs w:val="24"/>
        </w:rPr>
        <w:t>l apoyo institucional</w:t>
      </w:r>
      <w:r w:rsidR="007326CC" w:rsidRPr="00E1125C">
        <w:rPr>
          <w:rFonts w:ascii="Times New Roman" w:eastAsia="Times New Roman" w:hAnsi="Times New Roman" w:cs="Times New Roman"/>
          <w:szCs w:val="24"/>
        </w:rPr>
        <w:t xml:space="preserve"> de</w:t>
      </w:r>
      <w:r w:rsidR="003D7E7E" w:rsidRPr="00E1125C">
        <w:rPr>
          <w:rFonts w:ascii="Times New Roman" w:eastAsia="Times New Roman" w:hAnsi="Times New Roman" w:cs="Times New Roman"/>
          <w:szCs w:val="24"/>
        </w:rPr>
        <w:t xml:space="preserve"> la acumulación priv</w:t>
      </w:r>
      <w:r w:rsidR="00980E13" w:rsidRPr="00E1125C">
        <w:rPr>
          <w:rFonts w:ascii="Times New Roman" w:eastAsia="Times New Roman" w:hAnsi="Times New Roman" w:cs="Times New Roman"/>
          <w:szCs w:val="24"/>
        </w:rPr>
        <w:t>ada; l</w:t>
      </w:r>
      <w:r w:rsidR="003314B4" w:rsidRPr="00E1125C">
        <w:rPr>
          <w:rFonts w:ascii="Times New Roman" w:eastAsia="Times New Roman" w:hAnsi="Times New Roman" w:cs="Times New Roman"/>
          <w:szCs w:val="24"/>
        </w:rPr>
        <w:t>o</w:t>
      </w:r>
      <w:r w:rsidR="00980E13" w:rsidRPr="00E1125C">
        <w:rPr>
          <w:rFonts w:ascii="Times New Roman" w:eastAsia="Times New Roman" w:hAnsi="Times New Roman" w:cs="Times New Roman"/>
          <w:szCs w:val="24"/>
        </w:rPr>
        <w:t xml:space="preserve"> que se traduce</w:t>
      </w:r>
      <w:r w:rsidR="000D7264" w:rsidRPr="00E1125C">
        <w:rPr>
          <w:rFonts w:ascii="Times New Roman" w:eastAsia="Times New Roman" w:hAnsi="Times New Roman" w:cs="Times New Roman"/>
          <w:szCs w:val="24"/>
        </w:rPr>
        <w:t>,</w:t>
      </w:r>
      <w:r w:rsidR="00980E13" w:rsidRPr="00E1125C">
        <w:rPr>
          <w:rFonts w:ascii="Times New Roman" w:eastAsia="Times New Roman" w:hAnsi="Times New Roman" w:cs="Times New Roman"/>
          <w:szCs w:val="24"/>
        </w:rPr>
        <w:t xml:space="preserve"> en </w:t>
      </w:r>
      <w:r w:rsidR="003314B4" w:rsidRPr="00E1125C">
        <w:rPr>
          <w:rFonts w:ascii="Times New Roman" w:eastAsia="Times New Roman" w:hAnsi="Times New Roman" w:cs="Times New Roman"/>
          <w:szCs w:val="24"/>
        </w:rPr>
        <w:t>las condiciones de los mercados actuales</w:t>
      </w:r>
      <w:r w:rsidR="000D7264" w:rsidRPr="00E1125C">
        <w:rPr>
          <w:rFonts w:ascii="Times New Roman" w:eastAsia="Times New Roman" w:hAnsi="Times New Roman" w:cs="Times New Roman"/>
          <w:szCs w:val="24"/>
        </w:rPr>
        <w:t>,</w:t>
      </w:r>
      <w:r w:rsidR="00AB7E78" w:rsidRPr="00E1125C">
        <w:rPr>
          <w:rFonts w:ascii="Times New Roman" w:eastAsia="Times New Roman" w:hAnsi="Times New Roman" w:cs="Times New Roman"/>
          <w:szCs w:val="24"/>
        </w:rPr>
        <w:t xml:space="preserve"> en el favorecimiento de los intereses de las grandes empresas</w:t>
      </w:r>
      <w:r w:rsidRPr="00E1125C">
        <w:rPr>
          <w:rFonts w:ascii="Times New Roman" w:eastAsia="Times New Roman" w:hAnsi="Times New Roman" w:cs="Times New Roman"/>
          <w:szCs w:val="24"/>
        </w:rPr>
        <w:t xml:space="preserve">.  En </w:t>
      </w:r>
      <w:r w:rsidR="000136F8" w:rsidRPr="00E1125C">
        <w:rPr>
          <w:rFonts w:ascii="Times New Roman" w:eastAsia="Times New Roman" w:hAnsi="Times New Roman" w:cs="Times New Roman"/>
          <w:szCs w:val="24"/>
        </w:rPr>
        <w:t>e</w:t>
      </w:r>
      <w:r w:rsidRPr="00E1125C">
        <w:rPr>
          <w:rFonts w:ascii="Times New Roman" w:eastAsia="Times New Roman" w:hAnsi="Times New Roman" w:cs="Times New Roman"/>
          <w:szCs w:val="24"/>
        </w:rPr>
        <w:t>ste</w:t>
      </w:r>
      <w:r w:rsidR="000136F8" w:rsidRPr="00E1125C">
        <w:rPr>
          <w:rFonts w:ascii="Times New Roman" w:eastAsia="Times New Roman" w:hAnsi="Times New Roman" w:cs="Times New Roman"/>
          <w:szCs w:val="24"/>
        </w:rPr>
        <w:t xml:space="preserve"> estudio</w:t>
      </w:r>
      <w:r w:rsidRPr="00E1125C">
        <w:rPr>
          <w:rFonts w:ascii="Times New Roman" w:eastAsia="Times New Roman" w:hAnsi="Times New Roman" w:cs="Times New Roman"/>
          <w:szCs w:val="24"/>
        </w:rPr>
        <w:t xml:space="preserve"> se asocian los eventos de ruptura de la cohesión social, violencia y migraciones entre otros, que han caracterizado los últimos años del primer decenio del siglo XXI y primeros del segundo (“el malestar de las naciones”) con las transformaciones sufridas por las estructuras sociales, económicas y políticas impulsadas por múltiples gobiernos bajo el precepto paradigmático del neoliberalismo económico y lo que ahí se denomina como la globalización </w:t>
      </w:r>
      <w:r w:rsidRPr="00E1125C">
        <w:rPr>
          <w:rFonts w:ascii="Times New Roman" w:eastAsia="Times New Roman" w:hAnsi="Times New Roman" w:cs="Times New Roman"/>
          <w:i/>
          <w:iCs/>
          <w:szCs w:val="24"/>
        </w:rPr>
        <w:t xml:space="preserve">transnacional </w:t>
      </w:r>
      <w:r w:rsidRPr="00E1125C">
        <w:rPr>
          <w:rFonts w:ascii="Times New Roman" w:eastAsia="Times New Roman" w:hAnsi="Times New Roman" w:cs="Times New Roman"/>
          <w:szCs w:val="24"/>
        </w:rPr>
        <w:t>de la acumulación de capital</w:t>
      </w:r>
      <w:r w:rsidR="00FF3385" w:rsidRPr="00E1125C">
        <w:rPr>
          <w:rFonts w:ascii="Times New Roman" w:eastAsia="Times New Roman" w:hAnsi="Times New Roman" w:cs="Times New Roman"/>
          <w:szCs w:val="24"/>
        </w:rPr>
        <w:t>;</w:t>
      </w:r>
      <w:r w:rsidR="00621151" w:rsidRPr="00E1125C">
        <w:rPr>
          <w:rFonts w:ascii="Times New Roman" w:eastAsia="Times New Roman" w:hAnsi="Times New Roman" w:cs="Times New Roman"/>
          <w:szCs w:val="24"/>
        </w:rPr>
        <w:t xml:space="preserve"> entendida</w:t>
      </w:r>
      <w:r w:rsidR="00FF3385" w:rsidRPr="00E1125C">
        <w:rPr>
          <w:rFonts w:ascii="Times New Roman" w:eastAsia="Times New Roman" w:hAnsi="Times New Roman" w:cs="Times New Roman"/>
          <w:szCs w:val="24"/>
        </w:rPr>
        <w:t xml:space="preserve"> ésta</w:t>
      </w:r>
      <w:r w:rsidR="00621151" w:rsidRPr="00E1125C">
        <w:rPr>
          <w:rFonts w:ascii="Times New Roman" w:eastAsia="Times New Roman" w:hAnsi="Times New Roman" w:cs="Times New Roman"/>
          <w:szCs w:val="24"/>
        </w:rPr>
        <w:t xml:space="preserve"> como </w:t>
      </w:r>
      <w:r w:rsidR="00870AC2" w:rsidRPr="00E1125C">
        <w:rPr>
          <w:rFonts w:ascii="Times New Roman" w:eastAsia="Times New Roman" w:hAnsi="Times New Roman" w:cs="Times New Roman"/>
          <w:szCs w:val="24"/>
        </w:rPr>
        <w:t>el establecimiento por medio de m</w:t>
      </w:r>
      <w:r w:rsidR="00FF5D87" w:rsidRPr="00E1125C">
        <w:rPr>
          <w:rFonts w:ascii="Times New Roman" w:eastAsia="Times New Roman" w:hAnsi="Times New Roman" w:cs="Times New Roman"/>
          <w:szCs w:val="24"/>
        </w:rPr>
        <w:t>ú</w:t>
      </w:r>
      <w:r w:rsidR="00870AC2" w:rsidRPr="00E1125C">
        <w:rPr>
          <w:rFonts w:ascii="Times New Roman" w:eastAsia="Times New Roman" w:hAnsi="Times New Roman" w:cs="Times New Roman"/>
          <w:szCs w:val="24"/>
        </w:rPr>
        <w:t>ltiples</w:t>
      </w:r>
      <w:r w:rsidR="00FF5D87" w:rsidRPr="00E1125C">
        <w:rPr>
          <w:rFonts w:ascii="Times New Roman" w:eastAsia="Times New Roman" w:hAnsi="Times New Roman" w:cs="Times New Roman"/>
          <w:szCs w:val="24"/>
        </w:rPr>
        <w:t xml:space="preserve"> </w:t>
      </w:r>
      <w:r w:rsidR="00F171CE" w:rsidRPr="00E1125C">
        <w:rPr>
          <w:rFonts w:ascii="Times New Roman" w:eastAsia="Times New Roman" w:hAnsi="Times New Roman" w:cs="Times New Roman"/>
          <w:szCs w:val="24"/>
        </w:rPr>
        <w:t>instrumentos</w:t>
      </w:r>
      <w:r w:rsidR="00870AC2" w:rsidRPr="00E1125C">
        <w:rPr>
          <w:rFonts w:ascii="Times New Roman" w:eastAsia="Times New Roman" w:hAnsi="Times New Roman" w:cs="Times New Roman"/>
          <w:szCs w:val="24"/>
        </w:rPr>
        <w:t xml:space="preserve"> (acuerdos comerciales</w:t>
      </w:r>
      <w:r w:rsidR="005C6F0A" w:rsidRPr="00E1125C">
        <w:rPr>
          <w:rFonts w:ascii="Times New Roman" w:eastAsia="Times New Roman" w:hAnsi="Times New Roman" w:cs="Times New Roman"/>
          <w:szCs w:val="24"/>
        </w:rPr>
        <w:t xml:space="preserve">, políticas </w:t>
      </w:r>
      <w:r w:rsidR="007E500D" w:rsidRPr="00E1125C">
        <w:rPr>
          <w:rFonts w:ascii="Times New Roman" w:eastAsia="Times New Roman" w:hAnsi="Times New Roman" w:cs="Times New Roman"/>
          <w:szCs w:val="24"/>
        </w:rPr>
        <w:t>monetarias</w:t>
      </w:r>
      <w:r w:rsidR="005C6F0A" w:rsidRPr="00E1125C">
        <w:rPr>
          <w:rFonts w:ascii="Times New Roman" w:eastAsia="Times New Roman" w:hAnsi="Times New Roman" w:cs="Times New Roman"/>
          <w:szCs w:val="24"/>
        </w:rPr>
        <w:t xml:space="preserve"> de los organismos </w:t>
      </w:r>
      <w:r w:rsidR="00920EBF" w:rsidRPr="00E1125C">
        <w:rPr>
          <w:rFonts w:ascii="Times New Roman" w:eastAsia="Times New Roman" w:hAnsi="Times New Roman" w:cs="Times New Roman"/>
          <w:szCs w:val="24"/>
        </w:rPr>
        <w:t xml:space="preserve">financieros internacionales, </w:t>
      </w:r>
      <w:r w:rsidR="00F171CE" w:rsidRPr="00E1125C">
        <w:rPr>
          <w:rFonts w:ascii="Times New Roman" w:eastAsia="Times New Roman" w:hAnsi="Times New Roman" w:cs="Times New Roman"/>
          <w:szCs w:val="24"/>
        </w:rPr>
        <w:t>financiamiento para el desarrollo</w:t>
      </w:r>
      <w:r w:rsidR="004E1F7A" w:rsidRPr="00E1125C">
        <w:rPr>
          <w:rFonts w:ascii="Times New Roman" w:eastAsia="Times New Roman" w:hAnsi="Times New Roman" w:cs="Times New Roman"/>
          <w:szCs w:val="24"/>
        </w:rPr>
        <w:t xml:space="preserve"> y condiciones para el acceso a créditos internacionales, entre otros)</w:t>
      </w:r>
      <w:r w:rsidR="00434536" w:rsidRPr="00E1125C">
        <w:rPr>
          <w:rFonts w:ascii="Times New Roman" w:eastAsia="Times New Roman" w:hAnsi="Times New Roman" w:cs="Times New Roman"/>
          <w:szCs w:val="24"/>
        </w:rPr>
        <w:t xml:space="preserve">, de condiciones </w:t>
      </w:r>
      <w:r w:rsidR="00CA0B0F" w:rsidRPr="00E1125C">
        <w:rPr>
          <w:rFonts w:ascii="Times New Roman" w:eastAsia="Times New Roman" w:hAnsi="Times New Roman" w:cs="Times New Roman"/>
          <w:szCs w:val="24"/>
        </w:rPr>
        <w:t xml:space="preserve">favorables para la inversión de las empresas transnacionales </w:t>
      </w:r>
      <w:r w:rsidR="009C61D0" w:rsidRPr="00E1125C">
        <w:rPr>
          <w:rFonts w:ascii="Times New Roman" w:eastAsia="Times New Roman" w:hAnsi="Times New Roman" w:cs="Times New Roman"/>
          <w:szCs w:val="24"/>
        </w:rPr>
        <w:t xml:space="preserve">en </w:t>
      </w:r>
      <w:r w:rsidR="00C05477" w:rsidRPr="00E1125C">
        <w:rPr>
          <w:rFonts w:ascii="Times New Roman" w:eastAsia="Times New Roman" w:hAnsi="Times New Roman" w:cs="Times New Roman"/>
          <w:szCs w:val="24"/>
        </w:rPr>
        <w:t>el</w:t>
      </w:r>
      <w:r w:rsidR="00F15E4A" w:rsidRPr="00E1125C">
        <w:rPr>
          <w:rFonts w:ascii="Times New Roman" w:eastAsia="Times New Roman" w:hAnsi="Times New Roman" w:cs="Times New Roman"/>
          <w:szCs w:val="24"/>
        </w:rPr>
        <w:t xml:space="preserve"> resto del mundo, para su funcionamiento,</w:t>
      </w:r>
      <w:r w:rsidR="000256BA" w:rsidRPr="00E1125C">
        <w:rPr>
          <w:rFonts w:ascii="Times New Roman" w:eastAsia="Times New Roman" w:hAnsi="Times New Roman" w:cs="Times New Roman"/>
          <w:szCs w:val="24"/>
        </w:rPr>
        <w:t xml:space="preserve"> y</w:t>
      </w:r>
      <w:r w:rsidR="003E23F9" w:rsidRPr="00E1125C">
        <w:rPr>
          <w:rFonts w:ascii="Times New Roman" w:eastAsia="Times New Roman" w:hAnsi="Times New Roman" w:cs="Times New Roman"/>
          <w:szCs w:val="24"/>
        </w:rPr>
        <w:t xml:space="preserve"> su debida</w:t>
      </w:r>
      <w:r w:rsidR="000256BA" w:rsidRPr="00E1125C">
        <w:rPr>
          <w:rFonts w:ascii="Times New Roman" w:eastAsia="Times New Roman" w:hAnsi="Times New Roman" w:cs="Times New Roman"/>
          <w:szCs w:val="24"/>
        </w:rPr>
        <w:t xml:space="preserve"> </w:t>
      </w:r>
      <w:r w:rsidR="003E23F9" w:rsidRPr="00E1125C">
        <w:rPr>
          <w:rFonts w:ascii="Times New Roman" w:eastAsia="Times New Roman" w:hAnsi="Times New Roman" w:cs="Times New Roman"/>
          <w:szCs w:val="24"/>
        </w:rPr>
        <w:t xml:space="preserve">y segura </w:t>
      </w:r>
      <w:r w:rsidR="000256BA" w:rsidRPr="00E1125C">
        <w:rPr>
          <w:rFonts w:ascii="Times New Roman" w:eastAsia="Times New Roman" w:hAnsi="Times New Roman" w:cs="Times New Roman"/>
          <w:szCs w:val="24"/>
        </w:rPr>
        <w:t>apropiación</w:t>
      </w:r>
      <w:r w:rsidR="009D22D5" w:rsidRPr="00E1125C">
        <w:rPr>
          <w:rFonts w:ascii="Times New Roman" w:eastAsia="Times New Roman" w:hAnsi="Times New Roman" w:cs="Times New Roman"/>
          <w:szCs w:val="24"/>
        </w:rPr>
        <w:t xml:space="preserve"> internacionalizad</w:t>
      </w:r>
      <w:r w:rsidR="003E23F9" w:rsidRPr="00E1125C">
        <w:rPr>
          <w:rFonts w:ascii="Times New Roman" w:eastAsia="Times New Roman" w:hAnsi="Times New Roman" w:cs="Times New Roman"/>
          <w:szCs w:val="24"/>
        </w:rPr>
        <w:t>a</w:t>
      </w:r>
      <w:r w:rsidR="000256BA" w:rsidRPr="00E1125C">
        <w:rPr>
          <w:rFonts w:ascii="Times New Roman" w:eastAsia="Times New Roman" w:hAnsi="Times New Roman" w:cs="Times New Roman"/>
          <w:szCs w:val="24"/>
        </w:rPr>
        <w:t xml:space="preserve"> de </w:t>
      </w:r>
      <w:r w:rsidR="00231450" w:rsidRPr="00E1125C">
        <w:rPr>
          <w:rFonts w:ascii="Times New Roman" w:eastAsia="Times New Roman" w:hAnsi="Times New Roman" w:cs="Times New Roman"/>
          <w:szCs w:val="24"/>
        </w:rPr>
        <w:t>los excedentes</w:t>
      </w:r>
      <w:r w:rsidR="009D22D5" w:rsidRPr="00E1125C">
        <w:rPr>
          <w:rFonts w:ascii="Times New Roman" w:eastAsia="Times New Roman" w:hAnsi="Times New Roman" w:cs="Times New Roman"/>
          <w:szCs w:val="24"/>
        </w:rPr>
        <w:t>.</w:t>
      </w:r>
    </w:p>
    <w:p w14:paraId="36FD207F" w14:textId="77777777" w:rsidR="002F7EF6" w:rsidRPr="00E1125C" w:rsidRDefault="002F7EF6" w:rsidP="00964FE2">
      <w:pPr>
        <w:ind w:firstLine="708"/>
        <w:rPr>
          <w:rFonts w:ascii="Times New Roman" w:eastAsia="Times New Roman" w:hAnsi="Times New Roman" w:cs="Times New Roman"/>
          <w:szCs w:val="24"/>
        </w:rPr>
      </w:pPr>
      <w:r w:rsidRPr="00E1125C">
        <w:rPr>
          <w:rFonts w:ascii="Times New Roman" w:eastAsia="Times New Roman" w:hAnsi="Times New Roman" w:cs="Times New Roman"/>
          <w:szCs w:val="24"/>
        </w:rPr>
        <w:t>Con estas conclusiones entre manos, la extensión por una década de la crisis del 2008 se explica por las consecuencias generales originadas en la acumulación de capital desregulada, en el sentido amplio de regulación que se explicó en el artículo del 2008, y la conformación de estructuras de producción y distribución del producto social desequilibradas con relación a las necesidades reales de las sociedades.  No obstante que, en ese momento, aún parecían existir oportunidades sistémicas para reorientar por un camino distinto el desarrollo económico.</w:t>
      </w:r>
    </w:p>
    <w:p w14:paraId="27D46834" w14:textId="77777777" w:rsidR="002F7EF6" w:rsidRPr="00E1125C" w:rsidRDefault="002F7EF6" w:rsidP="00E75572">
      <w:pPr>
        <w:pStyle w:val="Ttulo2"/>
        <w:rPr>
          <w:rFonts w:eastAsia="Times New Roman"/>
        </w:rPr>
      </w:pPr>
      <w:r w:rsidRPr="00E1125C">
        <w:rPr>
          <w:rFonts w:eastAsia="Times New Roman"/>
        </w:rPr>
        <w:t>2.- Las discusiones siguientes</w:t>
      </w:r>
    </w:p>
    <w:p w14:paraId="3C3B4004" w14:textId="77777777" w:rsidR="000601DE" w:rsidRPr="00E1125C" w:rsidRDefault="002F7EF6" w:rsidP="0007377E">
      <w:pPr>
        <w:ind w:firstLine="708"/>
        <w:rPr>
          <w:rFonts w:eastAsia="Times New Roman"/>
        </w:rPr>
      </w:pPr>
      <w:r w:rsidRPr="00E1125C">
        <w:rPr>
          <w:rFonts w:eastAsia="Times New Roman"/>
        </w:rPr>
        <w:t>La decisión de la Sala IV</w:t>
      </w:r>
      <w:r w:rsidR="00501615" w:rsidRPr="00E1125C">
        <w:rPr>
          <w:rFonts w:eastAsia="Times New Roman"/>
        </w:rPr>
        <w:t xml:space="preserve"> (sala constitucional de Costa Rica)</w:t>
      </w:r>
      <w:r w:rsidRPr="00E1125C">
        <w:rPr>
          <w:rFonts w:eastAsia="Times New Roman"/>
        </w:rPr>
        <w:t xml:space="preserve"> en 2019, de declarar constitucional la Ley de </w:t>
      </w:r>
      <w:r w:rsidR="00BF542E" w:rsidRPr="00E1125C">
        <w:rPr>
          <w:rFonts w:eastAsia="Times New Roman"/>
        </w:rPr>
        <w:t xml:space="preserve">Fortalecimiento de las Finanzas Públicas (Ley #9635) </w:t>
      </w:r>
      <w:r w:rsidRPr="00E1125C">
        <w:rPr>
          <w:rFonts w:eastAsia="Times New Roman"/>
        </w:rPr>
        <w:t xml:space="preserve">basando su razonamiento en los peligros que asechaban la supervivencia de nuestra sociedad si no se tomaban </w:t>
      </w:r>
      <w:r w:rsidR="008713B4" w:rsidRPr="00E1125C">
        <w:rPr>
          <w:rFonts w:eastAsia="Times New Roman"/>
        </w:rPr>
        <w:t xml:space="preserve">las </w:t>
      </w:r>
      <w:r w:rsidRPr="00E1125C">
        <w:rPr>
          <w:rFonts w:eastAsia="Times New Roman"/>
        </w:rPr>
        <w:t>medidas de política económica que se plantearon en esa ley, fue un impulso adicional para continuar la crítica antes iniciada; ahora con una mirada más política al adverti</w:t>
      </w:r>
      <w:r w:rsidR="005C10A5" w:rsidRPr="00E1125C">
        <w:rPr>
          <w:rFonts w:eastAsia="Times New Roman"/>
        </w:rPr>
        <w:t xml:space="preserve">r la repercusión </w:t>
      </w:r>
      <w:r w:rsidRPr="00E1125C">
        <w:rPr>
          <w:rFonts w:eastAsia="Times New Roman"/>
        </w:rPr>
        <w:t>hegem</w:t>
      </w:r>
      <w:r w:rsidR="005C10A5" w:rsidRPr="00E1125C">
        <w:rPr>
          <w:rFonts w:eastAsia="Times New Roman"/>
        </w:rPr>
        <w:t>ónic</w:t>
      </w:r>
      <w:r w:rsidR="0007377E" w:rsidRPr="00E1125C">
        <w:rPr>
          <w:rFonts w:eastAsia="Times New Roman"/>
        </w:rPr>
        <w:t>a</w:t>
      </w:r>
      <w:r w:rsidRPr="00E1125C">
        <w:rPr>
          <w:rFonts w:eastAsia="Times New Roman"/>
        </w:rPr>
        <w:t xml:space="preserve"> del paradigma económico en otras dimensiones de la vida social.</w:t>
      </w:r>
    </w:p>
    <w:p w14:paraId="1AAE51FC" w14:textId="6896E6BA" w:rsidR="002F7EF6" w:rsidRPr="00E1125C" w:rsidRDefault="00B13198" w:rsidP="0007377E">
      <w:pPr>
        <w:ind w:firstLine="708"/>
        <w:rPr>
          <w:rFonts w:eastAsia="Times New Roman"/>
        </w:rPr>
      </w:pPr>
      <w:r w:rsidRPr="00E1125C">
        <w:rPr>
          <w:rFonts w:eastAsia="Times New Roman"/>
        </w:rPr>
        <w:t xml:space="preserve">El señalamiento que se hizo en esa ocasión fue la limitación ideológica de los magistrados que </w:t>
      </w:r>
      <w:r w:rsidR="008713B4" w:rsidRPr="00E1125C">
        <w:rPr>
          <w:rFonts w:eastAsia="Times New Roman"/>
        </w:rPr>
        <w:t>antepusieron</w:t>
      </w:r>
      <w:r w:rsidR="000601DE" w:rsidRPr="00E1125C">
        <w:rPr>
          <w:rFonts w:eastAsia="Times New Roman"/>
        </w:rPr>
        <w:t>,</w:t>
      </w:r>
      <w:r w:rsidR="008713B4" w:rsidRPr="00E1125C">
        <w:rPr>
          <w:rFonts w:eastAsia="Times New Roman"/>
        </w:rPr>
        <w:t xml:space="preserve"> a los vicios de </w:t>
      </w:r>
      <w:r w:rsidR="00E134B9" w:rsidRPr="00E1125C">
        <w:rPr>
          <w:rFonts w:eastAsia="Times New Roman"/>
        </w:rPr>
        <w:t>in</w:t>
      </w:r>
      <w:r w:rsidR="008713B4" w:rsidRPr="00E1125C">
        <w:rPr>
          <w:rFonts w:eastAsia="Times New Roman"/>
        </w:rPr>
        <w:t>constitucionalidad</w:t>
      </w:r>
      <w:r w:rsidR="00FF0E32" w:rsidRPr="00E1125C">
        <w:rPr>
          <w:rFonts w:eastAsia="Times New Roman"/>
        </w:rPr>
        <w:t xml:space="preserve"> en ella</w:t>
      </w:r>
      <w:r w:rsidR="008713B4" w:rsidRPr="00E1125C">
        <w:rPr>
          <w:rFonts w:eastAsia="Times New Roman"/>
        </w:rPr>
        <w:t xml:space="preserve"> reiteradamente señalados por reconocidos jurisconsultos (Antillón, 2019), </w:t>
      </w:r>
      <w:r w:rsidR="00D35B7B" w:rsidRPr="00E1125C">
        <w:rPr>
          <w:rFonts w:eastAsia="Times New Roman"/>
        </w:rPr>
        <w:t xml:space="preserve">el señuelo reclamado </w:t>
      </w:r>
      <w:r w:rsidR="00C220DD" w:rsidRPr="00E1125C">
        <w:rPr>
          <w:rFonts w:eastAsia="Times New Roman"/>
        </w:rPr>
        <w:t>en</w:t>
      </w:r>
      <w:r w:rsidR="00D35B7B" w:rsidRPr="00E1125C">
        <w:rPr>
          <w:rFonts w:eastAsia="Times New Roman"/>
        </w:rPr>
        <w:t xml:space="preserve"> la exposición de motivos de la ley, de ser el mejor medio de resolver la crisis fiscal que afrontaba el gobierno, y la única </w:t>
      </w:r>
      <w:r w:rsidR="00C220DD" w:rsidRPr="00E1125C">
        <w:rPr>
          <w:rFonts w:eastAsia="Times New Roman"/>
        </w:rPr>
        <w:t>fórmula</w:t>
      </w:r>
      <w:r w:rsidR="00D35B7B" w:rsidRPr="00E1125C">
        <w:rPr>
          <w:rFonts w:eastAsia="Times New Roman"/>
        </w:rPr>
        <w:t xml:space="preserve"> </w:t>
      </w:r>
      <w:r w:rsidR="00E134B9" w:rsidRPr="00E1125C">
        <w:rPr>
          <w:rFonts w:eastAsia="Times New Roman"/>
        </w:rPr>
        <w:t>para</w:t>
      </w:r>
      <w:r w:rsidR="00D35B7B" w:rsidRPr="00E1125C">
        <w:rPr>
          <w:rFonts w:eastAsia="Times New Roman"/>
        </w:rPr>
        <w:t xml:space="preserve"> salvar la economía nacional de </w:t>
      </w:r>
      <w:r w:rsidR="00C220DD" w:rsidRPr="00E1125C">
        <w:rPr>
          <w:rFonts w:eastAsia="Times New Roman"/>
        </w:rPr>
        <w:t>una inminente recesión y colapso económico</w:t>
      </w:r>
      <w:r w:rsidR="00E87237" w:rsidRPr="00E1125C">
        <w:rPr>
          <w:rFonts w:eastAsia="Times New Roman"/>
        </w:rPr>
        <w:t>;</w:t>
      </w:r>
      <w:r w:rsidR="00D35B7B" w:rsidRPr="00E1125C">
        <w:rPr>
          <w:rFonts w:eastAsia="Times New Roman"/>
        </w:rPr>
        <w:t xml:space="preserve"> </w:t>
      </w:r>
      <w:r w:rsidRPr="00E1125C">
        <w:rPr>
          <w:rFonts w:eastAsia="Times New Roman"/>
        </w:rPr>
        <w:t xml:space="preserve">sin pedir consulta con otros expertos que </w:t>
      </w:r>
      <w:r w:rsidR="000601DE" w:rsidRPr="00E1125C">
        <w:rPr>
          <w:rFonts w:eastAsia="Times New Roman"/>
        </w:rPr>
        <w:t xml:space="preserve">habían hecho diagnósticos distintos de la realidad fiscal y económica </w:t>
      </w:r>
      <w:r w:rsidR="000601DE" w:rsidRPr="00E1125C">
        <w:rPr>
          <w:rFonts w:eastAsia="Times New Roman"/>
        </w:rPr>
        <w:lastRenderedPageBreak/>
        <w:t xml:space="preserve">del país y </w:t>
      </w:r>
      <w:r w:rsidRPr="00E1125C">
        <w:rPr>
          <w:rFonts w:eastAsia="Times New Roman"/>
        </w:rPr>
        <w:t xml:space="preserve">proponían opciones alternas de </w:t>
      </w:r>
      <w:r w:rsidR="000601DE" w:rsidRPr="00E1125C">
        <w:rPr>
          <w:rFonts w:eastAsia="Times New Roman"/>
        </w:rPr>
        <w:t xml:space="preserve">política y soluciones distintas a las originadas en el marco del paradigma económico dominante. </w:t>
      </w:r>
    </w:p>
    <w:p w14:paraId="0D614FBC" w14:textId="60AF70B4" w:rsidR="002F7EF6" w:rsidRPr="00E1125C" w:rsidRDefault="002F7EF6" w:rsidP="009A2F2A">
      <w:pPr>
        <w:ind w:firstLine="708"/>
        <w:rPr>
          <w:rFonts w:eastAsia="Times New Roman"/>
        </w:rPr>
      </w:pPr>
      <w:r w:rsidRPr="00E1125C">
        <w:rPr>
          <w:rFonts w:eastAsia="Times New Roman"/>
        </w:rPr>
        <w:t xml:space="preserve">Así, se empezó a plantear esta crítica con el análisis de la reciente historia del pensamiento económico señalando “la complicación” de sus modelos </w:t>
      </w:r>
      <w:r w:rsidR="00F266A0" w:rsidRPr="00E1125C">
        <w:rPr>
          <w:rFonts w:eastAsia="Times New Roman"/>
        </w:rPr>
        <w:t>y pers</w:t>
      </w:r>
      <w:r w:rsidR="007B3F3C" w:rsidRPr="00E1125C">
        <w:rPr>
          <w:rFonts w:eastAsia="Times New Roman"/>
        </w:rPr>
        <w:t>p</w:t>
      </w:r>
      <w:r w:rsidR="00F266A0" w:rsidRPr="00E1125C">
        <w:rPr>
          <w:rFonts w:eastAsia="Times New Roman"/>
        </w:rPr>
        <w:t>ectivas teóricas</w:t>
      </w:r>
      <w:r w:rsidR="007B3F3C" w:rsidRPr="00E1125C">
        <w:rPr>
          <w:rFonts w:eastAsia="Times New Roman"/>
        </w:rPr>
        <w:t>,</w:t>
      </w:r>
      <w:r w:rsidR="00F266A0" w:rsidRPr="00E1125C">
        <w:rPr>
          <w:rFonts w:eastAsia="Times New Roman"/>
        </w:rPr>
        <w:t xml:space="preserve"> </w:t>
      </w:r>
      <w:r w:rsidRPr="00E1125C">
        <w:rPr>
          <w:rFonts w:eastAsia="Times New Roman"/>
        </w:rPr>
        <w:t xml:space="preserve">para poder explicar las contradicciones que presentan con los fenómenos económicos contemporáneos.  Con ese trabajo quedó clara la naturaleza paradigmática (a lo </w:t>
      </w:r>
      <w:proofErr w:type="spellStart"/>
      <w:r w:rsidRPr="00E1125C">
        <w:rPr>
          <w:rFonts w:eastAsia="Times New Roman"/>
        </w:rPr>
        <w:t>Khun</w:t>
      </w:r>
      <w:proofErr w:type="spellEnd"/>
      <w:r w:rsidRPr="00E1125C">
        <w:rPr>
          <w:rFonts w:eastAsia="Times New Roman"/>
        </w:rPr>
        <w:t>) del modelo económico dominante (la construcción y defensa de éste por investigadores influidos por grupos de presión y de poder), sus limitaciones explicativas y los efectos adversos que tienen sus políticas sobre otras dimensiones sociales, tales como la naturaleza del empleo, la cohesión social, la distribución del ingreso nacional, la movilidad social, entre otras.</w:t>
      </w:r>
      <w:r w:rsidR="00623E48" w:rsidRPr="00E1125C">
        <w:rPr>
          <w:rStyle w:val="Refdenotaalpie"/>
          <w:rFonts w:eastAsia="Times New Roman"/>
        </w:rPr>
        <w:footnoteReference w:id="5"/>
      </w:r>
      <w:r w:rsidR="00623E48" w:rsidRPr="00E1125C">
        <w:rPr>
          <w:rFonts w:eastAsia="Times New Roman"/>
        </w:rPr>
        <w:t xml:space="preserve"> </w:t>
      </w:r>
    </w:p>
    <w:p w14:paraId="550DF9A2" w14:textId="674167D5" w:rsidR="002F7EF6" w:rsidRPr="00E1125C" w:rsidRDefault="002F7EF6" w:rsidP="006C602D">
      <w:pPr>
        <w:ind w:firstLine="708"/>
        <w:rPr>
          <w:rFonts w:eastAsia="Times New Roman"/>
        </w:rPr>
      </w:pPr>
      <w:r w:rsidRPr="00E1125C">
        <w:rPr>
          <w:rFonts w:eastAsia="Times New Roman"/>
        </w:rPr>
        <w:t>En e</w:t>
      </w:r>
      <w:r w:rsidR="001C5AC0" w:rsidRPr="00E1125C">
        <w:rPr>
          <w:rFonts w:eastAsia="Times New Roman"/>
        </w:rPr>
        <w:t>l</w:t>
      </w:r>
      <w:r w:rsidRPr="00E1125C">
        <w:rPr>
          <w:rFonts w:eastAsia="Times New Roman"/>
        </w:rPr>
        <w:t xml:space="preserve"> artículo del 2019 se pasó a estudiar con mayor cuidado los principales elementos del proceso de acumulación de capital y cómo conducen, con la obstinación que crea en el dueño del capital la incertidumbre sobre sus </w:t>
      </w:r>
      <w:r w:rsidR="00FE7D79" w:rsidRPr="00E1125C">
        <w:rPr>
          <w:rFonts w:eastAsia="Times New Roman"/>
        </w:rPr>
        <w:t xml:space="preserve">ingresos </w:t>
      </w:r>
      <w:r w:rsidRPr="00E1125C">
        <w:rPr>
          <w:rFonts w:eastAsia="Times New Roman"/>
        </w:rPr>
        <w:t>privilegi</w:t>
      </w:r>
      <w:r w:rsidR="00FE7D79" w:rsidRPr="00E1125C">
        <w:rPr>
          <w:rFonts w:eastAsia="Times New Roman"/>
        </w:rPr>
        <w:t>ados</w:t>
      </w:r>
      <w:r w:rsidRPr="00E1125C">
        <w:rPr>
          <w:rFonts w:eastAsia="Times New Roman"/>
        </w:rPr>
        <w:t xml:space="preserve">, hacia particulares formas de dominio de la competencia en los mercados; observando cómo, en el marco de la apropiación privada del excedente, esta acumulación se </w:t>
      </w:r>
      <w:r w:rsidR="006C602D" w:rsidRPr="00E1125C">
        <w:rPr>
          <w:rFonts w:eastAsia="Times New Roman"/>
        </w:rPr>
        <w:t>presenta como la racionalidad organizativa</w:t>
      </w:r>
      <w:r w:rsidR="00CB77C9" w:rsidRPr="00E1125C">
        <w:rPr>
          <w:rFonts w:eastAsia="Times New Roman"/>
        </w:rPr>
        <w:t xml:space="preserve"> de </w:t>
      </w:r>
      <w:r w:rsidR="00AC3B91" w:rsidRPr="00E1125C">
        <w:rPr>
          <w:rFonts w:eastAsia="Times New Roman"/>
        </w:rPr>
        <w:t>la empresa</w:t>
      </w:r>
      <w:r w:rsidR="006C602D" w:rsidRPr="00E1125C">
        <w:rPr>
          <w:rFonts w:eastAsia="Times New Roman"/>
        </w:rPr>
        <w:t xml:space="preserve"> y </w:t>
      </w:r>
      <w:r w:rsidR="0075368E" w:rsidRPr="00E1125C">
        <w:rPr>
          <w:rFonts w:eastAsia="Times New Roman"/>
        </w:rPr>
        <w:t xml:space="preserve">se </w:t>
      </w:r>
      <w:r w:rsidRPr="00E1125C">
        <w:rPr>
          <w:rFonts w:eastAsia="Times New Roman"/>
        </w:rPr>
        <w:t>expresa en el imperativo de maximizar la tasa de ganancia</w:t>
      </w:r>
      <w:r w:rsidR="00BC4984" w:rsidRPr="00E1125C">
        <w:rPr>
          <w:rFonts w:eastAsia="Times New Roman"/>
        </w:rPr>
        <w:t xml:space="preserve"> (Reuben 2019</w:t>
      </w:r>
      <w:r w:rsidR="00C613E2" w:rsidRPr="00E1125C">
        <w:rPr>
          <w:rFonts w:eastAsia="Times New Roman"/>
        </w:rPr>
        <w:t>b</w:t>
      </w:r>
      <w:r w:rsidR="00BC4984" w:rsidRPr="00E1125C">
        <w:rPr>
          <w:rFonts w:eastAsia="Times New Roman"/>
        </w:rPr>
        <w:t>, pp. 62-6</w:t>
      </w:r>
      <w:r w:rsidR="00664D48" w:rsidRPr="00E1125C">
        <w:rPr>
          <w:rFonts w:eastAsia="Times New Roman"/>
        </w:rPr>
        <w:t>5</w:t>
      </w:r>
      <w:r w:rsidR="00BC4984" w:rsidRPr="00E1125C">
        <w:rPr>
          <w:rFonts w:eastAsia="Times New Roman"/>
        </w:rPr>
        <w:t>)</w:t>
      </w:r>
      <w:r w:rsidRPr="00E1125C">
        <w:rPr>
          <w:rFonts w:eastAsia="Times New Roman"/>
        </w:rPr>
        <w:t>.  La razón que orienta el comportamiento económico debe seguir la lógica de dominar la competencia eliminado a sus competidores</w:t>
      </w:r>
      <w:r w:rsidR="00005628" w:rsidRPr="00E1125C">
        <w:rPr>
          <w:rFonts w:eastAsia="Times New Roman"/>
        </w:rPr>
        <w:t>,</w:t>
      </w:r>
      <w:r w:rsidRPr="00E1125C">
        <w:rPr>
          <w:rFonts w:eastAsia="Times New Roman"/>
        </w:rPr>
        <w:t xml:space="preserve"> </w:t>
      </w:r>
      <w:r w:rsidR="00FF0E32" w:rsidRPr="00E1125C">
        <w:rPr>
          <w:rFonts w:eastAsia="Times New Roman"/>
        </w:rPr>
        <w:t>engendrando</w:t>
      </w:r>
      <w:r w:rsidRPr="00E1125C">
        <w:rPr>
          <w:rFonts w:eastAsia="Times New Roman"/>
        </w:rPr>
        <w:t xml:space="preserve"> una tendencia ineludible hacia la concentración del capital (y la riqueza) en pocas manos.</w:t>
      </w:r>
    </w:p>
    <w:p w14:paraId="142EA488" w14:textId="62B205A0" w:rsidR="002F7EF6" w:rsidRPr="00E1125C" w:rsidRDefault="002F7EF6" w:rsidP="00664D48">
      <w:pPr>
        <w:ind w:firstLine="708"/>
        <w:rPr>
          <w:rFonts w:eastAsia="Times New Roman"/>
        </w:rPr>
      </w:pPr>
      <w:r w:rsidRPr="00E1125C">
        <w:rPr>
          <w:rFonts w:eastAsia="Times New Roman"/>
        </w:rPr>
        <w:t xml:space="preserve">Se formula así la hipótesis de la constitución de “excedentes redundantes” (sobre las “necesidades </w:t>
      </w:r>
      <w:r w:rsidR="009615A7" w:rsidRPr="00E1125C">
        <w:rPr>
          <w:rFonts w:eastAsia="Times New Roman"/>
        </w:rPr>
        <w:t>reales</w:t>
      </w:r>
      <w:r w:rsidRPr="00E1125C">
        <w:rPr>
          <w:rFonts w:eastAsia="Times New Roman"/>
        </w:rPr>
        <w:t xml:space="preserve"> de riqueza</w:t>
      </w:r>
      <w:r w:rsidR="00D42831" w:rsidRPr="00E1125C">
        <w:rPr>
          <w:rFonts w:eastAsia="Times New Roman"/>
        </w:rPr>
        <w:t>”</w:t>
      </w:r>
      <w:r w:rsidRPr="00E1125C">
        <w:rPr>
          <w:rFonts w:eastAsia="Times New Roman"/>
        </w:rPr>
        <w:t>) que crean las empresas dominantes para ejercer dominio de mercado y de ese modo someter (en el artículo “</w:t>
      </w:r>
      <w:proofErr w:type="spellStart"/>
      <w:r w:rsidRPr="00E1125C">
        <w:rPr>
          <w:rFonts w:eastAsia="Times New Roman"/>
        </w:rPr>
        <w:t>endogenizar</w:t>
      </w:r>
      <w:proofErr w:type="spellEnd"/>
      <w:r w:rsidRPr="00E1125C">
        <w:rPr>
          <w:rFonts w:eastAsia="Times New Roman"/>
        </w:rPr>
        <w:t>”) la competencia, generando estructuralmente un equilibrio espurio entre las remuneraciones a los factores de la producción y los aportes reales de éstos al valor agregado</w:t>
      </w:r>
      <w:r w:rsidR="00554BEF" w:rsidRPr="00E1125C">
        <w:rPr>
          <w:rFonts w:eastAsia="Times New Roman"/>
        </w:rPr>
        <w:t xml:space="preserve"> (</w:t>
      </w:r>
      <w:r w:rsidR="00D36698" w:rsidRPr="00E1125C">
        <w:rPr>
          <w:rFonts w:eastAsia="Times New Roman"/>
        </w:rPr>
        <w:t>Reuben</w:t>
      </w:r>
      <w:r w:rsidR="001C4821" w:rsidRPr="00E1125C">
        <w:rPr>
          <w:rFonts w:eastAsia="Times New Roman"/>
        </w:rPr>
        <w:t xml:space="preserve"> 2019</w:t>
      </w:r>
      <w:r w:rsidR="00C613E2" w:rsidRPr="00E1125C">
        <w:rPr>
          <w:rFonts w:eastAsia="Times New Roman"/>
        </w:rPr>
        <w:t>b</w:t>
      </w:r>
      <w:r w:rsidR="001C4821" w:rsidRPr="00E1125C">
        <w:rPr>
          <w:rFonts w:eastAsia="Times New Roman"/>
        </w:rPr>
        <w:t xml:space="preserve">, </w:t>
      </w:r>
      <w:r w:rsidR="00554BEF" w:rsidRPr="00E1125C">
        <w:rPr>
          <w:rFonts w:eastAsia="Times New Roman"/>
        </w:rPr>
        <w:t>pp.</w:t>
      </w:r>
      <w:r w:rsidR="002F0116" w:rsidRPr="00E1125C">
        <w:rPr>
          <w:rFonts w:eastAsia="Times New Roman"/>
        </w:rPr>
        <w:t xml:space="preserve"> 80-99)</w:t>
      </w:r>
      <w:r w:rsidRPr="00E1125C">
        <w:rPr>
          <w:rFonts w:eastAsia="Times New Roman"/>
        </w:rPr>
        <w:t>.  Y donde el capital, como un factor de producción, inevitablemente se ve privilegiado por la forma en que su valor es asignado en el mercado</w:t>
      </w:r>
      <w:r w:rsidR="00664D48" w:rsidRPr="00E1125C">
        <w:rPr>
          <w:rFonts w:eastAsia="Times New Roman"/>
        </w:rPr>
        <w:t xml:space="preserve"> (Reuben, 2</w:t>
      </w:r>
      <w:r w:rsidR="00BE2685" w:rsidRPr="00E1125C">
        <w:rPr>
          <w:rFonts w:eastAsia="Times New Roman"/>
        </w:rPr>
        <w:t>012, p.97 y Reuben, 2019</w:t>
      </w:r>
      <w:r w:rsidR="00C613E2" w:rsidRPr="00E1125C">
        <w:rPr>
          <w:rFonts w:eastAsia="Times New Roman"/>
        </w:rPr>
        <w:t>b</w:t>
      </w:r>
      <w:r w:rsidR="00BE2685" w:rsidRPr="00E1125C">
        <w:rPr>
          <w:rFonts w:eastAsia="Times New Roman"/>
        </w:rPr>
        <w:t>, p</w:t>
      </w:r>
      <w:r w:rsidR="00554BEF" w:rsidRPr="00E1125C">
        <w:rPr>
          <w:rFonts w:eastAsia="Times New Roman"/>
        </w:rPr>
        <w:t>p</w:t>
      </w:r>
      <w:r w:rsidR="00BE2685" w:rsidRPr="00E1125C">
        <w:rPr>
          <w:rFonts w:eastAsia="Times New Roman"/>
        </w:rPr>
        <w:t>.70</w:t>
      </w:r>
      <w:r w:rsidR="00554BEF" w:rsidRPr="00E1125C">
        <w:rPr>
          <w:rFonts w:eastAsia="Times New Roman"/>
        </w:rPr>
        <w:t>-80</w:t>
      </w:r>
      <w:r w:rsidR="00BE2685" w:rsidRPr="00E1125C">
        <w:rPr>
          <w:rFonts w:eastAsia="Times New Roman"/>
        </w:rPr>
        <w:t xml:space="preserve"> passim)</w:t>
      </w:r>
      <w:r w:rsidRPr="00E1125C">
        <w:rPr>
          <w:rFonts w:eastAsia="Times New Roman"/>
        </w:rPr>
        <w:t>.</w:t>
      </w:r>
    </w:p>
    <w:p w14:paraId="14F9C00F" w14:textId="77777777" w:rsidR="008F2F47" w:rsidRPr="00E1125C" w:rsidRDefault="00697BDE" w:rsidP="00664D48">
      <w:pPr>
        <w:ind w:firstLine="708"/>
        <w:rPr>
          <w:lang w:val="es-CR"/>
        </w:rPr>
      </w:pPr>
      <w:r w:rsidRPr="00E1125C">
        <w:rPr>
          <w:lang w:val="es-CR"/>
        </w:rPr>
        <w:t xml:space="preserve">Debemos </w:t>
      </w:r>
      <w:r w:rsidR="006140CE" w:rsidRPr="00E1125C">
        <w:rPr>
          <w:lang w:val="es-CR"/>
        </w:rPr>
        <w:t>hacer referencia</w:t>
      </w:r>
      <w:r w:rsidRPr="00E1125C">
        <w:rPr>
          <w:lang w:val="es-CR"/>
        </w:rPr>
        <w:t xml:space="preserve"> aquí </w:t>
      </w:r>
      <w:r w:rsidR="006140CE" w:rsidRPr="00E1125C">
        <w:rPr>
          <w:lang w:val="es-CR"/>
        </w:rPr>
        <w:t>a</w:t>
      </w:r>
      <w:r w:rsidR="0010049A" w:rsidRPr="00E1125C">
        <w:rPr>
          <w:lang w:val="es-CR"/>
        </w:rPr>
        <w:t xml:space="preserve"> un</w:t>
      </w:r>
      <w:r w:rsidR="006140CE" w:rsidRPr="00E1125C">
        <w:rPr>
          <w:lang w:val="es-CR"/>
        </w:rPr>
        <w:t xml:space="preserve"> estudio</w:t>
      </w:r>
      <w:r w:rsidRPr="00E1125C">
        <w:rPr>
          <w:lang w:val="es-CR"/>
        </w:rPr>
        <w:t xml:space="preserve"> metodológicamente cuidado recientemente publicado (Cortés, L., Lozada, J., y Perote, J., 2021) </w:t>
      </w:r>
      <w:r w:rsidR="00156AD7" w:rsidRPr="00E1125C">
        <w:rPr>
          <w:lang w:val="es-CR"/>
        </w:rPr>
        <w:t>en el que se hace</w:t>
      </w:r>
      <w:r w:rsidRPr="00E1125C">
        <w:rPr>
          <w:lang w:val="es-CR"/>
        </w:rPr>
        <w:t xml:space="preserve"> una extensa reseña de la discusión que se ha llevado a cabo desde el estudio seminal de </w:t>
      </w:r>
      <w:proofErr w:type="spellStart"/>
      <w:r w:rsidRPr="00E1125C">
        <w:rPr>
          <w:lang w:val="es-CR"/>
        </w:rPr>
        <w:t>Gibrat</w:t>
      </w:r>
      <w:proofErr w:type="spellEnd"/>
      <w:r w:rsidRPr="00E1125C">
        <w:rPr>
          <w:lang w:val="es-CR"/>
        </w:rPr>
        <w:t>, -que postuló la ley según la cual el crecimiento de las empresas (CE) no está determinado por el tamaño de ellas (TE)- y a la vez reseñan investigaciones empíricas publicadas en las que esa ley no se cumple; entre éstas, en ese mismo artículo, el estudio para el mercado colombiano.</w:t>
      </w:r>
    </w:p>
    <w:p w14:paraId="1AF72456" w14:textId="028BDE5D" w:rsidR="00571046" w:rsidRPr="00E1125C" w:rsidRDefault="00697BDE" w:rsidP="00664D48">
      <w:pPr>
        <w:ind w:firstLine="708"/>
        <w:rPr>
          <w:rFonts w:eastAsia="Times New Roman"/>
        </w:rPr>
      </w:pPr>
      <w:r w:rsidRPr="00E1125C">
        <w:rPr>
          <w:lang w:val="es-CR"/>
        </w:rPr>
        <w:lastRenderedPageBreak/>
        <w:t>En e</w:t>
      </w:r>
      <w:r w:rsidR="00524ED5" w:rsidRPr="00E1125C">
        <w:rPr>
          <w:lang w:val="es-CR"/>
        </w:rPr>
        <w:t>l mencionado</w:t>
      </w:r>
      <w:r w:rsidRPr="00E1125C">
        <w:rPr>
          <w:lang w:val="es-CR"/>
        </w:rPr>
        <w:t xml:space="preserve"> artículo</w:t>
      </w:r>
      <w:r w:rsidR="00B00F2D" w:rsidRPr="00E1125C">
        <w:rPr>
          <w:lang w:val="es-CR"/>
        </w:rPr>
        <w:t>,</w:t>
      </w:r>
      <w:r w:rsidRPr="00E1125C">
        <w:rPr>
          <w:lang w:val="es-CR"/>
        </w:rPr>
        <w:t xml:space="preserve"> los autores y la autora concluyen, contrario a lo postulado por </w:t>
      </w:r>
      <w:proofErr w:type="spellStart"/>
      <w:r w:rsidRPr="00E1125C">
        <w:rPr>
          <w:lang w:val="es-CR"/>
        </w:rPr>
        <w:t>Gibrat</w:t>
      </w:r>
      <w:proofErr w:type="spellEnd"/>
      <w:r w:rsidRPr="00E1125C">
        <w:rPr>
          <w:lang w:val="es-CR"/>
        </w:rPr>
        <w:t xml:space="preserve">, que hay una estrecha relación de determinación positiva entre </w:t>
      </w:r>
      <w:proofErr w:type="spellStart"/>
      <w:r w:rsidRPr="00E1125C">
        <w:rPr>
          <w:lang w:val="es-CR"/>
        </w:rPr>
        <w:t>el</w:t>
      </w:r>
      <w:proofErr w:type="spellEnd"/>
      <w:r w:rsidRPr="00E1125C">
        <w:rPr>
          <w:lang w:val="es-CR"/>
        </w:rPr>
        <w:t xml:space="preserve"> TE y su CE (en este punto hacen referencia a más de veinte estudios coincidentes </w:t>
      </w:r>
      <w:r w:rsidR="001C4821" w:rsidRPr="00E1125C">
        <w:rPr>
          <w:lang w:val="es-CR"/>
        </w:rPr>
        <w:t>o</w:t>
      </w:r>
      <w:r w:rsidRPr="00E1125C">
        <w:rPr>
          <w:lang w:val="es-CR"/>
        </w:rPr>
        <w:t>b. cit. pp.2-3 y p.21-22)</w:t>
      </w:r>
      <w:r w:rsidR="00075512" w:rsidRPr="00E1125C">
        <w:rPr>
          <w:lang w:val="es-CR"/>
        </w:rPr>
        <w:t>,</w:t>
      </w:r>
      <w:r w:rsidRPr="00E1125C">
        <w:rPr>
          <w:lang w:val="es-CR"/>
        </w:rPr>
        <w:t xml:space="preserve"> articulada también</w:t>
      </w:r>
      <w:r w:rsidR="0068472C" w:rsidRPr="00E1125C">
        <w:rPr>
          <w:lang w:val="es-CR"/>
        </w:rPr>
        <w:t xml:space="preserve"> esta relación</w:t>
      </w:r>
      <w:r w:rsidRPr="00E1125C">
        <w:rPr>
          <w:lang w:val="es-CR"/>
        </w:rPr>
        <w:t xml:space="preserve"> a la edad de ellas</w:t>
      </w:r>
      <w:r w:rsidR="00075512" w:rsidRPr="00E1125C">
        <w:rPr>
          <w:lang w:val="es-CR"/>
        </w:rPr>
        <w:t>;</w:t>
      </w:r>
      <w:r w:rsidRPr="00E1125C">
        <w:rPr>
          <w:lang w:val="es-CR"/>
        </w:rPr>
        <w:t xml:space="preserve"> en tanto que las más antiguas se asocian también a mayor tamaño (ob. cit. p.3, 16).  Este estudio empírico y teórico (junto con la literatura especializada que lo fundamenta, robustece a nuestra primera propuesta hipotética</w:t>
      </w:r>
      <w:r w:rsidR="002271C8" w:rsidRPr="00E1125C">
        <w:rPr>
          <w:lang w:val="es-CR"/>
        </w:rPr>
        <w:t>,</w:t>
      </w:r>
      <w:r w:rsidRPr="00E1125C">
        <w:rPr>
          <w:lang w:val="es-CR"/>
        </w:rPr>
        <w:t xml:space="preserve"> de la existencia en la estructura productiva regentada por la acumulación de capital</w:t>
      </w:r>
      <w:r w:rsidR="00D31B76" w:rsidRPr="00E1125C">
        <w:rPr>
          <w:lang w:val="es-CR"/>
        </w:rPr>
        <w:t xml:space="preserve"> hacia la concentración de</w:t>
      </w:r>
      <w:r w:rsidR="00427F81" w:rsidRPr="00E1125C">
        <w:rPr>
          <w:lang w:val="es-CR"/>
        </w:rPr>
        <w:t xml:space="preserve"> éste</w:t>
      </w:r>
      <w:r w:rsidRPr="00E1125C">
        <w:rPr>
          <w:lang w:val="es-CR"/>
        </w:rPr>
        <w:t>,</w:t>
      </w:r>
      <w:r w:rsidR="00427F81" w:rsidRPr="00E1125C">
        <w:rPr>
          <w:lang w:val="es-CR"/>
        </w:rPr>
        <w:t xml:space="preserve"> y</w:t>
      </w:r>
      <w:r w:rsidRPr="00E1125C">
        <w:rPr>
          <w:lang w:val="es-CR"/>
        </w:rPr>
        <w:t xml:space="preserve"> según la segunda hipótesis, de una tendencia en el tiempo hacia la concentración de la producción en sus sectores</w:t>
      </w:r>
      <w:r w:rsidR="000B783D" w:rsidRPr="00E1125C">
        <w:rPr>
          <w:lang w:val="es-CR"/>
        </w:rPr>
        <w:t>.</w:t>
      </w:r>
    </w:p>
    <w:p w14:paraId="5C6A9F5D" w14:textId="2AE4D44C" w:rsidR="002F7EF6" w:rsidRPr="00E1125C" w:rsidRDefault="002F7EF6" w:rsidP="006A2533">
      <w:pPr>
        <w:ind w:firstLine="708"/>
        <w:rPr>
          <w:rFonts w:eastAsia="Times New Roman"/>
        </w:rPr>
      </w:pPr>
      <w:r w:rsidRPr="00E1125C">
        <w:rPr>
          <w:rFonts w:eastAsia="Times New Roman"/>
        </w:rPr>
        <w:t>El sistema de distribución capitalista del producto social</w:t>
      </w:r>
      <w:r w:rsidR="005A1F48" w:rsidRPr="00E1125C">
        <w:rPr>
          <w:rFonts w:eastAsia="Times New Roman"/>
        </w:rPr>
        <w:t xml:space="preserve"> se nos</w:t>
      </w:r>
      <w:r w:rsidRPr="00E1125C">
        <w:rPr>
          <w:rFonts w:eastAsia="Times New Roman"/>
        </w:rPr>
        <w:t xml:space="preserve"> aparece entonces </w:t>
      </w:r>
      <w:r w:rsidR="00C11A20" w:rsidRPr="00E1125C">
        <w:rPr>
          <w:rFonts w:eastAsia="Times New Roman"/>
        </w:rPr>
        <w:t>determinado,</w:t>
      </w:r>
      <w:r w:rsidRPr="00E1125C">
        <w:rPr>
          <w:rFonts w:eastAsia="Times New Roman"/>
        </w:rPr>
        <w:t xml:space="preserve"> entre </w:t>
      </w:r>
      <w:r w:rsidR="00260F0B" w:rsidRPr="00E1125C">
        <w:rPr>
          <w:rFonts w:eastAsia="Times New Roman"/>
        </w:rPr>
        <w:t xml:space="preserve">los </w:t>
      </w:r>
      <w:r w:rsidRPr="00E1125C">
        <w:rPr>
          <w:rFonts w:eastAsia="Times New Roman"/>
        </w:rPr>
        <w:t>otros factores</w:t>
      </w:r>
      <w:r w:rsidR="00E652B9" w:rsidRPr="00E1125C">
        <w:rPr>
          <w:rFonts w:eastAsia="Times New Roman"/>
        </w:rPr>
        <w:t xml:space="preserve"> </w:t>
      </w:r>
      <w:r w:rsidR="0075032B" w:rsidRPr="00E1125C">
        <w:rPr>
          <w:rFonts w:eastAsia="Times New Roman"/>
        </w:rPr>
        <w:t xml:space="preserve">de la </w:t>
      </w:r>
      <w:r w:rsidR="00CD4E4F" w:rsidRPr="00E1125C">
        <w:rPr>
          <w:rFonts w:eastAsia="Times New Roman"/>
        </w:rPr>
        <w:t>ortodo</w:t>
      </w:r>
      <w:r w:rsidR="00033B30" w:rsidRPr="00E1125C">
        <w:rPr>
          <w:rFonts w:eastAsia="Times New Roman"/>
        </w:rPr>
        <w:t xml:space="preserve">xia </w:t>
      </w:r>
      <w:r w:rsidR="00AE08FD" w:rsidRPr="00E1125C">
        <w:rPr>
          <w:rFonts w:eastAsia="Times New Roman"/>
        </w:rPr>
        <w:t>económica</w:t>
      </w:r>
      <w:r w:rsidRPr="00E1125C">
        <w:rPr>
          <w:rFonts w:eastAsia="Times New Roman"/>
        </w:rPr>
        <w:t xml:space="preserve">, por el poder de negociación de la estructura institucional y </w:t>
      </w:r>
      <w:r w:rsidR="00C11A20" w:rsidRPr="00E1125C">
        <w:rPr>
          <w:rFonts w:eastAsia="Times New Roman"/>
        </w:rPr>
        <w:t>por</w:t>
      </w:r>
      <w:r w:rsidRPr="00E1125C">
        <w:rPr>
          <w:rFonts w:eastAsia="Times New Roman"/>
        </w:rPr>
        <w:t xml:space="preserve"> las condiciones de dominio de los mercados.</w:t>
      </w:r>
      <w:r w:rsidR="0075368E" w:rsidRPr="00E1125C">
        <w:rPr>
          <w:rStyle w:val="Refdenotaalpie"/>
          <w:rFonts w:eastAsia="Times New Roman"/>
        </w:rPr>
        <w:footnoteReference w:id="6"/>
      </w:r>
      <w:r w:rsidRPr="00E1125C">
        <w:rPr>
          <w:rFonts w:eastAsia="Times New Roman"/>
        </w:rPr>
        <w:t xml:space="preserve">  </w:t>
      </w:r>
    </w:p>
    <w:p w14:paraId="209F578A" w14:textId="05B8C69A" w:rsidR="006A2533" w:rsidRPr="00E1125C" w:rsidRDefault="006A2533" w:rsidP="006A2533">
      <w:pPr>
        <w:ind w:firstLine="708"/>
        <w:rPr>
          <w:rFonts w:eastAsia="Times New Roman"/>
        </w:rPr>
      </w:pPr>
      <w:r w:rsidRPr="00E1125C">
        <w:rPr>
          <w:rFonts w:eastAsia="Times New Roman"/>
        </w:rPr>
        <w:t>Queda</w:t>
      </w:r>
      <w:r w:rsidR="0067641D" w:rsidRPr="00E1125C">
        <w:rPr>
          <w:rFonts w:eastAsia="Times New Roman"/>
        </w:rPr>
        <w:t>, de esta manera</w:t>
      </w:r>
      <w:r w:rsidR="00440613" w:rsidRPr="00E1125C">
        <w:rPr>
          <w:rFonts w:eastAsia="Times New Roman"/>
        </w:rPr>
        <w:t xml:space="preserve"> </w:t>
      </w:r>
      <w:r w:rsidR="0067641D" w:rsidRPr="00E1125C">
        <w:rPr>
          <w:rFonts w:eastAsia="Times New Roman"/>
        </w:rPr>
        <w:t>claro</w:t>
      </w:r>
      <w:r w:rsidR="00440613" w:rsidRPr="00E1125C">
        <w:rPr>
          <w:rFonts w:eastAsia="Times New Roman"/>
        </w:rPr>
        <w:t>,</w:t>
      </w:r>
      <w:r w:rsidR="0067641D" w:rsidRPr="00E1125C">
        <w:rPr>
          <w:rFonts w:eastAsia="Times New Roman"/>
        </w:rPr>
        <w:t xml:space="preserve"> por</w:t>
      </w:r>
      <w:r w:rsidR="004821CF" w:rsidRPr="00E1125C">
        <w:rPr>
          <w:rFonts w:eastAsia="Times New Roman"/>
        </w:rPr>
        <w:t xml:space="preserve"> </w:t>
      </w:r>
      <w:r w:rsidR="0067641D" w:rsidRPr="00E1125C">
        <w:rPr>
          <w:rFonts w:eastAsia="Times New Roman"/>
        </w:rPr>
        <w:t>qué</w:t>
      </w:r>
      <w:r w:rsidR="00181AA1" w:rsidRPr="00E1125C">
        <w:rPr>
          <w:rFonts w:eastAsia="Times New Roman"/>
        </w:rPr>
        <w:t xml:space="preserve"> </w:t>
      </w:r>
      <w:r w:rsidR="00852FB0" w:rsidRPr="00E1125C">
        <w:rPr>
          <w:rFonts w:eastAsia="Times New Roman"/>
        </w:rPr>
        <w:t>suponemos que</w:t>
      </w:r>
      <w:r w:rsidR="0067641D" w:rsidRPr="00E1125C">
        <w:rPr>
          <w:rFonts w:eastAsia="Times New Roman"/>
        </w:rPr>
        <w:t xml:space="preserve"> </w:t>
      </w:r>
      <w:r w:rsidR="007E21AA" w:rsidRPr="00E1125C">
        <w:rPr>
          <w:rFonts w:eastAsia="Times New Roman"/>
        </w:rPr>
        <w:t>la política económica y monetaria fundada</w:t>
      </w:r>
      <w:r w:rsidR="005F28A0" w:rsidRPr="00E1125C">
        <w:rPr>
          <w:rFonts w:eastAsia="Times New Roman"/>
        </w:rPr>
        <w:t xml:space="preserve"> en </w:t>
      </w:r>
      <w:r w:rsidR="0067641D" w:rsidRPr="00E1125C">
        <w:rPr>
          <w:rFonts w:eastAsia="Times New Roman"/>
        </w:rPr>
        <w:t>e</w:t>
      </w:r>
      <w:r w:rsidR="002C2241" w:rsidRPr="00E1125C">
        <w:rPr>
          <w:rFonts w:eastAsia="Times New Roman"/>
        </w:rPr>
        <w:t>l paradigma económico neoliberal</w:t>
      </w:r>
      <w:r w:rsidR="005F28A0" w:rsidRPr="00E1125C">
        <w:rPr>
          <w:rFonts w:eastAsia="Times New Roman"/>
        </w:rPr>
        <w:t xml:space="preserve"> no logra </w:t>
      </w:r>
      <w:r w:rsidR="00B83829" w:rsidRPr="00E1125C">
        <w:rPr>
          <w:rFonts w:eastAsia="Times New Roman"/>
        </w:rPr>
        <w:t>equilibrios</w:t>
      </w:r>
      <w:r w:rsidR="00227FBF" w:rsidRPr="00E1125C">
        <w:rPr>
          <w:rFonts w:eastAsia="Times New Roman"/>
        </w:rPr>
        <w:t xml:space="preserve"> macroeconómicos</w:t>
      </w:r>
      <w:r w:rsidR="00B83829" w:rsidRPr="00E1125C">
        <w:rPr>
          <w:rFonts w:eastAsia="Times New Roman"/>
        </w:rPr>
        <w:t xml:space="preserve"> estables, justos y eficaces</w:t>
      </w:r>
      <w:r w:rsidR="000878C8" w:rsidRPr="00E1125C">
        <w:rPr>
          <w:rFonts w:eastAsia="Times New Roman"/>
        </w:rPr>
        <w:t xml:space="preserve">; </w:t>
      </w:r>
      <w:r w:rsidR="0087606D" w:rsidRPr="00E1125C">
        <w:rPr>
          <w:rFonts w:eastAsia="Times New Roman"/>
        </w:rPr>
        <w:t xml:space="preserve">equilibrios que </w:t>
      </w:r>
      <w:r w:rsidR="00742B5D" w:rsidRPr="00E1125C">
        <w:rPr>
          <w:rFonts w:eastAsia="Times New Roman"/>
        </w:rPr>
        <w:t>remuneren</w:t>
      </w:r>
      <w:r w:rsidR="001368DE" w:rsidRPr="00E1125C">
        <w:rPr>
          <w:rFonts w:eastAsia="Times New Roman"/>
        </w:rPr>
        <w:t xml:space="preserve"> adecuadamente (según sus reales aportes)</w:t>
      </w:r>
      <w:r w:rsidR="00B83829" w:rsidRPr="00E1125C">
        <w:rPr>
          <w:rFonts w:eastAsia="Times New Roman"/>
        </w:rPr>
        <w:t xml:space="preserve"> </w:t>
      </w:r>
      <w:r w:rsidR="00742B5D" w:rsidRPr="00E1125C">
        <w:rPr>
          <w:rFonts w:eastAsia="Times New Roman"/>
        </w:rPr>
        <w:t xml:space="preserve">a los factores de la producción en general y no sólo </w:t>
      </w:r>
      <w:r w:rsidR="0097187F" w:rsidRPr="00E1125C">
        <w:rPr>
          <w:rFonts w:eastAsia="Times New Roman"/>
        </w:rPr>
        <w:t>a</w:t>
      </w:r>
      <w:r w:rsidR="00742B5D" w:rsidRPr="00E1125C">
        <w:rPr>
          <w:rFonts w:eastAsia="Times New Roman"/>
        </w:rPr>
        <w:t xml:space="preserve">l trabajo y </w:t>
      </w:r>
      <w:r w:rsidR="00061854" w:rsidRPr="00E1125C">
        <w:rPr>
          <w:rFonts w:eastAsia="Times New Roman"/>
        </w:rPr>
        <w:t>a</w:t>
      </w:r>
      <w:r w:rsidR="00742B5D" w:rsidRPr="00E1125C">
        <w:rPr>
          <w:rFonts w:eastAsia="Times New Roman"/>
        </w:rPr>
        <w:t>l capital</w:t>
      </w:r>
      <w:r w:rsidR="00B378F7" w:rsidRPr="00E1125C">
        <w:rPr>
          <w:rFonts w:eastAsia="Times New Roman"/>
        </w:rPr>
        <w:t>.</w:t>
      </w:r>
      <w:r w:rsidR="001847F2" w:rsidRPr="00E1125C">
        <w:rPr>
          <w:rFonts w:eastAsia="Times New Roman"/>
        </w:rPr>
        <w:t xml:space="preserve">  </w:t>
      </w:r>
      <w:r w:rsidR="00B8007F" w:rsidRPr="00E1125C">
        <w:rPr>
          <w:rFonts w:eastAsia="Times New Roman"/>
        </w:rPr>
        <w:t xml:space="preserve">Y no obstante </w:t>
      </w:r>
      <w:proofErr w:type="spellStart"/>
      <w:r w:rsidR="00B8007F" w:rsidRPr="00E1125C">
        <w:rPr>
          <w:rFonts w:eastAsia="Times New Roman"/>
        </w:rPr>
        <w:t>ésto</w:t>
      </w:r>
      <w:proofErr w:type="spellEnd"/>
      <w:r w:rsidR="00B8007F" w:rsidRPr="00E1125C">
        <w:rPr>
          <w:rFonts w:eastAsia="Times New Roman"/>
        </w:rPr>
        <w:t xml:space="preserve">, </w:t>
      </w:r>
      <w:r w:rsidR="00230EDD" w:rsidRPr="00E1125C">
        <w:rPr>
          <w:rFonts w:eastAsia="Times New Roman"/>
        </w:rPr>
        <w:t>por su naturaleza parad</w:t>
      </w:r>
      <w:r w:rsidR="00076D16" w:rsidRPr="00E1125C">
        <w:rPr>
          <w:rFonts w:eastAsia="Times New Roman"/>
        </w:rPr>
        <w:t>i</w:t>
      </w:r>
      <w:r w:rsidR="00230EDD" w:rsidRPr="00E1125C">
        <w:rPr>
          <w:rFonts w:eastAsia="Times New Roman"/>
        </w:rPr>
        <w:t>gmática</w:t>
      </w:r>
      <w:r w:rsidR="00076D16" w:rsidRPr="00E1125C">
        <w:rPr>
          <w:rFonts w:eastAsia="Times New Roman"/>
        </w:rPr>
        <w:t xml:space="preserve"> (a lo </w:t>
      </w:r>
      <w:proofErr w:type="spellStart"/>
      <w:r w:rsidR="00076D16" w:rsidRPr="00E1125C">
        <w:rPr>
          <w:rFonts w:eastAsia="Times New Roman"/>
        </w:rPr>
        <w:t>Khu</w:t>
      </w:r>
      <w:r w:rsidR="003D1817" w:rsidRPr="00E1125C">
        <w:rPr>
          <w:rFonts w:eastAsia="Times New Roman"/>
        </w:rPr>
        <w:t>n</w:t>
      </w:r>
      <w:proofErr w:type="spellEnd"/>
      <w:r w:rsidR="00076D16" w:rsidRPr="00E1125C">
        <w:rPr>
          <w:rFonts w:eastAsia="Times New Roman"/>
        </w:rPr>
        <w:t>)</w:t>
      </w:r>
      <w:r w:rsidR="00230EDD" w:rsidRPr="00E1125C">
        <w:rPr>
          <w:rFonts w:eastAsia="Times New Roman"/>
        </w:rPr>
        <w:t xml:space="preserve">, </w:t>
      </w:r>
      <w:r w:rsidR="00C6745F" w:rsidRPr="00E1125C">
        <w:rPr>
          <w:rFonts w:eastAsia="Times New Roman"/>
        </w:rPr>
        <w:t xml:space="preserve">haya </w:t>
      </w:r>
      <w:r w:rsidR="00D03E89" w:rsidRPr="00E1125C">
        <w:rPr>
          <w:rFonts w:eastAsia="Times New Roman"/>
        </w:rPr>
        <w:t>alcanzado a</w:t>
      </w:r>
      <w:r w:rsidR="00C6745F" w:rsidRPr="00E1125C">
        <w:rPr>
          <w:rFonts w:eastAsia="Times New Roman"/>
        </w:rPr>
        <w:t xml:space="preserve"> </w:t>
      </w:r>
      <w:r w:rsidR="00771CCC" w:rsidRPr="00E1125C">
        <w:rPr>
          <w:rFonts w:eastAsia="Times New Roman"/>
        </w:rPr>
        <w:t xml:space="preserve">forjar un nivel de hegemonía tan alto en </w:t>
      </w:r>
      <w:r w:rsidR="00A5045C" w:rsidRPr="00E1125C">
        <w:rPr>
          <w:rFonts w:eastAsia="Times New Roman"/>
        </w:rPr>
        <w:t xml:space="preserve">el imaginario social, que </w:t>
      </w:r>
      <w:r w:rsidR="00180ED8" w:rsidRPr="00E1125C">
        <w:rPr>
          <w:rFonts w:eastAsia="Times New Roman"/>
        </w:rPr>
        <w:t xml:space="preserve">ha constituido </w:t>
      </w:r>
      <w:r w:rsidR="00EB76FA" w:rsidRPr="00E1125C">
        <w:rPr>
          <w:rFonts w:eastAsia="Times New Roman"/>
        </w:rPr>
        <w:t xml:space="preserve">una racionalidad </w:t>
      </w:r>
      <w:r w:rsidR="000B0823" w:rsidRPr="00E1125C">
        <w:rPr>
          <w:rFonts w:eastAsia="Times New Roman"/>
        </w:rPr>
        <w:t xml:space="preserve">de acción </w:t>
      </w:r>
      <w:r w:rsidR="00EB76FA" w:rsidRPr="00E1125C">
        <w:rPr>
          <w:rFonts w:eastAsia="Times New Roman"/>
        </w:rPr>
        <w:t>social que obedece a</w:t>
      </w:r>
      <w:r w:rsidR="00B92B8C" w:rsidRPr="00E1125C">
        <w:rPr>
          <w:rFonts w:eastAsia="Times New Roman"/>
        </w:rPr>
        <w:t xml:space="preserve"> los</w:t>
      </w:r>
      <w:r w:rsidR="00510963" w:rsidRPr="00E1125C">
        <w:rPr>
          <w:rFonts w:eastAsia="Times New Roman"/>
        </w:rPr>
        <w:t xml:space="preserve"> dict</w:t>
      </w:r>
      <w:r w:rsidR="00B92B8C" w:rsidRPr="00E1125C">
        <w:rPr>
          <w:rFonts w:eastAsia="Times New Roman"/>
        </w:rPr>
        <w:t>á</w:t>
      </w:r>
      <w:r w:rsidR="00510963" w:rsidRPr="00E1125C">
        <w:rPr>
          <w:rFonts w:eastAsia="Times New Roman"/>
        </w:rPr>
        <w:t>m</w:t>
      </w:r>
      <w:r w:rsidR="009F07A5" w:rsidRPr="00E1125C">
        <w:rPr>
          <w:rFonts w:eastAsia="Times New Roman"/>
        </w:rPr>
        <w:t>en</w:t>
      </w:r>
      <w:r w:rsidR="00B92B8C" w:rsidRPr="00E1125C">
        <w:rPr>
          <w:rFonts w:eastAsia="Times New Roman"/>
        </w:rPr>
        <w:t>es</w:t>
      </w:r>
      <w:r w:rsidR="009F07A5" w:rsidRPr="00E1125C">
        <w:rPr>
          <w:rFonts w:eastAsia="Times New Roman"/>
        </w:rPr>
        <w:t xml:space="preserve"> de </w:t>
      </w:r>
      <w:r w:rsidR="00056464" w:rsidRPr="00E1125C">
        <w:rPr>
          <w:rFonts w:eastAsia="Times New Roman"/>
        </w:rPr>
        <w:t xml:space="preserve">este paradigma </w:t>
      </w:r>
      <w:r w:rsidR="001F7B9D" w:rsidRPr="00E1125C">
        <w:rPr>
          <w:rFonts w:eastAsia="Times New Roman"/>
        </w:rPr>
        <w:t xml:space="preserve">y a las </w:t>
      </w:r>
      <w:r w:rsidR="00EB76FA" w:rsidRPr="00E1125C">
        <w:rPr>
          <w:rFonts w:eastAsia="Times New Roman"/>
        </w:rPr>
        <w:t xml:space="preserve">necesidades de </w:t>
      </w:r>
      <w:r w:rsidR="008C64A5" w:rsidRPr="00E1125C">
        <w:rPr>
          <w:rFonts w:eastAsia="Times New Roman"/>
        </w:rPr>
        <w:t>la acumulación de capital.</w:t>
      </w:r>
      <w:r w:rsidR="00771CCC" w:rsidRPr="00E1125C">
        <w:rPr>
          <w:rFonts w:eastAsia="Times New Roman"/>
        </w:rPr>
        <w:t xml:space="preserve"> </w:t>
      </w:r>
    </w:p>
    <w:p w14:paraId="0170A834" w14:textId="73D7E451" w:rsidR="002F7EF6" w:rsidRPr="00E1125C" w:rsidRDefault="002F7EF6" w:rsidP="008E64C0">
      <w:pPr>
        <w:ind w:firstLine="708"/>
        <w:rPr>
          <w:rFonts w:eastAsia="Times New Roman"/>
        </w:rPr>
      </w:pPr>
      <w:r w:rsidRPr="00E1125C">
        <w:rPr>
          <w:rFonts w:eastAsia="Times New Roman"/>
        </w:rPr>
        <w:t xml:space="preserve">Finalmente, para cerrar teóricamente el trabajo del artículo del año 2019, </w:t>
      </w:r>
      <w:r w:rsidR="00231083" w:rsidRPr="00E1125C">
        <w:rPr>
          <w:rFonts w:eastAsia="Times New Roman"/>
        </w:rPr>
        <w:t xml:space="preserve">en </w:t>
      </w:r>
      <w:r w:rsidRPr="00E1125C">
        <w:rPr>
          <w:rFonts w:eastAsia="Times New Roman"/>
        </w:rPr>
        <w:t xml:space="preserve">el año 2020 se publicó un artículo en la revista de Ciencias Económicas de la Universidad de Costa Rica, con un título que </w:t>
      </w:r>
      <w:r w:rsidR="00776BCF" w:rsidRPr="00E1125C">
        <w:rPr>
          <w:rFonts w:eastAsia="Times New Roman"/>
        </w:rPr>
        <w:t xml:space="preserve">expone el paulatino rompimiento entre </w:t>
      </w:r>
      <w:r w:rsidRPr="00E1125C">
        <w:rPr>
          <w:rFonts w:eastAsia="Times New Roman"/>
        </w:rPr>
        <w:t xml:space="preserve">dos </w:t>
      </w:r>
      <w:r w:rsidR="00432751" w:rsidRPr="00E1125C">
        <w:rPr>
          <w:rFonts w:eastAsia="Times New Roman"/>
        </w:rPr>
        <w:t>fundamentos</w:t>
      </w:r>
      <w:r w:rsidRPr="00E1125C">
        <w:rPr>
          <w:rFonts w:eastAsia="Times New Roman"/>
        </w:rPr>
        <w:t xml:space="preserve"> </w:t>
      </w:r>
      <w:r w:rsidR="00432751" w:rsidRPr="00E1125C">
        <w:rPr>
          <w:rFonts w:eastAsia="Times New Roman"/>
        </w:rPr>
        <w:t>de la acción social</w:t>
      </w:r>
      <w:r w:rsidR="00776BCF" w:rsidRPr="00E1125C">
        <w:rPr>
          <w:rFonts w:eastAsia="Times New Roman"/>
        </w:rPr>
        <w:t xml:space="preserve"> en nuestras sociedades</w:t>
      </w:r>
      <w:r w:rsidRPr="00E1125C">
        <w:rPr>
          <w:rFonts w:eastAsia="Times New Roman"/>
        </w:rPr>
        <w:t xml:space="preserve">: “Racionalidad capitalista y principio económico”.  En él se contrapone la naturaleza de la racionalidad capitalista y sus resultados, con </w:t>
      </w:r>
      <w:r w:rsidR="00440613" w:rsidRPr="00E1125C">
        <w:rPr>
          <w:rFonts w:eastAsia="Times New Roman"/>
        </w:rPr>
        <w:t>el</w:t>
      </w:r>
      <w:r w:rsidRPr="00E1125C">
        <w:rPr>
          <w:rFonts w:eastAsia="Times New Roman"/>
        </w:rPr>
        <w:t xml:space="preserve"> axioma del principio económico</w:t>
      </w:r>
      <w:r w:rsidR="006C6357" w:rsidRPr="00E1125C">
        <w:rPr>
          <w:rFonts w:eastAsia="Times New Roman"/>
        </w:rPr>
        <w:t>: “</w:t>
      </w:r>
      <w:r w:rsidR="006C6357" w:rsidRPr="00445352">
        <w:rPr>
          <w:rFonts w:eastAsia="Times New Roman"/>
          <w:i/>
          <w:iCs/>
        </w:rPr>
        <w:t>el uso de los recursos escasos de la manera más eficiente y eficaz, para llenar las necesidades de la sociedad</w:t>
      </w:r>
      <w:r w:rsidR="006C6357" w:rsidRPr="00E1125C">
        <w:rPr>
          <w:rFonts w:eastAsia="Times New Roman"/>
        </w:rPr>
        <w:t>”,</w:t>
      </w:r>
      <w:r w:rsidRPr="00E1125C">
        <w:rPr>
          <w:rFonts w:eastAsia="Times New Roman"/>
        </w:rPr>
        <w:t xml:space="preserve"> y que fuer</w:t>
      </w:r>
      <w:r w:rsidR="00D63C66" w:rsidRPr="00E1125C">
        <w:rPr>
          <w:rFonts w:eastAsia="Times New Roman"/>
        </w:rPr>
        <w:t>a</w:t>
      </w:r>
      <w:r w:rsidRPr="00E1125C">
        <w:rPr>
          <w:rFonts w:eastAsia="Times New Roman"/>
        </w:rPr>
        <w:t xml:space="preserve"> </w:t>
      </w:r>
      <w:r w:rsidR="00440613" w:rsidRPr="00E1125C">
        <w:rPr>
          <w:rFonts w:eastAsia="Times New Roman"/>
        </w:rPr>
        <w:t>el</w:t>
      </w:r>
      <w:r w:rsidRPr="00E1125C">
        <w:rPr>
          <w:rFonts w:eastAsia="Times New Roman"/>
        </w:rPr>
        <w:t xml:space="preserve"> que pensaron alcanzar los fundadores de la disciplina cuando elaboraron los principios de la ciencia económica: </w:t>
      </w:r>
      <w:r w:rsidR="00964FE2" w:rsidRPr="00E1125C">
        <w:rPr>
          <w:rFonts w:eastAsia="Times New Roman"/>
        </w:rPr>
        <w:t>(</w:t>
      </w:r>
      <w:r w:rsidR="004A3D06" w:rsidRPr="00E1125C">
        <w:rPr>
          <w:rFonts w:eastAsia="Times New Roman"/>
        </w:rPr>
        <w:t>Reuben, 2020</w:t>
      </w:r>
      <w:r w:rsidR="00AB645D" w:rsidRPr="00E1125C">
        <w:rPr>
          <w:rFonts w:eastAsia="Times New Roman"/>
        </w:rPr>
        <w:t>b</w:t>
      </w:r>
      <w:r w:rsidR="004A3D06" w:rsidRPr="00E1125C">
        <w:rPr>
          <w:rFonts w:eastAsia="Times New Roman"/>
        </w:rPr>
        <w:t>, p. 67)</w:t>
      </w:r>
      <w:r w:rsidRPr="00E1125C">
        <w:rPr>
          <w:rFonts w:eastAsia="Times New Roman"/>
        </w:rPr>
        <w:t>.</w:t>
      </w:r>
      <w:r w:rsidR="00964FE2" w:rsidRPr="00E1125C">
        <w:rPr>
          <w:rFonts w:eastAsia="Times New Roman"/>
        </w:rPr>
        <w:t xml:space="preserve"> </w:t>
      </w:r>
    </w:p>
    <w:p w14:paraId="4A588783" w14:textId="4DA26083" w:rsidR="00870C97" w:rsidRPr="00E1125C" w:rsidRDefault="002F7EF6" w:rsidP="00870C97">
      <w:pPr>
        <w:ind w:firstLine="708"/>
        <w:rPr>
          <w:rFonts w:eastAsia="Times New Roman"/>
        </w:rPr>
      </w:pPr>
      <w:r w:rsidRPr="00E1125C">
        <w:rPr>
          <w:rFonts w:eastAsia="Times New Roman"/>
        </w:rPr>
        <w:t>En él se desvela, cómo el objetivo de la acumulación de capital paulatinamente construye y define una particular racionalidad que domina la acción del agente económico</w:t>
      </w:r>
      <w:r w:rsidR="002F0116" w:rsidRPr="00E1125C">
        <w:rPr>
          <w:rFonts w:eastAsia="Times New Roman"/>
        </w:rPr>
        <w:t xml:space="preserve"> </w:t>
      </w:r>
      <w:r w:rsidR="00BD74AE" w:rsidRPr="00E1125C">
        <w:rPr>
          <w:rFonts w:eastAsia="Times New Roman"/>
        </w:rPr>
        <w:t>(</w:t>
      </w:r>
      <w:r w:rsidR="002F0116" w:rsidRPr="00E1125C">
        <w:rPr>
          <w:rFonts w:eastAsia="Times New Roman"/>
        </w:rPr>
        <w:t>Reuben, 2020</w:t>
      </w:r>
      <w:r w:rsidR="00AB645D" w:rsidRPr="00E1125C">
        <w:rPr>
          <w:rFonts w:eastAsia="Times New Roman"/>
        </w:rPr>
        <w:t>b</w:t>
      </w:r>
      <w:r w:rsidR="002F0116" w:rsidRPr="00E1125C">
        <w:rPr>
          <w:rFonts w:eastAsia="Times New Roman"/>
        </w:rPr>
        <w:t>, pp. 61-</w:t>
      </w:r>
      <w:r w:rsidR="00BD74AE" w:rsidRPr="00E1125C">
        <w:rPr>
          <w:rFonts w:eastAsia="Times New Roman"/>
        </w:rPr>
        <w:t>6</w:t>
      </w:r>
      <w:r w:rsidR="006819B3" w:rsidRPr="00E1125C">
        <w:rPr>
          <w:rFonts w:eastAsia="Times New Roman"/>
        </w:rPr>
        <w:t>6</w:t>
      </w:r>
      <w:r w:rsidR="00BD74AE" w:rsidRPr="00E1125C">
        <w:rPr>
          <w:rFonts w:eastAsia="Times New Roman"/>
        </w:rPr>
        <w:t>)</w:t>
      </w:r>
      <w:r w:rsidRPr="00E1125C">
        <w:rPr>
          <w:rFonts w:eastAsia="Times New Roman"/>
        </w:rPr>
        <w:t>.</w:t>
      </w:r>
      <w:r w:rsidR="00870C97" w:rsidRPr="00E1125C">
        <w:rPr>
          <w:rFonts w:eastAsia="Times New Roman"/>
        </w:rPr>
        <w:t xml:space="preserve">  </w:t>
      </w:r>
      <w:r w:rsidRPr="00E1125C">
        <w:rPr>
          <w:rFonts w:eastAsia="Times New Roman"/>
        </w:rPr>
        <w:t xml:space="preserve">Racionalidad que influye a su vez en el marco </w:t>
      </w:r>
      <w:r w:rsidRPr="00E1125C">
        <w:rPr>
          <w:rFonts w:eastAsia="Times New Roman"/>
        </w:rPr>
        <w:lastRenderedPageBreak/>
        <w:t>de condiciones socioeconómicas que disponen la toma de decisiones en las sociedades contemporáneas</w:t>
      </w:r>
      <w:r w:rsidR="00F55DE2" w:rsidRPr="00E1125C">
        <w:rPr>
          <w:rFonts w:eastAsia="Times New Roman"/>
        </w:rPr>
        <w:t>…</w:t>
      </w:r>
    </w:p>
    <w:p w14:paraId="59F17834" w14:textId="6E6C6F9A" w:rsidR="002F7EF6" w:rsidRPr="00E1125C" w:rsidRDefault="002F7EF6" w:rsidP="00870C97">
      <w:pPr>
        <w:ind w:firstLine="708"/>
        <w:rPr>
          <w:rFonts w:eastAsia="Times New Roman"/>
        </w:rPr>
      </w:pPr>
      <w:r w:rsidRPr="00E1125C">
        <w:rPr>
          <w:rFonts w:eastAsia="Times New Roman"/>
        </w:rPr>
        <w:t>Pero que, mientras la acumulación de capital no alcanza</w:t>
      </w:r>
      <w:r w:rsidR="004C09AC" w:rsidRPr="00E1125C">
        <w:rPr>
          <w:rFonts w:eastAsia="Times New Roman"/>
        </w:rPr>
        <w:t>ra</w:t>
      </w:r>
      <w:r w:rsidRPr="00E1125C">
        <w:rPr>
          <w:rFonts w:eastAsia="Times New Roman"/>
        </w:rPr>
        <w:t xml:space="preserve"> niveles que faculta</w:t>
      </w:r>
      <w:r w:rsidR="004C09AC" w:rsidRPr="00E1125C">
        <w:rPr>
          <w:rFonts w:eastAsia="Times New Roman"/>
        </w:rPr>
        <w:t>sen</w:t>
      </w:r>
      <w:r w:rsidRPr="00E1125C">
        <w:rPr>
          <w:rFonts w:eastAsia="Times New Roman"/>
        </w:rPr>
        <w:t xml:space="preserve"> a algunos agentes dominar los mercados, las acciones colectivas determinadas por esta racionalidad defin</w:t>
      </w:r>
      <w:r w:rsidR="00445352">
        <w:rPr>
          <w:rFonts w:eastAsia="Times New Roman"/>
        </w:rPr>
        <w:t>en</w:t>
      </w:r>
      <w:r w:rsidRPr="00E1125C">
        <w:rPr>
          <w:rFonts w:eastAsia="Times New Roman"/>
        </w:rPr>
        <w:t xml:space="preserve"> una estructura de precios que permit</w:t>
      </w:r>
      <w:r w:rsidR="00445352">
        <w:rPr>
          <w:rFonts w:eastAsia="Times New Roman"/>
        </w:rPr>
        <w:t>en</w:t>
      </w:r>
      <w:r w:rsidRPr="00E1125C">
        <w:rPr>
          <w:rFonts w:eastAsia="Times New Roman"/>
        </w:rPr>
        <w:t xml:space="preserve"> orientar el uso y remuneración de los factores de una manera suficientemente cercana a las necesidades sociales y a sus contribuciones relativas, generando así un equilibrio macroeconómico </w:t>
      </w:r>
      <w:r w:rsidR="00870C97" w:rsidRPr="00E1125C">
        <w:rPr>
          <w:rFonts w:eastAsia="Times New Roman"/>
        </w:rPr>
        <w:t xml:space="preserve">bastante </w:t>
      </w:r>
      <w:r w:rsidRPr="00E1125C">
        <w:rPr>
          <w:rFonts w:eastAsia="Times New Roman"/>
        </w:rPr>
        <w:t>equitativo y un nivel aceptable de bienestar social…, (ése</w:t>
      </w:r>
      <w:r w:rsidR="004C09AC" w:rsidRPr="00E1125C">
        <w:rPr>
          <w:rFonts w:eastAsia="Times New Roman"/>
        </w:rPr>
        <w:t>, precisamente,</w:t>
      </w:r>
      <w:r w:rsidRPr="00E1125C">
        <w:rPr>
          <w:rFonts w:eastAsia="Times New Roman"/>
        </w:rPr>
        <w:t xml:space="preserve"> su poder </w:t>
      </w:r>
      <w:r w:rsidR="000C24F0" w:rsidRPr="00E1125C">
        <w:rPr>
          <w:rFonts w:eastAsia="Times New Roman"/>
        </w:rPr>
        <w:t xml:space="preserve">primitivo </w:t>
      </w:r>
      <w:r w:rsidRPr="00E1125C">
        <w:rPr>
          <w:rFonts w:eastAsia="Times New Roman"/>
        </w:rPr>
        <w:t>de encantamiento</w:t>
      </w:r>
      <w:r w:rsidR="00B71643" w:rsidRPr="00E1125C">
        <w:rPr>
          <w:rFonts w:eastAsia="Times New Roman"/>
        </w:rPr>
        <w:t xml:space="preserve"> que </w:t>
      </w:r>
      <w:r w:rsidR="00E51FB3" w:rsidRPr="00E1125C">
        <w:rPr>
          <w:rFonts w:eastAsia="Times New Roman"/>
        </w:rPr>
        <w:t xml:space="preserve">conquistó las mentes y corazones de </w:t>
      </w:r>
      <w:r w:rsidR="008F7EEB" w:rsidRPr="00E1125C">
        <w:rPr>
          <w:rFonts w:eastAsia="Times New Roman"/>
        </w:rPr>
        <w:t>las sociedades</w:t>
      </w:r>
      <w:r w:rsidR="006F528D" w:rsidRPr="00E1125C">
        <w:rPr>
          <w:rFonts w:eastAsia="Times New Roman"/>
        </w:rPr>
        <w:t xml:space="preserve"> al disolverse el “antiguo régimen”</w:t>
      </w:r>
      <w:r w:rsidR="00320531" w:rsidRPr="00E1125C">
        <w:rPr>
          <w:rFonts w:eastAsia="Times New Roman"/>
        </w:rPr>
        <w:t xml:space="preserve"> en las protestas sociales</w:t>
      </w:r>
      <w:r w:rsidR="00516146" w:rsidRPr="00E1125C">
        <w:rPr>
          <w:rFonts w:eastAsia="Times New Roman"/>
        </w:rPr>
        <w:t xml:space="preserve"> europeas</w:t>
      </w:r>
      <w:r w:rsidR="00320531" w:rsidRPr="00E1125C">
        <w:rPr>
          <w:rFonts w:eastAsia="Times New Roman"/>
        </w:rPr>
        <w:t xml:space="preserve"> de</w:t>
      </w:r>
      <w:r w:rsidR="00DC25A2" w:rsidRPr="00E1125C">
        <w:rPr>
          <w:rFonts w:eastAsia="Times New Roman"/>
        </w:rPr>
        <w:t xml:space="preserve"> finales del siglo XVIII</w:t>
      </w:r>
      <w:r w:rsidR="00BC7336" w:rsidRPr="00E1125C">
        <w:rPr>
          <w:rFonts w:eastAsia="Times New Roman"/>
        </w:rPr>
        <w:t>,</w:t>
      </w:r>
      <w:r w:rsidR="004C09AC" w:rsidRPr="00E1125C">
        <w:rPr>
          <w:rFonts w:eastAsia="Times New Roman"/>
        </w:rPr>
        <w:t xml:space="preserve"> normalizándose como </w:t>
      </w:r>
      <w:r w:rsidR="00EB7F80" w:rsidRPr="00E1125C">
        <w:rPr>
          <w:rFonts w:eastAsia="Times New Roman"/>
        </w:rPr>
        <w:t>el mejor;</w:t>
      </w:r>
      <w:r w:rsidR="00BC7336" w:rsidRPr="00E1125C">
        <w:rPr>
          <w:rFonts w:eastAsia="Times New Roman"/>
        </w:rPr>
        <w:t xml:space="preserve"> y que todavía </w:t>
      </w:r>
      <w:r w:rsidR="0096565B" w:rsidRPr="00E1125C">
        <w:rPr>
          <w:rFonts w:eastAsia="Times New Roman"/>
        </w:rPr>
        <w:t>perdura</w:t>
      </w:r>
      <w:r w:rsidR="00EB7F80" w:rsidRPr="00E1125C">
        <w:rPr>
          <w:rFonts w:eastAsia="Times New Roman"/>
        </w:rPr>
        <w:t xml:space="preserve"> ese encantamiento</w:t>
      </w:r>
      <w:r w:rsidR="00031B9E" w:rsidRPr="00E1125C">
        <w:rPr>
          <w:rFonts w:eastAsia="Times New Roman"/>
        </w:rPr>
        <w:t xml:space="preserve"> en nuest</w:t>
      </w:r>
      <w:r w:rsidR="005A7EBD" w:rsidRPr="00E1125C">
        <w:rPr>
          <w:rFonts w:eastAsia="Times New Roman"/>
        </w:rPr>
        <w:t>r</w:t>
      </w:r>
      <w:r w:rsidR="00031B9E" w:rsidRPr="00E1125C">
        <w:rPr>
          <w:rFonts w:eastAsia="Times New Roman"/>
        </w:rPr>
        <w:t>as sociedades</w:t>
      </w:r>
      <w:r w:rsidR="00EB7F80" w:rsidRPr="00E1125C">
        <w:rPr>
          <w:rFonts w:eastAsia="Times New Roman"/>
        </w:rPr>
        <w:t>,</w:t>
      </w:r>
      <w:r w:rsidR="005A7EBD" w:rsidRPr="00E1125C">
        <w:rPr>
          <w:rFonts w:eastAsia="Times New Roman"/>
        </w:rPr>
        <w:t xml:space="preserve"> </w:t>
      </w:r>
      <w:r w:rsidR="00DD608C" w:rsidRPr="00E1125C">
        <w:rPr>
          <w:rFonts w:eastAsia="Times New Roman"/>
        </w:rPr>
        <w:t xml:space="preserve">disipado </w:t>
      </w:r>
      <w:r w:rsidR="00445352">
        <w:rPr>
          <w:rFonts w:eastAsia="Times New Roman"/>
        </w:rPr>
        <w:t xml:space="preserve">ya </w:t>
      </w:r>
      <w:r w:rsidR="00F01327" w:rsidRPr="00E1125C">
        <w:rPr>
          <w:rFonts w:eastAsia="Times New Roman"/>
        </w:rPr>
        <w:t>en</w:t>
      </w:r>
      <w:r w:rsidR="00650943" w:rsidRPr="00E1125C">
        <w:rPr>
          <w:rFonts w:eastAsia="Times New Roman"/>
        </w:rPr>
        <w:t>tre las crisis económicas, políticas, sociales y ambientales</w:t>
      </w:r>
      <w:r w:rsidR="006B7FE3" w:rsidRPr="00E1125C">
        <w:rPr>
          <w:rFonts w:eastAsia="Times New Roman"/>
        </w:rPr>
        <w:t xml:space="preserve"> que ha engendrado</w:t>
      </w:r>
      <w:r w:rsidRPr="00E1125C">
        <w:rPr>
          <w:rFonts w:eastAsia="Times New Roman"/>
        </w:rPr>
        <w:t xml:space="preserve">).    Mas una vez alcanzados esos niveles de acumulación y de concentración del capital en pocas manos, las necesidades de acumulación de capital definen una racionalidad que conduce a la sociedad regentada hacia una vorágine de ciclos de sobreproducción y escasez, de desequilibrio entre oferta y demanda y de desproporción en la distribución del producto social, </w:t>
      </w:r>
      <w:r w:rsidR="00870C97" w:rsidRPr="00E1125C">
        <w:rPr>
          <w:rFonts w:eastAsia="Times New Roman"/>
        </w:rPr>
        <w:t>que generan desestabilización social y malestar de los pueblos, rompimiento de</w:t>
      </w:r>
      <w:r w:rsidR="00C931A8" w:rsidRPr="00E1125C">
        <w:rPr>
          <w:rFonts w:eastAsia="Times New Roman"/>
        </w:rPr>
        <w:t xml:space="preserve"> </w:t>
      </w:r>
      <w:r w:rsidR="00870C97" w:rsidRPr="00E1125C">
        <w:rPr>
          <w:rFonts w:eastAsia="Times New Roman"/>
        </w:rPr>
        <w:t>los ciclos naturales fundamentales</w:t>
      </w:r>
      <w:r w:rsidR="00C931A8" w:rsidRPr="00E1125C">
        <w:rPr>
          <w:rFonts w:eastAsia="Times New Roman"/>
        </w:rPr>
        <w:t>,</w:t>
      </w:r>
      <w:r w:rsidR="00870C97" w:rsidRPr="00E1125C">
        <w:rPr>
          <w:rFonts w:eastAsia="Times New Roman"/>
        </w:rPr>
        <w:t xml:space="preserve"> </w:t>
      </w:r>
      <w:r w:rsidRPr="00E1125C">
        <w:rPr>
          <w:rFonts w:eastAsia="Times New Roman"/>
        </w:rPr>
        <w:t>hasta amenazar las condiciones para la existencia de la biosfera.  La acumulación de capital como regente principal de la lógica de la acción colectiva ha alcanzado así un punto de clímax.   Sus equilibrios macroeconómicos son desequilibrios sociales, políticos y ambientales</w:t>
      </w:r>
      <w:r w:rsidR="006819B3" w:rsidRPr="00E1125C">
        <w:rPr>
          <w:rFonts w:eastAsia="Times New Roman"/>
        </w:rPr>
        <w:t xml:space="preserve"> (Reuben, 2020</w:t>
      </w:r>
      <w:r w:rsidR="00AB645D" w:rsidRPr="00E1125C">
        <w:rPr>
          <w:rFonts w:eastAsia="Times New Roman"/>
        </w:rPr>
        <w:t>b</w:t>
      </w:r>
      <w:r w:rsidR="006819B3" w:rsidRPr="00E1125C">
        <w:rPr>
          <w:rFonts w:eastAsia="Times New Roman"/>
        </w:rPr>
        <w:t>, p.67-68)</w:t>
      </w:r>
      <w:r w:rsidRPr="00E1125C">
        <w:rPr>
          <w:rFonts w:eastAsia="Times New Roman"/>
        </w:rPr>
        <w:t>.</w:t>
      </w:r>
    </w:p>
    <w:p w14:paraId="67CEC490" w14:textId="77777777" w:rsidR="00005793" w:rsidRPr="00E1125C" w:rsidRDefault="00005793" w:rsidP="008E64C0">
      <w:pPr>
        <w:ind w:firstLine="708"/>
        <w:rPr>
          <w:rFonts w:eastAsia="Times New Roman"/>
        </w:rPr>
      </w:pPr>
    </w:p>
    <w:p w14:paraId="07E1AD96" w14:textId="77777777" w:rsidR="00B5596F" w:rsidRPr="00E1125C" w:rsidRDefault="00B5596F" w:rsidP="00B5596F">
      <w:pPr>
        <w:pStyle w:val="Ttulo2"/>
        <w:jc w:val="center"/>
        <w:rPr>
          <w:rFonts w:ascii="Times New Roman" w:eastAsia="Times New Roman" w:hAnsi="Times New Roman" w:cs="Times New Roman"/>
          <w:b/>
          <w:bCs/>
          <w:szCs w:val="24"/>
        </w:rPr>
      </w:pPr>
      <w:r w:rsidRPr="00E1125C">
        <w:rPr>
          <w:rFonts w:ascii="Times New Roman" w:eastAsia="Times New Roman" w:hAnsi="Times New Roman" w:cs="Times New Roman"/>
          <w:b/>
          <w:bCs/>
          <w:szCs w:val="24"/>
        </w:rPr>
        <w:t>II Parte</w:t>
      </w:r>
    </w:p>
    <w:p w14:paraId="6C1F0C28" w14:textId="77777777" w:rsidR="00B5596F" w:rsidRPr="00E1125C" w:rsidRDefault="00A26BA5" w:rsidP="00B5596F">
      <w:pPr>
        <w:pStyle w:val="Ttulo2"/>
        <w:jc w:val="center"/>
      </w:pPr>
      <w:r w:rsidRPr="00E1125C">
        <w:t xml:space="preserve"> La concentración de capital en los sectores productivos de Costa Rica,</w:t>
      </w:r>
    </w:p>
    <w:p w14:paraId="4819C9C7" w14:textId="11FB2DF7" w:rsidR="00A26BA5" w:rsidRPr="00E1125C" w:rsidRDefault="00A26BA5" w:rsidP="00B5596F">
      <w:pPr>
        <w:pStyle w:val="Ttulo2"/>
        <w:jc w:val="center"/>
        <w:rPr>
          <w:rFonts w:ascii="Times New Roman" w:eastAsia="Times New Roman" w:hAnsi="Times New Roman" w:cs="Times New Roman"/>
          <w:b/>
          <w:bCs/>
          <w:szCs w:val="24"/>
        </w:rPr>
      </w:pPr>
      <w:r w:rsidRPr="00E1125C">
        <w:t>2012 – 2018</w:t>
      </w:r>
    </w:p>
    <w:p w14:paraId="66A8C435" w14:textId="576ED6CB" w:rsidR="006379E3" w:rsidRPr="00E1125C" w:rsidRDefault="00286A1B" w:rsidP="00DD1F7C">
      <w:pPr>
        <w:pStyle w:val="Ttulo2"/>
        <w:rPr>
          <w:rFonts w:eastAsia="Times New Roman"/>
        </w:rPr>
      </w:pPr>
      <w:r w:rsidRPr="00E1125C">
        <w:rPr>
          <w:rFonts w:eastAsia="Times New Roman"/>
        </w:rPr>
        <w:t xml:space="preserve">3.- </w:t>
      </w:r>
      <w:r w:rsidR="00986B97" w:rsidRPr="00E1125C">
        <w:rPr>
          <w:rFonts w:eastAsia="Times New Roman"/>
        </w:rPr>
        <w:t>Introducci</w:t>
      </w:r>
      <w:r w:rsidRPr="00E1125C">
        <w:rPr>
          <w:rFonts w:eastAsia="Times New Roman"/>
        </w:rPr>
        <w:t>ón</w:t>
      </w:r>
      <w:r w:rsidR="001405EF" w:rsidRPr="00E1125C">
        <w:rPr>
          <w:rFonts w:eastAsia="Times New Roman"/>
        </w:rPr>
        <w:t xml:space="preserve"> a</w:t>
      </w:r>
      <w:r w:rsidR="00345559" w:rsidRPr="00E1125C">
        <w:rPr>
          <w:rFonts w:eastAsia="Times New Roman"/>
        </w:rPr>
        <w:t>l estudio empírico</w:t>
      </w:r>
    </w:p>
    <w:p w14:paraId="5CD253D6" w14:textId="5B052C9B" w:rsidR="00376B81" w:rsidRPr="00E1125C" w:rsidRDefault="00BA32E3" w:rsidP="00BA32E3">
      <w:r w:rsidRPr="00E1125C">
        <w:tab/>
        <w:t xml:space="preserve">En nuestra investigación no encontramos estudios empíricos de la naturaleza que </w:t>
      </w:r>
      <w:r w:rsidR="00917599" w:rsidRPr="00E1125C">
        <w:t>presentamos en esta parte.</w:t>
      </w:r>
      <w:r w:rsidR="005624E9" w:rsidRPr="00E1125C">
        <w:t xml:space="preserve">  </w:t>
      </w:r>
      <w:r w:rsidR="007534E1" w:rsidRPr="00E1125C">
        <w:t>Debe tenerse presente</w:t>
      </w:r>
      <w:r w:rsidR="007F46E3" w:rsidRPr="00E1125C">
        <w:t xml:space="preserve"> la</w:t>
      </w:r>
      <w:r w:rsidR="009953EB" w:rsidRPr="00E1125C">
        <w:t xml:space="preserve">s características de </w:t>
      </w:r>
      <w:r w:rsidR="00D656C9" w:rsidRPr="00E1125C">
        <w:t>la hipótesis general que se expone en la primera parte,</w:t>
      </w:r>
      <w:r w:rsidR="00F2324C" w:rsidRPr="00E1125C">
        <w:t xml:space="preserve"> la concentración de</w:t>
      </w:r>
      <w:r w:rsidR="008475D5" w:rsidRPr="00E1125C">
        <w:t xml:space="preserve"> capital en la estructura productiva </w:t>
      </w:r>
      <w:r w:rsidR="00DA59D3" w:rsidRPr="00E1125C">
        <w:t>y</w:t>
      </w:r>
      <w:r w:rsidR="002F2B18" w:rsidRPr="00E1125C">
        <w:t xml:space="preserve"> </w:t>
      </w:r>
      <w:r w:rsidR="00C35594" w:rsidRPr="00E1125C">
        <w:t>su</w:t>
      </w:r>
      <w:r w:rsidR="002F2B18" w:rsidRPr="00E1125C">
        <w:t xml:space="preserve"> tendencia en el tiempo</w:t>
      </w:r>
      <w:r w:rsidR="00362550" w:rsidRPr="00E1125C">
        <w:t xml:space="preserve">, en este caso </w:t>
      </w:r>
      <w:r w:rsidR="00C17851" w:rsidRPr="00E1125C">
        <w:t>para</w:t>
      </w:r>
      <w:r w:rsidR="00190D93" w:rsidRPr="00E1125C">
        <w:t xml:space="preserve"> Costa Rica.</w:t>
      </w:r>
      <w:r w:rsidR="009009DE" w:rsidRPr="00E1125C">
        <w:t xml:space="preserve">  No obstante</w:t>
      </w:r>
      <w:r w:rsidR="00366D17" w:rsidRPr="00E1125C">
        <w:t>,</w:t>
      </w:r>
      <w:r w:rsidR="009009DE" w:rsidRPr="00E1125C">
        <w:t xml:space="preserve"> nos parece prolijo señalar</w:t>
      </w:r>
      <w:r w:rsidR="00175AF3" w:rsidRPr="00E1125C">
        <w:t xml:space="preserve"> algunos estudios que</w:t>
      </w:r>
      <w:r w:rsidR="00CA4D10" w:rsidRPr="00E1125C">
        <w:t xml:space="preserve"> contribuyen a enriquecer </w:t>
      </w:r>
      <w:r w:rsidR="00366D17" w:rsidRPr="00E1125C">
        <w:t>l</w:t>
      </w:r>
      <w:r w:rsidR="00FA3021" w:rsidRPr="00E1125C">
        <w:t>os alcances</w:t>
      </w:r>
      <w:r w:rsidR="00653040" w:rsidRPr="00E1125C">
        <w:t xml:space="preserve"> de</w:t>
      </w:r>
      <w:r w:rsidR="00EB7F80" w:rsidRPr="00E1125C">
        <w:t>l</w:t>
      </w:r>
      <w:r w:rsidR="00653040" w:rsidRPr="00E1125C">
        <w:t xml:space="preserve"> artículo.</w:t>
      </w:r>
    </w:p>
    <w:p w14:paraId="251D6A40" w14:textId="6ED4AE76" w:rsidR="00376B81" w:rsidRPr="00E1125C" w:rsidRDefault="006239E8" w:rsidP="00A9480F">
      <w:pPr>
        <w:ind w:firstLine="708"/>
        <w:divId w:val="896207275"/>
        <w:rPr>
          <w:rFonts w:eastAsia="Times New Roman"/>
        </w:rPr>
      </w:pPr>
      <w:bookmarkStart w:id="0" w:name="_Hlk117011221"/>
      <w:r w:rsidRPr="00E1125C">
        <w:t>En primer lugar</w:t>
      </w:r>
      <w:r w:rsidR="00A9480F" w:rsidRPr="00E1125C">
        <w:t>,</w:t>
      </w:r>
      <w:r w:rsidRPr="00E1125C">
        <w:t xml:space="preserve"> señalamos </w:t>
      </w:r>
      <w:r w:rsidR="006261E6" w:rsidRPr="00E1125C">
        <w:t xml:space="preserve">el </w:t>
      </w:r>
      <w:r w:rsidR="00917599" w:rsidRPr="00E1125C">
        <w:t xml:space="preserve">trabajo sobre </w:t>
      </w:r>
      <w:r w:rsidR="005752E1" w:rsidRPr="00E1125C">
        <w:t>“</w:t>
      </w:r>
      <w:r w:rsidR="00917599" w:rsidRPr="00E1125C">
        <w:t>concentración económica</w:t>
      </w:r>
      <w:r w:rsidR="005752E1" w:rsidRPr="00E1125C">
        <w:t>”</w:t>
      </w:r>
      <w:r w:rsidR="006261E6" w:rsidRPr="00E1125C">
        <w:t xml:space="preserve"> </w:t>
      </w:r>
      <w:r w:rsidR="005752E1" w:rsidRPr="00E1125C">
        <w:t xml:space="preserve">elaborado como trabajo de graduación en derecho </w:t>
      </w:r>
      <w:r w:rsidR="00C41466" w:rsidRPr="00E1125C">
        <w:t>(</w:t>
      </w:r>
      <w:r w:rsidR="00C555EB" w:rsidRPr="00E1125C">
        <w:t>Chacón Quesada y Vega Reyes</w:t>
      </w:r>
      <w:r w:rsidR="00E74067" w:rsidRPr="00E1125C">
        <w:t>, 2014)</w:t>
      </w:r>
      <w:r w:rsidR="00BA32E3" w:rsidRPr="00E1125C">
        <w:t xml:space="preserve"> </w:t>
      </w:r>
      <w:r w:rsidR="00E74067" w:rsidRPr="00E1125C">
        <w:t xml:space="preserve">orientado a </w:t>
      </w:r>
      <w:r w:rsidR="00353C61" w:rsidRPr="00E1125C">
        <w:t xml:space="preserve">analizar y discutir la legislación costarricense que regula las </w:t>
      </w:r>
      <w:r w:rsidR="00353C61" w:rsidRPr="00E1125C">
        <w:lastRenderedPageBreak/>
        <w:t xml:space="preserve">transacciones </w:t>
      </w:r>
      <w:r w:rsidR="00F4335F" w:rsidRPr="00E1125C">
        <w:t>entre empresas que resultan en mayores concentraciones de mercados.</w:t>
      </w:r>
      <w:r w:rsidR="00221B65" w:rsidRPr="00E1125C">
        <w:t xml:space="preserve">  El trabajo se hace desde</w:t>
      </w:r>
      <w:r w:rsidR="00046B8B" w:rsidRPr="00E1125C">
        <w:t xml:space="preserve"> el punto de vista</w:t>
      </w:r>
      <w:r w:rsidR="00221B65" w:rsidRPr="00E1125C">
        <w:t xml:space="preserve"> </w:t>
      </w:r>
      <w:r w:rsidR="00A90E64" w:rsidRPr="00E1125C">
        <w:t>del “derecho a la competencia”</w:t>
      </w:r>
      <w:r w:rsidR="00046B8B" w:rsidRPr="00E1125C">
        <w:t xml:space="preserve">, como </w:t>
      </w:r>
      <w:r w:rsidR="006A3E98" w:rsidRPr="00E1125C">
        <w:t xml:space="preserve">el </w:t>
      </w:r>
      <w:r w:rsidR="00046B8B" w:rsidRPr="00E1125C">
        <w:t>d</w:t>
      </w:r>
      <w:r w:rsidR="006A3E98" w:rsidRPr="00E1125C">
        <w:t>e</w:t>
      </w:r>
      <w:r w:rsidR="00046B8B" w:rsidRPr="00E1125C">
        <w:t xml:space="preserve">recho </w:t>
      </w:r>
      <w:r w:rsidR="006A3E98" w:rsidRPr="00E1125C">
        <w:t xml:space="preserve">en teoría jurídica </w:t>
      </w:r>
      <w:r w:rsidR="00046B8B" w:rsidRPr="00E1125C">
        <w:t>que tiene el ciudadano de gozar de mercados competitivos</w:t>
      </w:r>
      <w:r w:rsidR="006A3E98" w:rsidRPr="00E1125C">
        <w:t>.</w:t>
      </w:r>
      <w:r w:rsidR="00046B8B" w:rsidRPr="00E1125C">
        <w:t xml:space="preserve"> </w:t>
      </w:r>
      <w:r w:rsidR="00376B81" w:rsidRPr="00E1125C">
        <w:t xml:space="preserve">  </w:t>
      </w:r>
      <w:r w:rsidR="00376B81" w:rsidRPr="00E1125C">
        <w:rPr>
          <w:rFonts w:eastAsia="Times New Roman"/>
        </w:rPr>
        <w:t xml:space="preserve">No ofrece estudio empírico sobre el “estado” o “nivel” de concentración de la estructura productiva del país.  Es una discusión sobre la importancia y eficacia de la Comisión de Protección a la Competencia COPROCOM y la reforma de la ley de Protección de la Competencia y </w:t>
      </w:r>
      <w:r w:rsidR="00C562E4" w:rsidRPr="00E1125C">
        <w:rPr>
          <w:rFonts w:eastAsia="Times New Roman"/>
        </w:rPr>
        <w:t>e</w:t>
      </w:r>
      <w:r w:rsidR="00376B81" w:rsidRPr="00E1125C">
        <w:rPr>
          <w:rFonts w:eastAsia="Times New Roman"/>
        </w:rPr>
        <w:t xml:space="preserve">l Consumidor, mediante el decreto legislativo No. 9072 del 2010. </w:t>
      </w:r>
      <w:r w:rsidR="00BE5CB5" w:rsidRPr="00E1125C">
        <w:rPr>
          <w:rFonts w:eastAsia="Times New Roman"/>
        </w:rPr>
        <w:t>Pero</w:t>
      </w:r>
      <w:r w:rsidR="00376B81" w:rsidRPr="00E1125C">
        <w:rPr>
          <w:rFonts w:eastAsia="Times New Roman"/>
        </w:rPr>
        <w:t xml:space="preserve"> ofrece elementos interesantes sobre dicha legislación, tales como las dificultades legales que existen para controlar la concentración tanto en cuanto al número de empresas en un sector</w:t>
      </w:r>
      <w:r w:rsidR="008964E4" w:rsidRPr="00E1125C">
        <w:rPr>
          <w:rFonts w:eastAsia="Times New Roman"/>
        </w:rPr>
        <w:t>,</w:t>
      </w:r>
      <w:r w:rsidR="00376B81" w:rsidRPr="00E1125C">
        <w:rPr>
          <w:rFonts w:eastAsia="Times New Roman"/>
        </w:rPr>
        <w:t xml:space="preserve"> cuanto a la </w:t>
      </w:r>
      <w:r w:rsidR="008964E4" w:rsidRPr="00E1125C">
        <w:rPr>
          <w:rFonts w:eastAsia="Times New Roman"/>
        </w:rPr>
        <w:t>dificultad</w:t>
      </w:r>
      <w:r w:rsidR="00376B81" w:rsidRPr="00E1125C">
        <w:rPr>
          <w:rFonts w:eastAsia="Times New Roman"/>
        </w:rPr>
        <w:t xml:space="preserve"> real de ejercer influencia significativa sobre sus mercados de manera d</w:t>
      </w:r>
      <w:r w:rsidR="00C81C42" w:rsidRPr="00E1125C">
        <w:rPr>
          <w:rFonts w:eastAsia="Times New Roman"/>
        </w:rPr>
        <w:t>e</w:t>
      </w:r>
      <w:r w:rsidR="00376B81" w:rsidRPr="00E1125C">
        <w:rPr>
          <w:rFonts w:eastAsia="Times New Roman"/>
        </w:rPr>
        <w:t xml:space="preserve"> reducir los efectos</w:t>
      </w:r>
      <w:r w:rsidR="00C81C42" w:rsidRPr="00E1125C">
        <w:rPr>
          <w:rFonts w:eastAsia="Times New Roman"/>
        </w:rPr>
        <w:t xml:space="preserve"> que ejercen sobre</w:t>
      </w:r>
      <w:r w:rsidR="00376B81" w:rsidRPr="00E1125C">
        <w:rPr>
          <w:rFonts w:eastAsia="Times New Roman"/>
        </w:rPr>
        <w:t xml:space="preserve"> la competencia (</w:t>
      </w:r>
      <w:r w:rsidR="0009703A" w:rsidRPr="00E1125C">
        <w:rPr>
          <w:rFonts w:eastAsia="Times New Roman"/>
        </w:rPr>
        <w:t xml:space="preserve">Ob. Cit. </w:t>
      </w:r>
      <w:r w:rsidR="00376B81" w:rsidRPr="00E1125C">
        <w:rPr>
          <w:rFonts w:eastAsia="Times New Roman"/>
        </w:rPr>
        <w:t xml:space="preserve">Cap.1). </w:t>
      </w:r>
    </w:p>
    <w:p w14:paraId="172C11EB" w14:textId="7035E79D" w:rsidR="00666E5A" w:rsidRPr="00E1125C" w:rsidRDefault="00984F32" w:rsidP="00A9480F">
      <w:pPr>
        <w:ind w:firstLine="708"/>
        <w:divId w:val="896207275"/>
        <w:rPr>
          <w:rFonts w:eastAsia="Times New Roman"/>
        </w:rPr>
      </w:pPr>
      <w:bookmarkStart w:id="1" w:name="_Hlk117011340"/>
      <w:bookmarkEnd w:id="0"/>
      <w:r w:rsidRPr="00E1125C">
        <w:rPr>
          <w:rFonts w:eastAsia="Times New Roman"/>
        </w:rPr>
        <w:t>Otr</w:t>
      </w:r>
      <w:r w:rsidR="00DB613D" w:rsidRPr="00E1125C">
        <w:rPr>
          <w:rFonts w:eastAsia="Times New Roman"/>
        </w:rPr>
        <w:t xml:space="preserve">a investigación que creemos de interés </w:t>
      </w:r>
      <w:r w:rsidR="00161C13" w:rsidRPr="00E1125C">
        <w:rPr>
          <w:rFonts w:eastAsia="Times New Roman"/>
        </w:rPr>
        <w:t>resaltar</w:t>
      </w:r>
      <w:r w:rsidR="00DB613D" w:rsidRPr="00E1125C">
        <w:rPr>
          <w:rFonts w:eastAsia="Times New Roman"/>
        </w:rPr>
        <w:t xml:space="preserve"> es el trabajo </w:t>
      </w:r>
      <w:r w:rsidR="00A32828" w:rsidRPr="00E1125C">
        <w:rPr>
          <w:rFonts w:eastAsia="Times New Roman"/>
        </w:rPr>
        <w:t>de graduación</w:t>
      </w:r>
      <w:r w:rsidR="00E82969" w:rsidRPr="00E1125C">
        <w:rPr>
          <w:rFonts w:eastAsia="Times New Roman"/>
        </w:rPr>
        <w:t xml:space="preserve"> de Guillermo Rodríguez (2019),</w:t>
      </w:r>
      <w:r w:rsidR="00A32828" w:rsidRPr="00E1125C">
        <w:rPr>
          <w:rFonts w:eastAsia="Times New Roman"/>
        </w:rPr>
        <w:t xml:space="preserve"> también en el campo de</w:t>
      </w:r>
      <w:r w:rsidR="00C81C42" w:rsidRPr="00E1125C">
        <w:rPr>
          <w:rFonts w:eastAsia="Times New Roman"/>
        </w:rPr>
        <w:t>l</w:t>
      </w:r>
      <w:r w:rsidR="00A32828" w:rsidRPr="00E1125C">
        <w:rPr>
          <w:rFonts w:eastAsia="Times New Roman"/>
        </w:rPr>
        <w:t xml:space="preserve"> derecho</w:t>
      </w:r>
      <w:r w:rsidR="00DD6737" w:rsidRPr="00E1125C">
        <w:rPr>
          <w:rFonts w:eastAsia="Times New Roman"/>
        </w:rPr>
        <w:t xml:space="preserve"> y</w:t>
      </w:r>
      <w:r w:rsidR="007268BF" w:rsidRPr="00E1125C">
        <w:rPr>
          <w:rFonts w:eastAsia="Times New Roman"/>
        </w:rPr>
        <w:t xml:space="preserve"> </w:t>
      </w:r>
      <w:r w:rsidR="00ED66F9" w:rsidRPr="00E1125C">
        <w:rPr>
          <w:rFonts w:eastAsia="Times New Roman"/>
        </w:rPr>
        <w:t>con una orientación semejante a</w:t>
      </w:r>
      <w:r w:rsidR="00E82969" w:rsidRPr="00E1125C">
        <w:rPr>
          <w:rFonts w:eastAsia="Times New Roman"/>
        </w:rPr>
        <w:t xml:space="preserve"> la de</w:t>
      </w:r>
      <w:r w:rsidR="00ED66F9" w:rsidRPr="00E1125C">
        <w:rPr>
          <w:rFonts w:eastAsia="Times New Roman"/>
        </w:rPr>
        <w:t>l trajo referido anteriormente</w:t>
      </w:r>
      <w:r w:rsidR="007C4761" w:rsidRPr="00E1125C">
        <w:rPr>
          <w:rFonts w:eastAsia="Times New Roman"/>
        </w:rPr>
        <w:t>: “Es por eso que el objetivo general de esta investigación es analizar</w:t>
      </w:r>
      <w:r w:rsidR="00703B1F" w:rsidRPr="00E1125C">
        <w:rPr>
          <w:rFonts w:eastAsia="Times New Roman"/>
        </w:rPr>
        <w:t xml:space="preserve"> ( … )</w:t>
      </w:r>
      <w:r w:rsidR="007C4761" w:rsidRPr="00E1125C">
        <w:rPr>
          <w:rFonts w:eastAsia="Times New Roman"/>
        </w:rPr>
        <w:t xml:space="preserve"> las posibilidades reales que tiene el Estado costarricense a través de la Comisión para Promover la Competencia, de mitigar los efectos anticompetitivos que surjan de la fusión o adquisición del control de una empresa por parte de otra; principalmente en casos de concentraciones de agentes económicos que sucedan en el extranjero pero que tengan efectos monopolísticos en el país, o que conlleven elementos de extranjería.</w:t>
      </w:r>
    </w:p>
    <w:bookmarkEnd w:id="1"/>
    <w:p w14:paraId="794F4F61" w14:textId="6747C71C" w:rsidR="00960D50" w:rsidRPr="00E1125C" w:rsidRDefault="005F30D4" w:rsidP="00960D50">
      <w:pPr>
        <w:ind w:firstLine="708"/>
        <w:divId w:val="896207275"/>
        <w:rPr>
          <w:rFonts w:eastAsia="Times New Roman"/>
        </w:rPr>
      </w:pPr>
      <w:r w:rsidRPr="00E1125C">
        <w:rPr>
          <w:rFonts w:eastAsia="Times New Roman"/>
        </w:rPr>
        <w:t>“En cuanto a la hipótesis, se considera que la regulación de las concentraciones es un asunto necesario y vital para el desarrollo del mercado actual, tanto a nivel nacional como regional e internacional. Sin embargo, los vacíos normativos no permiten un efectivo control de las concentraciones, mayormente cuando éstas sucedan en el extranjero o tienen elementos de extranjería</w:t>
      </w:r>
      <w:r w:rsidR="00DB532C" w:rsidRPr="00E1125C">
        <w:rPr>
          <w:rFonts w:eastAsia="Times New Roman"/>
        </w:rPr>
        <w:t>.” (</w:t>
      </w:r>
      <w:r w:rsidR="001A355A" w:rsidRPr="00E1125C">
        <w:rPr>
          <w:rFonts w:eastAsia="Times New Roman"/>
        </w:rPr>
        <w:t>ob</w:t>
      </w:r>
      <w:r w:rsidR="00DB532C" w:rsidRPr="00E1125C">
        <w:rPr>
          <w:rFonts w:eastAsia="Times New Roman"/>
        </w:rPr>
        <w:t>.</w:t>
      </w:r>
      <w:r w:rsidR="001A355A" w:rsidRPr="00E1125C">
        <w:rPr>
          <w:rFonts w:eastAsia="Times New Roman"/>
        </w:rPr>
        <w:t xml:space="preserve"> c</w:t>
      </w:r>
      <w:r w:rsidR="00DB532C" w:rsidRPr="00E1125C">
        <w:rPr>
          <w:rFonts w:eastAsia="Times New Roman"/>
        </w:rPr>
        <w:t>it.</w:t>
      </w:r>
      <w:r w:rsidR="001A355A" w:rsidRPr="00E1125C">
        <w:rPr>
          <w:rFonts w:eastAsia="Times New Roman"/>
        </w:rPr>
        <w:t xml:space="preserve"> </w:t>
      </w:r>
      <w:proofErr w:type="spellStart"/>
      <w:r w:rsidR="001A355A" w:rsidRPr="00E1125C">
        <w:rPr>
          <w:rFonts w:eastAsia="Times New Roman"/>
        </w:rPr>
        <w:t>p.</w:t>
      </w:r>
      <w:r w:rsidR="008F5536" w:rsidRPr="00E1125C">
        <w:rPr>
          <w:rFonts w:eastAsia="Times New Roman"/>
        </w:rPr>
        <w:t>X</w:t>
      </w:r>
      <w:proofErr w:type="spellEnd"/>
      <w:r w:rsidR="00A7159C" w:rsidRPr="00E1125C">
        <w:rPr>
          <w:rFonts w:eastAsia="Times New Roman"/>
        </w:rPr>
        <w:t>)</w:t>
      </w:r>
    </w:p>
    <w:p w14:paraId="7E448B3E" w14:textId="30DB3AAA" w:rsidR="00903125" w:rsidRPr="00E1125C" w:rsidRDefault="009105FD" w:rsidP="00903125">
      <w:pPr>
        <w:ind w:firstLine="708"/>
        <w:divId w:val="896207275"/>
        <w:rPr>
          <w:rFonts w:eastAsia="Times New Roman"/>
        </w:rPr>
      </w:pPr>
      <w:r w:rsidRPr="00E1125C">
        <w:rPr>
          <w:rFonts w:eastAsia="Times New Roman"/>
        </w:rPr>
        <w:t>El t</w:t>
      </w:r>
      <w:r w:rsidR="0040077A" w:rsidRPr="00E1125C">
        <w:rPr>
          <w:rFonts w:eastAsia="Times New Roman"/>
        </w:rPr>
        <w:t>r</w:t>
      </w:r>
      <w:r w:rsidRPr="00E1125C">
        <w:rPr>
          <w:rFonts w:eastAsia="Times New Roman"/>
        </w:rPr>
        <w:t xml:space="preserve">abajo del Estado de la Nación </w:t>
      </w:r>
      <w:r w:rsidR="0040077A" w:rsidRPr="00E1125C">
        <w:rPr>
          <w:rFonts w:eastAsia="Times New Roman"/>
        </w:rPr>
        <w:t>del 20</w:t>
      </w:r>
      <w:r w:rsidR="0093789F" w:rsidRPr="00E1125C">
        <w:rPr>
          <w:rFonts w:eastAsia="Times New Roman"/>
        </w:rPr>
        <w:t>20</w:t>
      </w:r>
      <w:r w:rsidR="006C29C4" w:rsidRPr="00E1125C">
        <w:rPr>
          <w:rFonts w:eastAsia="Times New Roman"/>
        </w:rPr>
        <w:t xml:space="preserve"> es un trabajo</w:t>
      </w:r>
      <w:r w:rsidR="00C02DBD" w:rsidRPr="00E1125C">
        <w:rPr>
          <w:rFonts w:eastAsia="Times New Roman"/>
        </w:rPr>
        <w:t xml:space="preserve"> </w:t>
      </w:r>
      <w:r w:rsidR="006C29C4" w:rsidRPr="00E1125C">
        <w:rPr>
          <w:rFonts w:eastAsia="Times New Roman"/>
        </w:rPr>
        <w:t>que se orienta fundamentalmente a estudiar la concentración espacial-geográfi</w:t>
      </w:r>
      <w:r w:rsidR="007A7A33" w:rsidRPr="00E1125C">
        <w:rPr>
          <w:rFonts w:eastAsia="Times New Roman"/>
        </w:rPr>
        <w:t>ca</w:t>
      </w:r>
      <w:r w:rsidR="00C77B0F" w:rsidRPr="00E1125C">
        <w:rPr>
          <w:rFonts w:eastAsia="Times New Roman"/>
        </w:rPr>
        <w:t xml:space="preserve"> (</w:t>
      </w:r>
      <w:proofErr w:type="gramStart"/>
      <w:r w:rsidR="00C77B0F" w:rsidRPr="00E1125C">
        <w:rPr>
          <w:rFonts w:eastAsia="Times New Roman"/>
        </w:rPr>
        <w:t>in</w:t>
      </w:r>
      <w:r w:rsidR="00C004B4" w:rsidRPr="00E1125C">
        <w:rPr>
          <w:rFonts w:eastAsia="Times New Roman"/>
        </w:rPr>
        <w:t xml:space="preserve">ter </w:t>
      </w:r>
      <w:r w:rsidR="00C77B0F" w:rsidRPr="00E1125C">
        <w:rPr>
          <w:rFonts w:eastAsia="Times New Roman"/>
        </w:rPr>
        <w:t>regional</w:t>
      </w:r>
      <w:proofErr w:type="gramEnd"/>
      <w:r w:rsidR="007B60C7" w:rsidRPr="00E1125C">
        <w:rPr>
          <w:rFonts w:eastAsia="Times New Roman"/>
        </w:rPr>
        <w:t xml:space="preserve"> e in</w:t>
      </w:r>
      <w:r w:rsidR="00C004B4" w:rsidRPr="00E1125C">
        <w:rPr>
          <w:rFonts w:eastAsia="Times New Roman"/>
        </w:rPr>
        <w:t>ter</w:t>
      </w:r>
      <w:r w:rsidR="007B60C7" w:rsidRPr="00E1125C">
        <w:rPr>
          <w:rFonts w:eastAsia="Times New Roman"/>
        </w:rPr>
        <w:t xml:space="preserve"> sectorial</w:t>
      </w:r>
      <w:r w:rsidR="00C77B0F" w:rsidRPr="00E1125C">
        <w:rPr>
          <w:rFonts w:eastAsia="Times New Roman"/>
        </w:rPr>
        <w:t>)</w:t>
      </w:r>
      <w:r w:rsidR="007A7A33" w:rsidRPr="00E1125C">
        <w:rPr>
          <w:rFonts w:eastAsia="Times New Roman"/>
        </w:rPr>
        <w:t xml:space="preserve"> de los establecimientos económicos del país y sus relaciones comerciales y productivas</w:t>
      </w:r>
      <w:r w:rsidR="00C77B0F" w:rsidRPr="00E1125C">
        <w:rPr>
          <w:rFonts w:eastAsia="Times New Roman"/>
        </w:rPr>
        <w:t>.</w:t>
      </w:r>
      <w:r w:rsidR="0092453F" w:rsidRPr="00E1125C">
        <w:rPr>
          <w:rFonts w:eastAsia="Times New Roman"/>
        </w:rPr>
        <w:t xml:space="preserve">  Su objetivo es el de contribuir con </w:t>
      </w:r>
      <w:r w:rsidR="005E302C" w:rsidRPr="00E1125C">
        <w:rPr>
          <w:rFonts w:eastAsia="Times New Roman"/>
        </w:rPr>
        <w:t xml:space="preserve">la descripción y </w:t>
      </w:r>
      <w:r w:rsidR="0092453F" w:rsidRPr="00E1125C">
        <w:rPr>
          <w:rFonts w:eastAsia="Times New Roman"/>
        </w:rPr>
        <w:t xml:space="preserve">el diagnóstico de dicha concentración económica y ofrecer </w:t>
      </w:r>
      <w:r w:rsidR="00027B5B" w:rsidRPr="00E1125C">
        <w:rPr>
          <w:rFonts w:eastAsia="Times New Roman"/>
        </w:rPr>
        <w:t xml:space="preserve">medios e instrumentos para la formulación de política pública que favorezca la desconcentración </w:t>
      </w:r>
      <w:r w:rsidR="006749EB">
        <w:rPr>
          <w:rFonts w:eastAsia="Times New Roman"/>
        </w:rPr>
        <w:t>geográfica (</w:t>
      </w:r>
      <w:r w:rsidR="00C81C42" w:rsidRPr="00E1125C">
        <w:rPr>
          <w:rFonts w:eastAsia="Times New Roman"/>
        </w:rPr>
        <w:t>territorial-</w:t>
      </w:r>
      <w:r w:rsidR="00903125" w:rsidRPr="00E1125C">
        <w:rPr>
          <w:rFonts w:eastAsia="Times New Roman"/>
        </w:rPr>
        <w:t>regional</w:t>
      </w:r>
      <w:r w:rsidR="006749EB">
        <w:rPr>
          <w:rFonts w:eastAsia="Times New Roman"/>
        </w:rPr>
        <w:t>)</w:t>
      </w:r>
      <w:r w:rsidR="00903125" w:rsidRPr="00E1125C">
        <w:rPr>
          <w:rFonts w:eastAsia="Times New Roman"/>
        </w:rPr>
        <w:t>.</w:t>
      </w:r>
      <w:r w:rsidR="00FE4FA7" w:rsidRPr="00E1125C">
        <w:rPr>
          <w:rFonts w:eastAsia="Times New Roman"/>
        </w:rPr>
        <w:t xml:space="preserve">  Como se comprenderá tampoco aborda el problema de la concentración del capital</w:t>
      </w:r>
      <w:r w:rsidR="00A47031" w:rsidRPr="00E1125C">
        <w:rPr>
          <w:rFonts w:eastAsia="Times New Roman"/>
        </w:rPr>
        <w:t>,</w:t>
      </w:r>
      <w:r w:rsidR="00215BD0" w:rsidRPr="00E1125C">
        <w:rPr>
          <w:rFonts w:eastAsia="Times New Roman"/>
        </w:rPr>
        <w:t xml:space="preserve"> propiamente dicha</w:t>
      </w:r>
      <w:r w:rsidR="0086461F" w:rsidRPr="00E1125C">
        <w:rPr>
          <w:rFonts w:eastAsia="Times New Roman"/>
        </w:rPr>
        <w:t>,</w:t>
      </w:r>
      <w:r w:rsidR="00215BD0" w:rsidRPr="00E1125C">
        <w:rPr>
          <w:rFonts w:eastAsia="Times New Roman"/>
        </w:rPr>
        <w:t xml:space="preserve"> y la concentración de la producción en</w:t>
      </w:r>
      <w:r w:rsidR="005E302C" w:rsidRPr="00E1125C">
        <w:rPr>
          <w:rFonts w:eastAsia="Times New Roman"/>
        </w:rPr>
        <w:t xml:space="preserve"> nuestra econ</w:t>
      </w:r>
      <w:r w:rsidR="00A47031" w:rsidRPr="00E1125C">
        <w:rPr>
          <w:rFonts w:eastAsia="Times New Roman"/>
        </w:rPr>
        <w:t>o</w:t>
      </w:r>
      <w:r w:rsidR="005E302C" w:rsidRPr="00E1125C">
        <w:rPr>
          <w:rFonts w:eastAsia="Times New Roman"/>
        </w:rPr>
        <w:t>mía.</w:t>
      </w:r>
    </w:p>
    <w:p w14:paraId="25D295EF" w14:textId="43125594" w:rsidR="00BA32E3" w:rsidRPr="00E1125C" w:rsidRDefault="00960D50" w:rsidP="00B91EA3">
      <w:pPr>
        <w:ind w:firstLine="708"/>
        <w:divId w:val="896207275"/>
        <w:rPr>
          <w:rFonts w:eastAsia="Times New Roman"/>
        </w:rPr>
      </w:pPr>
      <w:r w:rsidRPr="00E1125C">
        <w:rPr>
          <w:rFonts w:eastAsia="Times New Roman"/>
        </w:rPr>
        <w:t>Finalmente</w:t>
      </w:r>
      <w:r w:rsidR="00D75CF6" w:rsidRPr="00E1125C">
        <w:rPr>
          <w:rFonts w:eastAsia="Times New Roman"/>
        </w:rPr>
        <w:t xml:space="preserve"> debe</w:t>
      </w:r>
      <w:r w:rsidR="004F2F7E" w:rsidRPr="00E1125C">
        <w:rPr>
          <w:rFonts w:eastAsia="Times New Roman"/>
        </w:rPr>
        <w:t>mos</w:t>
      </w:r>
      <w:r w:rsidR="00D75CF6" w:rsidRPr="00E1125C">
        <w:rPr>
          <w:rFonts w:eastAsia="Times New Roman"/>
        </w:rPr>
        <w:t xml:space="preserve"> mencionar el trabajo de Carlos Izurieta</w:t>
      </w:r>
      <w:r w:rsidR="00D038B2" w:rsidRPr="00E1125C">
        <w:rPr>
          <w:rFonts w:eastAsia="Times New Roman"/>
        </w:rPr>
        <w:t xml:space="preserve"> (1988)</w:t>
      </w:r>
      <w:r w:rsidR="004F2F7E" w:rsidRPr="00E1125C">
        <w:rPr>
          <w:rFonts w:eastAsia="Times New Roman"/>
        </w:rPr>
        <w:t xml:space="preserve">, sin duda </w:t>
      </w:r>
      <w:r w:rsidR="00FB2890" w:rsidRPr="00E1125C">
        <w:rPr>
          <w:rFonts w:eastAsia="Times New Roman"/>
        </w:rPr>
        <w:t>un</w:t>
      </w:r>
      <w:r w:rsidR="00897911" w:rsidRPr="00E1125C">
        <w:rPr>
          <w:rFonts w:eastAsia="Times New Roman"/>
        </w:rPr>
        <w:t xml:space="preserve"> estudio</w:t>
      </w:r>
      <w:r w:rsidR="00FB2890" w:rsidRPr="00E1125C">
        <w:rPr>
          <w:rFonts w:eastAsia="Times New Roman"/>
        </w:rPr>
        <w:t xml:space="preserve"> germinal </w:t>
      </w:r>
      <w:r w:rsidR="00085350" w:rsidRPr="00E1125C">
        <w:rPr>
          <w:rFonts w:eastAsia="Times New Roman"/>
        </w:rPr>
        <w:t>que</w:t>
      </w:r>
      <w:r w:rsidR="00313BB4" w:rsidRPr="00E1125C">
        <w:rPr>
          <w:rFonts w:eastAsia="Times New Roman"/>
        </w:rPr>
        <w:t>,</w:t>
      </w:r>
      <w:r w:rsidR="00085350" w:rsidRPr="00E1125C">
        <w:rPr>
          <w:rFonts w:eastAsia="Times New Roman"/>
        </w:rPr>
        <w:t xml:space="preserve"> lamentablemente, al menos de</w:t>
      </w:r>
      <w:r w:rsidR="00A479C4" w:rsidRPr="00E1125C">
        <w:rPr>
          <w:rFonts w:eastAsia="Times New Roman"/>
        </w:rPr>
        <w:t xml:space="preserve"> lo que pudimos constatar</w:t>
      </w:r>
      <w:r w:rsidR="00564525" w:rsidRPr="00E1125C">
        <w:rPr>
          <w:rFonts w:eastAsia="Times New Roman"/>
        </w:rPr>
        <w:t xml:space="preserve"> con </w:t>
      </w:r>
      <w:r w:rsidR="00085350" w:rsidRPr="00E1125C">
        <w:rPr>
          <w:rFonts w:eastAsia="Times New Roman"/>
        </w:rPr>
        <w:t>nuestro trabajo de investigación</w:t>
      </w:r>
      <w:r w:rsidR="00B661E8" w:rsidRPr="00E1125C">
        <w:rPr>
          <w:rFonts w:eastAsia="Times New Roman"/>
        </w:rPr>
        <w:t>,</w:t>
      </w:r>
      <w:r w:rsidR="00085350" w:rsidRPr="00E1125C">
        <w:rPr>
          <w:rFonts w:eastAsia="Times New Roman"/>
        </w:rPr>
        <w:t xml:space="preserve"> no se continuó</w:t>
      </w:r>
      <w:r w:rsidR="00D75CF6" w:rsidRPr="00E1125C">
        <w:rPr>
          <w:rFonts w:eastAsia="Times New Roman"/>
        </w:rPr>
        <w:t xml:space="preserve"> </w:t>
      </w:r>
      <w:r w:rsidR="00CD6AFD" w:rsidRPr="00E1125C">
        <w:rPr>
          <w:rFonts w:eastAsia="Times New Roman"/>
        </w:rPr>
        <w:t>en los centros de investigación económica del país.</w:t>
      </w:r>
      <w:r w:rsidR="008C3119" w:rsidRPr="00E1125C">
        <w:rPr>
          <w:rFonts w:eastAsia="Times New Roman"/>
        </w:rPr>
        <w:t xml:space="preserve"> </w:t>
      </w:r>
      <w:r w:rsidR="00227B1C" w:rsidRPr="00E1125C">
        <w:rPr>
          <w:rFonts w:eastAsia="Times New Roman"/>
        </w:rPr>
        <w:t xml:space="preserve"> </w:t>
      </w:r>
      <w:r w:rsidR="003F1BE4" w:rsidRPr="00E1125C">
        <w:rPr>
          <w:rFonts w:eastAsia="Times New Roman"/>
        </w:rPr>
        <w:t>E</w:t>
      </w:r>
      <w:r w:rsidR="008C3119" w:rsidRPr="00E1125C">
        <w:rPr>
          <w:rFonts w:eastAsia="Times New Roman"/>
        </w:rPr>
        <w:t>s un estudio metodológicamente cuidad de la concentración de la producción en el sector industrial</w:t>
      </w:r>
      <w:r w:rsidR="00320B0F" w:rsidRPr="00E1125C">
        <w:rPr>
          <w:rFonts w:eastAsia="Times New Roman"/>
        </w:rPr>
        <w:t xml:space="preserve"> (manufacturero)</w:t>
      </w:r>
      <w:r w:rsidR="008C3119" w:rsidRPr="00E1125C">
        <w:rPr>
          <w:rFonts w:eastAsia="Times New Roman"/>
        </w:rPr>
        <w:t xml:space="preserve"> del país.  Su primer propósito es el de medir la concentración del sector manufacturero y el segundo, por la época en que se lleva a cabo, e</w:t>
      </w:r>
      <w:r w:rsidR="008A08CD" w:rsidRPr="00E1125C">
        <w:rPr>
          <w:rFonts w:eastAsia="Times New Roman"/>
        </w:rPr>
        <w:t>l</w:t>
      </w:r>
      <w:r w:rsidR="008C3119" w:rsidRPr="00E1125C">
        <w:rPr>
          <w:rFonts w:eastAsia="Times New Roman"/>
        </w:rPr>
        <w:t xml:space="preserve"> de analizar la transformación estructural de este sector.  Con las políticas económicas de industrialización de la época, impulsadas por la CEPAL, </w:t>
      </w:r>
      <w:r w:rsidR="008C3119" w:rsidRPr="00E1125C">
        <w:rPr>
          <w:rFonts w:eastAsia="Times New Roman"/>
        </w:rPr>
        <w:lastRenderedPageBreak/>
        <w:t>el estudio llega a la conclusión de que en el decenio que va de 1964 al 1975 (</w:t>
      </w:r>
      <w:r w:rsidR="006A4E74" w:rsidRPr="00E1125C">
        <w:rPr>
          <w:rFonts w:eastAsia="Times New Roman"/>
        </w:rPr>
        <w:t>é</w:t>
      </w:r>
      <w:r w:rsidR="008C3119" w:rsidRPr="00E1125C">
        <w:rPr>
          <w:rFonts w:eastAsia="Times New Roman"/>
        </w:rPr>
        <w:t>se el rango de datos de que dispuso), no hay transformaciones importantes en la estructura del sector industrial de Costa Rica.  No obstante, el estudio de Izurieta constata una alta concentración en el mencionado sector ya en 1964 que aumenta de forma importante en el decenio estudiado (Izurieta, 1988, p.1354).</w:t>
      </w:r>
      <w:r w:rsidR="00487EEB" w:rsidRPr="00E1125C">
        <w:rPr>
          <w:rStyle w:val="Refdenotaalpie"/>
          <w:rFonts w:eastAsia="Times New Roman"/>
        </w:rPr>
        <w:footnoteReference w:id="7"/>
      </w:r>
    </w:p>
    <w:p w14:paraId="0F16FAD5" w14:textId="23B76D02" w:rsidR="00DD1F7C" w:rsidRPr="00E1125C" w:rsidRDefault="00345559" w:rsidP="00DD1F7C">
      <w:pPr>
        <w:pStyle w:val="Ttulo2"/>
        <w:rPr>
          <w:rFonts w:eastAsia="Times New Roman"/>
        </w:rPr>
      </w:pPr>
      <w:r w:rsidRPr="00E1125C">
        <w:rPr>
          <w:rFonts w:eastAsia="Times New Roman"/>
        </w:rPr>
        <w:t xml:space="preserve">4- </w:t>
      </w:r>
      <w:r w:rsidR="00DD1F7C" w:rsidRPr="00E1125C">
        <w:rPr>
          <w:rFonts w:eastAsia="Times New Roman"/>
        </w:rPr>
        <w:t>El origen de los datos</w:t>
      </w:r>
      <w:r w:rsidR="00E065A9" w:rsidRPr="00E1125C">
        <w:rPr>
          <w:rFonts w:eastAsia="Times New Roman"/>
        </w:rPr>
        <w:t xml:space="preserve"> y consideraciones metodológicas</w:t>
      </w:r>
    </w:p>
    <w:p w14:paraId="270919B2" w14:textId="4EF819B0" w:rsidR="00A26BA5" w:rsidRPr="00E1125C" w:rsidRDefault="008A2EB7" w:rsidP="00A06703">
      <w:pPr>
        <w:ind w:firstLine="708"/>
        <w:rPr>
          <w:rFonts w:eastAsia="Times New Roman"/>
        </w:rPr>
      </w:pPr>
      <w:r>
        <w:rPr>
          <w:rFonts w:eastAsia="Times New Roman"/>
        </w:rPr>
        <w:t xml:space="preserve">A parte del estudio de Izurieta, que como se dijo no es posible utilizarlo como referente para ilustrar la discusión teórica de la primera parte por su antigüedad y referencia a una estructura productiva distinta a la actual, los otros trabajos reseñados no ofrecen la información que buscábamos. </w:t>
      </w:r>
      <w:r w:rsidR="006749EB">
        <w:rPr>
          <w:rFonts w:eastAsia="Times New Roman"/>
        </w:rPr>
        <w:t xml:space="preserve"> </w:t>
      </w:r>
      <w:r w:rsidR="00893FB4" w:rsidRPr="00E1125C">
        <w:rPr>
          <w:rFonts w:eastAsia="Times New Roman"/>
        </w:rPr>
        <w:t>Para ofrecer al lector elementos empíricos que confronten el análisis teórico deductivo que se hizo en los artículos reseñados</w:t>
      </w:r>
      <w:r>
        <w:rPr>
          <w:rFonts w:eastAsia="Times New Roman"/>
        </w:rPr>
        <w:t xml:space="preserve"> </w:t>
      </w:r>
      <w:r w:rsidR="00893FB4" w:rsidRPr="00E1125C">
        <w:rPr>
          <w:rFonts w:eastAsia="Times New Roman"/>
        </w:rPr>
        <w:t xml:space="preserve">hemos llevado a cabo un estudio sobre la concentración productiva en que se encuentran los principales sectores de la producción </w:t>
      </w:r>
      <w:r w:rsidR="005050A9" w:rsidRPr="00E1125C">
        <w:rPr>
          <w:rFonts w:eastAsia="Times New Roman"/>
        </w:rPr>
        <w:t>en Costa Rica</w:t>
      </w:r>
      <w:r w:rsidR="00893FB4" w:rsidRPr="00E1125C">
        <w:rPr>
          <w:rFonts w:eastAsia="Times New Roman"/>
        </w:rPr>
        <w:t>.</w:t>
      </w:r>
    </w:p>
    <w:p w14:paraId="744CAD33" w14:textId="1A4792CD" w:rsidR="000A0F78" w:rsidRPr="00E1125C" w:rsidRDefault="000A0F78" w:rsidP="00A06703">
      <w:pPr>
        <w:ind w:firstLine="708"/>
        <w:rPr>
          <w:rFonts w:eastAsia="Times New Roman"/>
        </w:rPr>
      </w:pPr>
      <w:r w:rsidRPr="00E1125C">
        <w:rPr>
          <w:rFonts w:eastAsia="Times New Roman"/>
        </w:rPr>
        <w:t>Para</w:t>
      </w:r>
      <w:r w:rsidR="00893FB4" w:rsidRPr="00E1125C">
        <w:rPr>
          <w:rFonts w:eastAsia="Times New Roman"/>
        </w:rPr>
        <w:t xml:space="preserve"> ello </w:t>
      </w:r>
      <w:r w:rsidR="00870C97" w:rsidRPr="00E1125C">
        <w:rPr>
          <w:rFonts w:eastAsia="Times New Roman"/>
        </w:rPr>
        <w:t>s</w:t>
      </w:r>
      <w:r w:rsidR="00893FB4" w:rsidRPr="00E1125C">
        <w:rPr>
          <w:rFonts w:eastAsia="Times New Roman"/>
        </w:rPr>
        <w:t xml:space="preserve">olicitamos información </w:t>
      </w:r>
      <w:r w:rsidRPr="00E1125C">
        <w:rPr>
          <w:rFonts w:eastAsia="Times New Roman"/>
        </w:rPr>
        <w:t>sobre el número de empresas en esos sectores y sus tamaños tanto al Instituto Nacional de Estadística y Censos, como al Banco Central de Costa Rica</w:t>
      </w:r>
      <w:r w:rsidR="00F62507" w:rsidRPr="00E1125C">
        <w:rPr>
          <w:rFonts w:eastAsia="Times New Roman"/>
        </w:rPr>
        <w:t xml:space="preserve"> (BCCR)</w:t>
      </w:r>
      <w:r w:rsidRPr="00E1125C">
        <w:rPr>
          <w:rFonts w:eastAsia="Times New Roman"/>
        </w:rPr>
        <w:t>.</w:t>
      </w:r>
    </w:p>
    <w:p w14:paraId="7DD3E45F" w14:textId="09A79693" w:rsidR="000A0F78" w:rsidRPr="00E1125C" w:rsidRDefault="000A0F78" w:rsidP="00A06703">
      <w:pPr>
        <w:ind w:firstLine="708"/>
        <w:rPr>
          <w:rFonts w:eastAsia="Times New Roman"/>
        </w:rPr>
      </w:pPr>
      <w:r w:rsidRPr="00E1125C">
        <w:rPr>
          <w:rFonts w:eastAsia="Times New Roman"/>
        </w:rPr>
        <w:t xml:space="preserve">La respuesta </w:t>
      </w:r>
      <w:r w:rsidR="00B63928" w:rsidRPr="00E1125C">
        <w:rPr>
          <w:rFonts w:eastAsia="Times New Roman"/>
        </w:rPr>
        <w:t xml:space="preserve">positiva </w:t>
      </w:r>
      <w:r w:rsidR="006749EB">
        <w:rPr>
          <w:rFonts w:eastAsia="Times New Roman"/>
        </w:rPr>
        <w:t>vino</w:t>
      </w:r>
      <w:r w:rsidRPr="00E1125C">
        <w:rPr>
          <w:rFonts w:eastAsia="Times New Roman"/>
        </w:rPr>
        <w:t xml:space="preserve"> del Departamento </w:t>
      </w:r>
      <w:r w:rsidR="00B63928" w:rsidRPr="00E1125C">
        <w:rPr>
          <w:rFonts w:eastAsia="Times New Roman"/>
        </w:rPr>
        <w:t>Estadísticas Económicas del Banco Central que puso</w:t>
      </w:r>
      <w:r w:rsidR="006C6627" w:rsidRPr="00E1125C">
        <w:rPr>
          <w:rFonts w:eastAsia="Times New Roman"/>
        </w:rPr>
        <w:t xml:space="preserve"> a disposición pública</w:t>
      </w:r>
      <w:r w:rsidR="00B63928" w:rsidRPr="00E1125C">
        <w:rPr>
          <w:rFonts w:eastAsia="Times New Roman"/>
        </w:rPr>
        <w:t>, a partir de nuestra solicitud</w:t>
      </w:r>
      <w:r w:rsidR="00F63DF9" w:rsidRPr="00E1125C">
        <w:rPr>
          <w:rFonts w:eastAsia="Times New Roman"/>
        </w:rPr>
        <w:t xml:space="preserve"> con fecha 14 de junio de 2021</w:t>
      </w:r>
      <w:r w:rsidR="006C6627" w:rsidRPr="00E1125C">
        <w:rPr>
          <w:rFonts w:eastAsia="Times New Roman"/>
        </w:rPr>
        <w:t xml:space="preserve"> (inscrita </w:t>
      </w:r>
      <w:r w:rsidR="00F63DF9" w:rsidRPr="00E1125C">
        <w:rPr>
          <w:rFonts w:eastAsia="Times New Roman"/>
        </w:rPr>
        <w:t xml:space="preserve">en sus registros </w:t>
      </w:r>
      <w:r w:rsidR="006C6627" w:rsidRPr="00E1125C">
        <w:rPr>
          <w:rFonts w:eastAsia="Times New Roman"/>
        </w:rPr>
        <w:t>con #273788)</w:t>
      </w:r>
      <w:r w:rsidR="00B63928" w:rsidRPr="00E1125C">
        <w:rPr>
          <w:rFonts w:eastAsia="Times New Roman"/>
        </w:rPr>
        <w:t xml:space="preserve">, los datos integrados del número de empresas según los tamaños </w:t>
      </w:r>
      <w:r w:rsidR="00E423F4" w:rsidRPr="00E1125C">
        <w:rPr>
          <w:rFonts w:eastAsia="Times New Roman"/>
        </w:rPr>
        <w:t>Micro, Pequeña, Mediana y Grande</w:t>
      </w:r>
      <w:r w:rsidR="00B63928" w:rsidRPr="00E1125C">
        <w:rPr>
          <w:rFonts w:eastAsia="Times New Roman"/>
        </w:rPr>
        <w:t>, el número de trabajadores contratados, el monto de los salarios pagados, el monto de las exportaciones</w:t>
      </w:r>
      <w:r w:rsidR="006C6627" w:rsidRPr="00E1125C">
        <w:rPr>
          <w:rFonts w:eastAsia="Times New Roman"/>
        </w:rPr>
        <w:t xml:space="preserve"> y</w:t>
      </w:r>
      <w:r w:rsidR="00B63928" w:rsidRPr="00E1125C">
        <w:rPr>
          <w:rFonts w:eastAsia="Times New Roman"/>
        </w:rPr>
        <w:t xml:space="preserve"> el monto de la producción</w:t>
      </w:r>
      <w:r w:rsidR="006C6627" w:rsidRPr="00E1125C">
        <w:rPr>
          <w:rFonts w:eastAsia="Times New Roman"/>
        </w:rPr>
        <w:t xml:space="preserve"> llevadas a cabo por ellas,</w:t>
      </w:r>
      <w:r w:rsidR="00B63928" w:rsidRPr="00E1125C">
        <w:rPr>
          <w:rFonts w:eastAsia="Times New Roman"/>
        </w:rPr>
        <w:t xml:space="preserve"> para los años 2012 a 20</w:t>
      </w:r>
      <w:r w:rsidR="006C6627" w:rsidRPr="00E1125C">
        <w:rPr>
          <w:rFonts w:eastAsia="Times New Roman"/>
        </w:rPr>
        <w:t>18.</w:t>
      </w:r>
      <w:r w:rsidR="002A6CD8" w:rsidRPr="00E1125C">
        <w:rPr>
          <w:rStyle w:val="Refdenotaalpie"/>
          <w:rFonts w:eastAsia="Times New Roman"/>
        </w:rPr>
        <w:footnoteReference w:id="8"/>
      </w:r>
      <w:r w:rsidR="00A11FF8" w:rsidRPr="00E1125C">
        <w:rPr>
          <w:rFonts w:eastAsia="Times New Roman"/>
        </w:rPr>
        <w:t xml:space="preserve">  </w:t>
      </w:r>
    </w:p>
    <w:p w14:paraId="42EAC674" w14:textId="1EFB0386" w:rsidR="00966EDC" w:rsidRPr="00E1125C" w:rsidRDefault="00675EF4" w:rsidP="00A06703">
      <w:pPr>
        <w:ind w:firstLine="708"/>
        <w:rPr>
          <w:rFonts w:eastAsia="Times New Roman"/>
        </w:rPr>
      </w:pPr>
      <w:r w:rsidRPr="00E1125C">
        <w:rPr>
          <w:rFonts w:eastAsia="Times New Roman"/>
        </w:rPr>
        <w:t xml:space="preserve">De acuerdo con la información presentada </w:t>
      </w:r>
      <w:r w:rsidR="00F137A7" w:rsidRPr="00E1125C">
        <w:rPr>
          <w:rFonts w:eastAsia="Times New Roman"/>
        </w:rPr>
        <w:t>en</w:t>
      </w:r>
      <w:r w:rsidRPr="00E1125C">
        <w:rPr>
          <w:rFonts w:eastAsia="Times New Roman"/>
        </w:rPr>
        <w:t xml:space="preserve"> la base de datos, éstos fueron </w:t>
      </w:r>
      <w:r w:rsidR="008A6F30" w:rsidRPr="00E1125C">
        <w:rPr>
          <w:rFonts w:eastAsia="Times New Roman"/>
        </w:rPr>
        <w:t>“</w:t>
      </w:r>
      <w:r w:rsidRPr="00E1125C">
        <w:rPr>
          <w:rFonts w:eastAsia="Times New Roman"/>
        </w:rPr>
        <w:t>calculados a partir de la base del Registro de Variables Económicas (</w:t>
      </w:r>
      <w:proofErr w:type="spellStart"/>
      <w:r w:rsidRPr="00E1125C">
        <w:rPr>
          <w:rFonts w:eastAsia="Times New Roman"/>
        </w:rPr>
        <w:t>Revec</w:t>
      </w:r>
      <w:proofErr w:type="spellEnd"/>
      <w:r w:rsidRPr="00E1125C">
        <w:rPr>
          <w:rFonts w:eastAsia="Times New Roman"/>
        </w:rPr>
        <w:t xml:space="preserve">), versión 2019, y procesado según los criterios </w:t>
      </w:r>
      <w:r w:rsidR="00DB0ADF" w:rsidRPr="00E1125C">
        <w:rPr>
          <w:rFonts w:eastAsia="Times New Roman"/>
        </w:rPr>
        <w:t>y conceptos requeridos por el BCCR para sus fines, siguiendo los lineamientos del Manual de Recomendaciones sobre Registro de Empresas de la Unión Europea.”  Asimismo, “Las agregaciones contenidas en este archivo, excluyen el sector institucional ‘Gobierno</w:t>
      </w:r>
      <w:r w:rsidR="000A03F6" w:rsidRPr="00E1125C">
        <w:rPr>
          <w:rFonts w:eastAsia="Times New Roman"/>
        </w:rPr>
        <w:t>’</w:t>
      </w:r>
      <w:r w:rsidR="00DB0ADF" w:rsidRPr="00E1125C">
        <w:rPr>
          <w:rFonts w:eastAsia="Times New Roman"/>
        </w:rPr>
        <w:t xml:space="preserve"> (definido en el capítulo 6 del Manual de Cuentas Nacionales, 2008)”.</w:t>
      </w:r>
    </w:p>
    <w:p w14:paraId="190BDB83" w14:textId="46D77B7E" w:rsidR="00DA0A5F" w:rsidRPr="00E1125C" w:rsidRDefault="00966EDC" w:rsidP="00A06703">
      <w:pPr>
        <w:ind w:firstLine="708"/>
        <w:rPr>
          <w:rFonts w:eastAsia="Times New Roman"/>
        </w:rPr>
      </w:pPr>
      <w:r w:rsidRPr="00E1125C">
        <w:rPr>
          <w:rFonts w:eastAsia="Times New Roman"/>
        </w:rPr>
        <w:t xml:space="preserve">Con base a esa información </w:t>
      </w:r>
      <w:r w:rsidR="008E04DE" w:rsidRPr="00E1125C">
        <w:rPr>
          <w:rFonts w:eastAsia="Times New Roman"/>
        </w:rPr>
        <w:t>nos abocamos a</w:t>
      </w:r>
      <w:r w:rsidRPr="00E1125C">
        <w:rPr>
          <w:rFonts w:eastAsia="Times New Roman"/>
        </w:rPr>
        <w:t xml:space="preserve"> un laborioso proceso de ordenamiento </w:t>
      </w:r>
      <w:r w:rsidR="00CF17B3" w:rsidRPr="00E1125C">
        <w:rPr>
          <w:rFonts w:eastAsia="Times New Roman"/>
        </w:rPr>
        <w:t xml:space="preserve">y cómputo de datos que nos permitió tener información sobre el </w:t>
      </w:r>
      <w:r w:rsidR="00CF17B3" w:rsidRPr="00E1125C">
        <w:rPr>
          <w:rFonts w:eastAsia="Times New Roman"/>
        </w:rPr>
        <w:lastRenderedPageBreak/>
        <w:t xml:space="preserve">número de empresas según sus tamaños (micro, pequeña, mediana y grande) en los principales sectores de la producción nacional, que para efectos de esta investigación </w:t>
      </w:r>
      <w:r w:rsidR="006A29E3" w:rsidRPr="00E1125C">
        <w:rPr>
          <w:rFonts w:eastAsia="Times New Roman"/>
        </w:rPr>
        <w:t>se escogieron</w:t>
      </w:r>
      <w:r w:rsidR="00487434" w:rsidRPr="00E1125C">
        <w:rPr>
          <w:rFonts w:eastAsia="Times New Roman"/>
        </w:rPr>
        <w:t xml:space="preserve"> </w:t>
      </w:r>
      <w:r w:rsidR="00CF17B3" w:rsidRPr="00E1125C">
        <w:rPr>
          <w:rFonts w:eastAsia="Times New Roman"/>
        </w:rPr>
        <w:t>Agropecuario, Manufacturero, Construcción y Comercio General</w:t>
      </w:r>
      <w:r w:rsidR="00591C64" w:rsidRPr="00E1125C">
        <w:rPr>
          <w:rFonts w:eastAsia="Times New Roman"/>
        </w:rPr>
        <w:t xml:space="preserve"> (</w:t>
      </w:r>
      <w:r w:rsidR="0066259C" w:rsidRPr="00E1125C">
        <w:rPr>
          <w:rFonts w:eastAsia="Times New Roman"/>
        </w:rPr>
        <w:t xml:space="preserve">juntos representan </w:t>
      </w:r>
      <w:r w:rsidR="00955948" w:rsidRPr="00E1125C">
        <w:rPr>
          <w:rFonts w:eastAsia="Times New Roman"/>
        </w:rPr>
        <w:t xml:space="preserve">más </w:t>
      </w:r>
      <w:r w:rsidR="00487434" w:rsidRPr="00E1125C">
        <w:rPr>
          <w:rFonts w:eastAsia="Times New Roman"/>
        </w:rPr>
        <w:t xml:space="preserve">más </w:t>
      </w:r>
      <w:r w:rsidR="00005066" w:rsidRPr="00E1125C">
        <w:rPr>
          <w:rFonts w:eastAsia="Times New Roman"/>
        </w:rPr>
        <w:t xml:space="preserve">de </w:t>
      </w:r>
      <w:r w:rsidR="00216B40" w:rsidRPr="00E1125C">
        <w:rPr>
          <w:rFonts w:eastAsia="Times New Roman"/>
        </w:rPr>
        <w:t>las dos terceras partes de</w:t>
      </w:r>
      <w:r w:rsidR="0066259C" w:rsidRPr="00E1125C">
        <w:rPr>
          <w:rFonts w:eastAsia="Times New Roman"/>
        </w:rPr>
        <w:t>l</w:t>
      </w:r>
      <w:r w:rsidR="002C0178" w:rsidRPr="00E1125C">
        <w:rPr>
          <w:rFonts w:eastAsia="Times New Roman"/>
        </w:rPr>
        <w:t xml:space="preserve"> total de los ingresos de las empresas </w:t>
      </w:r>
      <w:r w:rsidR="006625F1" w:rsidRPr="00E1125C">
        <w:rPr>
          <w:rFonts w:eastAsia="Times New Roman"/>
        </w:rPr>
        <w:t>reportadas en la matriz</w:t>
      </w:r>
      <w:r w:rsidR="00B60DFB" w:rsidRPr="00E1125C">
        <w:rPr>
          <w:rFonts w:eastAsia="Times New Roman"/>
        </w:rPr>
        <w:t xml:space="preserve"> denominada </w:t>
      </w:r>
      <w:r w:rsidR="003A5CB2" w:rsidRPr="00E1125C">
        <w:rPr>
          <w:rFonts w:eastAsia="Times New Roman"/>
        </w:rPr>
        <w:t>“Estadísticas Empresariales”</w:t>
      </w:r>
      <w:r w:rsidR="003058A9" w:rsidRPr="00E1125C">
        <w:rPr>
          <w:rFonts w:eastAsia="Times New Roman"/>
        </w:rPr>
        <w:t xml:space="preserve"> </w:t>
      </w:r>
      <w:r w:rsidR="00B60DFB" w:rsidRPr="00E1125C">
        <w:rPr>
          <w:rFonts w:eastAsia="Times New Roman"/>
        </w:rPr>
        <w:t xml:space="preserve">por el BCCR </w:t>
      </w:r>
      <w:r w:rsidR="00D75E63" w:rsidRPr="00E1125C">
        <w:rPr>
          <w:rFonts w:eastAsia="Times New Roman"/>
        </w:rPr>
        <w:t xml:space="preserve"> y una </w:t>
      </w:r>
      <w:r w:rsidR="0066259C" w:rsidRPr="00E1125C">
        <w:rPr>
          <w:rFonts w:eastAsia="Times New Roman"/>
        </w:rPr>
        <w:t>tercera parte del PIB</w:t>
      </w:r>
      <w:r w:rsidR="00F62507" w:rsidRPr="00E1125C">
        <w:rPr>
          <w:rFonts w:eastAsia="Times New Roman"/>
        </w:rPr>
        <w:t>)</w:t>
      </w:r>
      <w:r w:rsidR="00CF17B3" w:rsidRPr="00E1125C">
        <w:rPr>
          <w:rFonts w:eastAsia="Times New Roman"/>
        </w:rPr>
        <w:t>.</w:t>
      </w:r>
      <w:r w:rsidR="00DA0A5F" w:rsidRPr="00E1125C">
        <w:rPr>
          <w:rFonts w:eastAsia="Times New Roman"/>
        </w:rPr>
        <w:t xml:space="preserve">  Las variables que se recogi</w:t>
      </w:r>
      <w:r w:rsidR="00804E5B" w:rsidRPr="00E1125C">
        <w:rPr>
          <w:rFonts w:eastAsia="Times New Roman"/>
        </w:rPr>
        <w:t>eron</w:t>
      </w:r>
      <w:r w:rsidR="00DA0A5F" w:rsidRPr="00E1125C">
        <w:rPr>
          <w:rFonts w:eastAsia="Times New Roman"/>
        </w:rPr>
        <w:t xml:space="preserve"> en esa matriz fue</w:t>
      </w:r>
      <w:r w:rsidR="00984D4E" w:rsidRPr="00E1125C">
        <w:rPr>
          <w:rFonts w:eastAsia="Times New Roman"/>
        </w:rPr>
        <w:t>ron</w:t>
      </w:r>
      <w:r w:rsidR="00DA0A5F" w:rsidRPr="00E1125C">
        <w:rPr>
          <w:rFonts w:eastAsia="Times New Roman"/>
        </w:rPr>
        <w:t>, como se señaló, el número de empresas por los tamaños, el número de trabajadore contratados por ellas, el monto</w:t>
      </w:r>
      <w:r w:rsidR="003E5062" w:rsidRPr="00E1125C">
        <w:rPr>
          <w:rFonts w:eastAsia="Times New Roman"/>
        </w:rPr>
        <w:t xml:space="preserve"> en colones</w:t>
      </w:r>
      <w:r w:rsidR="00DA0A5F" w:rsidRPr="00E1125C">
        <w:rPr>
          <w:rFonts w:eastAsia="Times New Roman"/>
        </w:rPr>
        <w:t xml:space="preserve"> de los salarios pagados (sin cargas sociales patronales</w:t>
      </w:r>
      <w:r w:rsidR="00D40470" w:rsidRPr="00E1125C">
        <w:rPr>
          <w:rFonts w:eastAsia="Times New Roman"/>
        </w:rPr>
        <w:t>,</w:t>
      </w:r>
      <w:r w:rsidR="00DA0A5F" w:rsidRPr="00E1125C">
        <w:rPr>
          <w:rFonts w:eastAsia="Times New Roman"/>
        </w:rPr>
        <w:t xml:space="preserve"> pero sí de los trabajadores), el monto de las exportaciones (en dólares) y el monto</w:t>
      </w:r>
      <w:r w:rsidR="003E5062" w:rsidRPr="00E1125C">
        <w:rPr>
          <w:rFonts w:eastAsia="Times New Roman"/>
        </w:rPr>
        <w:t xml:space="preserve"> en colones</w:t>
      </w:r>
      <w:r w:rsidR="00DA0A5F" w:rsidRPr="00E1125C">
        <w:rPr>
          <w:rFonts w:eastAsia="Times New Roman"/>
        </w:rPr>
        <w:t xml:space="preserve"> de la producción (valor de las ventas de sus productos).</w:t>
      </w:r>
    </w:p>
    <w:p w14:paraId="26FFB15B" w14:textId="76A39151" w:rsidR="008A6F30" w:rsidRPr="00E1125C" w:rsidRDefault="00CF17B3" w:rsidP="008A6F30">
      <w:pPr>
        <w:ind w:firstLine="708"/>
        <w:rPr>
          <w:rFonts w:eastAsia="Times New Roman"/>
        </w:rPr>
      </w:pPr>
      <w:r w:rsidRPr="00E1125C">
        <w:rPr>
          <w:rFonts w:eastAsia="Times New Roman"/>
        </w:rPr>
        <w:t>La información de la base original fue depurada para eliminar o recalcular los datos en los pocos casos</w:t>
      </w:r>
      <w:r w:rsidR="005F5181" w:rsidRPr="00E1125C">
        <w:rPr>
          <w:rFonts w:eastAsia="Times New Roman"/>
        </w:rPr>
        <w:t xml:space="preserve"> (de los sectores productivos escogidos)</w:t>
      </w:r>
      <w:r w:rsidRPr="00E1125C">
        <w:rPr>
          <w:rFonts w:eastAsia="Times New Roman"/>
        </w:rPr>
        <w:t xml:space="preserve"> en los que la confidencialidad reservada por los recolectores imp</w:t>
      </w:r>
      <w:r w:rsidR="00DA0A5F" w:rsidRPr="00E1125C">
        <w:rPr>
          <w:rFonts w:eastAsia="Times New Roman"/>
        </w:rPr>
        <w:t>edía tener el dato exacto.</w:t>
      </w:r>
      <w:r w:rsidR="000A03F6" w:rsidRPr="00E1125C">
        <w:rPr>
          <w:rFonts w:eastAsia="Times New Roman"/>
        </w:rPr>
        <w:t xml:space="preserve">  En esos casos el dato faltante se sustituyó por el valor</w:t>
      </w:r>
      <w:r w:rsidR="00F62507" w:rsidRPr="00E1125C">
        <w:rPr>
          <w:rFonts w:eastAsia="Times New Roman"/>
        </w:rPr>
        <w:t xml:space="preserve"> promedio</w:t>
      </w:r>
      <w:r w:rsidR="000A03F6" w:rsidRPr="00E1125C">
        <w:rPr>
          <w:rFonts w:eastAsia="Times New Roman"/>
        </w:rPr>
        <w:t xml:space="preserve"> </w:t>
      </w:r>
      <w:r w:rsidR="003F0B6D" w:rsidRPr="00E1125C">
        <w:rPr>
          <w:rFonts w:eastAsia="Times New Roman"/>
        </w:rPr>
        <w:t xml:space="preserve">del año inmediatamente anterior </w:t>
      </w:r>
      <w:r w:rsidR="00F62507" w:rsidRPr="00E1125C">
        <w:rPr>
          <w:rFonts w:eastAsia="Times New Roman"/>
        </w:rPr>
        <w:t>y</w:t>
      </w:r>
      <w:r w:rsidR="003F0B6D" w:rsidRPr="00E1125C">
        <w:rPr>
          <w:rFonts w:eastAsia="Times New Roman"/>
        </w:rPr>
        <w:t xml:space="preserve"> posterior según el número de unidades jurídicas existentes en esos años.</w:t>
      </w:r>
    </w:p>
    <w:p w14:paraId="410456A4" w14:textId="116F530B" w:rsidR="004E12BE" w:rsidRPr="00E1125C" w:rsidRDefault="004E12BE" w:rsidP="008A6F30">
      <w:pPr>
        <w:ind w:firstLine="708"/>
        <w:rPr>
          <w:rFonts w:eastAsia="Times New Roman"/>
        </w:rPr>
      </w:pPr>
      <w:r w:rsidRPr="00E1125C">
        <w:rPr>
          <w:rFonts w:eastAsia="Times New Roman"/>
        </w:rPr>
        <w:t>Como primer paso revisamos las distribuciones de los valores de las cuatro variable</w:t>
      </w:r>
      <w:r w:rsidR="00614243" w:rsidRPr="00E1125C">
        <w:rPr>
          <w:rFonts w:eastAsia="Times New Roman"/>
        </w:rPr>
        <w:t>s</w:t>
      </w:r>
      <w:r w:rsidRPr="00E1125C">
        <w:rPr>
          <w:rFonts w:eastAsia="Times New Roman"/>
        </w:rPr>
        <w:t xml:space="preserve"> </w:t>
      </w:r>
      <w:r w:rsidR="00614243" w:rsidRPr="00E1125C">
        <w:rPr>
          <w:rFonts w:eastAsia="Times New Roman"/>
        </w:rPr>
        <w:t xml:space="preserve">recogidas en la base de datos ofrecidos por el BCCR, agrupadas según tamaño de empresa </w:t>
      </w:r>
      <w:r w:rsidR="00E423F4" w:rsidRPr="00E1125C">
        <w:rPr>
          <w:rFonts w:eastAsia="Times New Roman"/>
        </w:rPr>
        <w:t>en cuatro clases, como ya se dijo</w:t>
      </w:r>
      <w:r w:rsidR="00614243" w:rsidRPr="00E1125C">
        <w:rPr>
          <w:rFonts w:eastAsia="Times New Roman"/>
        </w:rPr>
        <w:t xml:space="preserve">: Micro, Pequeña, Mediana y Grande.  Las variables </w:t>
      </w:r>
      <w:r w:rsidR="000A5114" w:rsidRPr="00E1125C">
        <w:rPr>
          <w:rFonts w:eastAsia="Times New Roman"/>
        </w:rPr>
        <w:t xml:space="preserve">cuantificadas para esas clases son: Número de Empresas, Número de trabajadores contratados, Monto de los salarios pagados, Monto de las exportaciones y Monto de la producción, para el lapso del año 2012 al 2018.  El análisis que hicimos fue observar para los sectores </w:t>
      </w:r>
      <w:r w:rsidR="00BD6348" w:rsidRPr="00E1125C">
        <w:rPr>
          <w:rFonts w:eastAsia="Times New Roman"/>
        </w:rPr>
        <w:t>mencionados</w:t>
      </w:r>
      <w:r w:rsidR="00E423F4" w:rsidRPr="00E1125C">
        <w:rPr>
          <w:rFonts w:eastAsia="Times New Roman"/>
        </w:rPr>
        <w:t xml:space="preserve"> </w:t>
      </w:r>
      <w:r w:rsidR="000A5114" w:rsidRPr="00E1125C">
        <w:rPr>
          <w:rFonts w:eastAsia="Times New Roman"/>
        </w:rPr>
        <w:t xml:space="preserve">la participación de las Grandes </w:t>
      </w:r>
      <w:r w:rsidR="00BD6348" w:rsidRPr="00E1125C">
        <w:rPr>
          <w:rFonts w:eastAsia="Times New Roman"/>
        </w:rPr>
        <w:t>E</w:t>
      </w:r>
      <w:r w:rsidR="000A5114" w:rsidRPr="00E1125C">
        <w:rPr>
          <w:rFonts w:eastAsia="Times New Roman"/>
        </w:rPr>
        <w:t>mpresas en el total de</w:t>
      </w:r>
      <w:r w:rsidR="00FE191C" w:rsidRPr="00E1125C">
        <w:rPr>
          <w:rFonts w:eastAsia="Times New Roman"/>
        </w:rPr>
        <w:t>l valor correspondiente.</w:t>
      </w:r>
    </w:p>
    <w:p w14:paraId="28DBA292" w14:textId="129CC21B" w:rsidR="00E05B76" w:rsidRPr="00E1125C" w:rsidRDefault="00E05B76" w:rsidP="008A6F30">
      <w:pPr>
        <w:ind w:firstLine="708"/>
        <w:rPr>
          <w:rFonts w:eastAsia="Times New Roman"/>
        </w:rPr>
      </w:pPr>
      <w:r w:rsidRPr="00E1125C">
        <w:rPr>
          <w:rFonts w:eastAsia="Times New Roman"/>
        </w:rPr>
        <w:t>La definición de las clases de empresa fue solicitada</w:t>
      </w:r>
      <w:r w:rsidR="00B4506A" w:rsidRPr="00E1125C">
        <w:rPr>
          <w:rFonts w:eastAsia="Times New Roman"/>
        </w:rPr>
        <w:t xml:space="preserve"> el 25 de enero de 2022</w:t>
      </w:r>
      <w:r w:rsidRPr="00E1125C">
        <w:rPr>
          <w:rFonts w:eastAsia="Times New Roman"/>
        </w:rPr>
        <w:t xml:space="preserve"> a</w:t>
      </w:r>
      <w:r w:rsidR="006F4BBE" w:rsidRPr="00E1125C">
        <w:rPr>
          <w:rFonts w:eastAsia="Times New Roman"/>
        </w:rPr>
        <w:t>l</w:t>
      </w:r>
      <w:r w:rsidRPr="00E1125C">
        <w:rPr>
          <w:rFonts w:eastAsia="Times New Roman"/>
        </w:rPr>
        <w:t xml:space="preserve"> Departamento de Estadísticas Económicas del BCCR, en vista de que no venían especificadas junto con la matriz de datos</w:t>
      </w:r>
      <w:r w:rsidR="00B4506A" w:rsidRPr="00E1125C">
        <w:rPr>
          <w:rFonts w:eastAsia="Times New Roman"/>
        </w:rPr>
        <w:t>.  Una primera respuesta fue enviada al día siguiente y la segunda que completa la información el 8 de febrero de ese año.</w:t>
      </w:r>
      <w:r w:rsidR="006F4BBE" w:rsidRPr="00E1125C">
        <w:rPr>
          <w:rFonts w:eastAsia="Times New Roman"/>
        </w:rPr>
        <w:t xml:space="preserve">  La definición de los tamaños de las empresas, así, es el resultado de aplicar una fórmula utilizada por el Ministerio de Industria y Comercio</w:t>
      </w:r>
      <w:r w:rsidR="006E3102" w:rsidRPr="00E1125C">
        <w:rPr>
          <w:rFonts w:eastAsia="Times New Roman"/>
        </w:rPr>
        <w:t xml:space="preserve"> </w:t>
      </w:r>
      <w:r w:rsidR="006F4BBE" w:rsidRPr="00E1125C">
        <w:rPr>
          <w:rFonts w:eastAsia="Times New Roman"/>
        </w:rPr>
        <w:t xml:space="preserve"> que asigna un puntaje</w:t>
      </w:r>
      <w:r w:rsidR="00B90F48" w:rsidRPr="00E1125C">
        <w:rPr>
          <w:rFonts w:eastAsia="Times New Roman"/>
        </w:rPr>
        <w:t xml:space="preserve"> P</w:t>
      </w:r>
      <w:r w:rsidR="006F4BBE" w:rsidRPr="00E1125C">
        <w:rPr>
          <w:rFonts w:eastAsia="Times New Roman"/>
        </w:rPr>
        <w:t xml:space="preserve"> a cada empresas en función de</w:t>
      </w:r>
      <w:r w:rsidR="00D50CE7" w:rsidRPr="00E1125C">
        <w:rPr>
          <w:rFonts w:eastAsia="Times New Roman"/>
        </w:rPr>
        <w:t>:</w:t>
      </w:r>
      <w:r w:rsidR="006F4BBE" w:rsidRPr="00E1125C">
        <w:rPr>
          <w:rFonts w:eastAsia="Times New Roman"/>
        </w:rPr>
        <w:t xml:space="preserve"> </w:t>
      </w:r>
      <w:r w:rsidR="00B90F48" w:rsidRPr="00E1125C">
        <w:rPr>
          <w:rFonts w:eastAsia="Times New Roman"/>
        </w:rPr>
        <w:t xml:space="preserve">a) </w:t>
      </w:r>
      <w:r w:rsidR="006F4BBE" w:rsidRPr="00E1125C">
        <w:rPr>
          <w:rFonts w:eastAsia="Times New Roman"/>
        </w:rPr>
        <w:t xml:space="preserve">número de trabajadores empleados, </w:t>
      </w:r>
      <w:r w:rsidR="00B90F48" w:rsidRPr="00E1125C">
        <w:rPr>
          <w:rFonts w:eastAsia="Times New Roman"/>
        </w:rPr>
        <w:t xml:space="preserve">b) </w:t>
      </w:r>
      <w:r w:rsidR="006F4BBE" w:rsidRPr="00E1125C">
        <w:rPr>
          <w:rFonts w:eastAsia="Times New Roman"/>
        </w:rPr>
        <w:t>trabajadores empleados en el último per</w:t>
      </w:r>
      <w:r w:rsidR="004F036D" w:rsidRPr="00E1125C">
        <w:rPr>
          <w:rFonts w:eastAsia="Times New Roman"/>
        </w:rPr>
        <w:t xml:space="preserve">íodo fiscal, </w:t>
      </w:r>
      <w:r w:rsidR="00B90F48" w:rsidRPr="00E1125C">
        <w:rPr>
          <w:rFonts w:eastAsia="Times New Roman"/>
        </w:rPr>
        <w:t xml:space="preserve">c) </w:t>
      </w:r>
      <w:r w:rsidR="004F036D" w:rsidRPr="00E1125C">
        <w:rPr>
          <w:rFonts w:eastAsia="Times New Roman"/>
        </w:rPr>
        <w:t xml:space="preserve">parámetro de número de trabajadores del sector respectivo, </w:t>
      </w:r>
      <w:r w:rsidR="00B90F48" w:rsidRPr="00E1125C">
        <w:rPr>
          <w:rFonts w:eastAsia="Times New Roman"/>
        </w:rPr>
        <w:t xml:space="preserve">d) </w:t>
      </w:r>
      <w:r w:rsidR="004F036D" w:rsidRPr="00E1125C">
        <w:rPr>
          <w:rFonts w:eastAsia="Times New Roman"/>
        </w:rPr>
        <w:t xml:space="preserve">factor del ingreso neto del último período fiscal (descontando devoluciones), el factor </w:t>
      </w:r>
      <w:r w:rsidR="00E916FD" w:rsidRPr="00E1125C">
        <w:rPr>
          <w:rFonts w:eastAsia="Times New Roman"/>
        </w:rPr>
        <w:t xml:space="preserve">al </w:t>
      </w:r>
      <w:r w:rsidR="004F036D" w:rsidRPr="00E1125C">
        <w:rPr>
          <w:rFonts w:eastAsia="Times New Roman"/>
        </w:rPr>
        <w:t>activo neto</w:t>
      </w:r>
      <w:r w:rsidR="00E916FD" w:rsidRPr="00E1125C">
        <w:rPr>
          <w:rFonts w:eastAsia="Times New Roman"/>
        </w:rPr>
        <w:t xml:space="preserve">, </w:t>
      </w:r>
      <w:r w:rsidR="00B90F48" w:rsidRPr="00E1125C">
        <w:rPr>
          <w:rFonts w:eastAsia="Times New Roman"/>
        </w:rPr>
        <w:t xml:space="preserve">e) </w:t>
      </w:r>
      <w:r w:rsidR="00E916FD" w:rsidRPr="00E1125C">
        <w:rPr>
          <w:rFonts w:eastAsia="Times New Roman"/>
        </w:rPr>
        <w:t>v</w:t>
      </w:r>
      <w:r w:rsidR="004F036D" w:rsidRPr="00E1125C">
        <w:rPr>
          <w:rFonts w:eastAsia="Times New Roman"/>
        </w:rPr>
        <w:t xml:space="preserve">alor de los ingresos anuales netos en el último período fiscal, </w:t>
      </w:r>
      <w:r w:rsidR="00B90F48" w:rsidRPr="00E1125C">
        <w:rPr>
          <w:rFonts w:eastAsia="Times New Roman"/>
        </w:rPr>
        <w:t xml:space="preserve">f) </w:t>
      </w:r>
      <w:r w:rsidR="004F036D" w:rsidRPr="00E1125C">
        <w:rPr>
          <w:rFonts w:eastAsia="Times New Roman"/>
        </w:rPr>
        <w:t xml:space="preserve">un parámetro monetario de referencia para </w:t>
      </w:r>
      <w:r w:rsidR="00E916FD" w:rsidRPr="00E1125C">
        <w:rPr>
          <w:rFonts w:eastAsia="Times New Roman"/>
        </w:rPr>
        <w:t>l</w:t>
      </w:r>
      <w:r w:rsidR="004F036D" w:rsidRPr="00E1125C">
        <w:rPr>
          <w:rFonts w:eastAsia="Times New Roman"/>
        </w:rPr>
        <w:t xml:space="preserve">os ingresos netos del sector correspondiente y finalmente, </w:t>
      </w:r>
      <w:r w:rsidR="00B90F48" w:rsidRPr="00E1125C">
        <w:rPr>
          <w:rFonts w:eastAsia="Times New Roman"/>
        </w:rPr>
        <w:t xml:space="preserve">g) </w:t>
      </w:r>
      <w:r w:rsidR="004F036D" w:rsidRPr="00E1125C">
        <w:rPr>
          <w:rFonts w:eastAsia="Times New Roman"/>
        </w:rPr>
        <w:t>el parámetro monetarios de referencia para los activos netos del sector correspondiente</w:t>
      </w:r>
      <w:r w:rsidR="00D50CE7" w:rsidRPr="00E1125C">
        <w:rPr>
          <w:rFonts w:eastAsia="Times New Roman"/>
        </w:rPr>
        <w:t xml:space="preserve"> (véase la fórmula</w:t>
      </w:r>
      <w:r w:rsidR="00BD6348" w:rsidRPr="00E1125C">
        <w:rPr>
          <w:rFonts w:eastAsia="Times New Roman"/>
        </w:rPr>
        <w:t xml:space="preserve"> y el resto de elementos metódicos</w:t>
      </w:r>
      <w:r w:rsidR="00D50CE7" w:rsidRPr="00E1125C">
        <w:rPr>
          <w:rFonts w:eastAsia="Times New Roman"/>
        </w:rPr>
        <w:t xml:space="preserve"> en Anexo de este trabajo)</w:t>
      </w:r>
      <w:r w:rsidR="00B019DC" w:rsidRPr="00E1125C">
        <w:rPr>
          <w:rStyle w:val="Refdenotaalpie"/>
          <w:rFonts w:eastAsia="Times New Roman"/>
        </w:rPr>
        <w:t xml:space="preserve"> </w:t>
      </w:r>
      <w:r w:rsidR="00B019DC" w:rsidRPr="00E1125C">
        <w:rPr>
          <w:rStyle w:val="Refdenotaalpie"/>
          <w:rFonts w:eastAsia="Times New Roman"/>
        </w:rPr>
        <w:footnoteReference w:id="9"/>
      </w:r>
      <w:r w:rsidR="004F036D" w:rsidRPr="00E1125C">
        <w:rPr>
          <w:rFonts w:eastAsia="Times New Roman"/>
        </w:rPr>
        <w:t>.</w:t>
      </w:r>
    </w:p>
    <w:p w14:paraId="7969EC90" w14:textId="6DD43D23" w:rsidR="00E916FD" w:rsidRPr="00E1125C" w:rsidRDefault="00E916FD" w:rsidP="00E916FD">
      <w:pPr>
        <w:ind w:firstLine="708"/>
        <w:rPr>
          <w:rFonts w:eastAsia="Times New Roman"/>
        </w:rPr>
      </w:pPr>
      <w:r w:rsidRPr="00E1125C">
        <w:rPr>
          <w:rFonts w:eastAsia="Times New Roman"/>
        </w:rPr>
        <w:t>El puntaje</w:t>
      </w:r>
      <w:r w:rsidR="0081072F" w:rsidRPr="00E1125C">
        <w:rPr>
          <w:rFonts w:eastAsia="Times New Roman"/>
        </w:rPr>
        <w:t xml:space="preserve"> P</w:t>
      </w:r>
      <w:r w:rsidRPr="00E1125C">
        <w:rPr>
          <w:rFonts w:eastAsia="Times New Roman"/>
        </w:rPr>
        <w:t xml:space="preserve"> </w:t>
      </w:r>
      <w:r w:rsidR="00B90F48" w:rsidRPr="00E1125C">
        <w:rPr>
          <w:rFonts w:eastAsia="Times New Roman"/>
        </w:rPr>
        <w:t>obtenido</w:t>
      </w:r>
      <w:r w:rsidRPr="00E1125C">
        <w:rPr>
          <w:rFonts w:eastAsia="Times New Roman"/>
        </w:rPr>
        <w:t xml:space="preserve"> </w:t>
      </w:r>
      <w:r w:rsidR="00B90F48" w:rsidRPr="00E1125C">
        <w:rPr>
          <w:rFonts w:eastAsia="Times New Roman"/>
        </w:rPr>
        <w:t>de</w:t>
      </w:r>
      <w:r w:rsidRPr="00E1125C">
        <w:rPr>
          <w:rFonts w:eastAsia="Times New Roman"/>
        </w:rPr>
        <w:t xml:space="preserve"> la aplicación de la fórmula se asigna de la siguiente manera:</w:t>
      </w:r>
    </w:p>
    <w:p w14:paraId="31B861DD" w14:textId="78C1A777" w:rsidR="00E916FD" w:rsidRPr="00E1125C" w:rsidRDefault="00E916FD" w:rsidP="00E916FD">
      <w:pPr>
        <w:ind w:firstLine="708"/>
        <w:rPr>
          <w:rFonts w:eastAsia="Times New Roman"/>
          <w:u w:val="single"/>
        </w:rPr>
      </w:pPr>
      <w:r w:rsidRPr="00E1125C">
        <w:rPr>
          <w:rFonts w:eastAsia="Times New Roman"/>
        </w:rPr>
        <w:lastRenderedPageBreak/>
        <w:t>Micro</w:t>
      </w:r>
      <w:r w:rsidR="0081072F" w:rsidRPr="00E1125C">
        <w:rPr>
          <w:rFonts w:eastAsia="Times New Roman"/>
        </w:rPr>
        <w:tab/>
      </w:r>
      <w:r w:rsidR="0081072F" w:rsidRPr="00E1125C">
        <w:rPr>
          <w:rFonts w:eastAsia="Times New Roman"/>
        </w:rPr>
        <w:tab/>
        <w:t xml:space="preserve"> 1 </w:t>
      </w:r>
      <w:proofErr w:type="gramStart"/>
      <w:r w:rsidR="0081072F" w:rsidRPr="00E1125C">
        <w:rPr>
          <w:rFonts w:eastAsia="Times New Roman"/>
        </w:rPr>
        <w:t>&lt;</w:t>
      </w:r>
      <w:r w:rsidR="00964D98" w:rsidRPr="00E1125C">
        <w:rPr>
          <w:rFonts w:eastAsia="Times New Roman"/>
        </w:rPr>
        <w:t xml:space="preserve"> </w:t>
      </w:r>
      <w:r w:rsidR="0081072F" w:rsidRPr="00E1125C">
        <w:rPr>
          <w:rFonts w:eastAsia="Times New Roman"/>
        </w:rPr>
        <w:t xml:space="preserve"> P</w:t>
      </w:r>
      <w:proofErr w:type="gramEnd"/>
      <w:r w:rsidR="0081072F" w:rsidRPr="00E1125C">
        <w:rPr>
          <w:rFonts w:eastAsia="Times New Roman"/>
        </w:rPr>
        <w:t xml:space="preserve"> </w:t>
      </w:r>
      <w:r w:rsidR="0081072F" w:rsidRPr="00E1125C">
        <w:rPr>
          <w:rFonts w:eastAsia="Times New Roman"/>
          <w:u w:val="single"/>
        </w:rPr>
        <w:t xml:space="preserve"> &gt;</w:t>
      </w:r>
      <w:r w:rsidR="00964D98" w:rsidRPr="00E1125C">
        <w:rPr>
          <w:rFonts w:eastAsia="Times New Roman"/>
        </w:rPr>
        <w:t xml:space="preserve"> </w:t>
      </w:r>
      <w:r w:rsidR="0081072F" w:rsidRPr="00E1125C">
        <w:rPr>
          <w:rFonts w:eastAsia="Times New Roman"/>
        </w:rPr>
        <w:t>10</w:t>
      </w:r>
      <w:r w:rsidR="0081072F" w:rsidRPr="00E1125C">
        <w:rPr>
          <w:rFonts w:eastAsia="Times New Roman"/>
          <w:u w:val="single"/>
        </w:rPr>
        <w:t>,</w:t>
      </w:r>
    </w:p>
    <w:p w14:paraId="42BC39A4" w14:textId="6AF38F0E" w:rsidR="0081072F" w:rsidRPr="00E1125C" w:rsidRDefault="0081072F" w:rsidP="00E916FD">
      <w:pPr>
        <w:ind w:firstLine="708"/>
        <w:rPr>
          <w:rFonts w:eastAsia="Times New Roman"/>
          <w:u w:val="single"/>
        </w:rPr>
      </w:pPr>
      <w:r w:rsidRPr="00E1125C">
        <w:rPr>
          <w:rFonts w:eastAsia="Times New Roman"/>
        </w:rPr>
        <w:t>Pequeña</w:t>
      </w:r>
      <w:r w:rsidRPr="00E1125C">
        <w:rPr>
          <w:rFonts w:eastAsia="Times New Roman"/>
        </w:rPr>
        <w:tab/>
        <w:t xml:space="preserve">10 &lt; P </w:t>
      </w:r>
      <w:r w:rsidRPr="00E1125C">
        <w:rPr>
          <w:rFonts w:eastAsia="Times New Roman"/>
          <w:u w:val="single"/>
        </w:rPr>
        <w:t>&gt;</w:t>
      </w:r>
      <w:r w:rsidR="00964D98" w:rsidRPr="00E1125C">
        <w:rPr>
          <w:rFonts w:eastAsia="Times New Roman"/>
        </w:rPr>
        <w:t xml:space="preserve"> 35</w:t>
      </w:r>
      <w:r w:rsidR="00964D98" w:rsidRPr="00E1125C">
        <w:rPr>
          <w:rFonts w:eastAsia="Times New Roman"/>
          <w:u w:val="single"/>
        </w:rPr>
        <w:t>,</w:t>
      </w:r>
    </w:p>
    <w:p w14:paraId="3E232CD2" w14:textId="1CC409AB" w:rsidR="00964D98" w:rsidRPr="00E1125C" w:rsidRDefault="00964D98" w:rsidP="00E916FD">
      <w:pPr>
        <w:ind w:firstLine="708"/>
        <w:rPr>
          <w:rFonts w:eastAsia="Times New Roman"/>
        </w:rPr>
      </w:pPr>
      <w:r w:rsidRPr="00E1125C">
        <w:rPr>
          <w:rFonts w:eastAsia="Times New Roman"/>
        </w:rPr>
        <w:t>Mediana</w:t>
      </w:r>
      <w:r w:rsidRPr="00E1125C">
        <w:rPr>
          <w:rFonts w:eastAsia="Times New Roman"/>
        </w:rPr>
        <w:tab/>
        <w:t xml:space="preserve">35 &lt; P </w:t>
      </w:r>
      <w:r w:rsidRPr="00E1125C">
        <w:rPr>
          <w:rFonts w:eastAsia="Times New Roman"/>
          <w:u w:val="single"/>
        </w:rPr>
        <w:t>&gt;</w:t>
      </w:r>
      <w:r w:rsidRPr="00E1125C">
        <w:rPr>
          <w:rFonts w:eastAsia="Times New Roman"/>
        </w:rPr>
        <w:t xml:space="preserve"> 100,</w:t>
      </w:r>
    </w:p>
    <w:p w14:paraId="30A8ABCC" w14:textId="24FD7437" w:rsidR="00964D98" w:rsidRPr="00E1125C" w:rsidRDefault="00964D98" w:rsidP="00E916FD">
      <w:pPr>
        <w:ind w:firstLine="708"/>
        <w:rPr>
          <w:rFonts w:eastAsia="Times New Roman"/>
        </w:rPr>
      </w:pPr>
      <w:r w:rsidRPr="00E1125C">
        <w:rPr>
          <w:rFonts w:eastAsia="Times New Roman"/>
        </w:rPr>
        <w:t xml:space="preserve">Grandes </w:t>
      </w:r>
      <w:r w:rsidR="00B90F48" w:rsidRPr="00E1125C">
        <w:rPr>
          <w:rFonts w:eastAsia="Times New Roman"/>
        </w:rPr>
        <w:tab/>
        <w:t>100&lt; P</w:t>
      </w:r>
      <w:r w:rsidR="006E3102" w:rsidRPr="00E1125C">
        <w:rPr>
          <w:rFonts w:eastAsia="Times New Roman"/>
        </w:rPr>
        <w:t>.</w:t>
      </w:r>
    </w:p>
    <w:p w14:paraId="2D37354D" w14:textId="25F47A99" w:rsidR="008A6F30" w:rsidRPr="00E1125C" w:rsidRDefault="008A6F30" w:rsidP="008A6F30">
      <w:pPr>
        <w:ind w:firstLine="708"/>
        <w:rPr>
          <w:rFonts w:eastAsia="Times New Roman"/>
        </w:rPr>
      </w:pPr>
      <w:r w:rsidRPr="00E1125C">
        <w:rPr>
          <w:rFonts w:eastAsia="Times New Roman"/>
        </w:rPr>
        <w:t xml:space="preserve">Como </w:t>
      </w:r>
      <w:r w:rsidR="000A5114" w:rsidRPr="00E1125C">
        <w:rPr>
          <w:rFonts w:eastAsia="Times New Roman"/>
        </w:rPr>
        <w:t>segundo</w:t>
      </w:r>
      <w:r w:rsidRPr="00E1125C">
        <w:rPr>
          <w:rFonts w:eastAsia="Times New Roman"/>
        </w:rPr>
        <w:t xml:space="preserve"> paso, decidimos calcular y analizar el índice de </w:t>
      </w:r>
      <w:proofErr w:type="spellStart"/>
      <w:r w:rsidRPr="00E1125C">
        <w:rPr>
          <w:rFonts w:eastAsia="Times New Roman"/>
        </w:rPr>
        <w:t>Herfindahl-Hirschman</w:t>
      </w:r>
      <w:proofErr w:type="spellEnd"/>
      <w:r w:rsidRPr="00E1125C">
        <w:rPr>
          <w:rFonts w:eastAsia="Times New Roman"/>
        </w:rPr>
        <w:t>, un indicador usado para evaluar el grado de concentración del mercado</w:t>
      </w:r>
      <w:r w:rsidR="00FE191C" w:rsidRPr="00E1125C">
        <w:rPr>
          <w:rFonts w:eastAsia="Times New Roman"/>
        </w:rPr>
        <w:t>;</w:t>
      </w:r>
      <w:r w:rsidRPr="00E1125C">
        <w:rPr>
          <w:rFonts w:eastAsia="Times New Roman"/>
        </w:rPr>
        <w:t xml:space="preserve"> es decir, de acuerdo con la literatura, mide si el conjunto de empresas que lo conforman muestra un</w:t>
      </w:r>
      <w:r w:rsidR="00BD6348" w:rsidRPr="00E1125C">
        <w:rPr>
          <w:rFonts w:eastAsia="Times New Roman"/>
        </w:rPr>
        <w:t xml:space="preserve"> nivel de concentración de </w:t>
      </w:r>
      <w:r w:rsidR="008A2EB7" w:rsidRPr="00E1125C">
        <w:rPr>
          <w:rFonts w:eastAsia="Times New Roman"/>
        </w:rPr>
        <w:t>carácter</w:t>
      </w:r>
      <w:r w:rsidRPr="00E1125C">
        <w:rPr>
          <w:rFonts w:eastAsia="Times New Roman"/>
        </w:rPr>
        <w:t xml:space="preserve"> oligopólico o monopólico.</w:t>
      </w:r>
      <w:r w:rsidRPr="00E1125C">
        <w:rPr>
          <w:rStyle w:val="Refdenotaalpie"/>
          <w:rFonts w:eastAsia="Times New Roman"/>
        </w:rPr>
        <w:footnoteReference w:id="10"/>
      </w:r>
      <w:r w:rsidRPr="00E1125C">
        <w:rPr>
          <w:rFonts w:eastAsia="Times New Roman"/>
        </w:rPr>
        <w:t xml:space="preserve">  Este indicador ha servido eficazmente para medir la concentración de sectores productivos y financieros (</w:t>
      </w:r>
      <w:r w:rsidR="006D3CC7" w:rsidRPr="00E1125C">
        <w:rPr>
          <w:rFonts w:eastAsia="Times New Roman"/>
        </w:rPr>
        <w:t>Córdova; Duque, 2019</w:t>
      </w:r>
      <w:r w:rsidRPr="00E1125C">
        <w:rPr>
          <w:rFonts w:eastAsia="Times New Roman"/>
        </w:rPr>
        <w:t xml:space="preserve"> p.10</w:t>
      </w:r>
      <w:r w:rsidR="007749A4" w:rsidRPr="00E1125C">
        <w:rPr>
          <w:rFonts w:eastAsia="Times New Roman"/>
        </w:rPr>
        <w:t>; Hace A, 2021</w:t>
      </w:r>
      <w:r w:rsidRPr="00E1125C">
        <w:rPr>
          <w:rFonts w:eastAsia="Times New Roman"/>
        </w:rPr>
        <w:t xml:space="preserve">).  El grado de concentración de los ingresos de los cuatro sectores productivos estudiados, de acuerdo con nuestras hipótesis centrales, ofrece, pues, </w:t>
      </w:r>
      <w:r w:rsidR="00B4124F" w:rsidRPr="00E1125C">
        <w:rPr>
          <w:rFonts w:eastAsia="Times New Roman"/>
        </w:rPr>
        <w:t>como se verá más adelante,</w:t>
      </w:r>
      <w:r w:rsidR="003D192A" w:rsidRPr="00E1125C">
        <w:rPr>
          <w:rFonts w:eastAsia="Times New Roman"/>
        </w:rPr>
        <w:t xml:space="preserve"> </w:t>
      </w:r>
      <w:r w:rsidR="008A1698" w:rsidRPr="00E1125C">
        <w:rPr>
          <w:rFonts w:eastAsia="Times New Roman"/>
        </w:rPr>
        <w:t>una</w:t>
      </w:r>
      <w:r w:rsidRPr="00E1125C">
        <w:rPr>
          <w:rFonts w:eastAsia="Times New Roman"/>
        </w:rPr>
        <w:t xml:space="preserve"> </w:t>
      </w:r>
      <w:r w:rsidR="008A1698" w:rsidRPr="00E1125C">
        <w:rPr>
          <w:rFonts w:eastAsia="Times New Roman"/>
        </w:rPr>
        <w:t xml:space="preserve">cuantificación </w:t>
      </w:r>
      <w:r w:rsidR="001963FB" w:rsidRPr="00E1125C">
        <w:rPr>
          <w:rFonts w:eastAsia="Times New Roman"/>
        </w:rPr>
        <w:t>de</w:t>
      </w:r>
      <w:r w:rsidR="008A1698" w:rsidRPr="00E1125C">
        <w:rPr>
          <w:rFonts w:eastAsia="Times New Roman"/>
        </w:rPr>
        <w:t>l</w:t>
      </w:r>
      <w:r w:rsidR="001963FB" w:rsidRPr="00E1125C">
        <w:rPr>
          <w:rFonts w:eastAsia="Times New Roman"/>
        </w:rPr>
        <w:t xml:space="preserve"> grado </w:t>
      </w:r>
      <w:proofErr w:type="spellStart"/>
      <w:r w:rsidR="001963FB" w:rsidRPr="00E1125C">
        <w:rPr>
          <w:rFonts w:eastAsia="Times New Roman"/>
        </w:rPr>
        <w:t>oligo</w:t>
      </w:r>
      <w:proofErr w:type="spellEnd"/>
      <w:r w:rsidR="008A1698" w:rsidRPr="00E1125C">
        <w:rPr>
          <w:rFonts w:eastAsia="Times New Roman"/>
        </w:rPr>
        <w:t>-monopólico</w:t>
      </w:r>
      <w:r w:rsidR="001963FB" w:rsidRPr="00E1125C">
        <w:rPr>
          <w:rFonts w:eastAsia="Times New Roman"/>
        </w:rPr>
        <w:t xml:space="preserve"> </w:t>
      </w:r>
      <w:r w:rsidR="008A1698" w:rsidRPr="00E1125C">
        <w:rPr>
          <w:rFonts w:eastAsia="Times New Roman"/>
        </w:rPr>
        <w:t>de</w:t>
      </w:r>
      <w:r w:rsidRPr="00E1125C">
        <w:rPr>
          <w:rFonts w:eastAsia="Times New Roman"/>
        </w:rPr>
        <w:t xml:space="preserve"> nuestr</w:t>
      </w:r>
      <w:r w:rsidR="001963FB" w:rsidRPr="00E1125C">
        <w:rPr>
          <w:rFonts w:eastAsia="Times New Roman"/>
        </w:rPr>
        <w:t>a</w:t>
      </w:r>
      <w:r w:rsidRPr="00E1125C">
        <w:rPr>
          <w:rFonts w:eastAsia="Times New Roman"/>
        </w:rPr>
        <w:t xml:space="preserve"> </w:t>
      </w:r>
      <w:r w:rsidR="001963FB" w:rsidRPr="00E1125C">
        <w:rPr>
          <w:rFonts w:eastAsia="Times New Roman"/>
        </w:rPr>
        <w:t>estructura productiva</w:t>
      </w:r>
      <w:r w:rsidR="00DE5ADC" w:rsidRPr="00E1125C">
        <w:rPr>
          <w:rFonts w:eastAsia="Times New Roman"/>
        </w:rPr>
        <w:t>.</w:t>
      </w:r>
    </w:p>
    <w:p w14:paraId="28C22509" w14:textId="1F1D3A34" w:rsidR="00E065A9" w:rsidRPr="00E1125C" w:rsidRDefault="00E065A9" w:rsidP="00A06703">
      <w:pPr>
        <w:ind w:firstLine="708"/>
        <w:rPr>
          <w:rFonts w:eastAsia="Times New Roman"/>
        </w:rPr>
      </w:pPr>
      <w:r w:rsidRPr="00E1125C">
        <w:rPr>
          <w:rFonts w:eastAsia="Times New Roman"/>
        </w:rPr>
        <w:t xml:space="preserve">En </w:t>
      </w:r>
      <w:r w:rsidR="001963FB" w:rsidRPr="00E1125C">
        <w:rPr>
          <w:rFonts w:eastAsia="Times New Roman"/>
        </w:rPr>
        <w:t xml:space="preserve">un </w:t>
      </w:r>
      <w:r w:rsidR="000A5114" w:rsidRPr="00E1125C">
        <w:rPr>
          <w:rFonts w:eastAsia="Times New Roman"/>
        </w:rPr>
        <w:t>tercer</w:t>
      </w:r>
      <w:r w:rsidR="001963FB" w:rsidRPr="00E1125C">
        <w:rPr>
          <w:rFonts w:eastAsia="Times New Roman"/>
        </w:rPr>
        <w:t xml:space="preserve"> paso,</w:t>
      </w:r>
      <w:r w:rsidRPr="00E1125C">
        <w:rPr>
          <w:rFonts w:eastAsia="Times New Roman"/>
        </w:rPr>
        <w:t xml:space="preserve"> </w:t>
      </w:r>
      <w:r w:rsidR="001963FB" w:rsidRPr="00E1125C">
        <w:rPr>
          <w:rFonts w:eastAsia="Times New Roman"/>
        </w:rPr>
        <w:t>utilizamos</w:t>
      </w:r>
      <w:r w:rsidRPr="00E1125C">
        <w:rPr>
          <w:rFonts w:eastAsia="Times New Roman"/>
        </w:rPr>
        <w:t xml:space="preserve"> el </w:t>
      </w:r>
      <w:r w:rsidR="00CF3BED" w:rsidRPr="00E1125C">
        <w:rPr>
          <w:rFonts w:eastAsia="Times New Roman"/>
        </w:rPr>
        <w:t>Í</w:t>
      </w:r>
      <w:r w:rsidRPr="00E1125C">
        <w:rPr>
          <w:rFonts w:eastAsia="Times New Roman"/>
        </w:rPr>
        <w:t>ndice de Gini</w:t>
      </w:r>
      <w:r w:rsidR="00CF3BED" w:rsidRPr="00E1125C">
        <w:rPr>
          <w:rFonts w:eastAsia="Times New Roman"/>
        </w:rPr>
        <w:t xml:space="preserve"> IG</w:t>
      </w:r>
      <w:r w:rsidRPr="00E1125C">
        <w:rPr>
          <w:rFonts w:eastAsia="Times New Roman"/>
        </w:rPr>
        <w:t xml:space="preserve"> para calcular el grado de concentración</w:t>
      </w:r>
      <w:r w:rsidR="001963FB" w:rsidRPr="00E1125C">
        <w:rPr>
          <w:rFonts w:eastAsia="Times New Roman"/>
        </w:rPr>
        <w:t xml:space="preserve"> de la producción</w:t>
      </w:r>
      <w:r w:rsidRPr="00E1125C">
        <w:rPr>
          <w:rFonts w:eastAsia="Times New Roman"/>
        </w:rPr>
        <w:t xml:space="preserve"> </w:t>
      </w:r>
      <w:r w:rsidR="001963FB" w:rsidRPr="00E1125C">
        <w:rPr>
          <w:rFonts w:eastAsia="Times New Roman"/>
        </w:rPr>
        <w:t>en</w:t>
      </w:r>
      <w:r w:rsidRPr="00E1125C">
        <w:rPr>
          <w:rFonts w:eastAsia="Times New Roman"/>
        </w:rPr>
        <w:t xml:space="preserve"> los sectores productivos estudiados</w:t>
      </w:r>
      <w:r w:rsidR="001963FB" w:rsidRPr="00E1125C">
        <w:rPr>
          <w:rFonts w:eastAsia="Times New Roman"/>
        </w:rPr>
        <w:t>;</w:t>
      </w:r>
      <w:r w:rsidRPr="00E1125C">
        <w:rPr>
          <w:rFonts w:eastAsia="Times New Roman"/>
        </w:rPr>
        <w:t xml:space="preserve"> seguimo</w:t>
      </w:r>
      <w:r w:rsidR="006F4BBE" w:rsidRPr="00E1125C">
        <w:rPr>
          <w:rFonts w:eastAsia="Times New Roman"/>
        </w:rPr>
        <w:t xml:space="preserve">s </w:t>
      </w:r>
      <w:r w:rsidR="001963FB" w:rsidRPr="00E1125C">
        <w:rPr>
          <w:rFonts w:eastAsia="Times New Roman"/>
        </w:rPr>
        <w:t>entonces</w:t>
      </w:r>
      <w:r w:rsidRPr="00E1125C">
        <w:rPr>
          <w:rFonts w:eastAsia="Times New Roman"/>
        </w:rPr>
        <w:t xml:space="preserve"> los recientes lineamientos y consideraciones hecha en el trabajo </w:t>
      </w:r>
      <w:r w:rsidR="00CF3BED" w:rsidRPr="00E1125C">
        <w:rPr>
          <w:rFonts w:eastAsia="Times New Roman"/>
        </w:rPr>
        <w:t>de Medina (2001)</w:t>
      </w:r>
      <w:r w:rsidR="00407725" w:rsidRPr="00E1125C">
        <w:rPr>
          <w:rFonts w:eastAsia="Times New Roman"/>
        </w:rPr>
        <w:t xml:space="preserve"> sobre la utilización del índice para medir la concentración del ingreso y </w:t>
      </w:r>
      <w:r w:rsidR="001963FB" w:rsidRPr="00E1125C">
        <w:rPr>
          <w:rFonts w:eastAsia="Times New Roman"/>
        </w:rPr>
        <w:t>el estudio de</w:t>
      </w:r>
      <w:r w:rsidR="004E12BE" w:rsidRPr="00E1125C">
        <w:rPr>
          <w:rFonts w:eastAsia="Times New Roman"/>
        </w:rPr>
        <w:t xml:space="preserve"> Córdova y Duque (2019)</w:t>
      </w:r>
      <w:r w:rsidR="001963FB" w:rsidRPr="00E1125C">
        <w:rPr>
          <w:rFonts w:eastAsia="Times New Roman"/>
        </w:rPr>
        <w:t xml:space="preserve"> </w:t>
      </w:r>
      <w:r w:rsidR="00D50CE7" w:rsidRPr="00E1125C">
        <w:rPr>
          <w:rFonts w:eastAsia="Times New Roman"/>
        </w:rPr>
        <w:t>aplicando este índice</w:t>
      </w:r>
      <w:r w:rsidR="004E12BE" w:rsidRPr="00E1125C">
        <w:rPr>
          <w:rFonts w:eastAsia="Times New Roman"/>
        </w:rPr>
        <w:t xml:space="preserve"> al estudio</w:t>
      </w:r>
      <w:r w:rsidR="00407725" w:rsidRPr="00E1125C">
        <w:rPr>
          <w:rFonts w:eastAsia="Times New Roman"/>
        </w:rPr>
        <w:t xml:space="preserve"> de la concentración del producto empresarial hecha </w:t>
      </w:r>
      <w:r w:rsidR="00D50CE7" w:rsidRPr="00E1125C">
        <w:rPr>
          <w:rFonts w:eastAsia="Times New Roman"/>
        </w:rPr>
        <w:t>para</w:t>
      </w:r>
      <w:r w:rsidR="00373BE2" w:rsidRPr="00E1125C">
        <w:rPr>
          <w:rFonts w:eastAsia="Times New Roman"/>
        </w:rPr>
        <w:t xml:space="preserve"> el Ecuador.  Estamos atentos a las observaciones </w:t>
      </w:r>
      <w:r w:rsidR="00152C9C" w:rsidRPr="00E1125C">
        <w:rPr>
          <w:rFonts w:eastAsia="Times New Roman"/>
        </w:rPr>
        <w:t>que hace</w:t>
      </w:r>
      <w:r w:rsidR="00373BE2" w:rsidRPr="00E1125C">
        <w:rPr>
          <w:rFonts w:eastAsia="Times New Roman"/>
        </w:rPr>
        <w:t xml:space="preserve"> Medina sobre las limitaciones de utilizar datos agregados en el cálculo del Índice, ya que los datos de que disponemos, suministrados por el BCCR, se encuentran agregados en las cuatro clases de empres</w:t>
      </w:r>
      <w:r w:rsidR="00004EFB" w:rsidRPr="00E1125C">
        <w:rPr>
          <w:rFonts w:eastAsia="Times New Roman"/>
        </w:rPr>
        <w:t>a, micro, pequeña, mediana y grande.  La relativa pérdida de precisión</w:t>
      </w:r>
      <w:r w:rsidR="00DA330F" w:rsidRPr="00E1125C">
        <w:rPr>
          <w:rFonts w:eastAsia="Times New Roman"/>
        </w:rPr>
        <w:t>,</w:t>
      </w:r>
      <w:r w:rsidR="00004EFB" w:rsidRPr="00E1125C">
        <w:rPr>
          <w:rFonts w:eastAsia="Times New Roman"/>
        </w:rPr>
        <w:t xml:space="preserve"> del valor asumido por el Índice en las series agregadas</w:t>
      </w:r>
      <w:r w:rsidR="00DA330F" w:rsidRPr="00E1125C">
        <w:rPr>
          <w:rFonts w:eastAsia="Times New Roman"/>
        </w:rPr>
        <w:t>,</w:t>
      </w:r>
      <w:r w:rsidR="00004EFB" w:rsidRPr="00E1125C">
        <w:rPr>
          <w:rFonts w:eastAsia="Times New Roman"/>
        </w:rPr>
        <w:t xml:space="preserve"> normalmente es de </w:t>
      </w:r>
      <w:r w:rsidR="00004EFB" w:rsidRPr="00E1125C">
        <w:rPr>
          <w:rFonts w:eastAsia="Times New Roman"/>
          <w:i/>
          <w:iCs/>
        </w:rPr>
        <w:t>subvaloración</w:t>
      </w:r>
      <w:r w:rsidR="00A85F15" w:rsidRPr="00E1125C">
        <w:rPr>
          <w:rFonts w:eastAsia="Times New Roman"/>
        </w:rPr>
        <w:t>,</w:t>
      </w:r>
      <w:r w:rsidR="00004EFB" w:rsidRPr="00E1125C">
        <w:rPr>
          <w:rFonts w:eastAsia="Times New Roman"/>
        </w:rPr>
        <w:t xml:space="preserve"> como lo </w:t>
      </w:r>
      <w:r w:rsidR="00B019DC" w:rsidRPr="00E1125C">
        <w:rPr>
          <w:rFonts w:eastAsia="Times New Roman"/>
        </w:rPr>
        <w:t>señala</w:t>
      </w:r>
      <w:r w:rsidR="00004EFB" w:rsidRPr="00E1125C">
        <w:rPr>
          <w:rFonts w:eastAsia="Times New Roman"/>
        </w:rPr>
        <w:t xml:space="preserve"> el mismo Medina (ob. cit., p.</w:t>
      </w:r>
      <w:r w:rsidR="00A85F15" w:rsidRPr="00E1125C">
        <w:rPr>
          <w:rFonts w:eastAsia="Times New Roman"/>
        </w:rPr>
        <w:t>24), de tal manera, que, como nuestro objetivo es verifica</w:t>
      </w:r>
      <w:r w:rsidR="00F540D0" w:rsidRPr="00E1125C">
        <w:rPr>
          <w:rFonts w:eastAsia="Times New Roman"/>
        </w:rPr>
        <w:t>r</w:t>
      </w:r>
      <w:r w:rsidR="00A85F15" w:rsidRPr="00E1125C">
        <w:rPr>
          <w:rFonts w:eastAsia="Times New Roman"/>
        </w:rPr>
        <w:t xml:space="preserve"> con los datos empíricos la hipótesis de </w:t>
      </w:r>
      <w:r w:rsidR="00F540D0" w:rsidRPr="00E1125C">
        <w:rPr>
          <w:rFonts w:eastAsia="Times New Roman"/>
        </w:rPr>
        <w:t>la existencia de una tendencia hacia la concentración, la subvaloración de resultados favorables a la comprobación</w:t>
      </w:r>
      <w:r w:rsidR="006D3CC7" w:rsidRPr="00E1125C">
        <w:rPr>
          <w:rFonts w:eastAsia="Times New Roman"/>
        </w:rPr>
        <w:t xml:space="preserve"> de la h</w:t>
      </w:r>
      <w:r w:rsidR="003024B5" w:rsidRPr="00E1125C">
        <w:rPr>
          <w:rFonts w:eastAsia="Times New Roman"/>
        </w:rPr>
        <w:t>i</w:t>
      </w:r>
      <w:r w:rsidR="006D3CC7" w:rsidRPr="00E1125C">
        <w:rPr>
          <w:rFonts w:eastAsia="Times New Roman"/>
        </w:rPr>
        <w:t>p</w:t>
      </w:r>
      <w:r w:rsidR="003024B5" w:rsidRPr="00E1125C">
        <w:rPr>
          <w:rFonts w:eastAsia="Times New Roman"/>
        </w:rPr>
        <w:t>ó</w:t>
      </w:r>
      <w:r w:rsidR="006D3CC7" w:rsidRPr="00E1125C">
        <w:rPr>
          <w:rFonts w:eastAsia="Times New Roman"/>
        </w:rPr>
        <w:t>tesi</w:t>
      </w:r>
      <w:r w:rsidR="003024B5" w:rsidRPr="00E1125C">
        <w:rPr>
          <w:rFonts w:eastAsia="Times New Roman"/>
        </w:rPr>
        <w:t>s</w:t>
      </w:r>
      <w:r w:rsidR="00F540D0" w:rsidRPr="00E1125C">
        <w:rPr>
          <w:rFonts w:eastAsia="Times New Roman"/>
        </w:rPr>
        <w:t xml:space="preserve"> sólo vendría a </w:t>
      </w:r>
      <w:r w:rsidR="00DA330F" w:rsidRPr="00E1125C">
        <w:rPr>
          <w:rFonts w:eastAsia="Times New Roman"/>
        </w:rPr>
        <w:t>robustecerla</w:t>
      </w:r>
      <w:r w:rsidR="00F540D0" w:rsidRPr="00E1125C">
        <w:rPr>
          <w:rFonts w:eastAsia="Times New Roman"/>
        </w:rPr>
        <w:t>.</w:t>
      </w:r>
      <w:r w:rsidR="003E24F7" w:rsidRPr="00E1125C">
        <w:rPr>
          <w:rStyle w:val="Refdenotaalpie"/>
          <w:rFonts w:eastAsia="Times New Roman"/>
        </w:rPr>
        <w:footnoteReference w:id="11"/>
      </w:r>
    </w:p>
    <w:p w14:paraId="5E1E35F6" w14:textId="2933B012" w:rsidR="004D17F3" w:rsidRPr="00E1125C" w:rsidRDefault="00345559" w:rsidP="004D17F3">
      <w:pPr>
        <w:pStyle w:val="Ttulo2"/>
        <w:rPr>
          <w:rFonts w:eastAsia="Times New Roman"/>
        </w:rPr>
      </w:pPr>
      <w:r w:rsidRPr="00E1125C">
        <w:rPr>
          <w:rFonts w:eastAsia="Times New Roman"/>
        </w:rPr>
        <w:t>5</w:t>
      </w:r>
      <w:r w:rsidR="004D17F3" w:rsidRPr="00E1125C">
        <w:rPr>
          <w:rFonts w:eastAsia="Times New Roman"/>
        </w:rPr>
        <w:t xml:space="preserve">. </w:t>
      </w:r>
      <w:r w:rsidR="00710F39" w:rsidRPr="00E1125C">
        <w:rPr>
          <w:rFonts w:eastAsia="Times New Roman"/>
        </w:rPr>
        <w:t>P</w:t>
      </w:r>
      <w:r w:rsidR="004D17F3" w:rsidRPr="00E1125C">
        <w:rPr>
          <w:rFonts w:eastAsia="Times New Roman"/>
        </w:rPr>
        <w:t xml:space="preserve">resentación </w:t>
      </w:r>
      <w:r w:rsidR="00BE4AFE" w:rsidRPr="00E1125C">
        <w:rPr>
          <w:rFonts w:eastAsia="Times New Roman"/>
        </w:rPr>
        <w:t xml:space="preserve">sucinta </w:t>
      </w:r>
      <w:r w:rsidR="004D17F3" w:rsidRPr="00E1125C">
        <w:rPr>
          <w:rFonts w:eastAsia="Times New Roman"/>
        </w:rPr>
        <w:t>de los resultados</w:t>
      </w:r>
    </w:p>
    <w:p w14:paraId="4C97AE44" w14:textId="529DB49E" w:rsidR="00AA7A5F" w:rsidRPr="00E1125C" w:rsidRDefault="005F5181" w:rsidP="00F137A7">
      <w:pPr>
        <w:ind w:firstLine="708"/>
      </w:pPr>
      <w:r w:rsidRPr="00E1125C">
        <w:t xml:space="preserve">Todos los cálculos muestran una </w:t>
      </w:r>
      <w:r w:rsidR="0088657A" w:rsidRPr="00E1125C">
        <w:t xml:space="preserve">altísima </w:t>
      </w:r>
      <w:r w:rsidRPr="00E1125C">
        <w:t>concentración del</w:t>
      </w:r>
      <w:r w:rsidR="0088657A" w:rsidRPr="00E1125C">
        <w:t xml:space="preserve"> número de trabajadores contratados, del monto de los salarios pagados</w:t>
      </w:r>
      <w:r w:rsidR="00321685" w:rsidRPr="00E1125C">
        <w:t>, del monto exportado</w:t>
      </w:r>
      <w:r w:rsidR="0088657A" w:rsidRPr="00E1125C">
        <w:t xml:space="preserve"> y de los ingresos por la venta de sus productos</w:t>
      </w:r>
      <w:r w:rsidRPr="00E1125C">
        <w:t xml:space="preserve"> en los cuatro sectores productivo</w:t>
      </w:r>
      <w:r w:rsidR="0069363A" w:rsidRPr="00E1125C">
        <w:t>s</w:t>
      </w:r>
      <w:r w:rsidRPr="00E1125C">
        <w:t xml:space="preserve"> </w:t>
      </w:r>
      <w:r w:rsidR="008B474C" w:rsidRPr="00E1125C">
        <w:t>en los que llevamos a cabo el estudio</w:t>
      </w:r>
      <w:r w:rsidRPr="00E1125C">
        <w:t>.</w:t>
      </w:r>
      <w:r w:rsidR="00AA7A5F" w:rsidRPr="00E1125C">
        <w:t xml:space="preserve"> </w:t>
      </w:r>
    </w:p>
    <w:p w14:paraId="56605976" w14:textId="40786AC4" w:rsidR="00321685" w:rsidRPr="00E1125C" w:rsidRDefault="00321685" w:rsidP="00A06703">
      <w:pPr>
        <w:ind w:firstLine="708"/>
      </w:pPr>
      <w:r w:rsidRPr="00E1125C">
        <w:lastRenderedPageBreak/>
        <w:t>Es de notar que el valor de las exportaciones</w:t>
      </w:r>
      <w:r w:rsidR="00A1415C" w:rsidRPr="00E1125C">
        <w:t xml:space="preserve"> muestra </w:t>
      </w:r>
      <w:r w:rsidR="00476581" w:rsidRPr="00E1125C">
        <w:t>una</w:t>
      </w:r>
      <w:r w:rsidR="00A1415C" w:rsidRPr="00E1125C">
        <w:t xml:space="preserve"> estructura </w:t>
      </w:r>
      <w:r w:rsidR="00476581" w:rsidRPr="00E1125C">
        <w:t>muy</w:t>
      </w:r>
      <w:r w:rsidR="00A1415C" w:rsidRPr="00E1125C">
        <w:t xml:space="preserve"> concentrada </w:t>
      </w:r>
      <w:r w:rsidR="00476581" w:rsidRPr="00E1125C">
        <w:t>particularmente en el sector Agropecuario</w:t>
      </w:r>
      <w:r w:rsidR="00403975" w:rsidRPr="00E1125C">
        <w:t xml:space="preserve">; más del 90% </w:t>
      </w:r>
      <w:r w:rsidR="00D27FEE" w:rsidRPr="00E1125C">
        <w:t xml:space="preserve">del valor de las </w:t>
      </w:r>
      <w:r w:rsidR="00403975" w:rsidRPr="00E1125C">
        <w:t xml:space="preserve">exportaciones del sector es llevada a cabo por </w:t>
      </w:r>
      <w:r w:rsidR="00710F39" w:rsidRPr="00E1125C">
        <w:t>las grandes empresas</w:t>
      </w:r>
      <w:r w:rsidR="00403975" w:rsidRPr="00E1125C">
        <w:t>, y con tendencia creciente en el período,</w:t>
      </w:r>
      <w:r w:rsidR="00C31AFF" w:rsidRPr="00E1125C">
        <w:t xml:space="preserve"> </w:t>
      </w:r>
      <w:r w:rsidR="00A1415C" w:rsidRPr="00E1125C">
        <w:t xml:space="preserve">como puede verse en </w:t>
      </w:r>
      <w:r w:rsidR="00734DD7" w:rsidRPr="00E1125C">
        <w:t xml:space="preserve">el </w:t>
      </w:r>
      <w:r w:rsidR="002C77A9" w:rsidRPr="00E1125C">
        <w:t>C</w:t>
      </w:r>
      <w:r w:rsidR="00734DD7" w:rsidRPr="00E1125C">
        <w:t>uadro</w:t>
      </w:r>
      <w:r w:rsidR="00A1415C" w:rsidRPr="00E1125C">
        <w:t xml:space="preserve"> </w:t>
      </w:r>
      <w:r w:rsidR="0072003D" w:rsidRPr="00E1125C">
        <w:t>1</w:t>
      </w:r>
      <w:r w:rsidR="00A1415C" w:rsidRPr="00E1125C">
        <w:t>:</w:t>
      </w:r>
    </w:p>
    <w:p w14:paraId="66A4B9B1" w14:textId="77777777" w:rsidR="00E93307" w:rsidRPr="00E1125C" w:rsidRDefault="00E93307" w:rsidP="00A06703">
      <w:pPr>
        <w:ind w:firstLine="708"/>
      </w:pPr>
    </w:p>
    <w:p w14:paraId="158666A7" w14:textId="77777777" w:rsidR="00E93307" w:rsidRPr="00E1125C" w:rsidRDefault="00E93307" w:rsidP="00E93307">
      <w:pPr>
        <w:jc w:val="left"/>
        <w:rPr>
          <w:rFonts w:ascii="Calibri" w:eastAsia="Times New Roman" w:hAnsi="Calibri" w:cs="Calibri"/>
          <w:i/>
          <w:iCs/>
        </w:rPr>
      </w:pPr>
      <w:r w:rsidRPr="00E1125C">
        <w:rPr>
          <w:rFonts w:ascii="Calibri" w:eastAsia="Times New Roman" w:hAnsi="Calibri" w:cs="Calibri"/>
          <w:i/>
          <w:iCs/>
          <w:sz w:val="22"/>
        </w:rPr>
        <w:t>Cuadro 1 </w:t>
      </w:r>
    </w:p>
    <w:p w14:paraId="601CC2F9" w14:textId="0E84157B" w:rsidR="00E93307" w:rsidRPr="00E1125C" w:rsidRDefault="00E93307" w:rsidP="00E93307">
      <w:pPr>
        <w:jc w:val="left"/>
        <w:rPr>
          <w:rFonts w:ascii="Calibri" w:eastAsia="Times New Roman" w:hAnsi="Calibri" w:cs="Calibri"/>
          <w:i/>
          <w:iCs/>
        </w:rPr>
      </w:pPr>
      <w:r w:rsidRPr="00E1125C">
        <w:rPr>
          <w:rFonts w:ascii="Calibri" w:eastAsia="Times New Roman" w:hAnsi="Calibri" w:cs="Calibri"/>
          <w:i/>
          <w:iCs/>
          <w:sz w:val="22"/>
        </w:rPr>
        <w:t xml:space="preserve">Costa Rica: Sector. Agropecuario, </w:t>
      </w:r>
    </w:p>
    <w:p w14:paraId="4A70C50A" w14:textId="77777777" w:rsidR="00E93307" w:rsidRPr="00E1125C" w:rsidRDefault="00E93307" w:rsidP="00E93307">
      <w:pPr>
        <w:jc w:val="left"/>
        <w:rPr>
          <w:rFonts w:ascii="Calibri" w:eastAsia="Times New Roman" w:hAnsi="Calibri" w:cs="Calibri"/>
          <w:i/>
          <w:iCs/>
        </w:rPr>
      </w:pPr>
      <w:r w:rsidRPr="00E1125C">
        <w:rPr>
          <w:rFonts w:ascii="Calibri" w:eastAsia="Times New Roman" w:hAnsi="Calibri" w:cs="Calibri"/>
          <w:i/>
          <w:iCs/>
          <w:sz w:val="22"/>
        </w:rPr>
        <w:t>Proporción del valor de las Exportaciones</w:t>
      </w:r>
    </w:p>
    <w:p w14:paraId="025F1A73" w14:textId="6343F0C4" w:rsidR="00E93307" w:rsidRPr="00E1125C" w:rsidRDefault="00E93307" w:rsidP="00E93307">
      <w:pPr>
        <w:ind w:firstLine="708"/>
      </w:pPr>
      <w:r w:rsidRPr="00E1125C">
        <w:rPr>
          <w:rFonts w:ascii="Calibri" w:eastAsia="Times New Roman" w:hAnsi="Calibri" w:cs="Calibri"/>
          <w:i/>
          <w:iCs/>
          <w:sz w:val="22"/>
        </w:rPr>
        <w:t>Según: Tamaño de las empresas</w:t>
      </w:r>
    </w:p>
    <w:p w14:paraId="33721541" w14:textId="3AA6389A" w:rsidR="00A1415C" w:rsidRPr="00E1125C" w:rsidRDefault="00A1415C" w:rsidP="004D17F3"/>
    <w:tbl>
      <w:tblPr>
        <w:tblW w:w="0" w:type="auto"/>
        <w:jc w:val="center"/>
        <w:shd w:val="clear" w:color="auto" w:fill="FFF2CC" w:themeFill="accent4" w:themeFillTint="33"/>
        <w:tblLayout w:type="fixed"/>
        <w:tblCellMar>
          <w:left w:w="70" w:type="dxa"/>
          <w:right w:w="70" w:type="dxa"/>
        </w:tblCellMar>
        <w:tblLook w:val="04A0" w:firstRow="1" w:lastRow="0" w:firstColumn="1" w:lastColumn="0" w:noHBand="0" w:noVBand="1"/>
      </w:tblPr>
      <w:tblGrid>
        <w:gridCol w:w="1041"/>
        <w:gridCol w:w="838"/>
        <w:gridCol w:w="853"/>
        <w:gridCol w:w="853"/>
        <w:gridCol w:w="853"/>
        <w:gridCol w:w="853"/>
        <w:gridCol w:w="853"/>
        <w:gridCol w:w="872"/>
      </w:tblGrid>
      <w:tr w:rsidR="00E1125C" w:rsidRPr="00E1125C" w14:paraId="34B4C667" w14:textId="77777777" w:rsidTr="005E15D9">
        <w:trPr>
          <w:trHeight w:val="259"/>
          <w:jc w:val="center"/>
        </w:trPr>
        <w:tc>
          <w:tcPr>
            <w:tcW w:w="1041" w:type="dxa"/>
            <w:tcBorders>
              <w:top w:val="nil"/>
              <w:left w:val="nil"/>
              <w:right w:val="nil"/>
            </w:tcBorders>
            <w:shd w:val="clear" w:color="auto" w:fill="FFF2CC" w:themeFill="accent4" w:themeFillTint="33"/>
          </w:tcPr>
          <w:p w14:paraId="4F624E3C" w14:textId="77777777" w:rsidR="004E257E" w:rsidRPr="00E1125C" w:rsidRDefault="004E257E" w:rsidP="00A1415C">
            <w:pPr>
              <w:jc w:val="left"/>
              <w:rPr>
                <w:rFonts w:ascii="Calibri" w:eastAsia="Times New Roman" w:hAnsi="Calibri" w:cs="Calibri"/>
                <w:i/>
                <w:iCs/>
              </w:rPr>
            </w:pPr>
          </w:p>
        </w:tc>
        <w:tc>
          <w:tcPr>
            <w:tcW w:w="5975" w:type="dxa"/>
            <w:gridSpan w:val="7"/>
            <w:tcBorders>
              <w:top w:val="nil"/>
              <w:left w:val="nil"/>
              <w:right w:val="nil"/>
            </w:tcBorders>
            <w:shd w:val="clear" w:color="auto" w:fill="FFF2CC" w:themeFill="accent4" w:themeFillTint="33"/>
            <w:noWrap/>
            <w:vAlign w:val="bottom"/>
            <w:hideMark/>
          </w:tcPr>
          <w:p w14:paraId="68B64CFF" w14:textId="4719F1D9" w:rsidR="004E257E" w:rsidRPr="00E1125C" w:rsidRDefault="004E257E" w:rsidP="00A1415C">
            <w:pPr>
              <w:jc w:val="left"/>
              <w:rPr>
                <w:rFonts w:ascii="Calibri" w:eastAsia="Times New Roman" w:hAnsi="Calibri" w:cs="Calibri"/>
                <w:i/>
                <w:iCs/>
              </w:rPr>
            </w:pPr>
          </w:p>
        </w:tc>
      </w:tr>
      <w:tr w:rsidR="00E1125C" w:rsidRPr="00E1125C" w14:paraId="2F2AC333" w14:textId="77777777" w:rsidTr="005E15D9">
        <w:trPr>
          <w:trHeight w:val="259"/>
          <w:jc w:val="center"/>
        </w:trPr>
        <w:tc>
          <w:tcPr>
            <w:tcW w:w="1041" w:type="dxa"/>
            <w:tcBorders>
              <w:top w:val="nil"/>
              <w:left w:val="nil"/>
              <w:bottom w:val="single" w:sz="4" w:space="0" w:color="auto"/>
              <w:right w:val="nil"/>
            </w:tcBorders>
            <w:shd w:val="clear" w:color="auto" w:fill="FFF2CC" w:themeFill="accent4" w:themeFillTint="33"/>
          </w:tcPr>
          <w:p w14:paraId="4D55AEC3" w14:textId="338346B8" w:rsidR="004E257E" w:rsidRPr="00E1125C" w:rsidRDefault="004E257E" w:rsidP="00A1415C">
            <w:pPr>
              <w:jc w:val="right"/>
              <w:rPr>
                <w:rFonts w:ascii="Calibri" w:eastAsia="Times New Roman" w:hAnsi="Calibri" w:cs="Calibri"/>
                <w:i/>
                <w:iCs/>
              </w:rPr>
            </w:pPr>
          </w:p>
        </w:tc>
        <w:tc>
          <w:tcPr>
            <w:tcW w:w="838" w:type="dxa"/>
            <w:tcBorders>
              <w:top w:val="nil"/>
              <w:left w:val="nil"/>
              <w:bottom w:val="single" w:sz="4" w:space="0" w:color="auto"/>
              <w:right w:val="nil"/>
            </w:tcBorders>
            <w:shd w:val="clear" w:color="auto" w:fill="FFF2CC" w:themeFill="accent4" w:themeFillTint="33"/>
            <w:noWrap/>
            <w:vAlign w:val="bottom"/>
          </w:tcPr>
          <w:p w14:paraId="162C2940" w14:textId="269D267F"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2012</w:t>
            </w:r>
          </w:p>
        </w:tc>
        <w:tc>
          <w:tcPr>
            <w:tcW w:w="853" w:type="dxa"/>
            <w:tcBorders>
              <w:top w:val="nil"/>
              <w:left w:val="nil"/>
              <w:bottom w:val="single" w:sz="4" w:space="0" w:color="auto"/>
              <w:right w:val="nil"/>
            </w:tcBorders>
            <w:shd w:val="clear" w:color="auto" w:fill="FFF2CC" w:themeFill="accent4" w:themeFillTint="33"/>
            <w:noWrap/>
            <w:vAlign w:val="bottom"/>
          </w:tcPr>
          <w:p w14:paraId="373728D5" w14:textId="1936897F"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2013</w:t>
            </w:r>
          </w:p>
        </w:tc>
        <w:tc>
          <w:tcPr>
            <w:tcW w:w="853" w:type="dxa"/>
            <w:tcBorders>
              <w:top w:val="nil"/>
              <w:left w:val="nil"/>
              <w:bottom w:val="single" w:sz="4" w:space="0" w:color="auto"/>
              <w:right w:val="nil"/>
            </w:tcBorders>
            <w:shd w:val="clear" w:color="auto" w:fill="FFF2CC" w:themeFill="accent4" w:themeFillTint="33"/>
            <w:noWrap/>
            <w:vAlign w:val="bottom"/>
          </w:tcPr>
          <w:p w14:paraId="5A265024" w14:textId="1C94652B"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2014</w:t>
            </w:r>
          </w:p>
        </w:tc>
        <w:tc>
          <w:tcPr>
            <w:tcW w:w="853" w:type="dxa"/>
            <w:tcBorders>
              <w:top w:val="nil"/>
              <w:left w:val="nil"/>
              <w:bottom w:val="single" w:sz="4" w:space="0" w:color="auto"/>
              <w:right w:val="nil"/>
            </w:tcBorders>
            <w:shd w:val="clear" w:color="auto" w:fill="FFF2CC" w:themeFill="accent4" w:themeFillTint="33"/>
            <w:noWrap/>
            <w:vAlign w:val="bottom"/>
          </w:tcPr>
          <w:p w14:paraId="0ADD49FA" w14:textId="0F75FE50"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2015</w:t>
            </w:r>
          </w:p>
        </w:tc>
        <w:tc>
          <w:tcPr>
            <w:tcW w:w="853" w:type="dxa"/>
            <w:tcBorders>
              <w:top w:val="nil"/>
              <w:left w:val="nil"/>
              <w:bottom w:val="single" w:sz="4" w:space="0" w:color="auto"/>
              <w:right w:val="nil"/>
            </w:tcBorders>
            <w:shd w:val="clear" w:color="auto" w:fill="FFF2CC" w:themeFill="accent4" w:themeFillTint="33"/>
            <w:noWrap/>
            <w:vAlign w:val="bottom"/>
          </w:tcPr>
          <w:p w14:paraId="666BA794" w14:textId="6930129E"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2016</w:t>
            </w:r>
          </w:p>
        </w:tc>
        <w:tc>
          <w:tcPr>
            <w:tcW w:w="853" w:type="dxa"/>
            <w:tcBorders>
              <w:top w:val="nil"/>
              <w:left w:val="nil"/>
              <w:bottom w:val="single" w:sz="4" w:space="0" w:color="auto"/>
              <w:right w:val="nil"/>
            </w:tcBorders>
            <w:shd w:val="clear" w:color="auto" w:fill="FFF2CC" w:themeFill="accent4" w:themeFillTint="33"/>
            <w:noWrap/>
            <w:vAlign w:val="bottom"/>
          </w:tcPr>
          <w:p w14:paraId="4B08B59A" w14:textId="13D4F766"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2017</w:t>
            </w:r>
          </w:p>
        </w:tc>
        <w:tc>
          <w:tcPr>
            <w:tcW w:w="872" w:type="dxa"/>
            <w:tcBorders>
              <w:top w:val="nil"/>
              <w:left w:val="nil"/>
              <w:bottom w:val="single" w:sz="4" w:space="0" w:color="auto"/>
              <w:right w:val="nil"/>
            </w:tcBorders>
            <w:shd w:val="clear" w:color="auto" w:fill="FFF2CC" w:themeFill="accent4" w:themeFillTint="33"/>
            <w:noWrap/>
            <w:vAlign w:val="bottom"/>
          </w:tcPr>
          <w:p w14:paraId="282BB0CF" w14:textId="04870930" w:rsidR="004E257E" w:rsidRPr="00E1125C" w:rsidRDefault="00C412B9" w:rsidP="00A1415C">
            <w:pPr>
              <w:jc w:val="right"/>
              <w:rPr>
                <w:rFonts w:ascii="Calibri" w:eastAsia="Times New Roman" w:hAnsi="Calibri" w:cs="Calibri"/>
                <w:i/>
                <w:iCs/>
              </w:rPr>
            </w:pPr>
            <w:r w:rsidRPr="00E1125C">
              <w:rPr>
                <w:rFonts w:ascii="Calibri" w:eastAsia="Times New Roman" w:hAnsi="Calibri" w:cs="Calibri"/>
                <w:i/>
                <w:iCs/>
                <w:sz w:val="22"/>
              </w:rPr>
              <w:t>2018</w:t>
            </w:r>
          </w:p>
        </w:tc>
      </w:tr>
      <w:tr w:rsidR="00E1125C" w:rsidRPr="00E1125C" w14:paraId="601B6DF0" w14:textId="77777777" w:rsidTr="005E15D9">
        <w:trPr>
          <w:trHeight w:val="259"/>
          <w:jc w:val="center"/>
        </w:trPr>
        <w:tc>
          <w:tcPr>
            <w:tcW w:w="1041" w:type="dxa"/>
            <w:tcBorders>
              <w:top w:val="single" w:sz="4" w:space="0" w:color="auto"/>
              <w:left w:val="nil"/>
              <w:bottom w:val="nil"/>
              <w:right w:val="nil"/>
            </w:tcBorders>
            <w:shd w:val="clear" w:color="auto" w:fill="FFF2CC" w:themeFill="accent4" w:themeFillTint="33"/>
          </w:tcPr>
          <w:p w14:paraId="2865E265" w14:textId="5CC95104"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Micro</w:t>
            </w:r>
          </w:p>
        </w:tc>
        <w:tc>
          <w:tcPr>
            <w:tcW w:w="838" w:type="dxa"/>
            <w:tcBorders>
              <w:top w:val="single" w:sz="4" w:space="0" w:color="auto"/>
              <w:left w:val="nil"/>
              <w:bottom w:val="nil"/>
              <w:right w:val="nil"/>
            </w:tcBorders>
            <w:shd w:val="clear" w:color="auto" w:fill="FFF2CC" w:themeFill="accent4" w:themeFillTint="33"/>
            <w:noWrap/>
            <w:vAlign w:val="bottom"/>
          </w:tcPr>
          <w:p w14:paraId="67AB00B9" w14:textId="5F88776F"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w:t>
            </w:r>
            <w:r w:rsidR="00476581" w:rsidRPr="00E1125C">
              <w:rPr>
                <w:rFonts w:ascii="Calibri" w:eastAsia="Times New Roman" w:hAnsi="Calibri" w:cs="Calibri"/>
                <w:i/>
                <w:iCs/>
                <w:sz w:val="22"/>
              </w:rPr>
              <w:t>7</w:t>
            </w:r>
            <w:r w:rsidRPr="00E1125C">
              <w:rPr>
                <w:rFonts w:ascii="Calibri" w:eastAsia="Times New Roman" w:hAnsi="Calibri" w:cs="Calibri"/>
                <w:i/>
                <w:iCs/>
                <w:sz w:val="22"/>
              </w:rPr>
              <w:t>4%</w:t>
            </w:r>
          </w:p>
        </w:tc>
        <w:tc>
          <w:tcPr>
            <w:tcW w:w="853" w:type="dxa"/>
            <w:tcBorders>
              <w:top w:val="single" w:sz="4" w:space="0" w:color="auto"/>
              <w:left w:val="nil"/>
              <w:bottom w:val="nil"/>
              <w:right w:val="nil"/>
            </w:tcBorders>
            <w:shd w:val="clear" w:color="auto" w:fill="FFF2CC" w:themeFill="accent4" w:themeFillTint="33"/>
            <w:noWrap/>
            <w:vAlign w:val="bottom"/>
          </w:tcPr>
          <w:p w14:paraId="2647B6B7" w14:textId="5C6DFAED"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0,64%</w:t>
            </w:r>
          </w:p>
        </w:tc>
        <w:tc>
          <w:tcPr>
            <w:tcW w:w="853" w:type="dxa"/>
            <w:tcBorders>
              <w:top w:val="single" w:sz="4" w:space="0" w:color="auto"/>
              <w:left w:val="nil"/>
              <w:bottom w:val="nil"/>
              <w:right w:val="nil"/>
            </w:tcBorders>
            <w:shd w:val="clear" w:color="auto" w:fill="FFF2CC" w:themeFill="accent4" w:themeFillTint="33"/>
            <w:noWrap/>
            <w:vAlign w:val="bottom"/>
          </w:tcPr>
          <w:p w14:paraId="28394779" w14:textId="02404ED0"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0,74%</w:t>
            </w:r>
          </w:p>
        </w:tc>
        <w:tc>
          <w:tcPr>
            <w:tcW w:w="853" w:type="dxa"/>
            <w:tcBorders>
              <w:top w:val="single" w:sz="4" w:space="0" w:color="auto"/>
              <w:left w:val="nil"/>
              <w:bottom w:val="nil"/>
              <w:right w:val="nil"/>
            </w:tcBorders>
            <w:shd w:val="clear" w:color="auto" w:fill="FFF2CC" w:themeFill="accent4" w:themeFillTint="33"/>
            <w:noWrap/>
            <w:vAlign w:val="bottom"/>
          </w:tcPr>
          <w:p w14:paraId="3877C141" w14:textId="781C2693"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0,76%</w:t>
            </w:r>
          </w:p>
        </w:tc>
        <w:tc>
          <w:tcPr>
            <w:tcW w:w="853" w:type="dxa"/>
            <w:tcBorders>
              <w:top w:val="single" w:sz="4" w:space="0" w:color="auto"/>
              <w:left w:val="nil"/>
              <w:bottom w:val="nil"/>
              <w:right w:val="nil"/>
            </w:tcBorders>
            <w:shd w:val="clear" w:color="auto" w:fill="FFF2CC" w:themeFill="accent4" w:themeFillTint="33"/>
            <w:noWrap/>
            <w:vAlign w:val="bottom"/>
          </w:tcPr>
          <w:p w14:paraId="653D9B59" w14:textId="6B00CB44"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0,79%</w:t>
            </w:r>
          </w:p>
        </w:tc>
        <w:tc>
          <w:tcPr>
            <w:tcW w:w="853" w:type="dxa"/>
            <w:tcBorders>
              <w:top w:val="single" w:sz="4" w:space="0" w:color="auto"/>
              <w:left w:val="nil"/>
              <w:bottom w:val="nil"/>
              <w:right w:val="nil"/>
            </w:tcBorders>
            <w:shd w:val="clear" w:color="auto" w:fill="FFF2CC" w:themeFill="accent4" w:themeFillTint="33"/>
            <w:noWrap/>
            <w:vAlign w:val="bottom"/>
          </w:tcPr>
          <w:p w14:paraId="077DA324" w14:textId="1882D5D5"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0,61%</w:t>
            </w:r>
          </w:p>
        </w:tc>
        <w:tc>
          <w:tcPr>
            <w:tcW w:w="872" w:type="dxa"/>
            <w:tcBorders>
              <w:top w:val="single" w:sz="4" w:space="0" w:color="auto"/>
              <w:left w:val="nil"/>
              <w:bottom w:val="nil"/>
              <w:right w:val="nil"/>
            </w:tcBorders>
            <w:shd w:val="clear" w:color="auto" w:fill="FFF2CC" w:themeFill="accent4" w:themeFillTint="33"/>
            <w:noWrap/>
            <w:vAlign w:val="bottom"/>
          </w:tcPr>
          <w:p w14:paraId="79E84E94" w14:textId="6E521608"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0,53%</w:t>
            </w:r>
          </w:p>
        </w:tc>
      </w:tr>
      <w:tr w:rsidR="00E1125C" w:rsidRPr="00E1125C" w14:paraId="5DCB95A8" w14:textId="77777777" w:rsidTr="005E15D9">
        <w:trPr>
          <w:trHeight w:val="259"/>
          <w:jc w:val="center"/>
        </w:trPr>
        <w:tc>
          <w:tcPr>
            <w:tcW w:w="1041" w:type="dxa"/>
            <w:tcBorders>
              <w:top w:val="nil"/>
              <w:left w:val="nil"/>
              <w:bottom w:val="nil"/>
              <w:right w:val="nil"/>
            </w:tcBorders>
            <w:shd w:val="clear" w:color="auto" w:fill="FFF2CC" w:themeFill="accent4" w:themeFillTint="33"/>
          </w:tcPr>
          <w:p w14:paraId="02DA1844" w14:textId="2344DE5E"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Pequeña</w:t>
            </w:r>
          </w:p>
        </w:tc>
        <w:tc>
          <w:tcPr>
            <w:tcW w:w="838" w:type="dxa"/>
            <w:tcBorders>
              <w:top w:val="nil"/>
              <w:left w:val="nil"/>
              <w:bottom w:val="nil"/>
              <w:right w:val="nil"/>
            </w:tcBorders>
            <w:shd w:val="clear" w:color="auto" w:fill="FFF2CC" w:themeFill="accent4" w:themeFillTint="33"/>
            <w:noWrap/>
            <w:vAlign w:val="bottom"/>
            <w:hideMark/>
          </w:tcPr>
          <w:p w14:paraId="168F58BE" w14:textId="6B1E4215"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2,72%</w:t>
            </w:r>
          </w:p>
        </w:tc>
        <w:tc>
          <w:tcPr>
            <w:tcW w:w="853" w:type="dxa"/>
            <w:tcBorders>
              <w:top w:val="nil"/>
              <w:left w:val="nil"/>
              <w:bottom w:val="nil"/>
              <w:right w:val="nil"/>
            </w:tcBorders>
            <w:shd w:val="clear" w:color="auto" w:fill="FFF2CC" w:themeFill="accent4" w:themeFillTint="33"/>
            <w:noWrap/>
            <w:vAlign w:val="bottom"/>
            <w:hideMark/>
          </w:tcPr>
          <w:p w14:paraId="144C2301"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3,07%</w:t>
            </w:r>
          </w:p>
        </w:tc>
        <w:tc>
          <w:tcPr>
            <w:tcW w:w="853" w:type="dxa"/>
            <w:tcBorders>
              <w:top w:val="nil"/>
              <w:left w:val="nil"/>
              <w:bottom w:val="nil"/>
              <w:right w:val="nil"/>
            </w:tcBorders>
            <w:shd w:val="clear" w:color="auto" w:fill="FFF2CC" w:themeFill="accent4" w:themeFillTint="33"/>
            <w:noWrap/>
            <w:vAlign w:val="bottom"/>
            <w:hideMark/>
          </w:tcPr>
          <w:p w14:paraId="47E796C2"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2,83%</w:t>
            </w:r>
          </w:p>
        </w:tc>
        <w:tc>
          <w:tcPr>
            <w:tcW w:w="853" w:type="dxa"/>
            <w:tcBorders>
              <w:top w:val="nil"/>
              <w:left w:val="nil"/>
              <w:bottom w:val="nil"/>
              <w:right w:val="nil"/>
            </w:tcBorders>
            <w:shd w:val="clear" w:color="auto" w:fill="FFF2CC" w:themeFill="accent4" w:themeFillTint="33"/>
            <w:noWrap/>
            <w:vAlign w:val="bottom"/>
            <w:hideMark/>
          </w:tcPr>
          <w:p w14:paraId="1A8F6F90"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3,45%</w:t>
            </w:r>
          </w:p>
        </w:tc>
        <w:tc>
          <w:tcPr>
            <w:tcW w:w="853" w:type="dxa"/>
            <w:tcBorders>
              <w:top w:val="nil"/>
              <w:left w:val="nil"/>
              <w:bottom w:val="nil"/>
              <w:right w:val="nil"/>
            </w:tcBorders>
            <w:shd w:val="clear" w:color="auto" w:fill="FFF2CC" w:themeFill="accent4" w:themeFillTint="33"/>
            <w:noWrap/>
            <w:vAlign w:val="bottom"/>
            <w:hideMark/>
          </w:tcPr>
          <w:p w14:paraId="0BB7AE0C"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2,42%</w:t>
            </w:r>
          </w:p>
        </w:tc>
        <w:tc>
          <w:tcPr>
            <w:tcW w:w="853" w:type="dxa"/>
            <w:tcBorders>
              <w:top w:val="nil"/>
              <w:left w:val="nil"/>
              <w:bottom w:val="nil"/>
              <w:right w:val="nil"/>
            </w:tcBorders>
            <w:shd w:val="clear" w:color="auto" w:fill="FFF2CC" w:themeFill="accent4" w:themeFillTint="33"/>
            <w:noWrap/>
            <w:vAlign w:val="bottom"/>
            <w:hideMark/>
          </w:tcPr>
          <w:p w14:paraId="209CC7D2"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2,51%</w:t>
            </w:r>
          </w:p>
        </w:tc>
        <w:tc>
          <w:tcPr>
            <w:tcW w:w="872" w:type="dxa"/>
            <w:tcBorders>
              <w:top w:val="nil"/>
              <w:left w:val="nil"/>
              <w:bottom w:val="nil"/>
              <w:right w:val="nil"/>
            </w:tcBorders>
            <w:shd w:val="clear" w:color="auto" w:fill="FFF2CC" w:themeFill="accent4" w:themeFillTint="33"/>
            <w:noWrap/>
            <w:vAlign w:val="bottom"/>
            <w:hideMark/>
          </w:tcPr>
          <w:p w14:paraId="39AA8560"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2,60%</w:t>
            </w:r>
          </w:p>
        </w:tc>
      </w:tr>
      <w:tr w:rsidR="00E1125C" w:rsidRPr="00E1125C" w14:paraId="3203C34A" w14:textId="77777777" w:rsidTr="005E15D9">
        <w:trPr>
          <w:trHeight w:val="259"/>
          <w:jc w:val="center"/>
        </w:trPr>
        <w:tc>
          <w:tcPr>
            <w:tcW w:w="1041" w:type="dxa"/>
            <w:tcBorders>
              <w:top w:val="nil"/>
              <w:left w:val="nil"/>
              <w:right w:val="nil"/>
            </w:tcBorders>
            <w:shd w:val="clear" w:color="auto" w:fill="FFF2CC" w:themeFill="accent4" w:themeFillTint="33"/>
          </w:tcPr>
          <w:p w14:paraId="03C0C4E7" w14:textId="3544ADE8"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Mediana</w:t>
            </w:r>
          </w:p>
        </w:tc>
        <w:tc>
          <w:tcPr>
            <w:tcW w:w="838" w:type="dxa"/>
            <w:tcBorders>
              <w:top w:val="nil"/>
              <w:left w:val="nil"/>
              <w:right w:val="nil"/>
            </w:tcBorders>
            <w:shd w:val="clear" w:color="auto" w:fill="FFF2CC" w:themeFill="accent4" w:themeFillTint="33"/>
            <w:noWrap/>
            <w:vAlign w:val="bottom"/>
            <w:hideMark/>
          </w:tcPr>
          <w:p w14:paraId="66392971" w14:textId="03E1AD44"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5,73%</w:t>
            </w:r>
          </w:p>
        </w:tc>
        <w:tc>
          <w:tcPr>
            <w:tcW w:w="853" w:type="dxa"/>
            <w:tcBorders>
              <w:top w:val="nil"/>
              <w:left w:val="nil"/>
              <w:right w:val="nil"/>
            </w:tcBorders>
            <w:shd w:val="clear" w:color="auto" w:fill="FFF2CC" w:themeFill="accent4" w:themeFillTint="33"/>
            <w:noWrap/>
            <w:vAlign w:val="bottom"/>
            <w:hideMark/>
          </w:tcPr>
          <w:p w14:paraId="39F7C4F8"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5,79%</w:t>
            </w:r>
          </w:p>
        </w:tc>
        <w:tc>
          <w:tcPr>
            <w:tcW w:w="853" w:type="dxa"/>
            <w:tcBorders>
              <w:top w:val="nil"/>
              <w:left w:val="nil"/>
              <w:right w:val="nil"/>
            </w:tcBorders>
            <w:shd w:val="clear" w:color="auto" w:fill="FFF2CC" w:themeFill="accent4" w:themeFillTint="33"/>
            <w:noWrap/>
            <w:vAlign w:val="bottom"/>
            <w:hideMark/>
          </w:tcPr>
          <w:p w14:paraId="714C2DAA"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4,24%</w:t>
            </w:r>
          </w:p>
        </w:tc>
        <w:tc>
          <w:tcPr>
            <w:tcW w:w="853" w:type="dxa"/>
            <w:tcBorders>
              <w:top w:val="nil"/>
              <w:left w:val="nil"/>
              <w:right w:val="nil"/>
            </w:tcBorders>
            <w:shd w:val="clear" w:color="auto" w:fill="FFF2CC" w:themeFill="accent4" w:themeFillTint="33"/>
            <w:noWrap/>
            <w:vAlign w:val="bottom"/>
            <w:hideMark/>
          </w:tcPr>
          <w:p w14:paraId="1280CF38"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4,77%</w:t>
            </w:r>
          </w:p>
        </w:tc>
        <w:tc>
          <w:tcPr>
            <w:tcW w:w="853" w:type="dxa"/>
            <w:tcBorders>
              <w:top w:val="nil"/>
              <w:left w:val="nil"/>
              <w:right w:val="nil"/>
            </w:tcBorders>
            <w:shd w:val="clear" w:color="auto" w:fill="FFF2CC" w:themeFill="accent4" w:themeFillTint="33"/>
            <w:noWrap/>
            <w:vAlign w:val="bottom"/>
            <w:hideMark/>
          </w:tcPr>
          <w:p w14:paraId="729A3F94"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5,20%</w:t>
            </w:r>
          </w:p>
        </w:tc>
        <w:tc>
          <w:tcPr>
            <w:tcW w:w="853" w:type="dxa"/>
            <w:tcBorders>
              <w:top w:val="nil"/>
              <w:left w:val="nil"/>
              <w:right w:val="nil"/>
            </w:tcBorders>
            <w:shd w:val="clear" w:color="auto" w:fill="FFF2CC" w:themeFill="accent4" w:themeFillTint="33"/>
            <w:noWrap/>
            <w:vAlign w:val="bottom"/>
            <w:hideMark/>
          </w:tcPr>
          <w:p w14:paraId="2285FF5D"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5,32%</w:t>
            </w:r>
          </w:p>
        </w:tc>
        <w:tc>
          <w:tcPr>
            <w:tcW w:w="872" w:type="dxa"/>
            <w:tcBorders>
              <w:top w:val="nil"/>
              <w:left w:val="nil"/>
              <w:right w:val="nil"/>
            </w:tcBorders>
            <w:shd w:val="clear" w:color="auto" w:fill="FFF2CC" w:themeFill="accent4" w:themeFillTint="33"/>
            <w:noWrap/>
            <w:vAlign w:val="bottom"/>
            <w:hideMark/>
          </w:tcPr>
          <w:p w14:paraId="09A24A29"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4,33%</w:t>
            </w:r>
          </w:p>
        </w:tc>
      </w:tr>
      <w:tr w:rsidR="00E1125C" w:rsidRPr="00E1125C" w14:paraId="151F5E01" w14:textId="77777777" w:rsidTr="005E15D9">
        <w:trPr>
          <w:trHeight w:val="259"/>
          <w:jc w:val="center"/>
        </w:trPr>
        <w:tc>
          <w:tcPr>
            <w:tcW w:w="1041" w:type="dxa"/>
            <w:tcBorders>
              <w:top w:val="nil"/>
              <w:left w:val="nil"/>
              <w:bottom w:val="single" w:sz="4" w:space="0" w:color="auto"/>
              <w:right w:val="nil"/>
            </w:tcBorders>
            <w:shd w:val="clear" w:color="auto" w:fill="FFF2CC" w:themeFill="accent4" w:themeFillTint="33"/>
          </w:tcPr>
          <w:p w14:paraId="00ECC30C" w14:textId="06E9519C"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Grande</w:t>
            </w:r>
          </w:p>
        </w:tc>
        <w:tc>
          <w:tcPr>
            <w:tcW w:w="838" w:type="dxa"/>
            <w:tcBorders>
              <w:top w:val="nil"/>
              <w:left w:val="nil"/>
              <w:bottom w:val="single" w:sz="4" w:space="0" w:color="auto"/>
              <w:right w:val="nil"/>
            </w:tcBorders>
            <w:shd w:val="clear" w:color="auto" w:fill="FFF2CC" w:themeFill="accent4" w:themeFillTint="33"/>
            <w:noWrap/>
            <w:vAlign w:val="bottom"/>
            <w:hideMark/>
          </w:tcPr>
          <w:p w14:paraId="5567B0CB" w14:textId="3FEC79E2"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90,8%</w:t>
            </w:r>
          </w:p>
        </w:tc>
        <w:tc>
          <w:tcPr>
            <w:tcW w:w="853" w:type="dxa"/>
            <w:tcBorders>
              <w:top w:val="nil"/>
              <w:left w:val="nil"/>
              <w:bottom w:val="single" w:sz="4" w:space="0" w:color="auto"/>
              <w:right w:val="nil"/>
            </w:tcBorders>
            <w:shd w:val="clear" w:color="auto" w:fill="FFF2CC" w:themeFill="accent4" w:themeFillTint="33"/>
            <w:noWrap/>
            <w:vAlign w:val="bottom"/>
            <w:hideMark/>
          </w:tcPr>
          <w:p w14:paraId="05F63D75"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90,50%</w:t>
            </w:r>
          </w:p>
        </w:tc>
        <w:tc>
          <w:tcPr>
            <w:tcW w:w="853" w:type="dxa"/>
            <w:tcBorders>
              <w:top w:val="nil"/>
              <w:left w:val="nil"/>
              <w:bottom w:val="single" w:sz="4" w:space="0" w:color="auto"/>
              <w:right w:val="nil"/>
            </w:tcBorders>
            <w:shd w:val="clear" w:color="auto" w:fill="FFF2CC" w:themeFill="accent4" w:themeFillTint="33"/>
            <w:noWrap/>
            <w:vAlign w:val="bottom"/>
            <w:hideMark/>
          </w:tcPr>
          <w:p w14:paraId="52A05F96"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92,18%</w:t>
            </w:r>
          </w:p>
        </w:tc>
        <w:tc>
          <w:tcPr>
            <w:tcW w:w="853" w:type="dxa"/>
            <w:tcBorders>
              <w:top w:val="nil"/>
              <w:left w:val="nil"/>
              <w:bottom w:val="single" w:sz="4" w:space="0" w:color="auto"/>
              <w:right w:val="nil"/>
            </w:tcBorders>
            <w:shd w:val="clear" w:color="auto" w:fill="FFF2CC" w:themeFill="accent4" w:themeFillTint="33"/>
            <w:noWrap/>
            <w:vAlign w:val="bottom"/>
            <w:hideMark/>
          </w:tcPr>
          <w:p w14:paraId="6D7FCC2A"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91,02%</w:t>
            </w:r>
          </w:p>
        </w:tc>
        <w:tc>
          <w:tcPr>
            <w:tcW w:w="853" w:type="dxa"/>
            <w:tcBorders>
              <w:top w:val="nil"/>
              <w:left w:val="nil"/>
              <w:bottom w:val="single" w:sz="4" w:space="0" w:color="auto"/>
              <w:right w:val="nil"/>
            </w:tcBorders>
            <w:shd w:val="clear" w:color="auto" w:fill="FFF2CC" w:themeFill="accent4" w:themeFillTint="33"/>
            <w:noWrap/>
            <w:vAlign w:val="bottom"/>
            <w:hideMark/>
          </w:tcPr>
          <w:p w14:paraId="5AC85CD2"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91,60%</w:t>
            </w:r>
          </w:p>
        </w:tc>
        <w:tc>
          <w:tcPr>
            <w:tcW w:w="853" w:type="dxa"/>
            <w:tcBorders>
              <w:top w:val="nil"/>
              <w:left w:val="nil"/>
              <w:bottom w:val="single" w:sz="4" w:space="0" w:color="auto"/>
              <w:right w:val="nil"/>
            </w:tcBorders>
            <w:shd w:val="clear" w:color="auto" w:fill="FFF2CC" w:themeFill="accent4" w:themeFillTint="33"/>
            <w:noWrap/>
            <w:vAlign w:val="bottom"/>
            <w:hideMark/>
          </w:tcPr>
          <w:p w14:paraId="539DBDFA" w14:textId="77777777" w:rsidR="00C412B9" w:rsidRPr="00E1125C" w:rsidRDefault="00C412B9" w:rsidP="00C412B9">
            <w:pPr>
              <w:jc w:val="right"/>
              <w:rPr>
                <w:rFonts w:ascii="Calibri" w:eastAsia="Times New Roman" w:hAnsi="Calibri" w:cs="Calibri"/>
                <w:i/>
                <w:iCs/>
              </w:rPr>
            </w:pPr>
            <w:r w:rsidRPr="00E1125C">
              <w:rPr>
                <w:rFonts w:ascii="Calibri" w:eastAsia="Times New Roman" w:hAnsi="Calibri" w:cs="Calibri"/>
                <w:i/>
                <w:iCs/>
                <w:sz w:val="22"/>
              </w:rPr>
              <w:t>91,55%</w:t>
            </w:r>
          </w:p>
        </w:tc>
        <w:tc>
          <w:tcPr>
            <w:tcW w:w="872" w:type="dxa"/>
            <w:tcBorders>
              <w:top w:val="nil"/>
              <w:left w:val="nil"/>
              <w:bottom w:val="single" w:sz="4" w:space="0" w:color="auto"/>
              <w:right w:val="nil"/>
            </w:tcBorders>
            <w:shd w:val="clear" w:color="auto" w:fill="FFF2CC" w:themeFill="accent4" w:themeFillTint="33"/>
            <w:noWrap/>
            <w:vAlign w:val="bottom"/>
            <w:hideMark/>
          </w:tcPr>
          <w:p w14:paraId="658E09EB" w14:textId="77777777" w:rsidR="00C412B9" w:rsidRPr="00E1125C" w:rsidRDefault="00C412B9" w:rsidP="00476581">
            <w:pPr>
              <w:jc w:val="right"/>
              <w:rPr>
                <w:rFonts w:ascii="Calibri" w:eastAsia="Times New Roman" w:hAnsi="Calibri" w:cs="Calibri"/>
                <w:i/>
                <w:iCs/>
              </w:rPr>
            </w:pPr>
            <w:r w:rsidRPr="00E1125C">
              <w:rPr>
                <w:rFonts w:ascii="Calibri" w:eastAsia="Times New Roman" w:hAnsi="Calibri" w:cs="Calibri"/>
                <w:i/>
                <w:iCs/>
                <w:sz w:val="22"/>
              </w:rPr>
              <w:t>92,54%</w:t>
            </w:r>
          </w:p>
        </w:tc>
      </w:tr>
      <w:tr w:rsidR="00E1125C" w:rsidRPr="00E1125C" w14:paraId="2047AAC1" w14:textId="77777777" w:rsidTr="005E15D9">
        <w:trPr>
          <w:trHeight w:val="259"/>
          <w:jc w:val="center"/>
        </w:trPr>
        <w:tc>
          <w:tcPr>
            <w:tcW w:w="7016" w:type="dxa"/>
            <w:gridSpan w:val="8"/>
            <w:tcBorders>
              <w:top w:val="single" w:sz="4" w:space="0" w:color="auto"/>
              <w:left w:val="nil"/>
              <w:bottom w:val="nil"/>
              <w:right w:val="nil"/>
            </w:tcBorders>
            <w:shd w:val="clear" w:color="auto" w:fill="FFF2CC" w:themeFill="accent4" w:themeFillTint="33"/>
          </w:tcPr>
          <w:p w14:paraId="7D28C62D" w14:textId="5C1F2C19" w:rsidR="00403975" w:rsidRPr="00E1125C" w:rsidRDefault="00403975" w:rsidP="009D587B">
            <w:pPr>
              <w:jc w:val="left"/>
              <w:rPr>
                <w:rFonts w:ascii="Calibri" w:eastAsia="Times New Roman" w:hAnsi="Calibri" w:cs="Calibri"/>
                <w:i/>
                <w:iCs/>
              </w:rPr>
            </w:pPr>
            <w:r w:rsidRPr="00E1125C">
              <w:rPr>
                <w:rFonts w:ascii="Calibri" w:eastAsia="Times New Roman" w:hAnsi="Calibri" w:cs="Calibri"/>
                <w:i/>
                <w:iCs/>
                <w:sz w:val="22"/>
              </w:rPr>
              <w:t xml:space="preserve">Fuente: Elaboración propia con datos </w:t>
            </w:r>
            <w:r w:rsidR="00AD446A" w:rsidRPr="00E1125C">
              <w:rPr>
                <w:rFonts w:ascii="Calibri" w:eastAsia="Times New Roman" w:hAnsi="Calibri" w:cs="Calibri"/>
                <w:i/>
                <w:iCs/>
                <w:sz w:val="22"/>
              </w:rPr>
              <w:t>en los d</w:t>
            </w:r>
            <w:r w:rsidRPr="00E1125C">
              <w:rPr>
                <w:rFonts w:ascii="Calibri" w:eastAsia="Times New Roman" w:hAnsi="Calibri" w:cs="Calibri"/>
                <w:i/>
                <w:iCs/>
                <w:sz w:val="22"/>
              </w:rPr>
              <w:t>atos del BCCR.</w:t>
            </w:r>
          </w:p>
        </w:tc>
      </w:tr>
    </w:tbl>
    <w:p w14:paraId="5AE010FB" w14:textId="118A28BA" w:rsidR="003672A9" w:rsidRPr="00E1125C" w:rsidRDefault="003672A9" w:rsidP="004D17F3"/>
    <w:p w14:paraId="7C492B61" w14:textId="7F0A871C" w:rsidR="0099183A" w:rsidRPr="00E1125C" w:rsidRDefault="0099183A" w:rsidP="0099183A">
      <w:pPr>
        <w:ind w:firstLine="708"/>
      </w:pPr>
      <w:r w:rsidRPr="00E1125C">
        <w:t>Por otra parte, tanto este sector Agropecuario como el sector de la Construcción son los</w:t>
      </w:r>
      <w:r w:rsidR="00515001" w:rsidRPr="00E1125C">
        <w:t xml:space="preserve"> dos</w:t>
      </w:r>
      <w:r w:rsidRPr="00E1125C">
        <w:t xml:space="preserve"> </w:t>
      </w:r>
      <w:r w:rsidR="00515001" w:rsidRPr="00E1125C">
        <w:t xml:space="preserve">sectores de los estudiados, </w:t>
      </w:r>
      <w:r w:rsidRPr="00E1125C">
        <w:t xml:space="preserve">que presentan el mayor número de </w:t>
      </w:r>
      <w:r w:rsidR="00BE4AFE" w:rsidRPr="00E1125C">
        <w:t>Microempresas</w:t>
      </w:r>
      <w:r w:rsidRPr="00E1125C">
        <w:t xml:space="preserve"> en la estructura, con más del 80% del total.</w:t>
      </w:r>
      <w:r w:rsidR="004B1A59" w:rsidRPr="00E1125C">
        <w:t xml:space="preserve">  </w:t>
      </w:r>
    </w:p>
    <w:p w14:paraId="52C9C975" w14:textId="207754E9" w:rsidR="00BE4AFE" w:rsidRPr="00E1125C" w:rsidRDefault="00BE4AFE" w:rsidP="0099183A">
      <w:pPr>
        <w:ind w:firstLine="708"/>
      </w:pPr>
      <w:r w:rsidRPr="00E1125C">
        <w:t>En cuanto a la contratación de trabajadores pudimos determinar que en el sector Agropecuario es donde las grandes empresas contratan más del 70% de los trabajadores empleados en el sector</w:t>
      </w:r>
      <w:r w:rsidR="00E20FBB" w:rsidRPr="00E1125C">
        <w:t>.</w:t>
      </w:r>
      <w:r w:rsidRPr="00E1125C">
        <w:t xml:space="preserve"> </w:t>
      </w:r>
      <w:r w:rsidR="0094242C" w:rsidRPr="00E1125C">
        <w:t xml:space="preserve">Y es notable en los cuatros sectores una tendencia a la reducción </w:t>
      </w:r>
      <w:r w:rsidR="00BD4B11" w:rsidRPr="00E1125C">
        <w:t xml:space="preserve">entre las micro, pequeñas y medianas empresas </w:t>
      </w:r>
      <w:r w:rsidR="0094242C" w:rsidRPr="00E1125C">
        <w:t xml:space="preserve">de la proporción de trabajadores contratados en el período de </w:t>
      </w:r>
      <w:r w:rsidR="0071227B" w:rsidRPr="00E1125C">
        <w:t>6</w:t>
      </w:r>
      <w:r w:rsidR="0094242C" w:rsidRPr="00E1125C">
        <w:t xml:space="preserve"> años que estudia, mientras tiende a crecer esta proporción en las grandes.</w:t>
      </w:r>
    </w:p>
    <w:p w14:paraId="4A8ED3A3" w14:textId="5F55DB62" w:rsidR="0071227B" w:rsidRPr="00E1125C" w:rsidRDefault="0071227B" w:rsidP="0099183A">
      <w:pPr>
        <w:ind w:firstLine="708"/>
      </w:pPr>
      <w:r w:rsidRPr="00E1125C">
        <w:t xml:space="preserve">Otra relación interesante que observamos fue el comportamiento en el lapso de la proporción del ingreso total empresarial en los cuatro sectores, apropiado por la Grandes empresas. </w:t>
      </w:r>
    </w:p>
    <w:p w14:paraId="7BCE15AA" w14:textId="56821FF1" w:rsidR="0071227B" w:rsidRPr="00E1125C" w:rsidRDefault="0071227B" w:rsidP="0071227B"/>
    <w:p w14:paraId="2F4AB45F" w14:textId="77777777" w:rsidR="00E93307" w:rsidRPr="00E1125C" w:rsidRDefault="00E93307" w:rsidP="00E93307">
      <w:pPr>
        <w:rPr>
          <w:rFonts w:ascii="Calibri" w:eastAsia="Times New Roman" w:hAnsi="Calibri" w:cs="Calibri"/>
          <w:i/>
          <w:iCs/>
        </w:rPr>
      </w:pPr>
      <w:r w:rsidRPr="00E1125C">
        <w:rPr>
          <w:rFonts w:ascii="Calibri" w:eastAsia="Times New Roman" w:hAnsi="Calibri" w:cs="Calibri"/>
          <w:i/>
          <w:iCs/>
          <w:sz w:val="22"/>
        </w:rPr>
        <w:t>Cuadro 2</w:t>
      </w:r>
    </w:p>
    <w:p w14:paraId="5FF66020" w14:textId="77777777" w:rsidR="00E93307" w:rsidRPr="00E1125C" w:rsidRDefault="00E93307" w:rsidP="00E93307">
      <w:pPr>
        <w:rPr>
          <w:rFonts w:ascii="Calibri" w:eastAsia="Times New Roman" w:hAnsi="Calibri" w:cs="Calibri"/>
          <w:i/>
          <w:iCs/>
        </w:rPr>
      </w:pPr>
      <w:r w:rsidRPr="00E1125C">
        <w:rPr>
          <w:rFonts w:ascii="Calibri" w:eastAsia="Times New Roman" w:hAnsi="Calibri" w:cs="Calibri"/>
          <w:i/>
          <w:iCs/>
          <w:sz w:val="22"/>
        </w:rPr>
        <w:t xml:space="preserve">Costa Rica:  Proporción de las grandes empresas en el ingreso empresarial, </w:t>
      </w:r>
    </w:p>
    <w:p w14:paraId="591045A1" w14:textId="6D9049CE" w:rsidR="00E93307" w:rsidRPr="00E1125C" w:rsidRDefault="00E93307" w:rsidP="00E93307">
      <w:r w:rsidRPr="00E1125C">
        <w:rPr>
          <w:rFonts w:ascii="Calibri" w:eastAsia="Times New Roman" w:hAnsi="Calibri" w:cs="Calibri"/>
          <w:i/>
          <w:iCs/>
          <w:sz w:val="22"/>
        </w:rPr>
        <w:t>Según Principales Sectores de la producción</w:t>
      </w:r>
    </w:p>
    <w:tbl>
      <w:tblPr>
        <w:tblW w:w="8647" w:type="dxa"/>
        <w:tblInd w:w="70" w:type="dxa"/>
        <w:shd w:val="clear" w:color="auto" w:fill="FFF2CC" w:themeFill="accent4" w:themeFillTint="33"/>
        <w:tblCellMar>
          <w:left w:w="70" w:type="dxa"/>
          <w:right w:w="70" w:type="dxa"/>
        </w:tblCellMar>
        <w:tblLook w:val="04A0" w:firstRow="1" w:lastRow="0" w:firstColumn="1" w:lastColumn="0" w:noHBand="0" w:noVBand="1"/>
      </w:tblPr>
      <w:tblGrid>
        <w:gridCol w:w="1796"/>
        <w:gridCol w:w="964"/>
        <w:gridCol w:w="964"/>
        <w:gridCol w:w="964"/>
        <w:gridCol w:w="964"/>
        <w:gridCol w:w="964"/>
        <w:gridCol w:w="964"/>
        <w:gridCol w:w="1067"/>
      </w:tblGrid>
      <w:tr w:rsidR="00E1125C" w:rsidRPr="00E1125C" w14:paraId="0965AFAF" w14:textId="77777777" w:rsidTr="00E93307">
        <w:trPr>
          <w:trHeight w:val="300"/>
        </w:trPr>
        <w:tc>
          <w:tcPr>
            <w:tcW w:w="1796" w:type="dxa"/>
            <w:tcBorders>
              <w:top w:val="nil"/>
              <w:left w:val="nil"/>
              <w:right w:val="nil"/>
            </w:tcBorders>
            <w:shd w:val="clear" w:color="auto" w:fill="FFF2CC" w:themeFill="accent4" w:themeFillTint="33"/>
            <w:noWrap/>
            <w:vAlign w:val="bottom"/>
            <w:hideMark/>
          </w:tcPr>
          <w:p w14:paraId="6337A4D8" w14:textId="77777777" w:rsidR="0071227B" w:rsidRPr="00E1125C" w:rsidRDefault="0071227B" w:rsidP="0071227B">
            <w:pPr>
              <w:jc w:val="left"/>
              <w:rPr>
                <w:rFonts w:ascii="Times New Roman" w:eastAsia="Times New Roman" w:hAnsi="Times New Roman" w:cs="Times New Roman"/>
                <w:sz w:val="20"/>
                <w:szCs w:val="24"/>
              </w:rPr>
            </w:pPr>
          </w:p>
        </w:tc>
        <w:tc>
          <w:tcPr>
            <w:tcW w:w="6851" w:type="dxa"/>
            <w:gridSpan w:val="7"/>
            <w:tcBorders>
              <w:top w:val="nil"/>
              <w:left w:val="nil"/>
              <w:right w:val="nil"/>
            </w:tcBorders>
            <w:shd w:val="clear" w:color="auto" w:fill="FFF2CC" w:themeFill="accent4" w:themeFillTint="33"/>
            <w:noWrap/>
            <w:vAlign w:val="bottom"/>
          </w:tcPr>
          <w:p w14:paraId="68BBD84B" w14:textId="43094AA9" w:rsidR="0071227B" w:rsidRPr="00E1125C" w:rsidRDefault="0071227B" w:rsidP="0071227B">
            <w:pPr>
              <w:jc w:val="left"/>
              <w:rPr>
                <w:rFonts w:ascii="Calibri" w:eastAsia="Times New Roman" w:hAnsi="Calibri" w:cs="Calibri"/>
                <w:i/>
                <w:iCs/>
              </w:rPr>
            </w:pPr>
          </w:p>
        </w:tc>
      </w:tr>
      <w:tr w:rsidR="00E1125C" w:rsidRPr="00E1125C" w14:paraId="6D4CDC54" w14:textId="77777777" w:rsidTr="000C4DA4">
        <w:trPr>
          <w:trHeight w:val="300"/>
        </w:trPr>
        <w:tc>
          <w:tcPr>
            <w:tcW w:w="1796" w:type="dxa"/>
            <w:tcBorders>
              <w:top w:val="nil"/>
              <w:left w:val="nil"/>
              <w:bottom w:val="single" w:sz="4" w:space="0" w:color="auto"/>
              <w:right w:val="nil"/>
            </w:tcBorders>
            <w:shd w:val="clear" w:color="auto" w:fill="FFF2CC" w:themeFill="accent4" w:themeFillTint="33"/>
            <w:noWrap/>
            <w:vAlign w:val="bottom"/>
            <w:hideMark/>
          </w:tcPr>
          <w:p w14:paraId="1D117869" w14:textId="77777777" w:rsidR="0071227B" w:rsidRPr="00E1125C" w:rsidRDefault="0071227B" w:rsidP="005A2E67">
            <w:pPr>
              <w:jc w:val="center"/>
              <w:rPr>
                <w:rFonts w:ascii="Calibri" w:eastAsia="Times New Roman" w:hAnsi="Calibri" w:cs="Calibri"/>
                <w:i/>
                <w:iCs/>
              </w:rPr>
            </w:pPr>
          </w:p>
        </w:tc>
        <w:tc>
          <w:tcPr>
            <w:tcW w:w="964" w:type="dxa"/>
            <w:tcBorders>
              <w:top w:val="nil"/>
              <w:left w:val="nil"/>
              <w:bottom w:val="single" w:sz="4" w:space="0" w:color="auto"/>
              <w:right w:val="nil"/>
            </w:tcBorders>
            <w:shd w:val="clear" w:color="auto" w:fill="FFF2CC" w:themeFill="accent4" w:themeFillTint="33"/>
            <w:noWrap/>
            <w:vAlign w:val="bottom"/>
            <w:hideMark/>
          </w:tcPr>
          <w:p w14:paraId="42451196"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2012</w:t>
            </w:r>
          </w:p>
        </w:tc>
        <w:tc>
          <w:tcPr>
            <w:tcW w:w="964" w:type="dxa"/>
            <w:tcBorders>
              <w:top w:val="nil"/>
              <w:left w:val="nil"/>
              <w:bottom w:val="single" w:sz="4" w:space="0" w:color="auto"/>
              <w:right w:val="nil"/>
            </w:tcBorders>
            <w:shd w:val="clear" w:color="auto" w:fill="FFF2CC" w:themeFill="accent4" w:themeFillTint="33"/>
            <w:noWrap/>
            <w:vAlign w:val="bottom"/>
            <w:hideMark/>
          </w:tcPr>
          <w:p w14:paraId="6EC07F3B"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2013</w:t>
            </w:r>
          </w:p>
        </w:tc>
        <w:tc>
          <w:tcPr>
            <w:tcW w:w="964" w:type="dxa"/>
            <w:tcBorders>
              <w:top w:val="nil"/>
              <w:left w:val="nil"/>
              <w:bottom w:val="single" w:sz="4" w:space="0" w:color="auto"/>
              <w:right w:val="nil"/>
            </w:tcBorders>
            <w:shd w:val="clear" w:color="auto" w:fill="FFF2CC" w:themeFill="accent4" w:themeFillTint="33"/>
            <w:noWrap/>
            <w:vAlign w:val="bottom"/>
            <w:hideMark/>
          </w:tcPr>
          <w:p w14:paraId="69DDEF2B"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2014</w:t>
            </w:r>
          </w:p>
        </w:tc>
        <w:tc>
          <w:tcPr>
            <w:tcW w:w="964" w:type="dxa"/>
            <w:tcBorders>
              <w:top w:val="nil"/>
              <w:left w:val="nil"/>
              <w:bottom w:val="single" w:sz="4" w:space="0" w:color="auto"/>
              <w:right w:val="nil"/>
            </w:tcBorders>
            <w:shd w:val="clear" w:color="auto" w:fill="FFF2CC" w:themeFill="accent4" w:themeFillTint="33"/>
            <w:noWrap/>
            <w:vAlign w:val="bottom"/>
            <w:hideMark/>
          </w:tcPr>
          <w:p w14:paraId="022D44D4"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2015</w:t>
            </w:r>
          </w:p>
        </w:tc>
        <w:tc>
          <w:tcPr>
            <w:tcW w:w="964" w:type="dxa"/>
            <w:tcBorders>
              <w:top w:val="nil"/>
              <w:left w:val="nil"/>
              <w:bottom w:val="single" w:sz="4" w:space="0" w:color="auto"/>
              <w:right w:val="nil"/>
            </w:tcBorders>
            <w:shd w:val="clear" w:color="auto" w:fill="FFF2CC" w:themeFill="accent4" w:themeFillTint="33"/>
            <w:noWrap/>
            <w:vAlign w:val="bottom"/>
            <w:hideMark/>
          </w:tcPr>
          <w:p w14:paraId="1DB62454"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2016</w:t>
            </w:r>
          </w:p>
        </w:tc>
        <w:tc>
          <w:tcPr>
            <w:tcW w:w="964" w:type="dxa"/>
            <w:tcBorders>
              <w:top w:val="nil"/>
              <w:left w:val="nil"/>
              <w:bottom w:val="single" w:sz="4" w:space="0" w:color="auto"/>
              <w:right w:val="nil"/>
            </w:tcBorders>
            <w:shd w:val="clear" w:color="auto" w:fill="FFF2CC" w:themeFill="accent4" w:themeFillTint="33"/>
            <w:noWrap/>
            <w:vAlign w:val="bottom"/>
            <w:hideMark/>
          </w:tcPr>
          <w:p w14:paraId="6F9C5D8B"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2017</w:t>
            </w:r>
          </w:p>
        </w:tc>
        <w:tc>
          <w:tcPr>
            <w:tcW w:w="1067" w:type="dxa"/>
            <w:tcBorders>
              <w:top w:val="nil"/>
              <w:left w:val="nil"/>
              <w:bottom w:val="single" w:sz="4" w:space="0" w:color="auto"/>
              <w:right w:val="nil"/>
            </w:tcBorders>
            <w:shd w:val="clear" w:color="auto" w:fill="FFF2CC" w:themeFill="accent4" w:themeFillTint="33"/>
            <w:noWrap/>
            <w:vAlign w:val="bottom"/>
            <w:hideMark/>
          </w:tcPr>
          <w:p w14:paraId="5CBD82B9" w14:textId="77777777" w:rsidR="0071227B" w:rsidRPr="00E1125C" w:rsidRDefault="0071227B" w:rsidP="005A2E67">
            <w:pPr>
              <w:jc w:val="center"/>
              <w:rPr>
                <w:rFonts w:ascii="Calibri" w:eastAsia="Times New Roman" w:hAnsi="Calibri" w:cs="Calibri"/>
                <w:i/>
                <w:iCs/>
              </w:rPr>
            </w:pPr>
            <w:r w:rsidRPr="00E1125C">
              <w:rPr>
                <w:rFonts w:ascii="Calibri" w:eastAsia="Times New Roman" w:hAnsi="Calibri" w:cs="Calibri"/>
                <w:i/>
                <w:iCs/>
                <w:sz w:val="22"/>
              </w:rPr>
              <w:t>2018</w:t>
            </w:r>
          </w:p>
        </w:tc>
      </w:tr>
      <w:tr w:rsidR="00E1125C" w:rsidRPr="00E1125C" w14:paraId="24F4642E" w14:textId="77777777" w:rsidTr="000C4DA4">
        <w:trPr>
          <w:trHeight w:val="300"/>
        </w:trPr>
        <w:tc>
          <w:tcPr>
            <w:tcW w:w="1796" w:type="dxa"/>
            <w:tcBorders>
              <w:top w:val="single" w:sz="4" w:space="0" w:color="auto"/>
              <w:left w:val="nil"/>
              <w:bottom w:val="nil"/>
              <w:right w:val="nil"/>
            </w:tcBorders>
            <w:shd w:val="clear" w:color="auto" w:fill="FFF2CC" w:themeFill="accent4" w:themeFillTint="33"/>
            <w:noWrap/>
            <w:vAlign w:val="bottom"/>
            <w:hideMark/>
          </w:tcPr>
          <w:p w14:paraId="38AD7CA6" w14:textId="77777777" w:rsidR="0071227B" w:rsidRPr="00E1125C" w:rsidRDefault="0071227B" w:rsidP="0071227B">
            <w:pPr>
              <w:jc w:val="left"/>
              <w:rPr>
                <w:rFonts w:ascii="Calibri" w:eastAsia="Times New Roman" w:hAnsi="Calibri" w:cs="Calibri"/>
              </w:rPr>
            </w:pPr>
            <w:r w:rsidRPr="00E1125C">
              <w:rPr>
                <w:rFonts w:ascii="Calibri" w:eastAsia="Times New Roman" w:hAnsi="Calibri" w:cs="Calibri"/>
                <w:sz w:val="22"/>
              </w:rPr>
              <w:t>Agropecuario</w:t>
            </w:r>
          </w:p>
        </w:tc>
        <w:tc>
          <w:tcPr>
            <w:tcW w:w="964" w:type="dxa"/>
            <w:tcBorders>
              <w:top w:val="single" w:sz="4" w:space="0" w:color="auto"/>
              <w:left w:val="nil"/>
              <w:bottom w:val="nil"/>
              <w:right w:val="nil"/>
            </w:tcBorders>
            <w:shd w:val="clear" w:color="auto" w:fill="FFF2CC" w:themeFill="accent4" w:themeFillTint="33"/>
            <w:noWrap/>
            <w:vAlign w:val="bottom"/>
            <w:hideMark/>
          </w:tcPr>
          <w:p w14:paraId="7293C923"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83,36%</w:t>
            </w:r>
          </w:p>
        </w:tc>
        <w:tc>
          <w:tcPr>
            <w:tcW w:w="964" w:type="dxa"/>
            <w:tcBorders>
              <w:top w:val="single" w:sz="4" w:space="0" w:color="auto"/>
              <w:left w:val="nil"/>
              <w:bottom w:val="nil"/>
              <w:right w:val="nil"/>
            </w:tcBorders>
            <w:shd w:val="clear" w:color="auto" w:fill="FFF2CC" w:themeFill="accent4" w:themeFillTint="33"/>
            <w:noWrap/>
            <w:vAlign w:val="bottom"/>
            <w:hideMark/>
          </w:tcPr>
          <w:p w14:paraId="2A9845F1"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83,10%</w:t>
            </w:r>
          </w:p>
        </w:tc>
        <w:tc>
          <w:tcPr>
            <w:tcW w:w="964" w:type="dxa"/>
            <w:tcBorders>
              <w:top w:val="single" w:sz="4" w:space="0" w:color="auto"/>
              <w:left w:val="nil"/>
              <w:bottom w:val="nil"/>
              <w:right w:val="nil"/>
            </w:tcBorders>
            <w:shd w:val="clear" w:color="auto" w:fill="FFF2CC" w:themeFill="accent4" w:themeFillTint="33"/>
            <w:noWrap/>
            <w:vAlign w:val="bottom"/>
            <w:hideMark/>
          </w:tcPr>
          <w:p w14:paraId="2EBFFCB4"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82,91%</w:t>
            </w:r>
          </w:p>
        </w:tc>
        <w:tc>
          <w:tcPr>
            <w:tcW w:w="964" w:type="dxa"/>
            <w:tcBorders>
              <w:top w:val="single" w:sz="4" w:space="0" w:color="auto"/>
              <w:left w:val="nil"/>
              <w:bottom w:val="nil"/>
              <w:right w:val="nil"/>
            </w:tcBorders>
            <w:shd w:val="clear" w:color="auto" w:fill="FFF2CC" w:themeFill="accent4" w:themeFillTint="33"/>
            <w:noWrap/>
            <w:vAlign w:val="bottom"/>
            <w:hideMark/>
          </w:tcPr>
          <w:p w14:paraId="164E4A2D"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82,40%</w:t>
            </w:r>
          </w:p>
        </w:tc>
        <w:tc>
          <w:tcPr>
            <w:tcW w:w="964" w:type="dxa"/>
            <w:tcBorders>
              <w:top w:val="single" w:sz="4" w:space="0" w:color="auto"/>
              <w:left w:val="nil"/>
              <w:bottom w:val="nil"/>
              <w:right w:val="nil"/>
            </w:tcBorders>
            <w:shd w:val="clear" w:color="auto" w:fill="FFF2CC" w:themeFill="accent4" w:themeFillTint="33"/>
            <w:noWrap/>
            <w:vAlign w:val="bottom"/>
            <w:hideMark/>
          </w:tcPr>
          <w:p w14:paraId="54807072"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84,23%</w:t>
            </w:r>
          </w:p>
        </w:tc>
        <w:tc>
          <w:tcPr>
            <w:tcW w:w="964" w:type="dxa"/>
            <w:tcBorders>
              <w:top w:val="single" w:sz="4" w:space="0" w:color="auto"/>
              <w:left w:val="nil"/>
              <w:bottom w:val="nil"/>
              <w:right w:val="nil"/>
            </w:tcBorders>
            <w:shd w:val="clear" w:color="auto" w:fill="FFF2CC" w:themeFill="accent4" w:themeFillTint="33"/>
            <w:noWrap/>
            <w:vAlign w:val="bottom"/>
            <w:hideMark/>
          </w:tcPr>
          <w:p w14:paraId="5E66A5EC"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85,35%</w:t>
            </w:r>
          </w:p>
        </w:tc>
        <w:tc>
          <w:tcPr>
            <w:tcW w:w="1067" w:type="dxa"/>
            <w:tcBorders>
              <w:top w:val="single" w:sz="4" w:space="0" w:color="auto"/>
              <w:left w:val="nil"/>
              <w:bottom w:val="nil"/>
              <w:right w:val="nil"/>
            </w:tcBorders>
            <w:shd w:val="clear" w:color="auto" w:fill="FFF2CC" w:themeFill="accent4" w:themeFillTint="33"/>
            <w:noWrap/>
            <w:vAlign w:val="bottom"/>
            <w:hideMark/>
          </w:tcPr>
          <w:p w14:paraId="22F826C7"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84,74%</w:t>
            </w:r>
          </w:p>
        </w:tc>
      </w:tr>
      <w:tr w:rsidR="00E1125C" w:rsidRPr="00E1125C" w14:paraId="42672022" w14:textId="77777777" w:rsidTr="005E15D9">
        <w:trPr>
          <w:trHeight w:val="300"/>
        </w:trPr>
        <w:tc>
          <w:tcPr>
            <w:tcW w:w="1796" w:type="dxa"/>
            <w:tcBorders>
              <w:top w:val="nil"/>
              <w:left w:val="nil"/>
              <w:bottom w:val="nil"/>
              <w:right w:val="nil"/>
            </w:tcBorders>
            <w:shd w:val="clear" w:color="auto" w:fill="FFF2CC" w:themeFill="accent4" w:themeFillTint="33"/>
            <w:noWrap/>
            <w:vAlign w:val="bottom"/>
            <w:hideMark/>
          </w:tcPr>
          <w:p w14:paraId="4EB401EA" w14:textId="77777777" w:rsidR="0071227B" w:rsidRPr="00E1125C" w:rsidRDefault="0071227B" w:rsidP="0071227B">
            <w:pPr>
              <w:jc w:val="left"/>
              <w:rPr>
                <w:rFonts w:ascii="Calibri" w:eastAsia="Times New Roman" w:hAnsi="Calibri" w:cs="Calibri"/>
              </w:rPr>
            </w:pPr>
            <w:r w:rsidRPr="00E1125C">
              <w:rPr>
                <w:rFonts w:ascii="Calibri" w:eastAsia="Times New Roman" w:hAnsi="Calibri" w:cs="Calibri"/>
                <w:sz w:val="22"/>
              </w:rPr>
              <w:t>Manufacturero</w:t>
            </w:r>
          </w:p>
        </w:tc>
        <w:tc>
          <w:tcPr>
            <w:tcW w:w="964" w:type="dxa"/>
            <w:tcBorders>
              <w:top w:val="nil"/>
              <w:left w:val="nil"/>
              <w:bottom w:val="nil"/>
              <w:right w:val="nil"/>
            </w:tcBorders>
            <w:shd w:val="clear" w:color="auto" w:fill="FFF2CC" w:themeFill="accent4" w:themeFillTint="33"/>
            <w:noWrap/>
            <w:vAlign w:val="bottom"/>
            <w:hideMark/>
          </w:tcPr>
          <w:p w14:paraId="6ABA599A"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92,02%</w:t>
            </w:r>
          </w:p>
        </w:tc>
        <w:tc>
          <w:tcPr>
            <w:tcW w:w="964" w:type="dxa"/>
            <w:tcBorders>
              <w:top w:val="nil"/>
              <w:left w:val="nil"/>
              <w:bottom w:val="nil"/>
              <w:right w:val="nil"/>
            </w:tcBorders>
            <w:shd w:val="clear" w:color="auto" w:fill="FFF2CC" w:themeFill="accent4" w:themeFillTint="33"/>
            <w:noWrap/>
            <w:vAlign w:val="bottom"/>
            <w:hideMark/>
          </w:tcPr>
          <w:p w14:paraId="0A0C62DB"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91,97%</w:t>
            </w:r>
          </w:p>
        </w:tc>
        <w:tc>
          <w:tcPr>
            <w:tcW w:w="964" w:type="dxa"/>
            <w:tcBorders>
              <w:top w:val="nil"/>
              <w:left w:val="nil"/>
              <w:bottom w:val="nil"/>
              <w:right w:val="nil"/>
            </w:tcBorders>
            <w:shd w:val="clear" w:color="auto" w:fill="FFF2CC" w:themeFill="accent4" w:themeFillTint="33"/>
            <w:noWrap/>
            <w:vAlign w:val="bottom"/>
            <w:hideMark/>
          </w:tcPr>
          <w:p w14:paraId="18393358"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91,84%</w:t>
            </w:r>
          </w:p>
        </w:tc>
        <w:tc>
          <w:tcPr>
            <w:tcW w:w="964" w:type="dxa"/>
            <w:tcBorders>
              <w:top w:val="nil"/>
              <w:left w:val="nil"/>
              <w:bottom w:val="nil"/>
              <w:right w:val="nil"/>
            </w:tcBorders>
            <w:shd w:val="clear" w:color="auto" w:fill="FFF2CC" w:themeFill="accent4" w:themeFillTint="33"/>
            <w:noWrap/>
            <w:vAlign w:val="bottom"/>
            <w:hideMark/>
          </w:tcPr>
          <w:p w14:paraId="65736AE4"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91,44%</w:t>
            </w:r>
          </w:p>
        </w:tc>
        <w:tc>
          <w:tcPr>
            <w:tcW w:w="964" w:type="dxa"/>
            <w:tcBorders>
              <w:top w:val="nil"/>
              <w:left w:val="nil"/>
              <w:bottom w:val="nil"/>
              <w:right w:val="nil"/>
            </w:tcBorders>
            <w:shd w:val="clear" w:color="auto" w:fill="FFF2CC" w:themeFill="accent4" w:themeFillTint="33"/>
            <w:noWrap/>
            <w:vAlign w:val="bottom"/>
            <w:hideMark/>
          </w:tcPr>
          <w:p w14:paraId="17D8A850"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91,74%</w:t>
            </w:r>
          </w:p>
        </w:tc>
        <w:tc>
          <w:tcPr>
            <w:tcW w:w="964" w:type="dxa"/>
            <w:tcBorders>
              <w:top w:val="nil"/>
              <w:left w:val="nil"/>
              <w:bottom w:val="nil"/>
              <w:right w:val="nil"/>
            </w:tcBorders>
            <w:shd w:val="clear" w:color="auto" w:fill="FFF2CC" w:themeFill="accent4" w:themeFillTint="33"/>
            <w:noWrap/>
            <w:vAlign w:val="bottom"/>
            <w:hideMark/>
          </w:tcPr>
          <w:p w14:paraId="6DBDC5B9"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91,96%</w:t>
            </w:r>
          </w:p>
        </w:tc>
        <w:tc>
          <w:tcPr>
            <w:tcW w:w="1067" w:type="dxa"/>
            <w:tcBorders>
              <w:top w:val="nil"/>
              <w:left w:val="nil"/>
              <w:bottom w:val="nil"/>
              <w:right w:val="nil"/>
            </w:tcBorders>
            <w:shd w:val="clear" w:color="auto" w:fill="FFF2CC" w:themeFill="accent4" w:themeFillTint="33"/>
            <w:noWrap/>
            <w:vAlign w:val="bottom"/>
            <w:hideMark/>
          </w:tcPr>
          <w:p w14:paraId="2457410C"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92,03%</w:t>
            </w:r>
          </w:p>
        </w:tc>
      </w:tr>
      <w:tr w:rsidR="00E1125C" w:rsidRPr="00E1125C" w14:paraId="6F5607F9" w14:textId="77777777" w:rsidTr="000C4DA4">
        <w:trPr>
          <w:trHeight w:val="300"/>
        </w:trPr>
        <w:tc>
          <w:tcPr>
            <w:tcW w:w="1796" w:type="dxa"/>
            <w:tcBorders>
              <w:top w:val="nil"/>
              <w:left w:val="nil"/>
              <w:right w:val="nil"/>
            </w:tcBorders>
            <w:shd w:val="clear" w:color="auto" w:fill="FFF2CC" w:themeFill="accent4" w:themeFillTint="33"/>
            <w:noWrap/>
            <w:vAlign w:val="bottom"/>
            <w:hideMark/>
          </w:tcPr>
          <w:p w14:paraId="094889BA" w14:textId="77777777" w:rsidR="0071227B" w:rsidRPr="00E1125C" w:rsidRDefault="0071227B" w:rsidP="0071227B">
            <w:pPr>
              <w:jc w:val="left"/>
              <w:rPr>
                <w:rFonts w:ascii="Calibri" w:eastAsia="Times New Roman" w:hAnsi="Calibri" w:cs="Calibri"/>
              </w:rPr>
            </w:pPr>
            <w:r w:rsidRPr="00E1125C">
              <w:rPr>
                <w:rFonts w:ascii="Calibri" w:eastAsia="Times New Roman" w:hAnsi="Calibri" w:cs="Calibri"/>
                <w:sz w:val="22"/>
              </w:rPr>
              <w:t>Construcción</w:t>
            </w:r>
          </w:p>
        </w:tc>
        <w:tc>
          <w:tcPr>
            <w:tcW w:w="964" w:type="dxa"/>
            <w:tcBorders>
              <w:top w:val="nil"/>
              <w:left w:val="nil"/>
              <w:right w:val="nil"/>
            </w:tcBorders>
            <w:shd w:val="clear" w:color="auto" w:fill="FFF2CC" w:themeFill="accent4" w:themeFillTint="33"/>
            <w:noWrap/>
            <w:vAlign w:val="bottom"/>
            <w:hideMark/>
          </w:tcPr>
          <w:p w14:paraId="3ED86216"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78,36%</w:t>
            </w:r>
          </w:p>
        </w:tc>
        <w:tc>
          <w:tcPr>
            <w:tcW w:w="964" w:type="dxa"/>
            <w:tcBorders>
              <w:top w:val="nil"/>
              <w:left w:val="nil"/>
              <w:right w:val="nil"/>
            </w:tcBorders>
            <w:shd w:val="clear" w:color="auto" w:fill="FFF2CC" w:themeFill="accent4" w:themeFillTint="33"/>
            <w:noWrap/>
            <w:vAlign w:val="bottom"/>
            <w:hideMark/>
          </w:tcPr>
          <w:p w14:paraId="0E37C4B4"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79,09%</w:t>
            </w:r>
          </w:p>
        </w:tc>
        <w:tc>
          <w:tcPr>
            <w:tcW w:w="964" w:type="dxa"/>
            <w:tcBorders>
              <w:top w:val="nil"/>
              <w:left w:val="nil"/>
              <w:right w:val="nil"/>
            </w:tcBorders>
            <w:shd w:val="clear" w:color="auto" w:fill="FFF2CC" w:themeFill="accent4" w:themeFillTint="33"/>
            <w:noWrap/>
            <w:vAlign w:val="bottom"/>
            <w:hideMark/>
          </w:tcPr>
          <w:p w14:paraId="0C81F7A6"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79,02%</w:t>
            </w:r>
          </w:p>
        </w:tc>
        <w:tc>
          <w:tcPr>
            <w:tcW w:w="964" w:type="dxa"/>
            <w:tcBorders>
              <w:top w:val="nil"/>
              <w:left w:val="nil"/>
              <w:right w:val="nil"/>
            </w:tcBorders>
            <w:shd w:val="clear" w:color="auto" w:fill="FFF2CC" w:themeFill="accent4" w:themeFillTint="33"/>
            <w:noWrap/>
            <w:vAlign w:val="bottom"/>
            <w:hideMark/>
          </w:tcPr>
          <w:p w14:paraId="71064F01"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78,57%</w:t>
            </w:r>
          </w:p>
        </w:tc>
        <w:tc>
          <w:tcPr>
            <w:tcW w:w="964" w:type="dxa"/>
            <w:tcBorders>
              <w:top w:val="nil"/>
              <w:left w:val="nil"/>
              <w:right w:val="nil"/>
            </w:tcBorders>
            <w:shd w:val="clear" w:color="auto" w:fill="FFF2CC" w:themeFill="accent4" w:themeFillTint="33"/>
            <w:noWrap/>
            <w:vAlign w:val="bottom"/>
            <w:hideMark/>
          </w:tcPr>
          <w:p w14:paraId="1A11BFF1"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79,00%</w:t>
            </w:r>
          </w:p>
        </w:tc>
        <w:tc>
          <w:tcPr>
            <w:tcW w:w="964" w:type="dxa"/>
            <w:tcBorders>
              <w:top w:val="nil"/>
              <w:left w:val="nil"/>
              <w:right w:val="nil"/>
            </w:tcBorders>
            <w:shd w:val="clear" w:color="auto" w:fill="FFF2CC" w:themeFill="accent4" w:themeFillTint="33"/>
            <w:noWrap/>
            <w:vAlign w:val="bottom"/>
            <w:hideMark/>
          </w:tcPr>
          <w:p w14:paraId="35FD4DA7"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78,62%</w:t>
            </w:r>
          </w:p>
        </w:tc>
        <w:tc>
          <w:tcPr>
            <w:tcW w:w="1067" w:type="dxa"/>
            <w:tcBorders>
              <w:top w:val="nil"/>
              <w:left w:val="nil"/>
              <w:right w:val="nil"/>
            </w:tcBorders>
            <w:shd w:val="clear" w:color="auto" w:fill="FFF2CC" w:themeFill="accent4" w:themeFillTint="33"/>
            <w:noWrap/>
            <w:vAlign w:val="bottom"/>
            <w:hideMark/>
          </w:tcPr>
          <w:p w14:paraId="5198D5FC"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79,28%</w:t>
            </w:r>
          </w:p>
        </w:tc>
      </w:tr>
      <w:tr w:rsidR="00E1125C" w:rsidRPr="00E1125C" w14:paraId="61ACE9B6" w14:textId="77777777" w:rsidTr="000C4DA4">
        <w:trPr>
          <w:trHeight w:val="300"/>
        </w:trPr>
        <w:tc>
          <w:tcPr>
            <w:tcW w:w="1796" w:type="dxa"/>
            <w:tcBorders>
              <w:top w:val="nil"/>
              <w:left w:val="nil"/>
              <w:bottom w:val="single" w:sz="4" w:space="0" w:color="auto"/>
              <w:right w:val="nil"/>
            </w:tcBorders>
            <w:shd w:val="clear" w:color="auto" w:fill="FFF2CC" w:themeFill="accent4" w:themeFillTint="33"/>
            <w:noWrap/>
            <w:vAlign w:val="bottom"/>
            <w:hideMark/>
          </w:tcPr>
          <w:p w14:paraId="527CDD15" w14:textId="77777777" w:rsidR="0071227B" w:rsidRPr="00E1125C" w:rsidRDefault="0071227B" w:rsidP="0071227B">
            <w:pPr>
              <w:jc w:val="left"/>
              <w:rPr>
                <w:rFonts w:ascii="Calibri" w:eastAsia="Times New Roman" w:hAnsi="Calibri" w:cs="Calibri"/>
              </w:rPr>
            </w:pPr>
            <w:r w:rsidRPr="00E1125C">
              <w:rPr>
                <w:rFonts w:ascii="Calibri" w:eastAsia="Times New Roman" w:hAnsi="Calibri" w:cs="Calibri"/>
                <w:sz w:val="22"/>
              </w:rPr>
              <w:t>Comercio General</w:t>
            </w:r>
          </w:p>
        </w:tc>
        <w:tc>
          <w:tcPr>
            <w:tcW w:w="964" w:type="dxa"/>
            <w:tcBorders>
              <w:top w:val="nil"/>
              <w:left w:val="nil"/>
              <w:bottom w:val="single" w:sz="4" w:space="0" w:color="auto"/>
              <w:right w:val="nil"/>
            </w:tcBorders>
            <w:shd w:val="clear" w:color="auto" w:fill="FFF2CC" w:themeFill="accent4" w:themeFillTint="33"/>
            <w:noWrap/>
            <w:vAlign w:val="bottom"/>
            <w:hideMark/>
          </w:tcPr>
          <w:p w14:paraId="1B3A51C3"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83,78%</w:t>
            </w:r>
          </w:p>
        </w:tc>
        <w:tc>
          <w:tcPr>
            <w:tcW w:w="964" w:type="dxa"/>
            <w:tcBorders>
              <w:top w:val="nil"/>
              <w:left w:val="nil"/>
              <w:bottom w:val="single" w:sz="4" w:space="0" w:color="auto"/>
              <w:right w:val="nil"/>
            </w:tcBorders>
            <w:shd w:val="clear" w:color="auto" w:fill="FFF2CC" w:themeFill="accent4" w:themeFillTint="33"/>
            <w:noWrap/>
            <w:vAlign w:val="bottom"/>
            <w:hideMark/>
          </w:tcPr>
          <w:p w14:paraId="275F653B"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83,97%</w:t>
            </w:r>
          </w:p>
        </w:tc>
        <w:tc>
          <w:tcPr>
            <w:tcW w:w="964" w:type="dxa"/>
            <w:tcBorders>
              <w:top w:val="nil"/>
              <w:left w:val="nil"/>
              <w:bottom w:val="single" w:sz="4" w:space="0" w:color="auto"/>
              <w:right w:val="nil"/>
            </w:tcBorders>
            <w:shd w:val="clear" w:color="auto" w:fill="FFF2CC" w:themeFill="accent4" w:themeFillTint="33"/>
            <w:noWrap/>
            <w:vAlign w:val="bottom"/>
            <w:hideMark/>
          </w:tcPr>
          <w:p w14:paraId="11BB558A"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84,10%</w:t>
            </w:r>
          </w:p>
        </w:tc>
        <w:tc>
          <w:tcPr>
            <w:tcW w:w="964" w:type="dxa"/>
            <w:tcBorders>
              <w:top w:val="nil"/>
              <w:left w:val="nil"/>
              <w:bottom w:val="single" w:sz="4" w:space="0" w:color="auto"/>
              <w:right w:val="nil"/>
            </w:tcBorders>
            <w:shd w:val="clear" w:color="auto" w:fill="FFF2CC" w:themeFill="accent4" w:themeFillTint="33"/>
            <w:noWrap/>
            <w:vAlign w:val="bottom"/>
            <w:hideMark/>
          </w:tcPr>
          <w:p w14:paraId="5ACD3F16"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83,87%</w:t>
            </w:r>
          </w:p>
        </w:tc>
        <w:tc>
          <w:tcPr>
            <w:tcW w:w="964" w:type="dxa"/>
            <w:tcBorders>
              <w:top w:val="nil"/>
              <w:left w:val="nil"/>
              <w:bottom w:val="single" w:sz="4" w:space="0" w:color="auto"/>
              <w:right w:val="nil"/>
            </w:tcBorders>
            <w:shd w:val="clear" w:color="auto" w:fill="FFF2CC" w:themeFill="accent4" w:themeFillTint="33"/>
            <w:noWrap/>
            <w:vAlign w:val="bottom"/>
            <w:hideMark/>
          </w:tcPr>
          <w:p w14:paraId="0EFA126D"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84,30%</w:t>
            </w:r>
          </w:p>
        </w:tc>
        <w:tc>
          <w:tcPr>
            <w:tcW w:w="964" w:type="dxa"/>
            <w:tcBorders>
              <w:top w:val="nil"/>
              <w:left w:val="nil"/>
              <w:bottom w:val="single" w:sz="4" w:space="0" w:color="auto"/>
              <w:right w:val="nil"/>
            </w:tcBorders>
            <w:shd w:val="clear" w:color="auto" w:fill="FFF2CC" w:themeFill="accent4" w:themeFillTint="33"/>
            <w:noWrap/>
            <w:vAlign w:val="bottom"/>
            <w:hideMark/>
          </w:tcPr>
          <w:p w14:paraId="2AA19480"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85,37%</w:t>
            </w:r>
          </w:p>
        </w:tc>
        <w:tc>
          <w:tcPr>
            <w:tcW w:w="1067" w:type="dxa"/>
            <w:tcBorders>
              <w:top w:val="nil"/>
              <w:left w:val="nil"/>
              <w:bottom w:val="single" w:sz="4" w:space="0" w:color="auto"/>
              <w:right w:val="nil"/>
            </w:tcBorders>
            <w:shd w:val="clear" w:color="auto" w:fill="FFF2CC" w:themeFill="accent4" w:themeFillTint="33"/>
            <w:noWrap/>
            <w:vAlign w:val="bottom"/>
            <w:hideMark/>
          </w:tcPr>
          <w:p w14:paraId="13CAAF1F" w14:textId="77777777" w:rsidR="0071227B" w:rsidRPr="00E1125C" w:rsidRDefault="0071227B" w:rsidP="0071227B">
            <w:pPr>
              <w:jc w:val="right"/>
              <w:rPr>
                <w:rFonts w:ascii="Calibri" w:eastAsia="Times New Roman" w:hAnsi="Calibri" w:cs="Calibri"/>
              </w:rPr>
            </w:pPr>
            <w:r w:rsidRPr="00E1125C">
              <w:rPr>
                <w:rFonts w:ascii="Calibri" w:eastAsia="Times New Roman" w:hAnsi="Calibri" w:cs="Calibri"/>
                <w:sz w:val="22"/>
              </w:rPr>
              <w:t>85,66%</w:t>
            </w:r>
          </w:p>
        </w:tc>
      </w:tr>
      <w:tr w:rsidR="00E1125C" w:rsidRPr="00E1125C" w14:paraId="38554CFB" w14:textId="77777777" w:rsidTr="0071259F">
        <w:trPr>
          <w:trHeight w:val="300"/>
        </w:trPr>
        <w:tc>
          <w:tcPr>
            <w:tcW w:w="8647" w:type="dxa"/>
            <w:gridSpan w:val="8"/>
            <w:tcBorders>
              <w:top w:val="single" w:sz="4" w:space="0" w:color="auto"/>
              <w:left w:val="nil"/>
              <w:bottom w:val="single" w:sz="4" w:space="0" w:color="auto"/>
              <w:right w:val="nil"/>
            </w:tcBorders>
            <w:shd w:val="clear" w:color="auto" w:fill="FFF2CC" w:themeFill="accent4" w:themeFillTint="33"/>
            <w:noWrap/>
            <w:vAlign w:val="bottom"/>
          </w:tcPr>
          <w:p w14:paraId="4FD4F8B0" w14:textId="03C236B2" w:rsidR="000C4DA4" w:rsidRPr="00E1125C" w:rsidRDefault="000C4DA4" w:rsidP="000C4DA4">
            <w:pPr>
              <w:jc w:val="left"/>
              <w:rPr>
                <w:rFonts w:ascii="Calibri" w:eastAsia="Times New Roman" w:hAnsi="Calibri" w:cs="Calibri"/>
                <w:i/>
                <w:iCs/>
              </w:rPr>
            </w:pPr>
            <w:r w:rsidRPr="00E1125C">
              <w:rPr>
                <w:rFonts w:ascii="Calibri" w:eastAsia="Times New Roman" w:hAnsi="Calibri" w:cs="Calibri"/>
                <w:i/>
                <w:iCs/>
                <w:sz w:val="22"/>
              </w:rPr>
              <w:t>Fuente: Elaboración propia con datos del BCCR.</w:t>
            </w:r>
          </w:p>
        </w:tc>
      </w:tr>
    </w:tbl>
    <w:p w14:paraId="33D2DCB8" w14:textId="6F9FEDE4" w:rsidR="0071227B" w:rsidRPr="00E1125C" w:rsidRDefault="0071227B" w:rsidP="0071227B"/>
    <w:p w14:paraId="65762502" w14:textId="71D06921" w:rsidR="005A2E67" w:rsidRPr="00E1125C" w:rsidRDefault="005A2E67" w:rsidP="0071227B">
      <w:r w:rsidRPr="00E1125C">
        <w:tab/>
      </w:r>
      <w:r w:rsidR="007D50BD" w:rsidRPr="00E1125C">
        <w:t>El cuadro</w:t>
      </w:r>
      <w:r w:rsidRPr="00E1125C">
        <w:t xml:space="preserve"> 2 puede ilustrarse con el Gráfico </w:t>
      </w:r>
      <w:r w:rsidR="0072003D" w:rsidRPr="00E1125C">
        <w:t>1</w:t>
      </w:r>
      <w:r w:rsidRPr="00E1125C">
        <w:t>:</w:t>
      </w:r>
    </w:p>
    <w:p w14:paraId="0554134F" w14:textId="0AD82B96" w:rsidR="005A2E67" w:rsidRPr="00E1125C" w:rsidRDefault="005A2E67" w:rsidP="0071227B"/>
    <w:p w14:paraId="256CDF77" w14:textId="77777777" w:rsidR="00E93307" w:rsidRPr="00E1125C" w:rsidRDefault="00E93307" w:rsidP="00E93307">
      <w:r w:rsidRPr="00E1125C">
        <w:lastRenderedPageBreak/>
        <w:t>Gráfico 1.  Costa Rica: Proporción de las Grandes Empresas en el Ingreso total</w:t>
      </w:r>
    </w:p>
    <w:p w14:paraId="220CD630" w14:textId="77777777" w:rsidR="00E93307" w:rsidRPr="00E1125C" w:rsidRDefault="00E93307" w:rsidP="0071227B"/>
    <w:p w14:paraId="5852635D" w14:textId="27F91AA8" w:rsidR="005A2E67" w:rsidRPr="00E1125C" w:rsidRDefault="005A2E67" w:rsidP="00345559">
      <w:pPr>
        <w:jc w:val="center"/>
      </w:pPr>
      <w:r w:rsidRPr="00E1125C">
        <w:rPr>
          <w:noProof/>
          <w:lang w:val="en-US" w:eastAsia="en-US"/>
        </w:rPr>
        <w:drawing>
          <wp:inline distT="0" distB="0" distL="0" distR="0" wp14:anchorId="7B0D7B29" wp14:editId="79D9BC66">
            <wp:extent cx="3762375" cy="1914525"/>
            <wp:effectExtent l="0" t="0" r="9525" b="9525"/>
            <wp:docPr id="2" name="Gráfico 2">
              <a:extLst xmlns:a="http://schemas.openxmlformats.org/drawingml/2006/main">
                <a:ext uri="{FF2B5EF4-FFF2-40B4-BE49-F238E27FC236}">
                  <a16:creationId xmlns:a16="http://schemas.microsoft.com/office/drawing/2014/main" id="{068659C2-2781-47D1-AD57-640D0F31B2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A8059A1" w14:textId="1B39E4E3" w:rsidR="005A2E67" w:rsidRPr="00E1125C" w:rsidRDefault="005A2E67" w:rsidP="0071227B"/>
    <w:p w14:paraId="170EA39F" w14:textId="0726FAE7" w:rsidR="005A2E67" w:rsidRPr="00E1125C" w:rsidRDefault="005A2E67" w:rsidP="0071227B">
      <w:r w:rsidRPr="00E1125C">
        <w:tab/>
        <w:t>Puede observarse</w:t>
      </w:r>
      <w:r w:rsidR="005D0B0B" w:rsidRPr="00E1125C">
        <w:t xml:space="preserve"> </w:t>
      </w:r>
      <w:r w:rsidRPr="00E1125C">
        <w:t xml:space="preserve">la altísima proporción del ingreso total que representan las </w:t>
      </w:r>
      <w:r w:rsidR="005D0B0B" w:rsidRPr="00E1125C">
        <w:t>G</w:t>
      </w:r>
      <w:r w:rsidRPr="00E1125C">
        <w:t xml:space="preserve">randes </w:t>
      </w:r>
      <w:r w:rsidR="005D0B0B" w:rsidRPr="00E1125C">
        <w:t>e</w:t>
      </w:r>
      <w:r w:rsidRPr="00E1125C">
        <w:t>mpresas</w:t>
      </w:r>
      <w:r w:rsidR="005D0B0B" w:rsidRPr="00E1125C">
        <w:t xml:space="preserve"> y particularmente en el sector Manufacturero en el que </w:t>
      </w:r>
      <w:r w:rsidR="00F137A7" w:rsidRPr="00E1125C">
        <w:t>é</w:t>
      </w:r>
      <w:r w:rsidR="005D0B0B" w:rsidRPr="00E1125C">
        <w:t>sta no baja del 90%</w:t>
      </w:r>
      <w:r w:rsidR="0081252B" w:rsidRPr="00E1125C">
        <w:t>.  Asimismo, para efecto de nuestro interés, puede observarse también una tendencia general a un aumento de esta apropiación con el tiempo</w:t>
      </w:r>
      <w:r w:rsidR="004D6D7D" w:rsidRPr="00E1125C">
        <w:t>,</w:t>
      </w:r>
      <w:r w:rsidR="00531732" w:rsidRPr="00E1125C">
        <w:t xml:space="preserve"> en los cuatro sectores</w:t>
      </w:r>
      <w:r w:rsidR="0081252B" w:rsidRPr="00E1125C">
        <w:t>.</w:t>
      </w:r>
    </w:p>
    <w:p w14:paraId="7D7419CD" w14:textId="1D22C297" w:rsidR="00ED6E6E" w:rsidRPr="00E1125C" w:rsidRDefault="00ED6E6E" w:rsidP="0071227B">
      <w:r w:rsidRPr="00E1125C">
        <w:tab/>
      </w:r>
      <w:r w:rsidR="004663D8" w:rsidRPr="00E1125C">
        <w:t xml:space="preserve">Ahora bien, </w:t>
      </w:r>
      <w:r w:rsidR="002F1C04" w:rsidRPr="00E1125C">
        <w:t xml:space="preserve">como el propósito de esta investigación empírica es estudiar la concentración del ingreso en los sectores seleccionados y su evolución en </w:t>
      </w:r>
      <w:r w:rsidR="000743D8">
        <w:t xml:space="preserve">el </w:t>
      </w:r>
      <w:r w:rsidR="002F1C04" w:rsidRPr="00E1125C">
        <w:t>tiempo, la presentación de los resultados la condensamos en el estudio de los indicadores de concentración</w:t>
      </w:r>
      <w:r w:rsidR="00443339" w:rsidRPr="00E1125C">
        <w:t xml:space="preserve"> </w:t>
      </w:r>
      <w:r w:rsidR="002F1C04" w:rsidRPr="00E1125C">
        <w:t>precisamente, y dejamos para otra ocasión u</w:t>
      </w:r>
      <w:r w:rsidR="004663D8" w:rsidRPr="00E1125C">
        <w:t>na exposición más descriptiva de las condiciones en que se encuentran los sectores escogidos con relación a las cinco variables estudiadas</w:t>
      </w:r>
      <w:r w:rsidR="002F1C04" w:rsidRPr="00E1125C">
        <w:t>.</w:t>
      </w:r>
    </w:p>
    <w:p w14:paraId="57476ADE" w14:textId="7A7E73C6" w:rsidR="00CC3C73" w:rsidRPr="00E1125C" w:rsidRDefault="00CC3C73" w:rsidP="007749A4">
      <w:pPr>
        <w:ind w:firstLine="708"/>
      </w:pPr>
      <w:r w:rsidRPr="00E1125C">
        <w:t xml:space="preserve">Para cuantificar más sintéticamente el grado de concentración de la producción en los sectores escogidos decidimos calcular el índice de </w:t>
      </w:r>
      <w:proofErr w:type="spellStart"/>
      <w:r w:rsidRPr="00E1125C">
        <w:t>Herfindahl-Hirschman</w:t>
      </w:r>
      <w:proofErr w:type="spellEnd"/>
      <w:r w:rsidRPr="00E1125C">
        <w:t xml:space="preserve"> que, como ya se adelantó, es un indicador condensado de la concentración, en este caso, de los ingresos en los sectores Agropecuario, Manufacturero, Comercio General y Servicios.</w:t>
      </w:r>
      <w:r w:rsidR="00B87FF1" w:rsidRPr="00E1125C">
        <w:t xml:space="preserve">  En este caso que la distribución </w:t>
      </w:r>
      <w:r w:rsidR="00443ECF" w:rsidRPr="00E1125C">
        <w:t xml:space="preserve">se ha hecho en 4 clases, con una distribución </w:t>
      </w:r>
      <w:r w:rsidR="007749A4" w:rsidRPr="00E1125C">
        <w:t>equitativa</w:t>
      </w:r>
      <w:r w:rsidR="00443ECF" w:rsidRPr="00E1125C">
        <w:t xml:space="preserve"> de 25% cada uno, el IHH sería de 2.500</w:t>
      </w:r>
      <w:r w:rsidR="00633EC0" w:rsidRPr="00E1125C">
        <w:t xml:space="preserve">. </w:t>
      </w:r>
      <w:r w:rsidR="00F265F5" w:rsidRPr="00E1125C">
        <w:t xml:space="preserve"> </w:t>
      </w:r>
      <w:r w:rsidR="00F265F5" w:rsidRPr="00E1125C">
        <w:rPr>
          <w:lang w:val="es-CR"/>
        </w:rPr>
        <w:t>E</w:t>
      </w:r>
      <w:r w:rsidR="00633EC0" w:rsidRPr="00E1125C">
        <w:rPr>
          <w:lang w:val="es-CR"/>
        </w:rPr>
        <w:t>l Departamento de Justicia y la Comisión de Comercio de los Estados Unidos,</w:t>
      </w:r>
      <w:r w:rsidR="00F265F5" w:rsidRPr="00E1125C">
        <w:rPr>
          <w:lang w:val="es-CR"/>
        </w:rPr>
        <w:t xml:space="preserve"> define un mercado competitivo, sumándole al valor equitativo</w:t>
      </w:r>
      <w:r w:rsidR="00CF7710" w:rsidRPr="00E1125C">
        <w:rPr>
          <w:lang w:val="es-CR"/>
        </w:rPr>
        <w:t xml:space="preserve"> (1.000 en su caso)</w:t>
      </w:r>
      <w:r w:rsidR="00F265F5" w:rsidRPr="00E1125C">
        <w:rPr>
          <w:lang w:val="es-CR"/>
        </w:rPr>
        <w:t xml:space="preserve"> el 50% de su valor (Córdoba, et al, p.11</w:t>
      </w:r>
      <w:r w:rsidR="007749A4" w:rsidRPr="00E1125C">
        <w:rPr>
          <w:lang w:val="es-CR"/>
        </w:rPr>
        <w:t xml:space="preserve">; Hace, </w:t>
      </w:r>
      <w:r w:rsidR="001C4821" w:rsidRPr="00E1125C">
        <w:rPr>
          <w:lang w:val="es-CR"/>
        </w:rPr>
        <w:t>2021</w:t>
      </w:r>
      <w:r w:rsidR="00F265F5" w:rsidRPr="00E1125C">
        <w:rPr>
          <w:lang w:val="es-CR"/>
        </w:rPr>
        <w:t xml:space="preserve">), lo que da para nuestro caso un índice de 3.750.  Por encima de </w:t>
      </w:r>
      <w:r w:rsidR="00624CB8" w:rsidRPr="00E1125C">
        <w:rPr>
          <w:lang w:val="es-CR"/>
        </w:rPr>
        <w:t>ese</w:t>
      </w:r>
      <w:r w:rsidR="00F265F5" w:rsidRPr="00E1125C">
        <w:rPr>
          <w:lang w:val="es-CR"/>
        </w:rPr>
        <w:t xml:space="preserve"> valor </w:t>
      </w:r>
      <w:r w:rsidR="00624CB8" w:rsidRPr="00E1125C">
        <w:rPr>
          <w:lang w:val="es-CR"/>
        </w:rPr>
        <w:t>los sectores afectados no son considerados competitivos.</w:t>
      </w:r>
      <w:r w:rsidR="00624CB8" w:rsidRPr="00E1125C">
        <w:t xml:space="preserve">  </w:t>
      </w:r>
      <w:r w:rsidRPr="00E1125C">
        <w:t>El resultado del cálculo de este indicador lo presentamos con el promedio simple del indicador en los seis años del período estudiado, en la tabla No.3</w:t>
      </w:r>
      <w:r w:rsidR="00FA0563" w:rsidRPr="00E1125C">
        <w:t>:</w:t>
      </w:r>
    </w:p>
    <w:p w14:paraId="69DBA2A8" w14:textId="1D2E9D86" w:rsidR="00CC3C73" w:rsidRPr="00E1125C" w:rsidRDefault="00CC3C73" w:rsidP="00CC3C73">
      <w:pPr>
        <w:ind w:firstLine="708"/>
      </w:pPr>
    </w:p>
    <w:tbl>
      <w:tblPr>
        <w:tblW w:w="6863" w:type="dxa"/>
        <w:jc w:val="center"/>
        <w:tblCellMar>
          <w:left w:w="70" w:type="dxa"/>
          <w:right w:w="70" w:type="dxa"/>
        </w:tblCellMar>
        <w:tblLook w:val="04A0" w:firstRow="1" w:lastRow="0" w:firstColumn="1" w:lastColumn="0" w:noHBand="0" w:noVBand="1"/>
      </w:tblPr>
      <w:tblGrid>
        <w:gridCol w:w="1806"/>
        <w:gridCol w:w="2649"/>
        <w:gridCol w:w="2408"/>
      </w:tblGrid>
      <w:tr w:rsidR="00E1125C" w:rsidRPr="00E1125C" w14:paraId="57C98610" w14:textId="77777777" w:rsidTr="00345559">
        <w:trPr>
          <w:trHeight w:val="419"/>
          <w:jc w:val="center"/>
        </w:trPr>
        <w:tc>
          <w:tcPr>
            <w:tcW w:w="6863" w:type="dxa"/>
            <w:gridSpan w:val="3"/>
            <w:tcBorders>
              <w:top w:val="nil"/>
              <w:left w:val="nil"/>
              <w:bottom w:val="nil"/>
              <w:right w:val="nil"/>
            </w:tcBorders>
            <w:shd w:val="clear" w:color="000000" w:fill="FFF2CC"/>
            <w:noWrap/>
            <w:vAlign w:val="bottom"/>
          </w:tcPr>
          <w:p w14:paraId="4B52F003" w14:textId="77777777" w:rsidR="00FA0563" w:rsidRPr="00E1125C" w:rsidRDefault="00FA0563" w:rsidP="0071513C">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Tabla No.3</w:t>
            </w:r>
          </w:p>
          <w:p w14:paraId="47CE7E21" w14:textId="77777777" w:rsidR="00FA0563" w:rsidRPr="00E1125C" w:rsidRDefault="00FA0563" w:rsidP="0071513C">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 xml:space="preserve">Costa Rica: Promedio del Índice de </w:t>
            </w:r>
            <w:proofErr w:type="spellStart"/>
            <w:r w:rsidRPr="00E1125C">
              <w:rPr>
                <w:rFonts w:ascii="Calibri" w:eastAsia="Times New Roman" w:hAnsi="Calibri" w:cs="Calibri"/>
                <w:i/>
                <w:iCs/>
                <w:szCs w:val="24"/>
                <w:lang w:val="es-CR" w:eastAsia="es-CR"/>
              </w:rPr>
              <w:t>Herfindahl-Hirschman</w:t>
            </w:r>
            <w:proofErr w:type="spellEnd"/>
            <w:r w:rsidRPr="00E1125C">
              <w:rPr>
                <w:rFonts w:ascii="Calibri" w:eastAsia="Times New Roman" w:hAnsi="Calibri" w:cs="Calibri"/>
                <w:i/>
                <w:iCs/>
                <w:szCs w:val="24"/>
                <w:lang w:val="es-CR" w:eastAsia="es-CR"/>
              </w:rPr>
              <w:t xml:space="preserve"> por sectores estudiados</w:t>
            </w:r>
          </w:p>
        </w:tc>
      </w:tr>
      <w:tr w:rsidR="00E1125C" w:rsidRPr="00E1125C" w14:paraId="2D16E904" w14:textId="77777777" w:rsidTr="00345559">
        <w:trPr>
          <w:trHeight w:val="419"/>
          <w:jc w:val="center"/>
        </w:trPr>
        <w:tc>
          <w:tcPr>
            <w:tcW w:w="6863" w:type="dxa"/>
            <w:gridSpan w:val="3"/>
            <w:tcBorders>
              <w:top w:val="nil"/>
              <w:left w:val="nil"/>
              <w:bottom w:val="nil"/>
              <w:right w:val="nil"/>
            </w:tcBorders>
            <w:shd w:val="clear" w:color="000000" w:fill="FFF2CC"/>
            <w:noWrap/>
            <w:vAlign w:val="bottom"/>
          </w:tcPr>
          <w:p w14:paraId="308D0573" w14:textId="77777777" w:rsidR="00CC3C73" w:rsidRPr="00E1125C" w:rsidRDefault="00CC3C73" w:rsidP="00AC7379">
            <w:pPr>
              <w:jc w:val="left"/>
              <w:rPr>
                <w:rFonts w:ascii="Calibri" w:eastAsia="Times New Roman" w:hAnsi="Calibri" w:cs="Calibri"/>
                <w:i/>
                <w:iCs/>
                <w:szCs w:val="24"/>
                <w:lang w:val="es-CR" w:eastAsia="es-CR"/>
              </w:rPr>
            </w:pPr>
          </w:p>
        </w:tc>
      </w:tr>
      <w:tr w:rsidR="00E1125C" w:rsidRPr="00E1125C" w14:paraId="018F332E" w14:textId="77777777" w:rsidTr="001B232D">
        <w:trPr>
          <w:trHeight w:val="419"/>
          <w:jc w:val="center"/>
        </w:trPr>
        <w:tc>
          <w:tcPr>
            <w:tcW w:w="1806" w:type="dxa"/>
            <w:tcBorders>
              <w:top w:val="nil"/>
              <w:left w:val="nil"/>
              <w:bottom w:val="nil"/>
              <w:right w:val="nil"/>
            </w:tcBorders>
            <w:shd w:val="clear" w:color="000000" w:fill="FFF2CC"/>
            <w:noWrap/>
            <w:vAlign w:val="bottom"/>
            <w:hideMark/>
          </w:tcPr>
          <w:p w14:paraId="62F608EE"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lastRenderedPageBreak/>
              <w:t>Agropecuario</w:t>
            </w:r>
          </w:p>
        </w:tc>
        <w:tc>
          <w:tcPr>
            <w:tcW w:w="5057" w:type="dxa"/>
            <w:gridSpan w:val="2"/>
            <w:tcBorders>
              <w:top w:val="nil"/>
              <w:left w:val="nil"/>
              <w:bottom w:val="nil"/>
              <w:right w:val="nil"/>
            </w:tcBorders>
            <w:shd w:val="clear" w:color="000000" w:fill="FFF2CC"/>
            <w:noWrap/>
            <w:vAlign w:val="bottom"/>
            <w:hideMark/>
          </w:tcPr>
          <w:p w14:paraId="13C1816F"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 xml:space="preserve">       4.472,32 </w:t>
            </w:r>
          </w:p>
        </w:tc>
      </w:tr>
      <w:tr w:rsidR="00E1125C" w:rsidRPr="00E1125C" w14:paraId="491DFE28" w14:textId="77777777" w:rsidTr="001B232D">
        <w:trPr>
          <w:trHeight w:val="419"/>
          <w:jc w:val="center"/>
        </w:trPr>
        <w:tc>
          <w:tcPr>
            <w:tcW w:w="1806" w:type="dxa"/>
            <w:tcBorders>
              <w:top w:val="nil"/>
              <w:left w:val="nil"/>
              <w:bottom w:val="nil"/>
              <w:right w:val="nil"/>
            </w:tcBorders>
            <w:shd w:val="clear" w:color="000000" w:fill="FFF2CC"/>
            <w:noWrap/>
            <w:vAlign w:val="bottom"/>
            <w:hideMark/>
          </w:tcPr>
          <w:p w14:paraId="6DAB137F"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Manufacturero</w:t>
            </w:r>
          </w:p>
        </w:tc>
        <w:tc>
          <w:tcPr>
            <w:tcW w:w="5057" w:type="dxa"/>
            <w:gridSpan w:val="2"/>
            <w:tcBorders>
              <w:top w:val="nil"/>
              <w:left w:val="nil"/>
              <w:bottom w:val="nil"/>
              <w:right w:val="nil"/>
            </w:tcBorders>
            <w:shd w:val="clear" w:color="000000" w:fill="FFF2CC"/>
            <w:noWrap/>
            <w:vAlign w:val="bottom"/>
            <w:hideMark/>
          </w:tcPr>
          <w:p w14:paraId="5717DA49"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 xml:space="preserve">       7.524,52 </w:t>
            </w:r>
          </w:p>
        </w:tc>
      </w:tr>
      <w:tr w:rsidR="00E1125C" w:rsidRPr="00E1125C" w14:paraId="4FE68E43" w14:textId="77777777" w:rsidTr="001B232D">
        <w:trPr>
          <w:trHeight w:val="419"/>
          <w:jc w:val="center"/>
        </w:trPr>
        <w:tc>
          <w:tcPr>
            <w:tcW w:w="1806" w:type="dxa"/>
            <w:tcBorders>
              <w:top w:val="nil"/>
              <w:left w:val="nil"/>
              <w:right w:val="nil"/>
            </w:tcBorders>
            <w:shd w:val="clear" w:color="000000" w:fill="FFF2CC"/>
            <w:noWrap/>
            <w:vAlign w:val="bottom"/>
            <w:hideMark/>
          </w:tcPr>
          <w:p w14:paraId="1EAC23FE"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Comercio General</w:t>
            </w:r>
          </w:p>
        </w:tc>
        <w:tc>
          <w:tcPr>
            <w:tcW w:w="5057" w:type="dxa"/>
            <w:gridSpan w:val="2"/>
            <w:tcBorders>
              <w:top w:val="nil"/>
              <w:left w:val="nil"/>
              <w:right w:val="nil"/>
            </w:tcBorders>
            <w:shd w:val="clear" w:color="000000" w:fill="FFF2CC"/>
            <w:noWrap/>
            <w:vAlign w:val="bottom"/>
            <w:hideMark/>
          </w:tcPr>
          <w:p w14:paraId="4CED8A7C"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 xml:space="preserve">       5.448,60 </w:t>
            </w:r>
          </w:p>
        </w:tc>
      </w:tr>
      <w:tr w:rsidR="00E1125C" w:rsidRPr="00E1125C" w14:paraId="228970F0" w14:textId="77777777" w:rsidTr="001B232D">
        <w:trPr>
          <w:trHeight w:val="419"/>
          <w:jc w:val="center"/>
        </w:trPr>
        <w:tc>
          <w:tcPr>
            <w:tcW w:w="1806" w:type="dxa"/>
            <w:tcBorders>
              <w:top w:val="nil"/>
              <w:left w:val="nil"/>
              <w:bottom w:val="single" w:sz="4" w:space="0" w:color="auto"/>
              <w:right w:val="nil"/>
            </w:tcBorders>
            <w:shd w:val="clear" w:color="000000" w:fill="FFF2CC"/>
            <w:noWrap/>
            <w:vAlign w:val="bottom"/>
            <w:hideMark/>
          </w:tcPr>
          <w:p w14:paraId="5AEC8AA9"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Construcción</w:t>
            </w:r>
          </w:p>
        </w:tc>
        <w:tc>
          <w:tcPr>
            <w:tcW w:w="5057" w:type="dxa"/>
            <w:gridSpan w:val="2"/>
            <w:tcBorders>
              <w:top w:val="nil"/>
              <w:left w:val="nil"/>
              <w:bottom w:val="single" w:sz="4" w:space="0" w:color="auto"/>
              <w:right w:val="nil"/>
            </w:tcBorders>
            <w:shd w:val="clear" w:color="000000" w:fill="FFF2CC"/>
            <w:noWrap/>
            <w:vAlign w:val="bottom"/>
            <w:hideMark/>
          </w:tcPr>
          <w:p w14:paraId="3F906BEE"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 xml:space="preserve">       4.676,82 </w:t>
            </w:r>
          </w:p>
        </w:tc>
      </w:tr>
      <w:tr w:rsidR="00E1125C" w:rsidRPr="00E1125C" w14:paraId="25285902" w14:textId="77777777" w:rsidTr="00345559">
        <w:trPr>
          <w:trHeight w:val="419"/>
          <w:jc w:val="center"/>
        </w:trPr>
        <w:tc>
          <w:tcPr>
            <w:tcW w:w="4455" w:type="dxa"/>
            <w:gridSpan w:val="2"/>
            <w:tcBorders>
              <w:top w:val="single" w:sz="4" w:space="0" w:color="auto"/>
              <w:left w:val="nil"/>
              <w:bottom w:val="nil"/>
              <w:right w:val="nil"/>
            </w:tcBorders>
            <w:shd w:val="clear" w:color="000000" w:fill="FFF2CC"/>
            <w:noWrap/>
            <w:vAlign w:val="bottom"/>
          </w:tcPr>
          <w:p w14:paraId="0DBE7B1C" w14:textId="77777777" w:rsidR="00CC3C73" w:rsidRPr="00E1125C" w:rsidRDefault="00CC3C73" w:rsidP="00AC7379">
            <w:pPr>
              <w:jc w:val="left"/>
              <w:rPr>
                <w:rFonts w:ascii="Calibri" w:eastAsia="Times New Roman" w:hAnsi="Calibri" w:cs="Calibri"/>
                <w:i/>
                <w:iCs/>
                <w:szCs w:val="24"/>
                <w:lang w:val="es-CR" w:eastAsia="es-CR"/>
              </w:rPr>
            </w:pPr>
            <w:r w:rsidRPr="00E1125C">
              <w:rPr>
                <w:rFonts w:ascii="Calibri" w:eastAsia="Times New Roman" w:hAnsi="Calibri" w:cs="Calibri"/>
                <w:i/>
                <w:iCs/>
                <w:szCs w:val="24"/>
                <w:lang w:val="es-CR" w:eastAsia="es-CR"/>
              </w:rPr>
              <w:t>Fuente: Elaboración propia con los datos del BCCR</w:t>
            </w:r>
          </w:p>
        </w:tc>
        <w:tc>
          <w:tcPr>
            <w:tcW w:w="2408" w:type="dxa"/>
            <w:tcBorders>
              <w:top w:val="single" w:sz="4" w:space="0" w:color="auto"/>
              <w:left w:val="nil"/>
              <w:bottom w:val="nil"/>
              <w:right w:val="nil"/>
            </w:tcBorders>
            <w:shd w:val="clear" w:color="000000" w:fill="FFF2CC"/>
            <w:noWrap/>
            <w:vAlign w:val="bottom"/>
          </w:tcPr>
          <w:p w14:paraId="5F85A56E" w14:textId="77777777" w:rsidR="00CC3C73" w:rsidRPr="00E1125C" w:rsidRDefault="00CC3C73" w:rsidP="00AC7379">
            <w:pPr>
              <w:jc w:val="left"/>
              <w:rPr>
                <w:rFonts w:ascii="Calibri" w:eastAsia="Times New Roman" w:hAnsi="Calibri" w:cs="Calibri"/>
                <w:i/>
                <w:iCs/>
                <w:szCs w:val="24"/>
                <w:lang w:val="es-CR" w:eastAsia="es-CR"/>
              </w:rPr>
            </w:pPr>
          </w:p>
        </w:tc>
      </w:tr>
    </w:tbl>
    <w:p w14:paraId="17EB78B9" w14:textId="77777777" w:rsidR="00CC3C73" w:rsidRPr="00E1125C" w:rsidRDefault="00CC3C73" w:rsidP="00CC3C73">
      <w:pPr>
        <w:jc w:val="left"/>
        <w:rPr>
          <w:rFonts w:ascii="Calibri" w:eastAsia="Times New Roman" w:hAnsi="Calibri" w:cs="Calibri"/>
          <w:i/>
          <w:iCs/>
        </w:rPr>
      </w:pPr>
    </w:p>
    <w:p w14:paraId="6402B786" w14:textId="137BDC39" w:rsidR="00CC3C73" w:rsidRPr="00E1125C" w:rsidRDefault="00CC3C73" w:rsidP="0071227B">
      <w:pPr>
        <w:rPr>
          <w:rFonts w:eastAsia="Times New Roman"/>
        </w:rPr>
      </w:pPr>
      <w:r w:rsidRPr="00E1125C">
        <w:rPr>
          <w:rFonts w:eastAsia="Times New Roman"/>
        </w:rPr>
        <w:tab/>
        <w:t>Con valores que no bajan de las 4.000 unidades en los sectores estudiados, la evidencia es que el sistema productivo nacional padece de una alta concentración de la producción</w:t>
      </w:r>
      <w:r w:rsidR="009C1549">
        <w:rPr>
          <w:rFonts w:eastAsia="Times New Roman"/>
        </w:rPr>
        <w:t xml:space="preserve"> en esos sectores que representan más de la mitad del valor de la producción</w:t>
      </w:r>
      <w:r w:rsidRPr="00E1125C">
        <w:rPr>
          <w:rFonts w:eastAsia="Times New Roman"/>
        </w:rPr>
        <w:t>.</w:t>
      </w:r>
    </w:p>
    <w:p w14:paraId="5D91C019" w14:textId="5686CCED" w:rsidR="00F04835" w:rsidRPr="00E1125C" w:rsidRDefault="00F04835" w:rsidP="00CC3C73">
      <w:r w:rsidRPr="00E1125C">
        <w:tab/>
        <w:t xml:space="preserve">Los altos niveles de concentración de la producción encontrados en los principales sectores productivos del país muestran el </w:t>
      </w:r>
      <w:r w:rsidR="00F14FF7" w:rsidRPr="00E1125C">
        <w:t>“</w:t>
      </w:r>
      <w:r w:rsidRPr="00E1125C">
        <w:t>estado competitivo” en que se encuentran</w:t>
      </w:r>
      <w:r w:rsidR="00394D65" w:rsidRPr="00E1125C">
        <w:t xml:space="preserve">; y nos parece </w:t>
      </w:r>
      <w:r w:rsidR="004D6D7D" w:rsidRPr="00E1125C">
        <w:t>improcedente</w:t>
      </w:r>
      <w:r w:rsidRPr="00E1125C">
        <w:t xml:space="preserve"> </w:t>
      </w:r>
      <w:r w:rsidR="004D6D7D" w:rsidRPr="00E1125C">
        <w:t>pensar</w:t>
      </w:r>
      <w:r w:rsidRPr="00E1125C">
        <w:t xml:space="preserve">, </w:t>
      </w:r>
      <w:r w:rsidR="00E24525" w:rsidRPr="00E1125C">
        <w:t>con las</w:t>
      </w:r>
      <w:r w:rsidRPr="00E1125C">
        <w:t xml:space="preserve"> condiciones</w:t>
      </w:r>
      <w:r w:rsidR="004D6D7D" w:rsidRPr="00E1125C">
        <w:t xml:space="preserve"> en que se encuentra nuestra estructura</w:t>
      </w:r>
      <w:r w:rsidRPr="00E1125C">
        <w:t xml:space="preserve">, </w:t>
      </w:r>
      <w:r w:rsidR="004D6D7D" w:rsidRPr="00E1125C">
        <w:t xml:space="preserve">que </w:t>
      </w:r>
      <w:r w:rsidR="00624CB8" w:rsidRPr="00E1125C">
        <w:t xml:space="preserve">nuestro sistema económico </w:t>
      </w:r>
      <w:r w:rsidR="004D6D7D" w:rsidRPr="00E1125C">
        <w:t>pued</w:t>
      </w:r>
      <w:r w:rsidR="00E24525" w:rsidRPr="00E1125C">
        <w:t>a</w:t>
      </w:r>
      <w:r w:rsidR="004D6D7D" w:rsidRPr="00E1125C">
        <w:t xml:space="preserve"> ostentar </w:t>
      </w:r>
      <w:r w:rsidR="00F14FF7" w:rsidRPr="00E1125C">
        <w:t xml:space="preserve">los principios de eficiencia, </w:t>
      </w:r>
      <w:r w:rsidR="00123A68" w:rsidRPr="00E1125C">
        <w:t>de</w:t>
      </w:r>
      <w:r w:rsidR="00F14FF7" w:rsidRPr="00E1125C">
        <w:t xml:space="preserve"> eficacia y </w:t>
      </w:r>
      <w:r w:rsidR="00570D29" w:rsidRPr="00E1125C">
        <w:t>de</w:t>
      </w:r>
      <w:r w:rsidR="00F14FF7" w:rsidRPr="00E1125C">
        <w:t xml:space="preserve"> equidad productiv</w:t>
      </w:r>
      <w:r w:rsidR="004D6D7D" w:rsidRPr="00E1125C">
        <w:t>as</w:t>
      </w:r>
      <w:r w:rsidR="00F14FF7" w:rsidRPr="00E1125C">
        <w:t xml:space="preserve"> en la distribución de los recursos escasos existentes</w:t>
      </w:r>
      <w:r w:rsidR="00D858DD" w:rsidRPr="00E1125C">
        <w:t>,</w:t>
      </w:r>
      <w:r w:rsidR="00570D29" w:rsidRPr="00E1125C">
        <w:t xml:space="preserve"> que supone </w:t>
      </w:r>
      <w:r w:rsidR="00D858DD" w:rsidRPr="00E1125C">
        <w:t>la teoría económica convencional.</w:t>
      </w:r>
    </w:p>
    <w:p w14:paraId="6407523C" w14:textId="1C96A2A0" w:rsidR="00BD4B11" w:rsidRPr="00E1125C" w:rsidRDefault="00152C9C" w:rsidP="00EE4084">
      <w:pPr>
        <w:ind w:firstLine="708"/>
      </w:pPr>
      <w:r w:rsidRPr="00E1125C">
        <w:t xml:space="preserve">A parte de esta constatación, el otro objetivo importante </w:t>
      </w:r>
      <w:r w:rsidR="00E20FBB" w:rsidRPr="00E1125C">
        <w:t>del estudio, como se entenderá</w:t>
      </w:r>
      <w:r w:rsidR="00835A31" w:rsidRPr="00E1125C">
        <w:t xml:space="preserve"> por los planteamientos que se hicieron en la primera parte</w:t>
      </w:r>
      <w:r w:rsidR="00E20FBB" w:rsidRPr="00E1125C">
        <w:t>, e</w:t>
      </w:r>
      <w:r w:rsidR="00531732" w:rsidRPr="00E1125C">
        <w:t>s</w:t>
      </w:r>
      <w:r w:rsidR="00E20FBB" w:rsidRPr="00E1125C">
        <w:t xml:space="preserve"> constatar la</w:t>
      </w:r>
      <w:r w:rsidR="00835A31" w:rsidRPr="00E1125C">
        <w:t xml:space="preserve"> existencia en la estructura productiva </w:t>
      </w:r>
      <w:r w:rsidR="00ED6420" w:rsidRPr="00E1125C">
        <w:t xml:space="preserve">concentrada </w:t>
      </w:r>
      <w:r w:rsidR="00835A31" w:rsidRPr="00E1125C">
        <w:t>de Costa Rica</w:t>
      </w:r>
      <w:r w:rsidRPr="00E1125C">
        <w:t>,</w:t>
      </w:r>
      <w:r w:rsidR="00DB5908" w:rsidRPr="00E1125C">
        <w:t xml:space="preserve"> una </w:t>
      </w:r>
      <w:r w:rsidR="00E20FBB" w:rsidRPr="00E1125C">
        <w:t>tendencia a</w:t>
      </w:r>
      <w:r w:rsidR="00DB5908" w:rsidRPr="00E1125C">
        <w:t xml:space="preserve">l crecimiento de </w:t>
      </w:r>
      <w:r w:rsidR="00B019DC" w:rsidRPr="00E1125C">
        <w:t>la</w:t>
      </w:r>
      <w:r w:rsidR="00E20FBB" w:rsidRPr="00E1125C">
        <w:t xml:space="preserve"> concentración de</w:t>
      </w:r>
      <w:r w:rsidR="00835A31" w:rsidRPr="00E1125C">
        <w:t xml:space="preserve">l valor de la producción.  </w:t>
      </w:r>
      <w:r w:rsidR="00996398" w:rsidRPr="00E1125C">
        <w:t>Halla</w:t>
      </w:r>
      <w:r w:rsidR="00203EC1" w:rsidRPr="00E1125C">
        <w:t>r</w:t>
      </w:r>
      <w:r w:rsidR="00996398" w:rsidRPr="00E1125C">
        <w:t xml:space="preserve"> </w:t>
      </w:r>
      <w:r w:rsidR="00835A31" w:rsidRPr="00E1125C">
        <w:t xml:space="preserve">que el valor de la producción se concentra </w:t>
      </w:r>
      <w:r w:rsidR="00DB637E" w:rsidRPr="00E1125C">
        <w:t xml:space="preserve">con el tiempo </w:t>
      </w:r>
      <w:r w:rsidR="00835A31" w:rsidRPr="00E1125C">
        <w:t>alrededor de las grandes empresas, en detrimento de</w:t>
      </w:r>
      <w:r w:rsidR="00203EC1" w:rsidRPr="00E1125C">
        <w:t xml:space="preserve">l valor </w:t>
      </w:r>
      <w:r w:rsidR="00D27FEE" w:rsidRPr="00E1125C">
        <w:t>apropiado</w:t>
      </w:r>
      <w:r w:rsidR="00203EC1" w:rsidRPr="00E1125C">
        <w:t xml:space="preserve"> por las medianas, pequeñas y microempresas, ofrecería evidencia empírica de la existencia de una </w:t>
      </w:r>
      <w:r w:rsidR="00996398" w:rsidRPr="00E1125C">
        <w:t>tendencia</w:t>
      </w:r>
      <w:r w:rsidR="00203EC1" w:rsidRPr="00E1125C">
        <w:t xml:space="preserve"> interna que produce </w:t>
      </w:r>
      <w:r w:rsidR="00680DC9" w:rsidRPr="00E1125C">
        <w:t>concentración de la producción entre las grandes empresas, que</w:t>
      </w:r>
      <w:r w:rsidR="00DB5908" w:rsidRPr="00E1125C">
        <w:t>, de acuerdo con nuestra hipótesis</w:t>
      </w:r>
      <w:r w:rsidR="00E30ADC" w:rsidRPr="00E1125C">
        <w:t>,</w:t>
      </w:r>
      <w:r w:rsidR="00DB5908" w:rsidRPr="00E1125C">
        <w:t xml:space="preserve"> </w:t>
      </w:r>
      <w:r w:rsidR="00680DC9" w:rsidRPr="00E1125C">
        <w:t>inevitablemente reduce y limita las condiciones competitivas en los sectores y, en general en tod</w:t>
      </w:r>
      <w:r w:rsidR="00996398" w:rsidRPr="00E1125C">
        <w:t>a la economía del país.</w:t>
      </w:r>
    </w:p>
    <w:p w14:paraId="18428797" w14:textId="74A1E54B" w:rsidR="004A668A" w:rsidRPr="00E1125C" w:rsidRDefault="004A668A" w:rsidP="0099183A">
      <w:pPr>
        <w:ind w:firstLine="708"/>
      </w:pPr>
      <w:r w:rsidRPr="00E1125C">
        <w:t>Un hallazgo</w:t>
      </w:r>
      <w:r w:rsidR="00D27FEE" w:rsidRPr="00E1125C">
        <w:t>,</w:t>
      </w:r>
      <w:r w:rsidRPr="00E1125C">
        <w:t xml:space="preserve"> así, vendría a confirmar en términos </w:t>
      </w:r>
      <w:r w:rsidR="00531732" w:rsidRPr="00E1125C">
        <w:t>parciales</w:t>
      </w:r>
      <w:r w:rsidRPr="00E1125C">
        <w:t>, pero ciertamente sustentad</w:t>
      </w:r>
      <w:r w:rsidR="00F531AB" w:rsidRPr="00E1125C">
        <w:t>a</w:t>
      </w:r>
      <w:r w:rsidRPr="00E1125C">
        <w:t xml:space="preserve"> empíricamente</w:t>
      </w:r>
      <w:r w:rsidR="00FD726D" w:rsidRPr="00E1125C">
        <w:t>,</w:t>
      </w:r>
      <w:r w:rsidRPr="00E1125C">
        <w:t xml:space="preserve"> la hipótesis general de la existencia en el marco </w:t>
      </w:r>
      <w:r w:rsidR="00E80B1F" w:rsidRPr="00E1125C">
        <w:t>de un sistema productivo dominado por</w:t>
      </w:r>
      <w:r w:rsidRPr="00E1125C">
        <w:t xml:space="preserve"> la</w:t>
      </w:r>
      <w:r w:rsidR="00E80B1F" w:rsidRPr="00E1125C">
        <w:t xml:space="preserve"> racionalidad de la</w:t>
      </w:r>
      <w:r w:rsidRPr="00E1125C">
        <w:t xml:space="preserve"> acumulación de capital</w:t>
      </w:r>
      <w:r w:rsidR="00E80B1F" w:rsidRPr="00E1125C">
        <w:t>,</w:t>
      </w:r>
      <w:r w:rsidRPr="00E1125C">
        <w:t xml:space="preserve"> de u</w:t>
      </w:r>
      <w:r w:rsidR="0011238F" w:rsidRPr="00E1125C">
        <w:t>na tendencia hacia la concentración de la producción entre las grandes empresa</w:t>
      </w:r>
      <w:r w:rsidR="001F4065" w:rsidRPr="00E1125C">
        <w:t>s,</w:t>
      </w:r>
      <w:r w:rsidR="00531732" w:rsidRPr="00E1125C">
        <w:t xml:space="preserve"> en los principales sectores económicos</w:t>
      </w:r>
      <w:r w:rsidR="00DB5908" w:rsidRPr="00E1125C">
        <w:t>;</w:t>
      </w:r>
      <w:r w:rsidR="00531732" w:rsidRPr="00E1125C">
        <w:t xml:space="preserve"> </w:t>
      </w:r>
      <w:r w:rsidR="0011238F" w:rsidRPr="00E1125C">
        <w:t>que lógicamente afecta las condiciones de la competencia</w:t>
      </w:r>
      <w:r w:rsidR="00531732" w:rsidRPr="00E1125C">
        <w:t xml:space="preserve"> en el sistema,</w:t>
      </w:r>
      <w:r w:rsidR="0011238F" w:rsidRPr="00E1125C">
        <w:t xml:space="preserve"> reduciendo su capacidad de orientar los recursos escasos hacia las necesidades sociales</w:t>
      </w:r>
      <w:r w:rsidR="00FD726D" w:rsidRPr="00E1125C">
        <w:t>,</w:t>
      </w:r>
      <w:r w:rsidR="0011238F" w:rsidRPr="00E1125C">
        <w:t xml:space="preserve"> expresadas a través del mecanismo de la oferta y la demanda</w:t>
      </w:r>
      <w:r w:rsidR="001F4065" w:rsidRPr="00E1125C">
        <w:t xml:space="preserve"> y la formación de los precios en el mercado.</w:t>
      </w:r>
    </w:p>
    <w:p w14:paraId="67B85DF8" w14:textId="191ADEBB" w:rsidR="00996398" w:rsidRPr="00E1125C" w:rsidRDefault="00DB637E" w:rsidP="0099183A">
      <w:pPr>
        <w:ind w:firstLine="708"/>
      </w:pPr>
      <w:r w:rsidRPr="00E1125C">
        <w:t>Estamos conscientes de las limitaciones del estudio, particularmente por el lapso relativamente corto que ofrece</w:t>
      </w:r>
      <w:r w:rsidR="004A668A" w:rsidRPr="00E1125C">
        <w:t>n</w:t>
      </w:r>
      <w:r w:rsidRPr="00E1125C">
        <w:t xml:space="preserve"> los datos proporcionados por el Banco Central (</w:t>
      </w:r>
      <w:r w:rsidR="007B255F" w:rsidRPr="00E1125C">
        <w:t>6</w:t>
      </w:r>
      <w:r w:rsidRPr="00E1125C">
        <w:t xml:space="preserve"> años)</w:t>
      </w:r>
      <w:r w:rsidR="004A668A" w:rsidRPr="00E1125C">
        <w:t xml:space="preserve">. </w:t>
      </w:r>
      <w:r w:rsidRPr="00E1125C">
        <w:t xml:space="preserve"> </w:t>
      </w:r>
      <w:r w:rsidR="004A668A" w:rsidRPr="00E1125C">
        <w:t>N</w:t>
      </w:r>
      <w:r w:rsidRPr="00E1125C">
        <w:t xml:space="preserve">o obstante, pensamos que </w:t>
      </w:r>
      <w:r w:rsidR="00D972F6" w:rsidRPr="00E1125C">
        <w:t>es</w:t>
      </w:r>
      <w:r w:rsidRPr="00E1125C">
        <w:t xml:space="preserve"> importante iniciar la investigación y, de encontrar evidencia en el sentido esperado,</w:t>
      </w:r>
      <w:r w:rsidR="006E3102" w:rsidRPr="00E1125C">
        <w:t xml:space="preserve"> </w:t>
      </w:r>
      <w:r w:rsidRPr="00E1125C">
        <w:t>ahondar en ella con más recursos e instrumentos analíticos.</w:t>
      </w:r>
    </w:p>
    <w:p w14:paraId="67FF46F3" w14:textId="7C2B2AFE" w:rsidR="007B255F" w:rsidRPr="00E1125C" w:rsidRDefault="00F531AB" w:rsidP="0099183A">
      <w:pPr>
        <w:ind w:firstLine="708"/>
      </w:pPr>
      <w:r w:rsidRPr="00E1125C">
        <w:lastRenderedPageBreak/>
        <w:t>Así</w:t>
      </w:r>
      <w:r w:rsidR="00C55157" w:rsidRPr="00E1125C">
        <w:t>, p</w:t>
      </w:r>
      <w:r w:rsidR="007B255F" w:rsidRPr="00E1125C">
        <w:t xml:space="preserve">ara cuantificar el </w:t>
      </w:r>
      <w:r w:rsidR="00C55157" w:rsidRPr="00E1125C">
        <w:t xml:space="preserve">comportamiento en el tiempo, del </w:t>
      </w:r>
      <w:r w:rsidR="007B255F" w:rsidRPr="00E1125C">
        <w:t>grado de concentración de la producción en los sectores escogidos decidimos calcular el coeficiente de Gini ya que su limitación</w:t>
      </w:r>
      <w:r w:rsidR="00FD726D" w:rsidRPr="00E1125C">
        <w:t xml:space="preserve"> metodológica</w:t>
      </w:r>
      <w:r w:rsidR="007B255F" w:rsidRPr="00E1125C">
        <w:t xml:space="preserve"> de no </w:t>
      </w:r>
      <w:r w:rsidR="003E24F7" w:rsidRPr="00E1125C">
        <w:t>verse afectado por</w:t>
      </w:r>
      <w:r w:rsidR="007B255F" w:rsidRPr="00E1125C">
        <w:t xml:space="preserve"> </w:t>
      </w:r>
      <w:r w:rsidR="00FD726D" w:rsidRPr="00E1125C">
        <w:t>los</w:t>
      </w:r>
      <w:r w:rsidR="007B255F" w:rsidRPr="00E1125C">
        <w:t xml:space="preserve"> nivel</w:t>
      </w:r>
      <w:r w:rsidR="00FD726D" w:rsidRPr="00E1125C">
        <w:t>es</w:t>
      </w:r>
      <w:r w:rsidR="007B255F" w:rsidRPr="00E1125C">
        <w:t xml:space="preserve"> de producción</w:t>
      </w:r>
      <w:r w:rsidR="00FD726D" w:rsidRPr="00E1125C">
        <w:t xml:space="preserve"> en este caso</w:t>
      </w:r>
      <w:r w:rsidR="007B255F" w:rsidRPr="00E1125C">
        <w:t xml:space="preserve"> (que podría</w:t>
      </w:r>
      <w:r w:rsidR="00FD726D" w:rsidRPr="00E1125C">
        <w:t>n</w:t>
      </w:r>
      <w:r w:rsidR="007B255F" w:rsidRPr="00E1125C">
        <w:t xml:space="preserve"> aumentar aun mostrando crecientes niveles de concentración</w:t>
      </w:r>
      <w:r w:rsidR="00F2563F" w:rsidRPr="00E1125C">
        <w:t>), no invalida su eficacia para cu</w:t>
      </w:r>
      <w:r w:rsidRPr="00E1125C">
        <w:t>a</w:t>
      </w:r>
      <w:r w:rsidR="00F2563F" w:rsidRPr="00E1125C">
        <w:t>ntificar con precisión</w:t>
      </w:r>
      <w:r w:rsidR="003E24F7" w:rsidRPr="00E1125C">
        <w:t xml:space="preserve"> el comportamiento en el tiempo</w:t>
      </w:r>
      <w:r w:rsidR="00F2563F" w:rsidRPr="00E1125C">
        <w:t xml:space="preserve"> </w:t>
      </w:r>
      <w:r w:rsidR="003E24F7" w:rsidRPr="00E1125C">
        <w:t>d</w:t>
      </w:r>
      <w:r w:rsidR="00F2563F" w:rsidRPr="00E1125C">
        <w:t>el grado de concentración</w:t>
      </w:r>
      <w:r w:rsidR="00C4095E" w:rsidRPr="00E1125C">
        <w:t>,</w:t>
      </w:r>
      <w:r w:rsidR="00F2563F" w:rsidRPr="00E1125C">
        <w:t xml:space="preserve"> en el sentido de medir la parte de la producción total que es llevada a cabo por cada uno de l</w:t>
      </w:r>
      <w:r w:rsidR="00C4095E" w:rsidRPr="00E1125C">
        <w:t>as clases de</w:t>
      </w:r>
      <w:r w:rsidR="008C3321" w:rsidRPr="00E1125C">
        <w:t xml:space="preserve"> tamaños de empresas</w:t>
      </w:r>
      <w:r w:rsidR="00C4095E" w:rsidRPr="00E1125C">
        <w:t>.</w:t>
      </w:r>
    </w:p>
    <w:p w14:paraId="6DDD60F9" w14:textId="4AF15043" w:rsidR="008C3321" w:rsidRPr="00E1125C" w:rsidRDefault="00DB5908" w:rsidP="002C77A9">
      <w:pPr>
        <w:ind w:firstLine="708"/>
      </w:pPr>
      <w:r w:rsidRPr="00E1125C">
        <w:t>El</w:t>
      </w:r>
      <w:r w:rsidR="008C3321" w:rsidRPr="00E1125C">
        <w:t xml:space="preserve"> calculó </w:t>
      </w:r>
      <w:r w:rsidR="00876ED6">
        <w:t>d</w:t>
      </w:r>
      <w:r w:rsidR="008C3321" w:rsidRPr="00E1125C">
        <w:t>el coeficiente de Gini para cada uno de los años disponibles en la base de datos suministrada por el BCCR (2012 – 2018), para cada uno de los cuatro sectores de producción escogidos</w:t>
      </w:r>
      <w:r w:rsidR="00036CE0" w:rsidRPr="00E1125C">
        <w:t xml:space="preserve"> se recoge en </w:t>
      </w:r>
      <w:r w:rsidR="007563BE" w:rsidRPr="00E1125C">
        <w:t xml:space="preserve">el </w:t>
      </w:r>
      <w:r w:rsidR="002C77A9" w:rsidRPr="00E1125C">
        <w:t>C</w:t>
      </w:r>
      <w:r w:rsidR="007563BE" w:rsidRPr="00E1125C">
        <w:t>uadro</w:t>
      </w:r>
      <w:r w:rsidR="00036CE0" w:rsidRPr="00E1125C">
        <w:t xml:space="preserve"> No</w:t>
      </w:r>
      <w:r w:rsidR="00C4095E" w:rsidRPr="00E1125C">
        <w:t xml:space="preserve"> 4</w:t>
      </w:r>
      <w:r w:rsidR="00036CE0" w:rsidRPr="00E1125C">
        <w:t>:</w:t>
      </w:r>
    </w:p>
    <w:p w14:paraId="590307E5" w14:textId="77777777" w:rsidR="00FA0563" w:rsidRPr="00E1125C" w:rsidRDefault="00FA0563" w:rsidP="002C77A9">
      <w:pPr>
        <w:jc w:val="left"/>
        <w:rPr>
          <w:rFonts w:ascii="Calibri" w:eastAsia="Times New Roman" w:hAnsi="Calibri" w:cs="Calibri"/>
          <w:i/>
          <w:iCs/>
        </w:rPr>
      </w:pPr>
    </w:p>
    <w:p w14:paraId="57FB2C6A" w14:textId="20C8F8F1" w:rsidR="002C77A9" w:rsidRPr="00E1125C" w:rsidRDefault="002C77A9" w:rsidP="002C77A9">
      <w:pPr>
        <w:jc w:val="left"/>
        <w:rPr>
          <w:rFonts w:ascii="Calibri" w:eastAsia="Times New Roman" w:hAnsi="Calibri" w:cs="Calibri"/>
          <w:i/>
          <w:iCs/>
        </w:rPr>
      </w:pPr>
      <w:r w:rsidRPr="00E1125C">
        <w:rPr>
          <w:rFonts w:ascii="Calibri" w:eastAsia="Times New Roman" w:hAnsi="Calibri" w:cs="Calibri"/>
          <w:i/>
          <w:iCs/>
        </w:rPr>
        <w:t>Cuadro No.4</w:t>
      </w:r>
    </w:p>
    <w:p w14:paraId="59E3BE0A" w14:textId="77777777" w:rsidR="002C77A9" w:rsidRPr="00E1125C" w:rsidRDefault="002C77A9" w:rsidP="002C77A9">
      <w:pPr>
        <w:jc w:val="left"/>
        <w:rPr>
          <w:rFonts w:ascii="Calibri" w:eastAsia="Times New Roman" w:hAnsi="Calibri" w:cs="Calibri"/>
          <w:i/>
          <w:iCs/>
        </w:rPr>
      </w:pPr>
      <w:r w:rsidRPr="00E1125C">
        <w:rPr>
          <w:rFonts w:ascii="Calibri" w:eastAsia="Times New Roman" w:hAnsi="Calibri" w:cs="Calibri"/>
          <w:i/>
          <w:iCs/>
        </w:rPr>
        <w:t>Costa Rica: Índice de Gini por Ingreso de los Tamaños de Empresa,</w:t>
      </w:r>
    </w:p>
    <w:p w14:paraId="6C8C2883" w14:textId="10FE762E" w:rsidR="002C77A9" w:rsidRPr="00E1125C" w:rsidRDefault="002C77A9" w:rsidP="002C77A9">
      <w:pPr>
        <w:ind w:firstLine="708"/>
      </w:pPr>
      <w:r w:rsidRPr="00E1125C">
        <w:rPr>
          <w:rFonts w:ascii="Calibri" w:eastAsia="Times New Roman" w:hAnsi="Calibri" w:cs="Calibri"/>
          <w:i/>
          <w:iCs/>
        </w:rPr>
        <w:t>según: Sector de producción</w:t>
      </w:r>
    </w:p>
    <w:p w14:paraId="620F31A3" w14:textId="77777777" w:rsidR="00036CE0" w:rsidRPr="00E1125C" w:rsidRDefault="00036CE0" w:rsidP="00036CE0"/>
    <w:tbl>
      <w:tblPr>
        <w:tblW w:w="8935" w:type="dxa"/>
        <w:tblInd w:w="70" w:type="dxa"/>
        <w:shd w:val="clear" w:color="auto" w:fill="FFF2CC" w:themeFill="accent4" w:themeFillTint="33"/>
        <w:tblCellMar>
          <w:left w:w="70" w:type="dxa"/>
          <w:right w:w="70" w:type="dxa"/>
        </w:tblCellMar>
        <w:tblLook w:val="04A0" w:firstRow="1" w:lastRow="0" w:firstColumn="1" w:lastColumn="0" w:noHBand="0" w:noVBand="1"/>
      </w:tblPr>
      <w:tblGrid>
        <w:gridCol w:w="1571"/>
        <w:gridCol w:w="1052"/>
        <w:gridCol w:w="1052"/>
        <w:gridCol w:w="1051"/>
        <w:gridCol w:w="1051"/>
        <w:gridCol w:w="1051"/>
        <w:gridCol w:w="1051"/>
        <w:gridCol w:w="1056"/>
      </w:tblGrid>
      <w:tr w:rsidR="00E1125C" w:rsidRPr="00E1125C" w14:paraId="2DE1320D" w14:textId="77777777" w:rsidTr="009D35C6">
        <w:trPr>
          <w:trHeight w:val="427"/>
        </w:trPr>
        <w:tc>
          <w:tcPr>
            <w:tcW w:w="1571" w:type="dxa"/>
            <w:tcBorders>
              <w:top w:val="nil"/>
              <w:left w:val="nil"/>
              <w:right w:val="nil"/>
            </w:tcBorders>
            <w:shd w:val="clear" w:color="auto" w:fill="FFF2CC" w:themeFill="accent4" w:themeFillTint="33"/>
            <w:noWrap/>
            <w:vAlign w:val="bottom"/>
            <w:hideMark/>
          </w:tcPr>
          <w:p w14:paraId="74A87851" w14:textId="77777777" w:rsidR="00036CE0" w:rsidRPr="00E1125C" w:rsidRDefault="00036CE0" w:rsidP="00036CE0">
            <w:pPr>
              <w:jc w:val="left"/>
              <w:rPr>
                <w:rFonts w:ascii="Calibri" w:eastAsia="Times New Roman" w:hAnsi="Calibri" w:cs="Calibri"/>
                <w:i/>
                <w:iCs/>
              </w:rPr>
            </w:pPr>
          </w:p>
        </w:tc>
        <w:tc>
          <w:tcPr>
            <w:tcW w:w="7364" w:type="dxa"/>
            <w:gridSpan w:val="7"/>
            <w:tcBorders>
              <w:top w:val="nil"/>
              <w:left w:val="nil"/>
              <w:right w:val="nil"/>
            </w:tcBorders>
            <w:shd w:val="clear" w:color="auto" w:fill="FFF2CC" w:themeFill="accent4" w:themeFillTint="33"/>
            <w:noWrap/>
            <w:vAlign w:val="bottom"/>
            <w:hideMark/>
          </w:tcPr>
          <w:p w14:paraId="7E1CB1E2" w14:textId="64CEBE44" w:rsidR="00036CE0" w:rsidRPr="00E1125C" w:rsidRDefault="00036CE0" w:rsidP="00036CE0">
            <w:pPr>
              <w:jc w:val="left"/>
              <w:rPr>
                <w:rFonts w:ascii="Calibri" w:eastAsia="Times New Roman" w:hAnsi="Calibri" w:cs="Calibri"/>
                <w:i/>
                <w:iCs/>
              </w:rPr>
            </w:pPr>
          </w:p>
        </w:tc>
      </w:tr>
      <w:tr w:rsidR="00E1125C" w:rsidRPr="00E1125C" w14:paraId="2F439259" w14:textId="77777777" w:rsidTr="009D35C6">
        <w:trPr>
          <w:trHeight w:val="342"/>
        </w:trPr>
        <w:tc>
          <w:tcPr>
            <w:tcW w:w="1571" w:type="dxa"/>
            <w:tcBorders>
              <w:top w:val="nil"/>
              <w:left w:val="nil"/>
              <w:bottom w:val="single" w:sz="4" w:space="0" w:color="auto"/>
              <w:right w:val="nil"/>
            </w:tcBorders>
            <w:shd w:val="clear" w:color="auto" w:fill="FFF2CC" w:themeFill="accent4" w:themeFillTint="33"/>
            <w:noWrap/>
            <w:vAlign w:val="bottom"/>
            <w:hideMark/>
          </w:tcPr>
          <w:p w14:paraId="3349D572" w14:textId="77777777" w:rsidR="00036CE0" w:rsidRPr="00E1125C" w:rsidRDefault="00036CE0" w:rsidP="00036CE0">
            <w:pPr>
              <w:jc w:val="left"/>
              <w:rPr>
                <w:rFonts w:ascii="Calibri" w:eastAsia="Times New Roman" w:hAnsi="Calibri" w:cs="Calibri"/>
                <w:i/>
                <w:iCs/>
              </w:rPr>
            </w:pPr>
          </w:p>
        </w:tc>
        <w:tc>
          <w:tcPr>
            <w:tcW w:w="1052" w:type="dxa"/>
            <w:tcBorders>
              <w:top w:val="nil"/>
              <w:left w:val="nil"/>
              <w:bottom w:val="single" w:sz="4" w:space="0" w:color="auto"/>
              <w:right w:val="nil"/>
            </w:tcBorders>
            <w:shd w:val="clear" w:color="auto" w:fill="FFF2CC" w:themeFill="accent4" w:themeFillTint="33"/>
            <w:noWrap/>
            <w:vAlign w:val="bottom"/>
            <w:hideMark/>
          </w:tcPr>
          <w:p w14:paraId="328E3D26"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2012</w:t>
            </w:r>
          </w:p>
        </w:tc>
        <w:tc>
          <w:tcPr>
            <w:tcW w:w="1052" w:type="dxa"/>
            <w:tcBorders>
              <w:top w:val="nil"/>
              <w:left w:val="nil"/>
              <w:bottom w:val="single" w:sz="4" w:space="0" w:color="auto"/>
              <w:right w:val="nil"/>
            </w:tcBorders>
            <w:shd w:val="clear" w:color="auto" w:fill="FFF2CC" w:themeFill="accent4" w:themeFillTint="33"/>
            <w:noWrap/>
            <w:vAlign w:val="bottom"/>
            <w:hideMark/>
          </w:tcPr>
          <w:p w14:paraId="15CCA044"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2013</w:t>
            </w:r>
          </w:p>
        </w:tc>
        <w:tc>
          <w:tcPr>
            <w:tcW w:w="1051" w:type="dxa"/>
            <w:tcBorders>
              <w:top w:val="nil"/>
              <w:left w:val="nil"/>
              <w:bottom w:val="single" w:sz="4" w:space="0" w:color="auto"/>
              <w:right w:val="nil"/>
            </w:tcBorders>
            <w:shd w:val="clear" w:color="auto" w:fill="FFF2CC" w:themeFill="accent4" w:themeFillTint="33"/>
            <w:noWrap/>
            <w:vAlign w:val="bottom"/>
            <w:hideMark/>
          </w:tcPr>
          <w:p w14:paraId="662D12CA"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2014</w:t>
            </w:r>
          </w:p>
        </w:tc>
        <w:tc>
          <w:tcPr>
            <w:tcW w:w="1051" w:type="dxa"/>
            <w:tcBorders>
              <w:top w:val="nil"/>
              <w:left w:val="nil"/>
              <w:bottom w:val="single" w:sz="4" w:space="0" w:color="auto"/>
              <w:right w:val="nil"/>
            </w:tcBorders>
            <w:shd w:val="clear" w:color="auto" w:fill="FFF2CC" w:themeFill="accent4" w:themeFillTint="33"/>
            <w:noWrap/>
            <w:vAlign w:val="bottom"/>
            <w:hideMark/>
          </w:tcPr>
          <w:p w14:paraId="6A36B129"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2015</w:t>
            </w:r>
          </w:p>
        </w:tc>
        <w:tc>
          <w:tcPr>
            <w:tcW w:w="1051" w:type="dxa"/>
            <w:tcBorders>
              <w:top w:val="nil"/>
              <w:left w:val="nil"/>
              <w:bottom w:val="single" w:sz="4" w:space="0" w:color="auto"/>
              <w:right w:val="nil"/>
            </w:tcBorders>
            <w:shd w:val="clear" w:color="auto" w:fill="FFF2CC" w:themeFill="accent4" w:themeFillTint="33"/>
            <w:noWrap/>
            <w:vAlign w:val="bottom"/>
            <w:hideMark/>
          </w:tcPr>
          <w:p w14:paraId="4F3773AB"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2016</w:t>
            </w:r>
          </w:p>
        </w:tc>
        <w:tc>
          <w:tcPr>
            <w:tcW w:w="1051" w:type="dxa"/>
            <w:tcBorders>
              <w:top w:val="nil"/>
              <w:left w:val="nil"/>
              <w:bottom w:val="single" w:sz="4" w:space="0" w:color="auto"/>
              <w:right w:val="nil"/>
            </w:tcBorders>
            <w:shd w:val="clear" w:color="auto" w:fill="FFF2CC" w:themeFill="accent4" w:themeFillTint="33"/>
            <w:noWrap/>
            <w:vAlign w:val="bottom"/>
            <w:hideMark/>
          </w:tcPr>
          <w:p w14:paraId="1D5D580A"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2017</w:t>
            </w:r>
          </w:p>
        </w:tc>
        <w:tc>
          <w:tcPr>
            <w:tcW w:w="1056" w:type="dxa"/>
            <w:tcBorders>
              <w:top w:val="nil"/>
              <w:left w:val="nil"/>
              <w:bottom w:val="single" w:sz="4" w:space="0" w:color="auto"/>
              <w:right w:val="nil"/>
            </w:tcBorders>
            <w:shd w:val="clear" w:color="auto" w:fill="FFF2CC" w:themeFill="accent4" w:themeFillTint="33"/>
            <w:noWrap/>
            <w:vAlign w:val="bottom"/>
            <w:hideMark/>
          </w:tcPr>
          <w:p w14:paraId="21074735" w14:textId="77777777" w:rsidR="00036CE0" w:rsidRPr="00E1125C" w:rsidRDefault="00036CE0" w:rsidP="00036CE0">
            <w:pPr>
              <w:jc w:val="center"/>
              <w:rPr>
                <w:rFonts w:ascii="Calibri" w:eastAsia="Times New Roman" w:hAnsi="Calibri" w:cs="Calibri"/>
                <w:i/>
                <w:iCs/>
              </w:rPr>
            </w:pPr>
            <w:r w:rsidRPr="00E1125C">
              <w:rPr>
                <w:rFonts w:ascii="Calibri" w:eastAsia="Times New Roman" w:hAnsi="Calibri" w:cs="Calibri"/>
                <w:i/>
                <w:iCs/>
              </w:rPr>
              <w:t>2018</w:t>
            </w:r>
          </w:p>
        </w:tc>
      </w:tr>
      <w:tr w:rsidR="00E1125C" w:rsidRPr="00E1125C" w14:paraId="3F56EEA0" w14:textId="77777777" w:rsidTr="009D35C6">
        <w:trPr>
          <w:trHeight w:val="342"/>
        </w:trPr>
        <w:tc>
          <w:tcPr>
            <w:tcW w:w="1571" w:type="dxa"/>
            <w:tcBorders>
              <w:top w:val="single" w:sz="4" w:space="0" w:color="auto"/>
              <w:left w:val="nil"/>
              <w:bottom w:val="nil"/>
              <w:right w:val="nil"/>
            </w:tcBorders>
            <w:shd w:val="clear" w:color="auto" w:fill="FFF2CC" w:themeFill="accent4" w:themeFillTint="33"/>
            <w:noWrap/>
            <w:vAlign w:val="bottom"/>
            <w:hideMark/>
          </w:tcPr>
          <w:p w14:paraId="4E522EDB" w14:textId="77777777" w:rsidR="00036CE0" w:rsidRPr="00E1125C" w:rsidRDefault="00036CE0" w:rsidP="00036CE0">
            <w:pPr>
              <w:jc w:val="left"/>
              <w:rPr>
                <w:rFonts w:ascii="Calibri" w:eastAsia="Times New Roman" w:hAnsi="Calibri" w:cs="Calibri"/>
                <w:i/>
                <w:iCs/>
              </w:rPr>
            </w:pPr>
            <w:r w:rsidRPr="00E1125C">
              <w:rPr>
                <w:rFonts w:ascii="Calibri" w:eastAsia="Times New Roman" w:hAnsi="Calibri" w:cs="Calibri"/>
                <w:i/>
                <w:iCs/>
              </w:rPr>
              <w:t>Agropecuario</w:t>
            </w:r>
          </w:p>
        </w:tc>
        <w:tc>
          <w:tcPr>
            <w:tcW w:w="1052" w:type="dxa"/>
            <w:tcBorders>
              <w:top w:val="single" w:sz="4" w:space="0" w:color="auto"/>
              <w:left w:val="nil"/>
              <w:bottom w:val="nil"/>
              <w:right w:val="nil"/>
            </w:tcBorders>
            <w:shd w:val="clear" w:color="auto" w:fill="FFF2CC" w:themeFill="accent4" w:themeFillTint="33"/>
            <w:noWrap/>
            <w:vAlign w:val="bottom"/>
            <w:hideMark/>
          </w:tcPr>
          <w:p w14:paraId="41DC6F2F"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0,711 </w:t>
            </w:r>
          </w:p>
        </w:tc>
        <w:tc>
          <w:tcPr>
            <w:tcW w:w="1052" w:type="dxa"/>
            <w:tcBorders>
              <w:top w:val="single" w:sz="4" w:space="0" w:color="auto"/>
              <w:left w:val="nil"/>
              <w:bottom w:val="nil"/>
              <w:right w:val="nil"/>
            </w:tcBorders>
            <w:shd w:val="clear" w:color="auto" w:fill="FFF2CC" w:themeFill="accent4" w:themeFillTint="33"/>
            <w:noWrap/>
            <w:vAlign w:val="bottom"/>
            <w:hideMark/>
          </w:tcPr>
          <w:p w14:paraId="40A23FEE"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0,715 </w:t>
            </w:r>
          </w:p>
        </w:tc>
        <w:tc>
          <w:tcPr>
            <w:tcW w:w="1051" w:type="dxa"/>
            <w:tcBorders>
              <w:top w:val="single" w:sz="4" w:space="0" w:color="auto"/>
              <w:left w:val="nil"/>
              <w:bottom w:val="nil"/>
              <w:right w:val="nil"/>
            </w:tcBorders>
            <w:shd w:val="clear" w:color="auto" w:fill="FFF2CC" w:themeFill="accent4" w:themeFillTint="33"/>
            <w:noWrap/>
            <w:vAlign w:val="bottom"/>
            <w:hideMark/>
          </w:tcPr>
          <w:p w14:paraId="2B7B6FD8"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0,726 </w:t>
            </w:r>
          </w:p>
        </w:tc>
        <w:tc>
          <w:tcPr>
            <w:tcW w:w="1051" w:type="dxa"/>
            <w:tcBorders>
              <w:top w:val="single" w:sz="4" w:space="0" w:color="auto"/>
              <w:left w:val="nil"/>
              <w:bottom w:val="nil"/>
              <w:right w:val="nil"/>
            </w:tcBorders>
            <w:shd w:val="clear" w:color="auto" w:fill="FFF2CC" w:themeFill="accent4" w:themeFillTint="33"/>
            <w:noWrap/>
            <w:vAlign w:val="bottom"/>
            <w:hideMark/>
          </w:tcPr>
          <w:p w14:paraId="397E77E7"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0,706 </w:t>
            </w:r>
          </w:p>
        </w:tc>
        <w:tc>
          <w:tcPr>
            <w:tcW w:w="1051" w:type="dxa"/>
            <w:tcBorders>
              <w:top w:val="single" w:sz="4" w:space="0" w:color="auto"/>
              <w:left w:val="nil"/>
              <w:bottom w:val="nil"/>
              <w:right w:val="nil"/>
            </w:tcBorders>
            <w:shd w:val="clear" w:color="auto" w:fill="FFF2CC" w:themeFill="accent4" w:themeFillTint="33"/>
            <w:noWrap/>
            <w:vAlign w:val="bottom"/>
            <w:hideMark/>
          </w:tcPr>
          <w:p w14:paraId="43CAA8DE"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0,720 </w:t>
            </w:r>
          </w:p>
        </w:tc>
        <w:tc>
          <w:tcPr>
            <w:tcW w:w="1051" w:type="dxa"/>
            <w:tcBorders>
              <w:top w:val="single" w:sz="4" w:space="0" w:color="auto"/>
              <w:left w:val="nil"/>
              <w:bottom w:val="nil"/>
              <w:right w:val="nil"/>
            </w:tcBorders>
            <w:shd w:val="clear" w:color="auto" w:fill="FFF2CC" w:themeFill="accent4" w:themeFillTint="33"/>
            <w:noWrap/>
            <w:vAlign w:val="bottom"/>
            <w:hideMark/>
          </w:tcPr>
          <w:p w14:paraId="50BD1F38"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0,732 </w:t>
            </w:r>
          </w:p>
        </w:tc>
        <w:tc>
          <w:tcPr>
            <w:tcW w:w="1056" w:type="dxa"/>
            <w:tcBorders>
              <w:top w:val="single" w:sz="4" w:space="0" w:color="auto"/>
              <w:left w:val="nil"/>
              <w:bottom w:val="nil"/>
              <w:right w:val="nil"/>
            </w:tcBorders>
            <w:shd w:val="clear" w:color="auto" w:fill="FFF2CC" w:themeFill="accent4" w:themeFillTint="33"/>
            <w:noWrap/>
            <w:vAlign w:val="bottom"/>
            <w:hideMark/>
          </w:tcPr>
          <w:p w14:paraId="026387A1"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0,726 </w:t>
            </w:r>
          </w:p>
        </w:tc>
      </w:tr>
      <w:tr w:rsidR="00E1125C" w:rsidRPr="00E1125C" w14:paraId="50F451AE" w14:textId="77777777" w:rsidTr="009D587B">
        <w:trPr>
          <w:trHeight w:val="342"/>
        </w:trPr>
        <w:tc>
          <w:tcPr>
            <w:tcW w:w="1571" w:type="dxa"/>
            <w:tcBorders>
              <w:top w:val="nil"/>
              <w:left w:val="nil"/>
              <w:bottom w:val="nil"/>
              <w:right w:val="nil"/>
            </w:tcBorders>
            <w:shd w:val="clear" w:color="auto" w:fill="FFF2CC" w:themeFill="accent4" w:themeFillTint="33"/>
            <w:noWrap/>
            <w:vAlign w:val="bottom"/>
            <w:hideMark/>
          </w:tcPr>
          <w:p w14:paraId="050D4061" w14:textId="77777777" w:rsidR="00036CE0" w:rsidRPr="00E1125C" w:rsidRDefault="00036CE0" w:rsidP="00036CE0">
            <w:pPr>
              <w:jc w:val="left"/>
              <w:rPr>
                <w:rFonts w:ascii="Calibri" w:eastAsia="Times New Roman" w:hAnsi="Calibri" w:cs="Calibri"/>
                <w:i/>
                <w:iCs/>
              </w:rPr>
            </w:pPr>
            <w:r w:rsidRPr="00E1125C">
              <w:rPr>
                <w:rFonts w:ascii="Calibri" w:eastAsia="Times New Roman" w:hAnsi="Calibri" w:cs="Calibri"/>
                <w:i/>
                <w:iCs/>
              </w:rPr>
              <w:t>Manufactura</w:t>
            </w:r>
          </w:p>
        </w:tc>
        <w:tc>
          <w:tcPr>
            <w:tcW w:w="1052" w:type="dxa"/>
            <w:tcBorders>
              <w:top w:val="nil"/>
              <w:left w:val="nil"/>
              <w:bottom w:val="nil"/>
              <w:right w:val="nil"/>
            </w:tcBorders>
            <w:shd w:val="clear" w:color="auto" w:fill="FFF2CC" w:themeFill="accent4" w:themeFillTint="33"/>
            <w:noWrap/>
            <w:vAlign w:val="bottom"/>
            <w:hideMark/>
          </w:tcPr>
          <w:p w14:paraId="686B81F5"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0,902 </w:t>
            </w:r>
          </w:p>
        </w:tc>
        <w:tc>
          <w:tcPr>
            <w:tcW w:w="1052" w:type="dxa"/>
            <w:tcBorders>
              <w:top w:val="nil"/>
              <w:left w:val="nil"/>
              <w:bottom w:val="nil"/>
              <w:right w:val="nil"/>
            </w:tcBorders>
            <w:shd w:val="clear" w:color="auto" w:fill="FFF2CC" w:themeFill="accent4" w:themeFillTint="33"/>
            <w:noWrap/>
            <w:vAlign w:val="bottom"/>
            <w:hideMark/>
          </w:tcPr>
          <w:p w14:paraId="7F658119"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0,902 </w:t>
            </w:r>
          </w:p>
        </w:tc>
        <w:tc>
          <w:tcPr>
            <w:tcW w:w="1051" w:type="dxa"/>
            <w:tcBorders>
              <w:top w:val="nil"/>
              <w:left w:val="nil"/>
              <w:bottom w:val="nil"/>
              <w:right w:val="nil"/>
            </w:tcBorders>
            <w:shd w:val="clear" w:color="auto" w:fill="FFF2CC" w:themeFill="accent4" w:themeFillTint="33"/>
            <w:noWrap/>
            <w:vAlign w:val="bottom"/>
            <w:hideMark/>
          </w:tcPr>
          <w:p w14:paraId="741687E7"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0,903 </w:t>
            </w:r>
          </w:p>
        </w:tc>
        <w:tc>
          <w:tcPr>
            <w:tcW w:w="1051" w:type="dxa"/>
            <w:tcBorders>
              <w:top w:val="nil"/>
              <w:left w:val="nil"/>
              <w:bottom w:val="nil"/>
              <w:right w:val="nil"/>
            </w:tcBorders>
            <w:shd w:val="clear" w:color="auto" w:fill="FFF2CC" w:themeFill="accent4" w:themeFillTint="33"/>
            <w:noWrap/>
            <w:vAlign w:val="bottom"/>
            <w:hideMark/>
          </w:tcPr>
          <w:p w14:paraId="1F689172"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0,899 </w:t>
            </w:r>
          </w:p>
        </w:tc>
        <w:tc>
          <w:tcPr>
            <w:tcW w:w="1051" w:type="dxa"/>
            <w:tcBorders>
              <w:top w:val="nil"/>
              <w:left w:val="nil"/>
              <w:bottom w:val="nil"/>
              <w:right w:val="nil"/>
            </w:tcBorders>
            <w:shd w:val="clear" w:color="auto" w:fill="FFF2CC" w:themeFill="accent4" w:themeFillTint="33"/>
            <w:noWrap/>
            <w:vAlign w:val="bottom"/>
            <w:hideMark/>
          </w:tcPr>
          <w:p w14:paraId="09A084E1"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0,902 </w:t>
            </w:r>
          </w:p>
        </w:tc>
        <w:tc>
          <w:tcPr>
            <w:tcW w:w="1051" w:type="dxa"/>
            <w:tcBorders>
              <w:top w:val="nil"/>
              <w:left w:val="nil"/>
              <w:bottom w:val="nil"/>
              <w:right w:val="nil"/>
            </w:tcBorders>
            <w:shd w:val="clear" w:color="auto" w:fill="FFF2CC" w:themeFill="accent4" w:themeFillTint="33"/>
            <w:noWrap/>
            <w:vAlign w:val="bottom"/>
            <w:hideMark/>
          </w:tcPr>
          <w:p w14:paraId="6E1663A2"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0,906 </w:t>
            </w:r>
          </w:p>
        </w:tc>
        <w:tc>
          <w:tcPr>
            <w:tcW w:w="1056" w:type="dxa"/>
            <w:tcBorders>
              <w:top w:val="nil"/>
              <w:left w:val="nil"/>
              <w:bottom w:val="nil"/>
              <w:right w:val="nil"/>
            </w:tcBorders>
            <w:shd w:val="clear" w:color="auto" w:fill="FFF2CC" w:themeFill="accent4" w:themeFillTint="33"/>
            <w:noWrap/>
            <w:vAlign w:val="bottom"/>
            <w:hideMark/>
          </w:tcPr>
          <w:p w14:paraId="6BF92B05"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0,910 </w:t>
            </w:r>
          </w:p>
        </w:tc>
      </w:tr>
      <w:tr w:rsidR="00E1125C" w:rsidRPr="00E1125C" w14:paraId="6D5B6B4A" w14:textId="77777777" w:rsidTr="009D587B">
        <w:trPr>
          <w:trHeight w:val="342"/>
        </w:trPr>
        <w:tc>
          <w:tcPr>
            <w:tcW w:w="1571" w:type="dxa"/>
            <w:tcBorders>
              <w:top w:val="nil"/>
              <w:left w:val="nil"/>
              <w:right w:val="nil"/>
            </w:tcBorders>
            <w:shd w:val="clear" w:color="auto" w:fill="FFF2CC" w:themeFill="accent4" w:themeFillTint="33"/>
            <w:noWrap/>
            <w:vAlign w:val="bottom"/>
            <w:hideMark/>
          </w:tcPr>
          <w:p w14:paraId="47EE6B95" w14:textId="77777777" w:rsidR="00036CE0" w:rsidRPr="00E1125C" w:rsidRDefault="00036CE0" w:rsidP="00036CE0">
            <w:pPr>
              <w:jc w:val="left"/>
              <w:rPr>
                <w:rFonts w:ascii="Calibri" w:eastAsia="Times New Roman" w:hAnsi="Calibri" w:cs="Calibri"/>
                <w:i/>
                <w:iCs/>
              </w:rPr>
            </w:pPr>
            <w:r w:rsidRPr="00E1125C">
              <w:rPr>
                <w:rFonts w:ascii="Calibri" w:eastAsia="Times New Roman" w:hAnsi="Calibri" w:cs="Calibri"/>
                <w:i/>
                <w:iCs/>
              </w:rPr>
              <w:t>Construcción</w:t>
            </w:r>
          </w:p>
        </w:tc>
        <w:tc>
          <w:tcPr>
            <w:tcW w:w="1052" w:type="dxa"/>
            <w:tcBorders>
              <w:top w:val="nil"/>
              <w:left w:val="nil"/>
              <w:right w:val="nil"/>
            </w:tcBorders>
            <w:shd w:val="clear" w:color="auto" w:fill="FFF2CC" w:themeFill="accent4" w:themeFillTint="33"/>
            <w:noWrap/>
            <w:vAlign w:val="bottom"/>
            <w:hideMark/>
          </w:tcPr>
          <w:p w14:paraId="20A21822"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0,706 </w:t>
            </w:r>
          </w:p>
        </w:tc>
        <w:tc>
          <w:tcPr>
            <w:tcW w:w="1052" w:type="dxa"/>
            <w:tcBorders>
              <w:top w:val="nil"/>
              <w:left w:val="nil"/>
              <w:right w:val="nil"/>
            </w:tcBorders>
            <w:shd w:val="clear" w:color="auto" w:fill="FFF2CC" w:themeFill="accent4" w:themeFillTint="33"/>
            <w:noWrap/>
            <w:vAlign w:val="bottom"/>
            <w:hideMark/>
          </w:tcPr>
          <w:p w14:paraId="0584A480"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0,719 </w:t>
            </w:r>
          </w:p>
        </w:tc>
        <w:tc>
          <w:tcPr>
            <w:tcW w:w="1051" w:type="dxa"/>
            <w:tcBorders>
              <w:top w:val="nil"/>
              <w:left w:val="nil"/>
              <w:right w:val="nil"/>
            </w:tcBorders>
            <w:shd w:val="clear" w:color="auto" w:fill="FFF2CC" w:themeFill="accent4" w:themeFillTint="33"/>
            <w:noWrap/>
            <w:vAlign w:val="bottom"/>
            <w:hideMark/>
          </w:tcPr>
          <w:p w14:paraId="4CA7754D"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0,734 </w:t>
            </w:r>
          </w:p>
        </w:tc>
        <w:tc>
          <w:tcPr>
            <w:tcW w:w="1051" w:type="dxa"/>
            <w:tcBorders>
              <w:top w:val="nil"/>
              <w:left w:val="nil"/>
              <w:right w:val="nil"/>
            </w:tcBorders>
            <w:shd w:val="clear" w:color="auto" w:fill="FFF2CC" w:themeFill="accent4" w:themeFillTint="33"/>
            <w:noWrap/>
            <w:vAlign w:val="bottom"/>
            <w:hideMark/>
          </w:tcPr>
          <w:p w14:paraId="4F4BEAA8"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0,728 </w:t>
            </w:r>
          </w:p>
        </w:tc>
        <w:tc>
          <w:tcPr>
            <w:tcW w:w="1051" w:type="dxa"/>
            <w:tcBorders>
              <w:top w:val="nil"/>
              <w:left w:val="nil"/>
              <w:right w:val="nil"/>
            </w:tcBorders>
            <w:shd w:val="clear" w:color="auto" w:fill="FFF2CC" w:themeFill="accent4" w:themeFillTint="33"/>
            <w:noWrap/>
            <w:vAlign w:val="bottom"/>
            <w:hideMark/>
          </w:tcPr>
          <w:p w14:paraId="2E760726"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0,741 </w:t>
            </w:r>
          </w:p>
        </w:tc>
        <w:tc>
          <w:tcPr>
            <w:tcW w:w="1051" w:type="dxa"/>
            <w:tcBorders>
              <w:top w:val="nil"/>
              <w:left w:val="nil"/>
              <w:right w:val="nil"/>
            </w:tcBorders>
            <w:shd w:val="clear" w:color="auto" w:fill="FFF2CC" w:themeFill="accent4" w:themeFillTint="33"/>
            <w:noWrap/>
            <w:vAlign w:val="bottom"/>
            <w:hideMark/>
          </w:tcPr>
          <w:p w14:paraId="00FD07AA"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0,740 </w:t>
            </w:r>
          </w:p>
        </w:tc>
        <w:tc>
          <w:tcPr>
            <w:tcW w:w="1056" w:type="dxa"/>
            <w:tcBorders>
              <w:top w:val="nil"/>
              <w:left w:val="nil"/>
              <w:right w:val="nil"/>
            </w:tcBorders>
            <w:shd w:val="clear" w:color="auto" w:fill="FFF2CC" w:themeFill="accent4" w:themeFillTint="33"/>
            <w:noWrap/>
            <w:vAlign w:val="bottom"/>
            <w:hideMark/>
          </w:tcPr>
          <w:p w14:paraId="061BA37B"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0,744 </w:t>
            </w:r>
          </w:p>
        </w:tc>
      </w:tr>
      <w:tr w:rsidR="00E1125C" w:rsidRPr="00E1125C" w14:paraId="7CCCD3B8" w14:textId="77777777" w:rsidTr="009D587B">
        <w:trPr>
          <w:trHeight w:val="342"/>
        </w:trPr>
        <w:tc>
          <w:tcPr>
            <w:tcW w:w="1571" w:type="dxa"/>
            <w:tcBorders>
              <w:top w:val="nil"/>
              <w:left w:val="nil"/>
              <w:bottom w:val="single" w:sz="4" w:space="0" w:color="auto"/>
              <w:right w:val="nil"/>
            </w:tcBorders>
            <w:shd w:val="clear" w:color="auto" w:fill="FFF2CC" w:themeFill="accent4" w:themeFillTint="33"/>
            <w:noWrap/>
            <w:vAlign w:val="bottom"/>
            <w:hideMark/>
          </w:tcPr>
          <w:p w14:paraId="672FF7C4" w14:textId="77777777" w:rsidR="00036CE0" w:rsidRPr="00E1125C" w:rsidRDefault="00036CE0" w:rsidP="00036CE0">
            <w:pPr>
              <w:jc w:val="left"/>
              <w:rPr>
                <w:rFonts w:ascii="Calibri" w:eastAsia="Times New Roman" w:hAnsi="Calibri" w:cs="Calibri"/>
                <w:i/>
                <w:iCs/>
              </w:rPr>
            </w:pPr>
            <w:r w:rsidRPr="00E1125C">
              <w:rPr>
                <w:rFonts w:ascii="Calibri" w:eastAsia="Times New Roman" w:hAnsi="Calibri" w:cs="Calibri"/>
                <w:i/>
                <w:iCs/>
              </w:rPr>
              <w:t>Comercio General</w:t>
            </w:r>
          </w:p>
        </w:tc>
        <w:tc>
          <w:tcPr>
            <w:tcW w:w="1052" w:type="dxa"/>
            <w:tcBorders>
              <w:top w:val="nil"/>
              <w:left w:val="nil"/>
              <w:bottom w:val="single" w:sz="4" w:space="0" w:color="auto"/>
              <w:right w:val="nil"/>
            </w:tcBorders>
            <w:shd w:val="clear" w:color="auto" w:fill="FFF2CC" w:themeFill="accent4" w:themeFillTint="33"/>
            <w:noWrap/>
            <w:vAlign w:val="bottom"/>
            <w:hideMark/>
          </w:tcPr>
          <w:p w14:paraId="3640FAC9"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0,799 </w:t>
            </w:r>
          </w:p>
        </w:tc>
        <w:tc>
          <w:tcPr>
            <w:tcW w:w="1052" w:type="dxa"/>
            <w:tcBorders>
              <w:top w:val="nil"/>
              <w:left w:val="nil"/>
              <w:bottom w:val="single" w:sz="4" w:space="0" w:color="auto"/>
              <w:right w:val="nil"/>
            </w:tcBorders>
            <w:shd w:val="clear" w:color="auto" w:fill="FFF2CC" w:themeFill="accent4" w:themeFillTint="33"/>
            <w:noWrap/>
            <w:vAlign w:val="bottom"/>
            <w:hideMark/>
          </w:tcPr>
          <w:p w14:paraId="75E1D007"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0,801 </w:t>
            </w:r>
          </w:p>
        </w:tc>
        <w:tc>
          <w:tcPr>
            <w:tcW w:w="1051" w:type="dxa"/>
            <w:tcBorders>
              <w:top w:val="nil"/>
              <w:left w:val="nil"/>
              <w:bottom w:val="single" w:sz="4" w:space="0" w:color="auto"/>
              <w:right w:val="nil"/>
            </w:tcBorders>
            <w:shd w:val="clear" w:color="auto" w:fill="FFF2CC" w:themeFill="accent4" w:themeFillTint="33"/>
            <w:noWrap/>
            <w:vAlign w:val="bottom"/>
            <w:hideMark/>
          </w:tcPr>
          <w:p w14:paraId="72F682AB"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0,802 </w:t>
            </w:r>
          </w:p>
        </w:tc>
        <w:tc>
          <w:tcPr>
            <w:tcW w:w="1051" w:type="dxa"/>
            <w:tcBorders>
              <w:top w:val="nil"/>
              <w:left w:val="nil"/>
              <w:bottom w:val="single" w:sz="4" w:space="0" w:color="auto"/>
              <w:right w:val="nil"/>
            </w:tcBorders>
            <w:shd w:val="clear" w:color="auto" w:fill="FFF2CC" w:themeFill="accent4" w:themeFillTint="33"/>
            <w:noWrap/>
            <w:vAlign w:val="bottom"/>
            <w:hideMark/>
          </w:tcPr>
          <w:p w14:paraId="75FFCA23"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0,793 </w:t>
            </w:r>
          </w:p>
        </w:tc>
        <w:tc>
          <w:tcPr>
            <w:tcW w:w="1051" w:type="dxa"/>
            <w:tcBorders>
              <w:top w:val="nil"/>
              <w:left w:val="nil"/>
              <w:bottom w:val="single" w:sz="4" w:space="0" w:color="auto"/>
              <w:right w:val="nil"/>
            </w:tcBorders>
            <w:shd w:val="clear" w:color="auto" w:fill="FFF2CC" w:themeFill="accent4" w:themeFillTint="33"/>
            <w:noWrap/>
            <w:vAlign w:val="bottom"/>
            <w:hideMark/>
          </w:tcPr>
          <w:p w14:paraId="70FA8FD5"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0,794 </w:t>
            </w:r>
          </w:p>
        </w:tc>
        <w:tc>
          <w:tcPr>
            <w:tcW w:w="1051" w:type="dxa"/>
            <w:tcBorders>
              <w:top w:val="nil"/>
              <w:left w:val="nil"/>
              <w:bottom w:val="single" w:sz="4" w:space="0" w:color="auto"/>
              <w:right w:val="nil"/>
            </w:tcBorders>
            <w:shd w:val="clear" w:color="auto" w:fill="FFF2CC" w:themeFill="accent4" w:themeFillTint="33"/>
            <w:noWrap/>
            <w:vAlign w:val="bottom"/>
            <w:hideMark/>
          </w:tcPr>
          <w:p w14:paraId="576CC69A"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0,802 </w:t>
            </w:r>
          </w:p>
        </w:tc>
        <w:tc>
          <w:tcPr>
            <w:tcW w:w="1056" w:type="dxa"/>
            <w:tcBorders>
              <w:top w:val="nil"/>
              <w:left w:val="nil"/>
              <w:bottom w:val="single" w:sz="4" w:space="0" w:color="auto"/>
              <w:right w:val="nil"/>
            </w:tcBorders>
            <w:shd w:val="clear" w:color="auto" w:fill="FFF2CC" w:themeFill="accent4" w:themeFillTint="33"/>
            <w:noWrap/>
            <w:vAlign w:val="bottom"/>
            <w:hideMark/>
          </w:tcPr>
          <w:p w14:paraId="030BF544" w14:textId="77777777" w:rsidR="00036CE0" w:rsidRPr="00E1125C" w:rsidRDefault="00036CE0" w:rsidP="00036CE0">
            <w:pPr>
              <w:jc w:val="right"/>
              <w:rPr>
                <w:rFonts w:ascii="Calibri" w:eastAsia="Times New Roman" w:hAnsi="Calibri" w:cs="Calibri"/>
                <w:i/>
                <w:iCs/>
              </w:rPr>
            </w:pPr>
            <w:r w:rsidRPr="00E1125C">
              <w:rPr>
                <w:rFonts w:ascii="Calibri" w:eastAsia="Times New Roman" w:hAnsi="Calibri" w:cs="Calibri"/>
                <w:i/>
                <w:iCs/>
              </w:rPr>
              <w:t xml:space="preserve">             0,804 </w:t>
            </w:r>
          </w:p>
        </w:tc>
      </w:tr>
      <w:tr w:rsidR="00E1125C" w:rsidRPr="00E1125C" w14:paraId="4CF05C96" w14:textId="77777777" w:rsidTr="009D587B">
        <w:trPr>
          <w:trHeight w:val="342"/>
        </w:trPr>
        <w:tc>
          <w:tcPr>
            <w:tcW w:w="8935" w:type="dxa"/>
            <w:gridSpan w:val="8"/>
            <w:tcBorders>
              <w:top w:val="single" w:sz="4" w:space="0" w:color="auto"/>
              <w:left w:val="nil"/>
              <w:bottom w:val="nil"/>
              <w:right w:val="nil"/>
            </w:tcBorders>
            <w:shd w:val="clear" w:color="auto" w:fill="FFF2CC" w:themeFill="accent4" w:themeFillTint="33"/>
            <w:noWrap/>
            <w:vAlign w:val="bottom"/>
          </w:tcPr>
          <w:p w14:paraId="1AF1E524" w14:textId="1AA6EE38" w:rsidR="00036CE0" w:rsidRPr="00E1125C" w:rsidRDefault="00036CE0" w:rsidP="009D587B">
            <w:pPr>
              <w:jc w:val="left"/>
              <w:rPr>
                <w:rFonts w:ascii="Calibri" w:eastAsia="Times New Roman" w:hAnsi="Calibri" w:cs="Calibri"/>
                <w:i/>
                <w:iCs/>
              </w:rPr>
            </w:pPr>
            <w:r w:rsidRPr="00E1125C">
              <w:rPr>
                <w:rFonts w:ascii="Calibri" w:eastAsia="Times New Roman" w:hAnsi="Calibri" w:cs="Calibri"/>
                <w:i/>
                <w:iCs/>
              </w:rPr>
              <w:t xml:space="preserve">Fuente: </w:t>
            </w:r>
            <w:r w:rsidR="009D587B" w:rsidRPr="00E1125C">
              <w:rPr>
                <w:rFonts w:ascii="Calibri" w:eastAsia="Times New Roman" w:hAnsi="Calibri" w:cs="Calibri"/>
                <w:i/>
                <w:iCs/>
              </w:rPr>
              <w:t>Elaboración propia con base</w:t>
            </w:r>
            <w:r w:rsidR="00AD446A" w:rsidRPr="00E1125C">
              <w:rPr>
                <w:rFonts w:ascii="Calibri" w:eastAsia="Times New Roman" w:hAnsi="Calibri" w:cs="Calibri"/>
                <w:i/>
                <w:iCs/>
              </w:rPr>
              <w:t xml:space="preserve"> en</w:t>
            </w:r>
            <w:r w:rsidR="009D587B" w:rsidRPr="00E1125C">
              <w:rPr>
                <w:rFonts w:ascii="Calibri" w:eastAsia="Times New Roman" w:hAnsi="Calibri" w:cs="Calibri"/>
                <w:i/>
                <w:iCs/>
              </w:rPr>
              <w:t xml:space="preserve"> </w:t>
            </w:r>
            <w:r w:rsidR="00AD446A" w:rsidRPr="00E1125C">
              <w:rPr>
                <w:rFonts w:ascii="Calibri" w:eastAsia="Times New Roman" w:hAnsi="Calibri" w:cs="Calibri"/>
                <w:i/>
                <w:iCs/>
              </w:rPr>
              <w:t>los</w:t>
            </w:r>
            <w:r w:rsidRPr="00E1125C">
              <w:rPr>
                <w:rFonts w:ascii="Calibri" w:eastAsia="Times New Roman" w:hAnsi="Calibri" w:cs="Calibri"/>
                <w:i/>
                <w:iCs/>
              </w:rPr>
              <w:t xml:space="preserve"> datos</w:t>
            </w:r>
            <w:r w:rsidR="009D587B" w:rsidRPr="00E1125C">
              <w:rPr>
                <w:rFonts w:ascii="Calibri" w:eastAsia="Times New Roman" w:hAnsi="Calibri" w:cs="Calibri"/>
                <w:i/>
                <w:iCs/>
              </w:rPr>
              <w:t xml:space="preserve"> del BCCR.</w:t>
            </w:r>
            <w:r w:rsidRPr="00E1125C">
              <w:rPr>
                <w:rFonts w:ascii="Calibri" w:eastAsia="Times New Roman" w:hAnsi="Calibri" w:cs="Calibri"/>
                <w:i/>
                <w:iCs/>
              </w:rPr>
              <w:t xml:space="preserve"> </w:t>
            </w:r>
          </w:p>
        </w:tc>
      </w:tr>
    </w:tbl>
    <w:p w14:paraId="407E554C" w14:textId="193D96B5" w:rsidR="00036CE0" w:rsidRPr="00E1125C" w:rsidRDefault="00036CE0" w:rsidP="0099183A">
      <w:pPr>
        <w:ind w:firstLine="708"/>
      </w:pPr>
    </w:p>
    <w:p w14:paraId="1EC8BEDF" w14:textId="6452CDEE" w:rsidR="00E93307" w:rsidRPr="00E1125C" w:rsidRDefault="00AD446A" w:rsidP="00E93307">
      <w:pPr>
        <w:ind w:firstLine="708"/>
      </w:pPr>
      <w:r w:rsidRPr="00E1125C">
        <w:t xml:space="preserve">Para ilustrar mejor el resultado y visualizar la tendencia a la concentración del ingreso en las empresas más grandes en el lapso que va del 2012 al 2018, </w:t>
      </w:r>
      <w:r w:rsidR="00687A0A" w:rsidRPr="00E1125C">
        <w:t>presentamos</w:t>
      </w:r>
      <w:r w:rsidR="00B57C43" w:rsidRPr="00E1125C">
        <w:t xml:space="preserve"> los datos de la Tabla 2 en</w:t>
      </w:r>
      <w:r w:rsidR="00687A0A" w:rsidRPr="00E1125C">
        <w:t xml:space="preserve"> el </w:t>
      </w:r>
      <w:r w:rsidR="00B57C43" w:rsidRPr="00E1125C">
        <w:t>G</w:t>
      </w:r>
      <w:r w:rsidR="00687A0A" w:rsidRPr="00E1125C">
        <w:t>ráfico</w:t>
      </w:r>
      <w:r w:rsidR="00B57C43" w:rsidRPr="00E1125C">
        <w:t xml:space="preserve"> 2</w:t>
      </w:r>
      <w:r w:rsidR="00687A0A" w:rsidRPr="00E1125C">
        <w:t>:</w:t>
      </w:r>
    </w:p>
    <w:p w14:paraId="57B31952" w14:textId="77777777" w:rsidR="00FA0563" w:rsidRPr="00E1125C" w:rsidRDefault="00FA0563" w:rsidP="00E93307">
      <w:pPr>
        <w:ind w:firstLine="708"/>
      </w:pPr>
    </w:p>
    <w:p w14:paraId="49716FE5" w14:textId="7496CFC0" w:rsidR="00E93307" w:rsidRPr="00E1125C" w:rsidRDefault="00E93307" w:rsidP="00E93307">
      <w:pPr>
        <w:ind w:firstLine="708"/>
      </w:pPr>
      <w:r w:rsidRPr="00E1125C">
        <w:t>Gráfico 2.  Costa Rica: Coeficiente de Gini</w:t>
      </w:r>
    </w:p>
    <w:p w14:paraId="1FDE7A96" w14:textId="77777777" w:rsidR="00E93307" w:rsidRPr="00E1125C" w:rsidRDefault="00E93307" w:rsidP="00E93307">
      <w:pPr>
        <w:ind w:firstLine="708"/>
      </w:pPr>
      <w:r w:rsidRPr="00E1125C">
        <w:t xml:space="preserve"> por: Ingreso de los Tamaños de Empresa</w:t>
      </w:r>
    </w:p>
    <w:p w14:paraId="49F8DDE6" w14:textId="76ADC93D" w:rsidR="00E93307" w:rsidRPr="00E1125C" w:rsidRDefault="00E93307" w:rsidP="00345559">
      <w:pPr>
        <w:ind w:firstLine="708"/>
      </w:pPr>
      <w:r w:rsidRPr="00E1125C">
        <w:t>según: Principales Sector de la Producción</w:t>
      </w:r>
    </w:p>
    <w:p w14:paraId="1C9C1476" w14:textId="2AC9B1F5" w:rsidR="00687A0A" w:rsidRPr="00E1125C" w:rsidRDefault="00687A0A" w:rsidP="00687A0A"/>
    <w:p w14:paraId="16BCDB99" w14:textId="7ECD7E0C" w:rsidR="00687A0A" w:rsidRPr="00E1125C" w:rsidRDefault="00687A0A" w:rsidP="00687A0A">
      <w:r w:rsidRPr="00E1125C">
        <w:rPr>
          <w:noProof/>
          <w:lang w:val="en-US" w:eastAsia="en-US"/>
        </w:rPr>
        <w:lastRenderedPageBreak/>
        <w:drawing>
          <wp:inline distT="0" distB="0" distL="0" distR="0" wp14:anchorId="2C699EED" wp14:editId="335FA0EF">
            <wp:extent cx="4724400" cy="2162175"/>
            <wp:effectExtent l="0" t="0" r="0" b="9525"/>
            <wp:docPr id="1" name="Gráfico 1">
              <a:extLst xmlns:a="http://schemas.openxmlformats.org/drawingml/2006/main">
                <a:ext uri="{FF2B5EF4-FFF2-40B4-BE49-F238E27FC236}">
                  <a16:creationId xmlns:a16="http://schemas.microsoft.com/office/drawing/2014/main" id="{1712B1D6-807D-40AE-BE8C-C50AD9D8E8C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EDAF540" w14:textId="77777777" w:rsidR="00687A0A" w:rsidRPr="00E1125C" w:rsidRDefault="00687A0A" w:rsidP="00687A0A">
      <w:pPr>
        <w:rPr>
          <w:rFonts w:eastAsia="Times New Roman"/>
        </w:rPr>
      </w:pPr>
    </w:p>
    <w:p w14:paraId="39E485D4" w14:textId="01D615AC" w:rsidR="00687A0A" w:rsidRPr="00E1125C" w:rsidRDefault="00687A0A" w:rsidP="00687A0A">
      <w:pPr>
        <w:rPr>
          <w:rFonts w:eastAsia="Times New Roman"/>
        </w:rPr>
      </w:pPr>
      <w:r w:rsidRPr="00E1125C">
        <w:rPr>
          <w:rFonts w:eastAsia="Times New Roman"/>
        </w:rPr>
        <w:tab/>
        <w:t xml:space="preserve">Lo primero que puede observarse en los datos elaborados es una altísima concentración </w:t>
      </w:r>
      <w:r w:rsidR="00443339" w:rsidRPr="00E1125C">
        <w:rPr>
          <w:rFonts w:eastAsia="Times New Roman"/>
        </w:rPr>
        <w:t>del ingreso</w:t>
      </w:r>
      <w:r w:rsidRPr="00E1125C">
        <w:rPr>
          <w:rFonts w:eastAsia="Times New Roman"/>
        </w:rPr>
        <w:t xml:space="preserve"> nacional en manos de las empresas más grandes</w:t>
      </w:r>
      <w:r w:rsidR="00C4095E" w:rsidRPr="00E1125C">
        <w:rPr>
          <w:rFonts w:eastAsia="Times New Roman"/>
        </w:rPr>
        <w:t xml:space="preserve"> (como ya lo habíamos observado con el cálculo del IHH)</w:t>
      </w:r>
      <w:r w:rsidRPr="00E1125C">
        <w:rPr>
          <w:rFonts w:eastAsia="Times New Roman"/>
        </w:rPr>
        <w:t>. Coeficientes de Gini mayores de 0,7, como se obtienen para todos lo</w:t>
      </w:r>
      <w:r w:rsidR="00393384" w:rsidRPr="00E1125C">
        <w:rPr>
          <w:rFonts w:eastAsia="Times New Roman"/>
        </w:rPr>
        <w:t>s</w:t>
      </w:r>
      <w:r w:rsidRPr="00E1125C">
        <w:rPr>
          <w:rFonts w:eastAsia="Times New Roman"/>
        </w:rPr>
        <w:t xml:space="preserve"> años y en todos los principales cuatro sectores de la producción nacional es una realidad que pone en entredicho seriamente la capacidad de</w:t>
      </w:r>
      <w:r w:rsidR="001107D1" w:rsidRPr="00E1125C">
        <w:rPr>
          <w:rFonts w:eastAsia="Times New Roman"/>
        </w:rPr>
        <w:t xml:space="preserve"> nuestro</w:t>
      </w:r>
      <w:r w:rsidRPr="00E1125C">
        <w:rPr>
          <w:rFonts w:eastAsia="Times New Roman"/>
        </w:rPr>
        <w:t xml:space="preserve"> sistema </w:t>
      </w:r>
      <w:r w:rsidR="00825F52" w:rsidRPr="00E1125C">
        <w:rPr>
          <w:rFonts w:eastAsia="Times New Roman"/>
        </w:rPr>
        <w:t>econ</w:t>
      </w:r>
      <w:r w:rsidR="00005793" w:rsidRPr="00E1125C">
        <w:rPr>
          <w:rFonts w:eastAsia="Times New Roman"/>
        </w:rPr>
        <w:t>ó</w:t>
      </w:r>
      <w:r w:rsidR="00825F52" w:rsidRPr="00E1125C">
        <w:rPr>
          <w:rFonts w:eastAsia="Times New Roman"/>
        </w:rPr>
        <w:t>mico</w:t>
      </w:r>
      <w:r w:rsidRPr="00E1125C">
        <w:rPr>
          <w:rFonts w:eastAsia="Times New Roman"/>
        </w:rPr>
        <w:t xml:space="preserve"> </w:t>
      </w:r>
      <w:r w:rsidR="001107D1" w:rsidRPr="00E1125C">
        <w:rPr>
          <w:rFonts w:eastAsia="Times New Roman"/>
        </w:rPr>
        <w:t xml:space="preserve">de resolver convenientemente la </w:t>
      </w:r>
      <w:r w:rsidR="0087255F" w:rsidRPr="00E1125C">
        <w:rPr>
          <w:rFonts w:eastAsia="Times New Roman"/>
        </w:rPr>
        <w:t>formación</w:t>
      </w:r>
      <w:r w:rsidR="001107D1" w:rsidRPr="00E1125C">
        <w:rPr>
          <w:rFonts w:eastAsia="Times New Roman"/>
        </w:rPr>
        <w:t xml:space="preserve"> </w:t>
      </w:r>
      <w:r w:rsidR="008772D8" w:rsidRPr="00E1125C">
        <w:rPr>
          <w:rFonts w:eastAsia="Times New Roman"/>
        </w:rPr>
        <w:t xml:space="preserve">de </w:t>
      </w:r>
      <w:r w:rsidR="00454FC1" w:rsidRPr="00E1125C">
        <w:rPr>
          <w:rFonts w:eastAsia="Times New Roman"/>
        </w:rPr>
        <w:t>una estructura</w:t>
      </w:r>
      <w:r w:rsidR="00FD5125" w:rsidRPr="00E1125C">
        <w:rPr>
          <w:rFonts w:eastAsia="Times New Roman"/>
        </w:rPr>
        <w:t xml:space="preserve"> de </w:t>
      </w:r>
      <w:r w:rsidR="008772D8" w:rsidRPr="00E1125C">
        <w:rPr>
          <w:rFonts w:eastAsia="Times New Roman"/>
        </w:rPr>
        <w:t>precios relativos</w:t>
      </w:r>
      <w:r w:rsidR="00FD5125" w:rsidRPr="00E1125C">
        <w:rPr>
          <w:rFonts w:eastAsia="Times New Roman"/>
        </w:rPr>
        <w:t xml:space="preserve"> </w:t>
      </w:r>
      <w:r w:rsidR="001810D0" w:rsidRPr="00E1125C">
        <w:rPr>
          <w:rFonts w:eastAsia="Times New Roman"/>
        </w:rPr>
        <w:t>eficiente</w:t>
      </w:r>
      <w:r w:rsidR="0087255F" w:rsidRPr="00E1125C">
        <w:rPr>
          <w:rFonts w:eastAsia="Times New Roman"/>
        </w:rPr>
        <w:t xml:space="preserve"> y, por ende,</w:t>
      </w:r>
      <w:r w:rsidR="00D65EF3" w:rsidRPr="00E1125C">
        <w:rPr>
          <w:rFonts w:eastAsia="Times New Roman"/>
        </w:rPr>
        <w:t xml:space="preserve"> la asignación</w:t>
      </w:r>
      <w:r w:rsidR="007251A1" w:rsidRPr="00E1125C">
        <w:rPr>
          <w:rFonts w:eastAsia="Times New Roman"/>
        </w:rPr>
        <w:t xml:space="preserve"> adecuada</w:t>
      </w:r>
      <w:r w:rsidR="008772D8" w:rsidRPr="00E1125C">
        <w:rPr>
          <w:rFonts w:eastAsia="Times New Roman"/>
        </w:rPr>
        <w:t xml:space="preserve"> </w:t>
      </w:r>
      <w:r w:rsidR="001107D1" w:rsidRPr="00E1125C">
        <w:rPr>
          <w:rFonts w:eastAsia="Times New Roman"/>
        </w:rPr>
        <w:t xml:space="preserve">de los recursos disponibles y de </w:t>
      </w:r>
      <w:r w:rsidR="002A69B1" w:rsidRPr="00E1125C">
        <w:rPr>
          <w:rFonts w:eastAsia="Times New Roman"/>
        </w:rPr>
        <w:t>definir</w:t>
      </w:r>
      <w:r w:rsidR="001107D1" w:rsidRPr="00E1125C">
        <w:rPr>
          <w:rFonts w:eastAsia="Times New Roman"/>
        </w:rPr>
        <w:t xml:space="preserve"> la justa remuneración de los factores de la producción (particularmente trabajo y capital</w:t>
      </w:r>
      <w:r w:rsidR="00412335" w:rsidRPr="00E1125C">
        <w:rPr>
          <w:rFonts w:eastAsia="Times New Roman"/>
        </w:rPr>
        <w:t>, como se explicó en la primera parte de este trabajo</w:t>
      </w:r>
      <w:r w:rsidR="001107D1" w:rsidRPr="00E1125C">
        <w:rPr>
          <w:rFonts w:eastAsia="Times New Roman"/>
        </w:rPr>
        <w:t>).</w:t>
      </w:r>
    </w:p>
    <w:p w14:paraId="591EC980" w14:textId="4398730A" w:rsidR="006A0AB8" w:rsidRPr="00E1125C" w:rsidRDefault="006A0AB8" w:rsidP="00687A0A">
      <w:pPr>
        <w:rPr>
          <w:rFonts w:eastAsia="Times New Roman"/>
        </w:rPr>
      </w:pPr>
      <w:r w:rsidRPr="00E1125C">
        <w:rPr>
          <w:rFonts w:eastAsia="Times New Roman"/>
        </w:rPr>
        <w:tab/>
        <w:t xml:space="preserve">Está claro que la contraargumentación a esta interpretación de los resultados es que la competencia siempre se da entre las grandes empresas, entre las medianas, </w:t>
      </w:r>
      <w:r w:rsidR="002C3AC7" w:rsidRPr="00E1125C">
        <w:rPr>
          <w:rFonts w:eastAsia="Times New Roman"/>
        </w:rPr>
        <w:t xml:space="preserve">entre las pequeñas, </w:t>
      </w:r>
      <w:r w:rsidRPr="00E1125C">
        <w:rPr>
          <w:rFonts w:eastAsia="Times New Roman"/>
        </w:rPr>
        <w:t>etc.</w:t>
      </w:r>
      <w:r w:rsidR="002C3AC7" w:rsidRPr="00E1125C">
        <w:rPr>
          <w:rFonts w:eastAsia="Times New Roman"/>
        </w:rPr>
        <w:t>;</w:t>
      </w:r>
      <w:r w:rsidRPr="00E1125C">
        <w:rPr>
          <w:rFonts w:eastAsia="Times New Roman"/>
        </w:rPr>
        <w:t xml:space="preserve"> y </w:t>
      </w:r>
      <w:r w:rsidR="002C3AC7" w:rsidRPr="00E1125C">
        <w:rPr>
          <w:rFonts w:eastAsia="Times New Roman"/>
        </w:rPr>
        <w:t>sería</w:t>
      </w:r>
      <w:r w:rsidR="00F853D4" w:rsidRPr="00E1125C">
        <w:rPr>
          <w:rFonts w:eastAsia="Times New Roman"/>
        </w:rPr>
        <w:t xml:space="preserve"> pertinente si se concibe un mercado segmentado en esas categorías</w:t>
      </w:r>
      <w:r w:rsidR="002C3AC7" w:rsidRPr="00E1125C">
        <w:rPr>
          <w:rFonts w:eastAsia="Times New Roman"/>
        </w:rPr>
        <w:t xml:space="preserve">. </w:t>
      </w:r>
      <w:r w:rsidR="00F853D4" w:rsidRPr="00E1125C">
        <w:rPr>
          <w:rFonts w:eastAsia="Times New Roman"/>
        </w:rPr>
        <w:t xml:space="preserve"> </w:t>
      </w:r>
      <w:r w:rsidR="002C3AC7" w:rsidRPr="00E1125C">
        <w:rPr>
          <w:rFonts w:eastAsia="Times New Roman"/>
        </w:rPr>
        <w:t>P</w:t>
      </w:r>
      <w:r w:rsidR="00F853D4" w:rsidRPr="00E1125C">
        <w:rPr>
          <w:rFonts w:eastAsia="Times New Roman"/>
        </w:rPr>
        <w:t>ero un mercado en el que la competencia queda segmentada en tamaños de empresas no puede garantizar</w:t>
      </w:r>
      <w:r w:rsidR="002C3AC7" w:rsidRPr="00E1125C">
        <w:rPr>
          <w:rFonts w:eastAsia="Times New Roman"/>
        </w:rPr>
        <w:t xml:space="preserve"> que </w:t>
      </w:r>
      <w:r w:rsidR="00742684" w:rsidRPr="00E1125C">
        <w:rPr>
          <w:rFonts w:eastAsia="Times New Roman"/>
        </w:rPr>
        <w:t xml:space="preserve">la totalidad de </w:t>
      </w:r>
      <w:r w:rsidR="002C3AC7" w:rsidRPr="00E1125C">
        <w:rPr>
          <w:rFonts w:eastAsia="Times New Roman"/>
        </w:rPr>
        <w:t>los recursos escasos disponibles por una sociedad sean utilizados eficaz y eficientemente, como supone el paradigma ortodoxo de la economía.  Baste pensar en que las grandes empresas siempre tendrían condiciones más favorables</w:t>
      </w:r>
      <w:r w:rsidR="00863AC0" w:rsidRPr="00E1125C">
        <w:rPr>
          <w:rFonts w:eastAsia="Times New Roman"/>
        </w:rPr>
        <w:t>, poder relativo de mercado,</w:t>
      </w:r>
      <w:r w:rsidR="002C3AC7" w:rsidRPr="00E1125C">
        <w:rPr>
          <w:rFonts w:eastAsia="Times New Roman"/>
        </w:rPr>
        <w:t xml:space="preserve"> para dominar </w:t>
      </w:r>
      <w:r w:rsidR="00742684" w:rsidRPr="00E1125C">
        <w:rPr>
          <w:rFonts w:eastAsia="Times New Roman"/>
        </w:rPr>
        <w:t>tanto en los mercados</w:t>
      </w:r>
      <w:r w:rsidR="00B91EE9" w:rsidRPr="00E1125C">
        <w:rPr>
          <w:rFonts w:eastAsia="Times New Roman"/>
        </w:rPr>
        <w:t xml:space="preserve"> nacionales e internacionales</w:t>
      </w:r>
      <w:r w:rsidR="00742684" w:rsidRPr="00E1125C">
        <w:rPr>
          <w:rFonts w:eastAsia="Times New Roman"/>
        </w:rPr>
        <w:t xml:space="preserve"> de suministros como en los mercados d</w:t>
      </w:r>
      <w:r w:rsidR="00412335" w:rsidRPr="00E1125C">
        <w:rPr>
          <w:rFonts w:eastAsia="Times New Roman"/>
        </w:rPr>
        <w:t>e</w:t>
      </w:r>
      <w:r w:rsidR="00742684" w:rsidRPr="00E1125C">
        <w:rPr>
          <w:rFonts w:eastAsia="Times New Roman"/>
        </w:rPr>
        <w:t xml:space="preserve"> productos</w:t>
      </w:r>
      <w:r w:rsidR="002C3AC7" w:rsidRPr="00E1125C">
        <w:rPr>
          <w:rFonts w:eastAsia="Times New Roman"/>
        </w:rPr>
        <w:t>, en detrimento del resto de l</w:t>
      </w:r>
      <w:r w:rsidR="00742684" w:rsidRPr="00E1125C">
        <w:rPr>
          <w:rFonts w:eastAsia="Times New Roman"/>
        </w:rPr>
        <w:t>as empresas menores</w:t>
      </w:r>
      <w:r w:rsidR="0097778E" w:rsidRPr="00E1125C">
        <w:rPr>
          <w:rFonts w:eastAsia="Times New Roman"/>
        </w:rPr>
        <w:t xml:space="preserve">, y así para abajo del escalafón.  Y tener poder de mercado significa posibilidades de fijar precios, condiciones de venta, plazos favorables, garantías de sus productos, </w:t>
      </w:r>
      <w:r w:rsidR="0096764D" w:rsidRPr="00E1125C">
        <w:rPr>
          <w:rFonts w:eastAsia="Times New Roman"/>
        </w:rPr>
        <w:t xml:space="preserve">mejores condiciones financieras, </w:t>
      </w:r>
      <w:r w:rsidR="0097778E" w:rsidRPr="00E1125C">
        <w:rPr>
          <w:rFonts w:eastAsia="Times New Roman"/>
        </w:rPr>
        <w:t>entre otras muchas variables mercadotécnicas en función de</w:t>
      </w:r>
      <w:r w:rsidR="008A0F76" w:rsidRPr="00E1125C">
        <w:rPr>
          <w:rFonts w:eastAsia="Times New Roman"/>
        </w:rPr>
        <w:t xml:space="preserve">l </w:t>
      </w:r>
      <w:r w:rsidR="005A13EA" w:rsidRPr="00E1125C">
        <w:rPr>
          <w:rFonts w:eastAsia="Times New Roman"/>
        </w:rPr>
        <w:t>interés</w:t>
      </w:r>
      <w:r w:rsidR="0097778E" w:rsidRPr="00E1125C">
        <w:rPr>
          <w:rFonts w:eastAsia="Times New Roman"/>
        </w:rPr>
        <w:t xml:space="preserve"> de</w:t>
      </w:r>
      <w:r w:rsidR="00742684" w:rsidRPr="00E1125C">
        <w:rPr>
          <w:rFonts w:eastAsia="Times New Roman"/>
        </w:rPr>
        <w:t xml:space="preserve"> maximiza</w:t>
      </w:r>
      <w:r w:rsidR="000743A4" w:rsidRPr="00E1125C">
        <w:rPr>
          <w:rFonts w:eastAsia="Times New Roman"/>
        </w:rPr>
        <w:t>r</w:t>
      </w:r>
      <w:r w:rsidR="00742684" w:rsidRPr="00E1125C">
        <w:rPr>
          <w:rFonts w:eastAsia="Times New Roman"/>
        </w:rPr>
        <w:t xml:space="preserve"> sus ganancias…, y, por tanto, en detrimento de</w:t>
      </w:r>
      <w:r w:rsidR="00B91EE9" w:rsidRPr="00E1125C">
        <w:rPr>
          <w:rFonts w:eastAsia="Times New Roman"/>
        </w:rPr>
        <w:t xml:space="preserve"> los micros, pequeños y medianos empresarios y finalmente del</w:t>
      </w:r>
      <w:r w:rsidR="00742684" w:rsidRPr="00E1125C">
        <w:rPr>
          <w:rFonts w:eastAsia="Times New Roman"/>
        </w:rPr>
        <w:t xml:space="preserve"> consumidor, que se ve</w:t>
      </w:r>
      <w:r w:rsidR="00B91EE9" w:rsidRPr="00E1125C">
        <w:rPr>
          <w:rFonts w:eastAsia="Times New Roman"/>
        </w:rPr>
        <w:t>n</w:t>
      </w:r>
      <w:r w:rsidR="00742684" w:rsidRPr="00E1125C">
        <w:rPr>
          <w:rFonts w:eastAsia="Times New Roman"/>
        </w:rPr>
        <w:t xml:space="preserve"> constreñido</w:t>
      </w:r>
      <w:r w:rsidR="00B91EE9" w:rsidRPr="00E1125C">
        <w:rPr>
          <w:rFonts w:eastAsia="Times New Roman"/>
        </w:rPr>
        <w:t>s</w:t>
      </w:r>
      <w:r w:rsidR="00742684" w:rsidRPr="00E1125C">
        <w:rPr>
          <w:rFonts w:eastAsia="Times New Roman"/>
        </w:rPr>
        <w:t xml:space="preserve"> a gastar su poder adquisitivo </w:t>
      </w:r>
      <w:r w:rsidR="00D6158E" w:rsidRPr="00E1125C">
        <w:rPr>
          <w:rFonts w:eastAsia="Times New Roman"/>
        </w:rPr>
        <w:t>en mercados dominados y determinados por el poder de las grandes empresas</w:t>
      </w:r>
      <w:r w:rsidR="00F24AAD" w:rsidRPr="00E1125C">
        <w:rPr>
          <w:rFonts w:eastAsia="Times New Roman"/>
        </w:rPr>
        <w:t xml:space="preserve"> como propusimos en la reseña presentada en la primera parte de este trabajo</w:t>
      </w:r>
      <w:r w:rsidR="00151D14" w:rsidRPr="00E1125C">
        <w:rPr>
          <w:rFonts w:eastAsia="Times New Roman"/>
        </w:rPr>
        <w:t>.</w:t>
      </w:r>
    </w:p>
    <w:p w14:paraId="77F17875" w14:textId="4C4FE9A2" w:rsidR="00005793" w:rsidRPr="00E1125C" w:rsidRDefault="00005793" w:rsidP="00687A0A">
      <w:pPr>
        <w:rPr>
          <w:rFonts w:eastAsia="Times New Roman"/>
        </w:rPr>
      </w:pPr>
      <w:r w:rsidRPr="00E1125C">
        <w:rPr>
          <w:rFonts w:eastAsia="Times New Roman"/>
        </w:rPr>
        <w:tab/>
      </w:r>
      <w:r w:rsidR="0021094A" w:rsidRPr="00E1125C">
        <w:rPr>
          <w:rFonts w:eastAsia="Times New Roman"/>
        </w:rPr>
        <w:t>U</w:t>
      </w:r>
      <w:r w:rsidRPr="00E1125C">
        <w:rPr>
          <w:rFonts w:eastAsia="Times New Roman"/>
        </w:rPr>
        <w:t>n segundo</w:t>
      </w:r>
      <w:r w:rsidR="0021094A" w:rsidRPr="00E1125C">
        <w:rPr>
          <w:rFonts w:eastAsia="Times New Roman"/>
        </w:rPr>
        <w:t xml:space="preserve"> aspecto que </w:t>
      </w:r>
      <w:r w:rsidR="005E0760" w:rsidRPr="00E1125C">
        <w:rPr>
          <w:rFonts w:eastAsia="Times New Roman"/>
        </w:rPr>
        <w:t>resulta</w:t>
      </w:r>
      <w:r w:rsidR="0021094A" w:rsidRPr="00E1125C">
        <w:rPr>
          <w:rFonts w:eastAsia="Times New Roman"/>
        </w:rPr>
        <w:t xml:space="preserve"> </w:t>
      </w:r>
      <w:r w:rsidR="00151D14" w:rsidRPr="00E1125C">
        <w:rPr>
          <w:rFonts w:eastAsia="Times New Roman"/>
        </w:rPr>
        <w:t>d</w:t>
      </w:r>
      <w:r w:rsidR="0021094A" w:rsidRPr="00E1125C">
        <w:rPr>
          <w:rFonts w:eastAsia="Times New Roman"/>
        </w:rPr>
        <w:t>el gráfico</w:t>
      </w:r>
      <w:r w:rsidRPr="00E1125C">
        <w:rPr>
          <w:rFonts w:eastAsia="Times New Roman"/>
        </w:rPr>
        <w:t xml:space="preserve"> </w:t>
      </w:r>
      <w:r w:rsidR="005E0760" w:rsidRPr="00E1125C">
        <w:rPr>
          <w:rFonts w:eastAsia="Times New Roman"/>
        </w:rPr>
        <w:t>es</w:t>
      </w:r>
      <w:r w:rsidR="0021094A" w:rsidRPr="00E1125C">
        <w:rPr>
          <w:rFonts w:eastAsia="Times New Roman"/>
        </w:rPr>
        <w:t xml:space="preserve"> la </w:t>
      </w:r>
      <w:r w:rsidR="005E0760" w:rsidRPr="00E1125C">
        <w:rPr>
          <w:rFonts w:eastAsia="Times New Roman"/>
        </w:rPr>
        <w:t>constatación</w:t>
      </w:r>
      <w:r w:rsidRPr="00E1125C">
        <w:rPr>
          <w:rFonts w:eastAsia="Times New Roman"/>
        </w:rPr>
        <w:t xml:space="preserve"> </w:t>
      </w:r>
      <w:r w:rsidR="000743A4" w:rsidRPr="00E1125C">
        <w:rPr>
          <w:rFonts w:eastAsia="Times New Roman"/>
        </w:rPr>
        <w:t xml:space="preserve">de </w:t>
      </w:r>
      <w:r w:rsidR="00361C9C" w:rsidRPr="00E1125C">
        <w:rPr>
          <w:rFonts w:eastAsia="Times New Roman"/>
        </w:rPr>
        <w:t xml:space="preserve">que las tangentes </w:t>
      </w:r>
      <w:r w:rsidR="005E0760" w:rsidRPr="00E1125C">
        <w:rPr>
          <w:rFonts w:eastAsia="Times New Roman"/>
        </w:rPr>
        <w:t>de las curvas que representan a</w:t>
      </w:r>
      <w:r w:rsidR="00361C9C" w:rsidRPr="00E1125C">
        <w:rPr>
          <w:rFonts w:eastAsia="Times New Roman"/>
        </w:rPr>
        <w:t xml:space="preserve"> los cuatro sectores son positivas, lo que implica que hay un crecimiento de la concentración de la producción</w:t>
      </w:r>
      <w:r w:rsidR="005E0760" w:rsidRPr="00E1125C">
        <w:rPr>
          <w:rFonts w:eastAsia="Times New Roman"/>
        </w:rPr>
        <w:t xml:space="preserve"> en ellos,</w:t>
      </w:r>
      <w:r w:rsidR="00361C9C" w:rsidRPr="00E1125C">
        <w:rPr>
          <w:rFonts w:eastAsia="Times New Roman"/>
        </w:rPr>
        <w:t xml:space="preserve"> en el </w:t>
      </w:r>
      <w:r w:rsidR="00361C9C" w:rsidRPr="00E1125C">
        <w:rPr>
          <w:rFonts w:eastAsia="Times New Roman"/>
        </w:rPr>
        <w:lastRenderedPageBreak/>
        <w:t>lapso que va del año 2012 al 2018</w:t>
      </w:r>
      <w:r w:rsidR="00151D14" w:rsidRPr="00E1125C">
        <w:rPr>
          <w:rFonts w:eastAsia="Times New Roman"/>
        </w:rPr>
        <w:t>, como preveía la hipótesis de</w:t>
      </w:r>
      <w:r w:rsidR="00DF705C" w:rsidRPr="00E1125C">
        <w:rPr>
          <w:rFonts w:eastAsia="Times New Roman"/>
        </w:rPr>
        <w:t xml:space="preserve">l comportamiento de la acumulación de capital explicada en los artículos </w:t>
      </w:r>
      <w:r w:rsidR="008A0F76" w:rsidRPr="00E1125C">
        <w:rPr>
          <w:rFonts w:eastAsia="Times New Roman"/>
        </w:rPr>
        <w:t>de</w:t>
      </w:r>
      <w:r w:rsidR="00DF705C" w:rsidRPr="00E1125C">
        <w:rPr>
          <w:rFonts w:eastAsia="Times New Roman"/>
        </w:rPr>
        <w:t xml:space="preserve"> marras.</w:t>
      </w:r>
    </w:p>
    <w:p w14:paraId="1B9B37A9" w14:textId="6F6F39BF" w:rsidR="005F1A86" w:rsidRPr="00E1125C" w:rsidRDefault="00361C9C" w:rsidP="005F1A86">
      <w:pPr>
        <w:ind w:firstLine="708"/>
        <w:rPr>
          <w:rFonts w:eastAsia="Times New Roman"/>
        </w:rPr>
      </w:pPr>
      <w:r w:rsidRPr="00E1125C">
        <w:rPr>
          <w:rFonts w:eastAsia="Times New Roman"/>
        </w:rPr>
        <w:t xml:space="preserve">Ciertamente, una comprobación suficiente de </w:t>
      </w:r>
      <w:r w:rsidR="004520D3" w:rsidRPr="00E1125C">
        <w:rPr>
          <w:rFonts w:eastAsia="Times New Roman"/>
        </w:rPr>
        <w:t>la hipótesis planteada debiera comprender un lapso mayor</w:t>
      </w:r>
      <w:r w:rsidR="00F0639E" w:rsidRPr="00E1125C">
        <w:rPr>
          <w:rFonts w:eastAsia="Times New Roman"/>
        </w:rPr>
        <w:t>;</w:t>
      </w:r>
      <w:r w:rsidR="004520D3" w:rsidRPr="00E1125C">
        <w:rPr>
          <w:rFonts w:eastAsia="Times New Roman"/>
        </w:rPr>
        <w:t xml:space="preserve"> lamentablemente no </w:t>
      </w:r>
      <w:r w:rsidR="00151D14" w:rsidRPr="00E1125C">
        <w:rPr>
          <w:rFonts w:eastAsia="Times New Roman"/>
        </w:rPr>
        <w:t xml:space="preserve">se </w:t>
      </w:r>
      <w:r w:rsidR="004520D3" w:rsidRPr="00E1125C">
        <w:rPr>
          <w:rFonts w:eastAsia="Times New Roman"/>
        </w:rPr>
        <w:t>disp</w:t>
      </w:r>
      <w:r w:rsidR="00151D14" w:rsidRPr="00E1125C">
        <w:rPr>
          <w:rFonts w:eastAsia="Times New Roman"/>
        </w:rPr>
        <w:t>one</w:t>
      </w:r>
      <w:r w:rsidR="004520D3" w:rsidRPr="00E1125C">
        <w:rPr>
          <w:rFonts w:eastAsia="Times New Roman"/>
        </w:rPr>
        <w:t xml:space="preserve"> de los datos para poder llevar a cabo un estudio más concluyente</w:t>
      </w:r>
      <w:r w:rsidR="00F0639E" w:rsidRPr="00E1125C">
        <w:rPr>
          <w:rFonts w:eastAsia="Times New Roman"/>
        </w:rPr>
        <w:t xml:space="preserve">. </w:t>
      </w:r>
      <w:r w:rsidR="004520D3" w:rsidRPr="00E1125C">
        <w:rPr>
          <w:rFonts w:eastAsia="Times New Roman"/>
        </w:rPr>
        <w:t xml:space="preserve"> </w:t>
      </w:r>
      <w:r w:rsidR="00F0639E" w:rsidRPr="00E1125C">
        <w:rPr>
          <w:rFonts w:eastAsia="Times New Roman"/>
        </w:rPr>
        <w:t>P</w:t>
      </w:r>
      <w:r w:rsidR="004520D3" w:rsidRPr="00E1125C">
        <w:rPr>
          <w:rFonts w:eastAsia="Times New Roman"/>
        </w:rPr>
        <w:t xml:space="preserve">ero, como ya se mencionó, estamos satisfechos porque con </w:t>
      </w:r>
      <w:r w:rsidR="00151D14" w:rsidRPr="00E1125C">
        <w:rPr>
          <w:rFonts w:eastAsia="Times New Roman"/>
        </w:rPr>
        <w:t>los datos de seis años ya es posible encontrar e</w:t>
      </w:r>
      <w:r w:rsidR="00F0639E" w:rsidRPr="00E1125C">
        <w:rPr>
          <w:rFonts w:eastAsia="Times New Roman"/>
        </w:rPr>
        <w:t xml:space="preserve">videncia importante que fortalece la presunción de la existencia de una tendencia en el tiempo </w:t>
      </w:r>
      <w:r w:rsidR="005F1A86" w:rsidRPr="00E1125C">
        <w:rPr>
          <w:rFonts w:eastAsia="Times New Roman"/>
        </w:rPr>
        <w:t>hacia la</w:t>
      </w:r>
      <w:r w:rsidR="00F0639E" w:rsidRPr="00E1125C">
        <w:rPr>
          <w:rFonts w:eastAsia="Times New Roman"/>
        </w:rPr>
        <w:t xml:space="preserve"> concentración del ingreso,</w:t>
      </w:r>
      <w:r w:rsidR="00632AA4" w:rsidRPr="00E1125C">
        <w:rPr>
          <w:rFonts w:eastAsia="Times New Roman"/>
        </w:rPr>
        <w:t xml:space="preserve"> que se reflejaría en</w:t>
      </w:r>
      <w:r w:rsidR="00F0639E" w:rsidRPr="00E1125C">
        <w:rPr>
          <w:rFonts w:eastAsia="Times New Roman"/>
        </w:rPr>
        <w:t xml:space="preserve"> la producción, el número de trabajadores contratados</w:t>
      </w:r>
      <w:r w:rsidR="005F1A86" w:rsidRPr="00E1125C">
        <w:rPr>
          <w:rFonts w:eastAsia="Times New Roman"/>
        </w:rPr>
        <w:t>,</w:t>
      </w:r>
      <w:r w:rsidR="00F0639E" w:rsidRPr="00E1125C">
        <w:rPr>
          <w:rFonts w:eastAsia="Times New Roman"/>
        </w:rPr>
        <w:t xml:space="preserve"> los salarios pagados, y las exportaciones, entre las grandes empresas, en detrimento de las demás empresas</w:t>
      </w:r>
      <w:r w:rsidR="005F1A86" w:rsidRPr="00E1125C">
        <w:rPr>
          <w:rFonts w:eastAsia="Times New Roman"/>
        </w:rPr>
        <w:t xml:space="preserve"> de menor tamaño</w:t>
      </w:r>
      <w:r w:rsidR="00F0639E" w:rsidRPr="00E1125C">
        <w:rPr>
          <w:rFonts w:eastAsia="Times New Roman"/>
        </w:rPr>
        <w:t>.</w:t>
      </w:r>
      <w:r w:rsidR="000743A4" w:rsidRPr="00E1125C">
        <w:rPr>
          <w:rFonts w:eastAsia="Times New Roman"/>
        </w:rPr>
        <w:t xml:space="preserve">  Y, desde luego, en detrimento de toda la población del país</w:t>
      </w:r>
      <w:r w:rsidR="00F24AAD" w:rsidRPr="00E1125C">
        <w:rPr>
          <w:rFonts w:eastAsia="Times New Roman"/>
        </w:rPr>
        <w:t>,</w:t>
      </w:r>
      <w:r w:rsidR="00DF705C" w:rsidRPr="00E1125C">
        <w:rPr>
          <w:rFonts w:eastAsia="Times New Roman"/>
        </w:rPr>
        <w:t xml:space="preserve"> por el uso inadecuado de los recursos disponibles y por la distribución desproporcionada y desquiciada de las remuneraciones</w:t>
      </w:r>
      <w:r w:rsidR="00F24AAD" w:rsidRPr="00E1125C">
        <w:rPr>
          <w:rFonts w:eastAsia="Times New Roman"/>
        </w:rPr>
        <w:t xml:space="preserve"> de los factores</w:t>
      </w:r>
      <w:r w:rsidR="00DF705C" w:rsidRPr="00E1125C">
        <w:rPr>
          <w:rFonts w:eastAsia="Times New Roman"/>
        </w:rPr>
        <w:t xml:space="preserve"> que</w:t>
      </w:r>
      <w:r w:rsidR="0096764D" w:rsidRPr="00E1125C">
        <w:rPr>
          <w:rFonts w:eastAsia="Times New Roman"/>
        </w:rPr>
        <w:t xml:space="preserve"> ella</w:t>
      </w:r>
      <w:r w:rsidR="00DF705C" w:rsidRPr="00E1125C">
        <w:rPr>
          <w:rFonts w:eastAsia="Times New Roman"/>
        </w:rPr>
        <w:t xml:space="preserve"> implica.</w:t>
      </w:r>
    </w:p>
    <w:p w14:paraId="4B27492E" w14:textId="54BD2BFD" w:rsidR="001E0102" w:rsidRPr="00E1125C" w:rsidRDefault="001E0102" w:rsidP="006F4FB1">
      <w:pPr>
        <w:ind w:firstLine="708"/>
        <w:rPr>
          <w:rFonts w:eastAsia="Times New Roman"/>
        </w:rPr>
      </w:pPr>
      <w:r w:rsidRPr="00E1125C">
        <w:rPr>
          <w:rFonts w:eastAsia="Times New Roman"/>
        </w:rPr>
        <w:t xml:space="preserve">De acuerdo con el paradigma ortodoxo de la economía, una situación como la que </w:t>
      </w:r>
      <w:r w:rsidR="00632AA4" w:rsidRPr="00E1125C">
        <w:rPr>
          <w:rFonts w:eastAsia="Times New Roman"/>
        </w:rPr>
        <w:t>revela estos datos</w:t>
      </w:r>
      <w:r w:rsidR="006828ED" w:rsidRPr="00E1125C">
        <w:rPr>
          <w:rFonts w:eastAsia="Times New Roman"/>
        </w:rPr>
        <w:t>,</w:t>
      </w:r>
      <w:r w:rsidR="00632AA4" w:rsidRPr="00E1125C">
        <w:rPr>
          <w:rFonts w:eastAsia="Times New Roman"/>
        </w:rPr>
        <w:t xml:space="preserve"> de la </w:t>
      </w:r>
      <w:r w:rsidRPr="00E1125C">
        <w:rPr>
          <w:rFonts w:eastAsia="Times New Roman"/>
        </w:rPr>
        <w:t xml:space="preserve">estructura productiva de Costa Rica, con mercados altamente concentrados y una estructura productiva dominada por relativamente pocas empresas, </w:t>
      </w:r>
      <w:r w:rsidR="00075F34" w:rsidRPr="00E1125C">
        <w:rPr>
          <w:rFonts w:eastAsia="Times New Roman"/>
        </w:rPr>
        <w:t>establece un equilibrio macroeconómico vicioso</w:t>
      </w:r>
      <w:r w:rsidR="006F4FB1" w:rsidRPr="00E1125C">
        <w:rPr>
          <w:rFonts w:eastAsia="Times New Roman"/>
        </w:rPr>
        <w:t>,</w:t>
      </w:r>
      <w:r w:rsidR="00075F34" w:rsidRPr="00E1125C">
        <w:rPr>
          <w:rFonts w:eastAsia="Times New Roman"/>
        </w:rPr>
        <w:t xml:space="preserve"> en el que no se ofrece lo que realmente necesita la población, no se remuneran los factores de la producción proporcionalmente a su contribución y, por consiguiente, no se utilizan los recursos disponibles de manera eficaz</w:t>
      </w:r>
      <w:r w:rsidR="006F4FB1" w:rsidRPr="00E1125C">
        <w:rPr>
          <w:rFonts w:eastAsia="Times New Roman"/>
        </w:rPr>
        <w:t>.  El sistema económico es ineficiente: podría generar más riqueza y distribuirla mejor</w:t>
      </w:r>
      <w:r w:rsidR="00EA4AA6" w:rsidRPr="00E1125C">
        <w:rPr>
          <w:rFonts w:eastAsia="Times New Roman"/>
        </w:rPr>
        <w:t xml:space="preserve"> si se pudiera reducir la concentración de capital y el dominio de los mercados por las grandes empresas</w:t>
      </w:r>
      <w:r w:rsidR="006F4FB1" w:rsidRPr="00E1125C">
        <w:rPr>
          <w:rFonts w:eastAsia="Times New Roman"/>
        </w:rPr>
        <w:t>.</w:t>
      </w:r>
    </w:p>
    <w:p w14:paraId="1F9D4E44" w14:textId="0C42FE23" w:rsidR="002F7EF6" w:rsidRPr="00E1125C" w:rsidRDefault="00345559" w:rsidP="00984D4E">
      <w:pPr>
        <w:pStyle w:val="Ttulo2"/>
        <w:rPr>
          <w:rFonts w:eastAsia="Times New Roman"/>
        </w:rPr>
      </w:pPr>
      <w:r w:rsidRPr="00E1125C">
        <w:rPr>
          <w:rFonts w:eastAsia="Times New Roman"/>
        </w:rPr>
        <w:t>6</w:t>
      </w:r>
      <w:r w:rsidR="002F7EF6" w:rsidRPr="00E1125C">
        <w:rPr>
          <w:rFonts w:eastAsia="Times New Roman"/>
        </w:rPr>
        <w:t>. Breve conclusión</w:t>
      </w:r>
    </w:p>
    <w:p w14:paraId="4F03AD02" w14:textId="02EFD4FA" w:rsidR="005F1A86" w:rsidRPr="00E1125C" w:rsidRDefault="005F1A86" w:rsidP="006F4FB1">
      <w:pPr>
        <w:ind w:firstLine="708"/>
        <w:rPr>
          <w:rFonts w:eastAsia="Times New Roman"/>
        </w:rPr>
      </w:pPr>
      <w:r w:rsidRPr="00E1125C">
        <w:rPr>
          <w:rFonts w:eastAsia="Times New Roman"/>
        </w:rPr>
        <w:t>La situación descrita con los datos empíricos en la II Parte de este trabajo da un indicio claro de que</w:t>
      </w:r>
      <w:r w:rsidR="00BA6CBE" w:rsidRPr="00E1125C">
        <w:rPr>
          <w:rFonts w:eastAsia="Times New Roman"/>
        </w:rPr>
        <w:t xml:space="preserve"> </w:t>
      </w:r>
      <w:r w:rsidR="00D05551" w:rsidRPr="00E1125C">
        <w:rPr>
          <w:rFonts w:eastAsia="Times New Roman"/>
        </w:rPr>
        <w:t xml:space="preserve">la </w:t>
      </w:r>
      <w:r w:rsidR="00BA6CBE" w:rsidRPr="00E1125C">
        <w:rPr>
          <w:rFonts w:eastAsia="Times New Roman"/>
        </w:rPr>
        <w:t xml:space="preserve">estructura productiva de Costa Rica dista mucho de presentar las condiciones </w:t>
      </w:r>
      <w:r w:rsidR="00D05551" w:rsidRPr="00E1125C">
        <w:rPr>
          <w:rFonts w:eastAsia="Times New Roman"/>
        </w:rPr>
        <w:t>que supone el buen funcionamiento del sistema capitalista de mercado.</w:t>
      </w:r>
    </w:p>
    <w:p w14:paraId="372BDF5B" w14:textId="74957606" w:rsidR="006F4FB1" w:rsidRPr="00E1125C" w:rsidRDefault="006F4FB1" w:rsidP="006F4FB1">
      <w:pPr>
        <w:ind w:firstLine="708"/>
        <w:rPr>
          <w:rFonts w:eastAsia="Times New Roman"/>
        </w:rPr>
      </w:pPr>
      <w:r w:rsidRPr="00E1125C">
        <w:rPr>
          <w:rFonts w:eastAsia="Times New Roman"/>
        </w:rPr>
        <w:t xml:space="preserve">Más aún, de acuerdo con la hipótesis </w:t>
      </w:r>
      <w:r w:rsidR="00D16379" w:rsidRPr="00E1125C">
        <w:rPr>
          <w:rFonts w:eastAsia="Times New Roman"/>
        </w:rPr>
        <w:t xml:space="preserve">propuesta, que fue validada de la forma en que se anotó arriba con los datos empíricos estudiados, la estructura económica por sí misma no puede </w:t>
      </w:r>
      <w:r w:rsidR="00425142" w:rsidRPr="00E1125C">
        <w:rPr>
          <w:rFonts w:eastAsia="Times New Roman"/>
        </w:rPr>
        <w:t>crear</w:t>
      </w:r>
      <w:r w:rsidR="00D16379" w:rsidRPr="00E1125C">
        <w:rPr>
          <w:rFonts w:eastAsia="Times New Roman"/>
        </w:rPr>
        <w:t xml:space="preserve"> las condiciones económicas que conduzcan a </w:t>
      </w:r>
      <w:r w:rsidR="00425142" w:rsidRPr="00E1125C">
        <w:rPr>
          <w:rFonts w:eastAsia="Times New Roman"/>
        </w:rPr>
        <w:t>generar un equilibrio macroeconómico más armónico.</w:t>
      </w:r>
      <w:r w:rsidR="0034247F" w:rsidRPr="00E1125C">
        <w:rPr>
          <w:rStyle w:val="Refdenotaalpie"/>
          <w:rFonts w:eastAsia="Times New Roman"/>
        </w:rPr>
        <w:footnoteReference w:id="12"/>
      </w:r>
      <w:r w:rsidR="00425142" w:rsidRPr="00E1125C">
        <w:rPr>
          <w:rFonts w:eastAsia="Times New Roman"/>
        </w:rPr>
        <w:t xml:space="preserve">  Todo lo contrario, la tendencia es a crear condiciones que </w:t>
      </w:r>
      <w:r w:rsidR="00CF68AA" w:rsidRPr="00E1125C">
        <w:rPr>
          <w:rFonts w:eastAsia="Times New Roman"/>
        </w:rPr>
        <w:t>llevan</w:t>
      </w:r>
      <w:r w:rsidR="00425142" w:rsidRPr="00E1125C">
        <w:rPr>
          <w:rFonts w:eastAsia="Times New Roman"/>
        </w:rPr>
        <w:t xml:space="preserve"> a empeorar la ineficacia y la ineficiencia del sistema económico</w:t>
      </w:r>
      <w:r w:rsidR="004C054C" w:rsidRPr="00E1125C">
        <w:rPr>
          <w:rFonts w:eastAsia="Times New Roman"/>
        </w:rPr>
        <w:t>, con sus efectos en las otras dimensiones sociales, tales como las relaciones políticas, la cohesión social, la gobernabilidad, el reconocimiento y respeto a la institucionalidad, etc.</w:t>
      </w:r>
      <w:r w:rsidR="00EA4AA6" w:rsidRPr="00E1125C">
        <w:rPr>
          <w:rFonts w:eastAsia="Times New Roman"/>
        </w:rPr>
        <w:t>, a parte, desde luego, de la debida repartición de la riqueza generada</w:t>
      </w:r>
      <w:r w:rsidR="00815BD8" w:rsidRPr="00E1125C">
        <w:rPr>
          <w:rFonts w:eastAsia="Times New Roman"/>
        </w:rPr>
        <w:t xml:space="preserve"> y </w:t>
      </w:r>
      <w:r w:rsidR="00735891" w:rsidRPr="00E1125C">
        <w:rPr>
          <w:rFonts w:eastAsia="Times New Roman"/>
        </w:rPr>
        <w:t>los objetivos</w:t>
      </w:r>
      <w:r w:rsidR="004E4284" w:rsidRPr="00E1125C">
        <w:rPr>
          <w:rFonts w:eastAsia="Times New Roman"/>
        </w:rPr>
        <w:t>,</w:t>
      </w:r>
      <w:r w:rsidR="00735891" w:rsidRPr="00E1125C">
        <w:rPr>
          <w:rFonts w:eastAsia="Times New Roman"/>
        </w:rPr>
        <w:t xml:space="preserve"> ya</w:t>
      </w:r>
      <w:r w:rsidR="004E4284" w:rsidRPr="00E1125C">
        <w:rPr>
          <w:rFonts w:eastAsia="Times New Roman"/>
        </w:rPr>
        <w:t xml:space="preserve"> </w:t>
      </w:r>
      <w:r w:rsidR="00735891" w:rsidRPr="00E1125C">
        <w:rPr>
          <w:rFonts w:eastAsia="Times New Roman"/>
        </w:rPr>
        <w:t>popularizados</w:t>
      </w:r>
      <w:r w:rsidR="004E4284" w:rsidRPr="00E1125C">
        <w:rPr>
          <w:rFonts w:eastAsia="Times New Roman"/>
        </w:rPr>
        <w:t>, de</w:t>
      </w:r>
      <w:r w:rsidR="00A72986" w:rsidRPr="00E1125C">
        <w:rPr>
          <w:rFonts w:eastAsia="Times New Roman"/>
        </w:rPr>
        <w:t>l equilibrio medio ambiental.</w:t>
      </w:r>
      <w:r w:rsidR="004E4284" w:rsidRPr="00E1125C">
        <w:rPr>
          <w:rFonts w:eastAsia="Times New Roman"/>
        </w:rPr>
        <w:t xml:space="preserve"> </w:t>
      </w:r>
      <w:r w:rsidR="00735891" w:rsidRPr="00E1125C">
        <w:rPr>
          <w:rFonts w:eastAsia="Times New Roman"/>
        </w:rPr>
        <w:t xml:space="preserve"> </w:t>
      </w:r>
    </w:p>
    <w:p w14:paraId="6AB279FF" w14:textId="47C60754" w:rsidR="005B1BDD" w:rsidRPr="00E1125C" w:rsidRDefault="002F7EF6" w:rsidP="006F4FB1">
      <w:pPr>
        <w:ind w:firstLine="708"/>
        <w:rPr>
          <w:rFonts w:eastAsia="Times New Roman"/>
        </w:rPr>
      </w:pPr>
      <w:r w:rsidRPr="00E1125C">
        <w:rPr>
          <w:rFonts w:eastAsia="Times New Roman"/>
        </w:rPr>
        <w:t xml:space="preserve">La </w:t>
      </w:r>
      <w:r w:rsidRPr="00E1125C">
        <w:rPr>
          <w:rFonts w:eastAsia="Times New Roman"/>
          <w:i/>
          <w:iCs/>
        </w:rPr>
        <w:t>regulación</w:t>
      </w:r>
      <w:r w:rsidRPr="00E1125C">
        <w:rPr>
          <w:rFonts w:eastAsia="Times New Roman"/>
        </w:rPr>
        <w:t xml:space="preserve"> de la racionalidad capitalista (la racionalidad orientada por la acumulación de capital) </w:t>
      </w:r>
      <w:r w:rsidR="006828ED" w:rsidRPr="00E1125C">
        <w:rPr>
          <w:rFonts w:eastAsia="Times New Roman"/>
        </w:rPr>
        <w:t xml:space="preserve">se nos presenta, </w:t>
      </w:r>
      <w:r w:rsidRPr="00E1125C">
        <w:rPr>
          <w:rFonts w:eastAsia="Times New Roman"/>
        </w:rPr>
        <w:t>así</w:t>
      </w:r>
      <w:r w:rsidR="00A62805" w:rsidRPr="00E1125C">
        <w:rPr>
          <w:rFonts w:eastAsia="Times New Roman"/>
        </w:rPr>
        <w:t xml:space="preserve">, </w:t>
      </w:r>
      <w:r w:rsidRPr="00E1125C">
        <w:rPr>
          <w:rFonts w:eastAsia="Times New Roman"/>
        </w:rPr>
        <w:t xml:space="preserve">como una necesidad civilizatoria.  No </w:t>
      </w:r>
      <w:r w:rsidRPr="00E1125C">
        <w:rPr>
          <w:rFonts w:eastAsia="Times New Roman"/>
        </w:rPr>
        <w:lastRenderedPageBreak/>
        <w:t>vamos a extendernos desarrollando este tema; la naturaleza de este documento no lo permite.  Señalaremos, para orientar su discusión, que hasta este momento han aparecido</w:t>
      </w:r>
      <w:r w:rsidR="001C1C5F" w:rsidRPr="00E1125C">
        <w:rPr>
          <w:rFonts w:eastAsia="Times New Roman"/>
        </w:rPr>
        <w:t xml:space="preserve"> históricamente,</w:t>
      </w:r>
      <w:r w:rsidRPr="00E1125C">
        <w:rPr>
          <w:rFonts w:eastAsia="Times New Roman"/>
        </w:rPr>
        <w:t xml:space="preserve"> dos formas generales para regular la racionalidad capitalista:  En primer lugar</w:t>
      </w:r>
      <w:r w:rsidR="00A62805" w:rsidRPr="00E1125C">
        <w:rPr>
          <w:rFonts w:eastAsia="Times New Roman"/>
        </w:rPr>
        <w:t>,</w:t>
      </w:r>
      <w:r w:rsidRPr="00E1125C">
        <w:rPr>
          <w:rFonts w:eastAsia="Times New Roman"/>
        </w:rPr>
        <w:t xml:space="preserve"> el intento de regularla desde el estado, con la versión más radical que pretendió substituirla con la planificación de orientación político-técnica (en este modelo se encuentran experiencias con distintos grados de determinación política y técnica)</w:t>
      </w:r>
      <w:r w:rsidR="00C1387D" w:rsidRPr="00E1125C">
        <w:rPr>
          <w:rFonts w:eastAsia="Times New Roman"/>
        </w:rPr>
        <w:t>.  Y</w:t>
      </w:r>
      <w:r w:rsidR="00A62805" w:rsidRPr="00E1125C">
        <w:rPr>
          <w:rFonts w:eastAsia="Times New Roman"/>
        </w:rPr>
        <w:t>,</w:t>
      </w:r>
      <w:r w:rsidR="00C1387D" w:rsidRPr="00E1125C">
        <w:rPr>
          <w:rFonts w:eastAsia="Times New Roman"/>
        </w:rPr>
        <w:t xml:space="preserve"> en segundo lugar, las</w:t>
      </w:r>
      <w:r w:rsidRPr="00E1125C">
        <w:rPr>
          <w:rFonts w:eastAsia="Times New Roman"/>
        </w:rPr>
        <w:t xml:space="preserve"> más reformistas, tales como la conocida “planificación indicativa” con la que el estado establece condiciones e incentivos de retornos de capital particulares que la corrigen</w:t>
      </w:r>
      <w:r w:rsidR="006828ED" w:rsidRPr="00E1125C">
        <w:rPr>
          <w:rFonts w:eastAsia="Times New Roman"/>
        </w:rPr>
        <w:t xml:space="preserve"> o dirigen</w:t>
      </w:r>
      <w:r w:rsidRPr="00E1125C">
        <w:rPr>
          <w:rFonts w:eastAsia="Times New Roman"/>
        </w:rPr>
        <w:t xml:space="preserve">, </w:t>
      </w:r>
      <w:r w:rsidR="00393384" w:rsidRPr="00E1125C">
        <w:rPr>
          <w:rFonts w:eastAsia="Times New Roman"/>
        </w:rPr>
        <w:t>y</w:t>
      </w:r>
      <w:r w:rsidRPr="00E1125C">
        <w:rPr>
          <w:rFonts w:eastAsia="Times New Roman"/>
        </w:rPr>
        <w:t xml:space="preserve"> la “asistencialista”, que busca corregir los desequilibrios en la distribución del ingreso social</w:t>
      </w:r>
      <w:r w:rsidR="001C1C5F" w:rsidRPr="00E1125C">
        <w:rPr>
          <w:rFonts w:eastAsia="Times New Roman"/>
        </w:rPr>
        <w:t>,</w:t>
      </w:r>
      <w:r w:rsidRPr="00E1125C">
        <w:rPr>
          <w:rFonts w:eastAsia="Times New Roman"/>
        </w:rPr>
        <w:t xml:space="preserve"> con gasto público</w:t>
      </w:r>
      <w:r w:rsidR="006828ED" w:rsidRPr="00E1125C">
        <w:rPr>
          <w:rFonts w:eastAsia="Times New Roman"/>
        </w:rPr>
        <w:t>, asistiendo a los sectores sociales desfavorecidos</w:t>
      </w:r>
      <w:r w:rsidRPr="00E1125C">
        <w:rPr>
          <w:rFonts w:eastAsia="Times New Roman"/>
        </w:rPr>
        <w:t xml:space="preserve">.  De más está decir —a estas alturas de la historia— que ambas modalidades, </w:t>
      </w:r>
      <w:r w:rsidR="000D5486" w:rsidRPr="00E1125C">
        <w:rPr>
          <w:rFonts w:eastAsia="Times New Roman"/>
        </w:rPr>
        <w:t xml:space="preserve">la </w:t>
      </w:r>
      <w:r w:rsidR="00A62805" w:rsidRPr="00E1125C">
        <w:rPr>
          <w:rFonts w:eastAsia="Times New Roman"/>
        </w:rPr>
        <w:t xml:space="preserve">político-técnica, como las reformistas, </w:t>
      </w:r>
      <w:r w:rsidRPr="00E1125C">
        <w:rPr>
          <w:rFonts w:eastAsia="Times New Roman"/>
        </w:rPr>
        <w:t>con sus distintas composiciones de factores, no lograron el objetivo de alcanzar el equilibrio económico que sus sociedades demandaban.</w:t>
      </w:r>
      <w:r w:rsidR="00FB7FE5" w:rsidRPr="00E1125C">
        <w:rPr>
          <w:rStyle w:val="Refdenotaalpie"/>
          <w:rFonts w:eastAsia="Times New Roman"/>
        </w:rPr>
        <w:footnoteReference w:id="13"/>
      </w:r>
      <w:r w:rsidR="0096764D" w:rsidRPr="00E1125C">
        <w:rPr>
          <w:rFonts w:eastAsia="Times New Roman"/>
        </w:rPr>
        <w:t xml:space="preserve"> </w:t>
      </w:r>
    </w:p>
    <w:p w14:paraId="09A91BFA" w14:textId="47497331" w:rsidR="002F7EF6" w:rsidRPr="00E1125C" w:rsidRDefault="00C1387D" w:rsidP="006F4FB1">
      <w:pPr>
        <w:ind w:firstLine="708"/>
        <w:rPr>
          <w:rFonts w:eastAsia="Times New Roman"/>
        </w:rPr>
      </w:pPr>
      <w:r w:rsidRPr="00E1125C">
        <w:rPr>
          <w:rFonts w:eastAsia="Times New Roman"/>
        </w:rPr>
        <w:t xml:space="preserve">Mas </w:t>
      </w:r>
      <w:r w:rsidR="002F7EF6" w:rsidRPr="00E1125C">
        <w:rPr>
          <w:rFonts w:eastAsia="Times New Roman"/>
        </w:rPr>
        <w:t xml:space="preserve">los desarrollos tecnológicos de los últimos años están creando capacidades colectivas de comunicación e interacción que debidamente organizadas permiten generar condiciones de oferta y demanda soberanas, de necesidades de consumo e iniciativas e inventivas de producción independientes de la capacidad de acumulación de capital y de las remuneraciones por ella </w:t>
      </w:r>
      <w:r w:rsidR="00393384" w:rsidRPr="00E1125C">
        <w:rPr>
          <w:rFonts w:eastAsia="Times New Roman"/>
        </w:rPr>
        <w:t>determinadas</w:t>
      </w:r>
      <w:r w:rsidR="002F7EF6" w:rsidRPr="00E1125C">
        <w:rPr>
          <w:rFonts w:eastAsia="Times New Roman"/>
        </w:rPr>
        <w:t xml:space="preserve"> entre sus gestores.  Abriendo así la posibilidad del nacimiento de una nueva racionalidad emancipada de las urgencias de la acumulación de capital.  En este momento, el genio, la sagacidad, el talento colectivo tienen </w:t>
      </w:r>
      <w:r w:rsidR="00393384" w:rsidRPr="00E1125C">
        <w:rPr>
          <w:rFonts w:eastAsia="Times New Roman"/>
        </w:rPr>
        <w:t>acceso a</w:t>
      </w:r>
      <w:r w:rsidR="002F7EF6" w:rsidRPr="00E1125C">
        <w:rPr>
          <w:rFonts w:eastAsia="Times New Roman"/>
        </w:rPr>
        <w:t xml:space="preserve"> nuevas capacidades y opciones</w:t>
      </w:r>
      <w:r w:rsidR="001C1C5F" w:rsidRPr="00E1125C">
        <w:rPr>
          <w:rFonts w:eastAsia="Times New Roman"/>
        </w:rPr>
        <w:t xml:space="preserve"> inéditas</w:t>
      </w:r>
      <w:r w:rsidR="002F7EF6" w:rsidRPr="00E1125C">
        <w:rPr>
          <w:rFonts w:eastAsia="Times New Roman"/>
        </w:rPr>
        <w:t xml:space="preserve"> para organizar la producción colectiva</w:t>
      </w:r>
      <w:r w:rsidR="007D5EAE" w:rsidRPr="00E1125C">
        <w:rPr>
          <w:rFonts w:eastAsia="Times New Roman"/>
        </w:rPr>
        <w:t xml:space="preserve"> regentada por</w:t>
      </w:r>
      <w:r w:rsidR="001C1C5F" w:rsidRPr="00E1125C">
        <w:rPr>
          <w:rFonts w:eastAsia="Times New Roman"/>
        </w:rPr>
        <w:t xml:space="preserve"> </w:t>
      </w:r>
      <w:r w:rsidR="007D5EAE" w:rsidRPr="00E1125C">
        <w:rPr>
          <w:rFonts w:eastAsia="Times New Roman"/>
        </w:rPr>
        <w:t xml:space="preserve">una racionalidad acorde con las demandas y necesidades </w:t>
      </w:r>
      <w:r w:rsidRPr="00E1125C">
        <w:rPr>
          <w:rFonts w:eastAsia="Times New Roman"/>
        </w:rPr>
        <w:t xml:space="preserve">que formulan los nuevos retos </w:t>
      </w:r>
      <w:r w:rsidR="00CB16C7" w:rsidRPr="00E1125C">
        <w:rPr>
          <w:rFonts w:eastAsia="Times New Roman"/>
        </w:rPr>
        <w:t>que enfrenta la humanidad y el proceso civilizatorio</w:t>
      </w:r>
      <w:r w:rsidR="002F7EF6" w:rsidRPr="00E1125C">
        <w:rPr>
          <w:rFonts w:eastAsia="Times New Roman"/>
        </w:rPr>
        <w:t>.</w:t>
      </w:r>
    </w:p>
    <w:p w14:paraId="37A2EBBD" w14:textId="36A6D5CD" w:rsidR="002F7EF6" w:rsidRPr="00E1125C" w:rsidRDefault="002F7EF6" w:rsidP="008E64C0">
      <w:pPr>
        <w:ind w:firstLine="708"/>
        <w:rPr>
          <w:rFonts w:eastAsia="Times New Roman"/>
        </w:rPr>
      </w:pPr>
      <w:r w:rsidRPr="00E1125C">
        <w:rPr>
          <w:rFonts w:eastAsia="Times New Roman"/>
        </w:rPr>
        <w:t>Así explicada la organización productiva que viven las sociedades contemporáneas, la lectora y el lector podrán imaginar las múltiples combinaciones que se abren, con distintos grados de composición de</w:t>
      </w:r>
      <w:r w:rsidR="007D5EAE" w:rsidRPr="00E1125C">
        <w:rPr>
          <w:rFonts w:eastAsia="Times New Roman"/>
        </w:rPr>
        <w:t xml:space="preserve"> los</w:t>
      </w:r>
      <w:r w:rsidRPr="00E1125C">
        <w:rPr>
          <w:rFonts w:eastAsia="Times New Roman"/>
        </w:rPr>
        <w:t xml:space="preserve"> factores, que estas </w:t>
      </w:r>
      <w:r w:rsidR="00CB16C7" w:rsidRPr="00E1125C">
        <w:rPr>
          <w:rFonts w:eastAsia="Times New Roman"/>
        </w:rPr>
        <w:t>nuevas condiciones</w:t>
      </w:r>
      <w:r w:rsidRPr="00E1125C">
        <w:rPr>
          <w:rFonts w:eastAsia="Times New Roman"/>
        </w:rPr>
        <w:t xml:space="preserve"> generales de regulación</w:t>
      </w:r>
      <w:r w:rsidR="00CB16C7" w:rsidRPr="00E1125C">
        <w:rPr>
          <w:rFonts w:eastAsia="Times New Roman"/>
        </w:rPr>
        <w:t xml:space="preserve"> y sustitución</w:t>
      </w:r>
      <w:r w:rsidRPr="00E1125C">
        <w:rPr>
          <w:rFonts w:eastAsia="Times New Roman"/>
        </w:rPr>
        <w:t xml:space="preserve"> de la acumulación de capital abren para nuestras sociedades.</w:t>
      </w:r>
    </w:p>
    <w:p w14:paraId="527BE122" w14:textId="46FF45B2" w:rsidR="002F7EF6" w:rsidRPr="00E1125C" w:rsidRDefault="00000000" w:rsidP="003A4963">
      <w:pPr>
        <w:rPr>
          <w:rFonts w:ascii="Times New Roman" w:eastAsia="Times New Roman" w:hAnsi="Times New Roman" w:cs="Times New Roman"/>
          <w:szCs w:val="24"/>
        </w:rPr>
      </w:pPr>
      <w:r>
        <w:rPr>
          <w:rFonts w:ascii="Times New Roman" w:eastAsia="Times New Roman" w:hAnsi="Times New Roman" w:cs="Times New Roman"/>
          <w:noProof/>
          <w:szCs w:val="24"/>
        </w:rPr>
        <w:pict w14:anchorId="76DC413E">
          <v:rect id="_x0000_i1025" style="width:0;height:1.5pt" o:hralign="center" o:hrstd="t" o:hr="t" fillcolor="#a0a0a0" stroked="f"/>
        </w:pict>
      </w:r>
    </w:p>
    <w:p w14:paraId="60444717" w14:textId="36682355" w:rsidR="00D50CE7" w:rsidRPr="00E1125C" w:rsidRDefault="00D50CE7" w:rsidP="00D50CE7"/>
    <w:p w14:paraId="542055E2" w14:textId="778BAF6A" w:rsidR="00D50CE7" w:rsidRPr="00E1125C" w:rsidRDefault="00D50CE7" w:rsidP="00D50CE7"/>
    <w:p w14:paraId="44D5806D" w14:textId="6F824096" w:rsidR="00D50CE7" w:rsidRPr="00E1125C" w:rsidRDefault="00D50CE7" w:rsidP="00D50CE7"/>
    <w:p w14:paraId="6EB0FA70" w14:textId="168481F1" w:rsidR="00FA0563" w:rsidRPr="00E1125C" w:rsidRDefault="00FA0563" w:rsidP="00D50CE7"/>
    <w:p w14:paraId="4B08C061" w14:textId="79F3A653" w:rsidR="00DD05C6" w:rsidRPr="00E1125C" w:rsidRDefault="00345559" w:rsidP="00945889">
      <w:pPr>
        <w:pStyle w:val="Ttulo2"/>
      </w:pPr>
      <w:r w:rsidRPr="00E1125C">
        <w:lastRenderedPageBreak/>
        <w:t xml:space="preserve">7. </w:t>
      </w:r>
      <w:r w:rsidR="00FA0563" w:rsidRPr="00E1125C">
        <w:t>Apéndice</w:t>
      </w:r>
    </w:p>
    <w:p w14:paraId="5721E8F1" w14:textId="3EFF1010" w:rsidR="00FA0563" w:rsidRPr="00E1125C" w:rsidRDefault="00DD05C6" w:rsidP="00DD05C6">
      <w:pPr>
        <w:jc w:val="center"/>
        <w:rPr>
          <w:sz w:val="28"/>
          <w:szCs w:val="28"/>
        </w:rPr>
      </w:pPr>
      <w:r w:rsidRPr="00E1125C">
        <w:rPr>
          <w:sz w:val="28"/>
          <w:szCs w:val="28"/>
        </w:rPr>
        <w:t>Metodología aplicada para determinar el tamaño de las unidades jurídicas</w:t>
      </w:r>
    </w:p>
    <w:p w14:paraId="6CFEC0BF" w14:textId="6EFA5514" w:rsidR="00FA0563" w:rsidRPr="00E1125C" w:rsidRDefault="00FA0563" w:rsidP="00D50CE7">
      <w:r w:rsidRPr="00E1125C">
        <w:tab/>
        <w:t>La ley orgánica del ministerio de Industria, Economía y Comercio</w:t>
      </w:r>
      <w:r w:rsidR="009E369A" w:rsidRPr="00E1125C">
        <w:t xml:space="preserve"> (MEIC) y la ley de Fortalecimiento de las pequeñas y medianas empresas (No.8262) establece que el MEIC es el ente rector en la definición de las variables y los rangos que determinan la clasificación de las empresas según tamaño.</w:t>
      </w:r>
    </w:p>
    <w:p w14:paraId="6463784E" w14:textId="1B4F8C59" w:rsidR="009E369A" w:rsidRPr="00E1125C" w:rsidRDefault="009E369A" w:rsidP="00D50CE7">
      <w:r w:rsidRPr="00E1125C">
        <w:tab/>
        <w:t>Por esta razón el Banco Central de Costa Rica opta como criterio medular la metodología del MEIC que se detalla inmediatamente:</w:t>
      </w:r>
    </w:p>
    <w:p w14:paraId="239C13FC" w14:textId="7370FC5E" w:rsidR="009E369A" w:rsidRPr="00E1125C" w:rsidRDefault="009E369A" w:rsidP="00D50CE7">
      <w:r w:rsidRPr="00E1125C">
        <w:tab/>
        <w:t>Fórmula:</w:t>
      </w:r>
    </w:p>
    <w:p w14:paraId="44FB23EB" w14:textId="416F8C95" w:rsidR="0069631D" w:rsidRPr="00E1125C" w:rsidRDefault="0069631D" w:rsidP="00D50CE7">
      <w:r w:rsidRPr="00E1125C">
        <w:rPr>
          <w:noProof/>
        </w:rPr>
        <w:drawing>
          <wp:inline distT="0" distB="0" distL="0" distR="0" wp14:anchorId="7901AAF6" wp14:editId="7FB449B5">
            <wp:extent cx="3800475" cy="1102883"/>
            <wp:effectExtent l="0" t="0" r="0" b="254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5413" cy="1107218"/>
                    </a:xfrm>
                    <a:prstGeom prst="rect">
                      <a:avLst/>
                    </a:prstGeom>
                    <a:noFill/>
                    <a:ln>
                      <a:noFill/>
                    </a:ln>
                  </pic:spPr>
                </pic:pic>
              </a:graphicData>
            </a:graphic>
          </wp:inline>
        </w:drawing>
      </w:r>
    </w:p>
    <w:p w14:paraId="6F7111AF" w14:textId="7E44C6C6" w:rsidR="0069631D" w:rsidRPr="00E1125C" w:rsidRDefault="0069631D" w:rsidP="00D50CE7">
      <w:r w:rsidRPr="00E1125C">
        <w:t>Donde:</w:t>
      </w:r>
    </w:p>
    <w:p w14:paraId="2F8A8EAB" w14:textId="382DEC58" w:rsidR="0069631D" w:rsidRPr="00E1125C" w:rsidRDefault="0069631D" w:rsidP="00D50CE7">
      <w:r w:rsidRPr="00E1125C">
        <w:rPr>
          <w:b/>
          <w:bCs/>
          <w:i/>
          <w:iCs/>
        </w:rPr>
        <w:t>P</w:t>
      </w:r>
      <w:r w:rsidRPr="00E1125C">
        <w:t>: Porcentaje obtenido por la empresa,</w:t>
      </w:r>
    </w:p>
    <w:p w14:paraId="54D0ABCF" w14:textId="5E00DE5A" w:rsidR="0069631D" w:rsidRPr="00E1125C" w:rsidRDefault="0069631D" w:rsidP="00D50CE7">
      <w:proofErr w:type="spellStart"/>
      <w:r w:rsidRPr="00E1125C">
        <w:rPr>
          <w:b/>
          <w:bCs/>
          <w:i/>
          <w:iCs/>
        </w:rPr>
        <w:t>Fpe</w:t>
      </w:r>
      <w:proofErr w:type="spellEnd"/>
      <w:r w:rsidRPr="00E1125C">
        <w:t>: Factor al número de</w:t>
      </w:r>
      <w:r w:rsidR="00CA5739" w:rsidRPr="00E1125C">
        <w:t xml:space="preserve"> trabajadores</w:t>
      </w:r>
      <w:r w:rsidRPr="00E1125C">
        <w:t xml:space="preserve"> empleados</w:t>
      </w:r>
      <w:r w:rsidR="00CA5739" w:rsidRPr="00E1125C">
        <w:t>,</w:t>
      </w:r>
    </w:p>
    <w:p w14:paraId="625F073F" w14:textId="5B615542" w:rsidR="00CA5739" w:rsidRPr="00E1125C" w:rsidRDefault="00CA5739" w:rsidP="00D50CE7">
      <w:r w:rsidRPr="00E1125C">
        <w:rPr>
          <w:b/>
          <w:bCs/>
          <w:i/>
          <w:iCs/>
        </w:rPr>
        <w:t>pe</w:t>
      </w:r>
      <w:r w:rsidRPr="00E1125C">
        <w:t>: Trabajadores promedio empleados por la empresa en el último período fiscal,</w:t>
      </w:r>
    </w:p>
    <w:p w14:paraId="212CC59F" w14:textId="73D7EC70" w:rsidR="00CA5739" w:rsidRPr="00E1125C" w:rsidRDefault="00CA5739" w:rsidP="00D50CE7">
      <w:proofErr w:type="spellStart"/>
      <w:r w:rsidRPr="00E1125C">
        <w:rPr>
          <w:b/>
          <w:bCs/>
          <w:i/>
          <w:iCs/>
        </w:rPr>
        <w:t>Dpe</w:t>
      </w:r>
      <w:proofErr w:type="spellEnd"/>
      <w:r w:rsidRPr="00E1125C">
        <w:t>: Parámetro del número de trabajadores del sector respectivo,</w:t>
      </w:r>
    </w:p>
    <w:p w14:paraId="3D966CB0" w14:textId="1469D0BD" w:rsidR="00CA5739" w:rsidRPr="00E1125C" w:rsidRDefault="00CA5739" w:rsidP="00D50CE7">
      <w:proofErr w:type="spellStart"/>
      <w:r w:rsidRPr="00E1125C">
        <w:rPr>
          <w:b/>
          <w:bCs/>
          <w:i/>
          <w:iCs/>
        </w:rPr>
        <w:t>impf</w:t>
      </w:r>
      <w:proofErr w:type="spellEnd"/>
      <w:r w:rsidRPr="00E1125C">
        <w:t xml:space="preserve">: </w:t>
      </w:r>
      <w:r w:rsidR="004668C9" w:rsidRPr="00E1125C">
        <w:t>Valor de los ingresos anuales netos en el último período fiscal,</w:t>
      </w:r>
    </w:p>
    <w:p w14:paraId="42678D04" w14:textId="2382D9D9" w:rsidR="004668C9" w:rsidRPr="00E1125C" w:rsidRDefault="004668C9" w:rsidP="00D50CE7">
      <w:proofErr w:type="spellStart"/>
      <w:r w:rsidRPr="00E1125C">
        <w:rPr>
          <w:b/>
          <w:bCs/>
          <w:i/>
          <w:iCs/>
        </w:rPr>
        <w:t>Dimpf</w:t>
      </w:r>
      <w:proofErr w:type="spellEnd"/>
      <w:r w:rsidRPr="00E1125C">
        <w:t>: Parámetro monetario d</w:t>
      </w:r>
      <w:r w:rsidR="00375B23" w:rsidRPr="00E1125C">
        <w:t xml:space="preserve">e </w:t>
      </w:r>
      <w:r w:rsidRPr="00E1125C">
        <w:t>referencia para los ingresos netos del sector respectivo,</w:t>
      </w:r>
    </w:p>
    <w:p w14:paraId="02415BD4" w14:textId="1E60E51A" w:rsidR="004668C9" w:rsidRPr="00E1125C" w:rsidRDefault="004668C9" w:rsidP="00D50CE7">
      <w:r w:rsidRPr="00E1125C">
        <w:rPr>
          <w:b/>
          <w:bCs/>
          <w:i/>
          <w:iCs/>
        </w:rPr>
        <w:t>Fan</w:t>
      </w:r>
      <w:r w:rsidRPr="00E1125C">
        <w:t>: Factor de activo neto,</w:t>
      </w:r>
    </w:p>
    <w:p w14:paraId="0641DDB5" w14:textId="791C629D" w:rsidR="004668C9" w:rsidRPr="00E1125C" w:rsidRDefault="004668C9" w:rsidP="00D50CE7">
      <w:pPr>
        <w:rPr>
          <w:sz w:val="20"/>
          <w:szCs w:val="20"/>
        </w:rPr>
      </w:pPr>
      <w:r w:rsidRPr="00E1125C">
        <w:tab/>
      </w:r>
      <w:r w:rsidR="00375B23" w:rsidRPr="00E1125C">
        <w:rPr>
          <w:sz w:val="20"/>
          <w:szCs w:val="20"/>
        </w:rPr>
        <w:t>-</w:t>
      </w:r>
      <w:r w:rsidRPr="00E1125C">
        <w:rPr>
          <w:sz w:val="20"/>
          <w:szCs w:val="20"/>
        </w:rPr>
        <w:t xml:space="preserve">Para el sector industrial corresponde al activo fijo neto del último </w:t>
      </w:r>
      <w:r w:rsidR="00375B23" w:rsidRPr="00E1125C">
        <w:rPr>
          <w:sz w:val="20"/>
          <w:szCs w:val="20"/>
        </w:rPr>
        <w:t>período</w:t>
      </w:r>
      <w:r w:rsidRPr="00E1125C">
        <w:rPr>
          <w:sz w:val="20"/>
          <w:szCs w:val="20"/>
        </w:rPr>
        <w:t xml:space="preserve"> fiscal</w:t>
      </w:r>
      <w:r w:rsidR="00375B23" w:rsidRPr="00E1125C">
        <w:rPr>
          <w:sz w:val="20"/>
          <w:szCs w:val="20"/>
        </w:rPr>
        <w:t xml:space="preserve"> (</w:t>
      </w:r>
      <w:proofErr w:type="spellStart"/>
      <w:r w:rsidR="00375B23" w:rsidRPr="00E1125C">
        <w:rPr>
          <w:sz w:val="20"/>
          <w:szCs w:val="20"/>
        </w:rPr>
        <w:t>afn</w:t>
      </w:r>
      <w:proofErr w:type="spellEnd"/>
      <w:r w:rsidR="00375B23" w:rsidRPr="00E1125C">
        <w:rPr>
          <w:sz w:val="20"/>
          <w:szCs w:val="20"/>
        </w:rPr>
        <w:t>),</w:t>
      </w:r>
    </w:p>
    <w:p w14:paraId="0C54DAE9" w14:textId="73F3B2DF" w:rsidR="00375B23" w:rsidRPr="00E1125C" w:rsidRDefault="00375B23" w:rsidP="00412936">
      <w:pPr>
        <w:ind w:left="708"/>
        <w:rPr>
          <w:sz w:val="20"/>
          <w:szCs w:val="20"/>
        </w:rPr>
      </w:pPr>
      <w:r w:rsidRPr="00E1125C">
        <w:rPr>
          <w:sz w:val="20"/>
          <w:szCs w:val="20"/>
        </w:rPr>
        <w:t>-Para los otros sectores (comercio, servicios y tecnología de la información) corresponde al activo total neto del último período fiscal (</w:t>
      </w:r>
      <w:proofErr w:type="spellStart"/>
      <w:r w:rsidRPr="00E1125C">
        <w:rPr>
          <w:sz w:val="20"/>
          <w:szCs w:val="20"/>
        </w:rPr>
        <w:t>atn</w:t>
      </w:r>
      <w:proofErr w:type="spellEnd"/>
      <w:r w:rsidRPr="00E1125C">
        <w:rPr>
          <w:sz w:val="20"/>
          <w:szCs w:val="20"/>
        </w:rPr>
        <w:t>),</w:t>
      </w:r>
    </w:p>
    <w:p w14:paraId="35A2BEE2" w14:textId="0BF0424C" w:rsidR="00375B23" w:rsidRPr="00E1125C" w:rsidRDefault="00412936" w:rsidP="00D50CE7">
      <w:r w:rsidRPr="00E1125C">
        <w:rPr>
          <w:b/>
          <w:bCs/>
          <w:i/>
          <w:iCs/>
        </w:rPr>
        <w:t>Dan</w:t>
      </w:r>
      <w:r w:rsidRPr="00E1125C">
        <w:t>: Parámetro monetario de referencia para los activos netos del sector respectivo.</w:t>
      </w:r>
    </w:p>
    <w:p w14:paraId="43787AE8" w14:textId="5AEC92A7" w:rsidR="00412936" w:rsidRPr="00E1125C" w:rsidRDefault="00412936" w:rsidP="00D50CE7">
      <w:r w:rsidRPr="00E1125C">
        <w:tab/>
        <w:t>La fórmula anterior calcula un puntaje P por empresa, a partir del personal contratado en el período fiscal, el valor de las ventas anuales netas y el valor de los activos totales netos</w:t>
      </w:r>
      <w:r w:rsidR="00D43002" w:rsidRPr="00E1125C">
        <w:t>.  Es aplicable para las actividades de manufactura, agropecuari</w:t>
      </w:r>
      <w:r w:rsidR="00DD05C6" w:rsidRPr="00E1125C">
        <w:t>o</w:t>
      </w:r>
      <w:r w:rsidR="00D43002" w:rsidRPr="00E1125C">
        <w:t>, comercio y algunos servicios tal como se definen</w:t>
      </w:r>
      <w:r w:rsidR="00DD05C6" w:rsidRPr="00E1125C">
        <w:t xml:space="preserve"> en</w:t>
      </w:r>
      <w:r w:rsidR="00D43002" w:rsidRPr="00E1125C">
        <w:t xml:space="preserve"> el CIIU4.  Los valores de referencia de los parámetros de número de trabajadores y monetarios se ajustan anualmente según se publican en el diario oficial La Gaceta.</w:t>
      </w:r>
      <w:r w:rsidR="00DD05C6" w:rsidRPr="00E1125C">
        <w:t xml:space="preserve"> (BCCR, </w:t>
      </w:r>
      <w:r w:rsidR="00945889" w:rsidRPr="00E1125C">
        <w:t>2022, p.5).</w:t>
      </w:r>
    </w:p>
    <w:p w14:paraId="40C305C8" w14:textId="77777777" w:rsidR="00945889" w:rsidRPr="00E1125C" w:rsidRDefault="00945889" w:rsidP="00D50CE7"/>
    <w:p w14:paraId="1F35F008" w14:textId="3A21B039" w:rsidR="008F05AC" w:rsidRPr="00E1125C" w:rsidRDefault="00345559" w:rsidP="008F05AC">
      <w:pPr>
        <w:pStyle w:val="Ttulo2"/>
      </w:pPr>
      <w:r w:rsidRPr="00E1125C">
        <w:t xml:space="preserve">8. </w:t>
      </w:r>
      <w:r w:rsidR="008F05AC" w:rsidRPr="00E1125C">
        <w:t>Referencias</w:t>
      </w:r>
    </w:p>
    <w:p w14:paraId="58013FA7" w14:textId="74F78862" w:rsidR="005A6DD5" w:rsidRPr="00E1125C" w:rsidRDefault="005A6DD5" w:rsidP="00444DD8">
      <w:pPr>
        <w:rPr>
          <w:rFonts w:eastAsia="Times New Roman"/>
          <w:lang w:val="es-CR"/>
        </w:rPr>
      </w:pPr>
    </w:p>
    <w:p w14:paraId="5738139B" w14:textId="03666E64" w:rsidR="00CF5887" w:rsidRPr="00E1125C" w:rsidRDefault="00AB24E5" w:rsidP="00AB3DEC">
      <w:pPr>
        <w:rPr>
          <w:rFonts w:eastAsia="Times New Roman"/>
          <w:lang w:val="es-CR"/>
        </w:rPr>
      </w:pPr>
      <w:r w:rsidRPr="00E1125C">
        <w:rPr>
          <w:rFonts w:eastAsia="Times New Roman"/>
          <w:lang w:val="es-CR"/>
        </w:rPr>
        <w:t>-</w:t>
      </w:r>
      <w:proofErr w:type="spellStart"/>
      <w:r w:rsidR="00CF5887" w:rsidRPr="00E1125C">
        <w:rPr>
          <w:rFonts w:eastAsia="Times New Roman"/>
          <w:lang w:val="es-CR"/>
        </w:rPr>
        <w:t>Aglietta</w:t>
      </w:r>
      <w:proofErr w:type="spellEnd"/>
      <w:r w:rsidR="00CF5887" w:rsidRPr="00E1125C">
        <w:rPr>
          <w:rFonts w:eastAsia="Times New Roman"/>
          <w:lang w:val="es-CR"/>
        </w:rPr>
        <w:t>, Michael</w:t>
      </w:r>
      <w:r w:rsidR="0071157D" w:rsidRPr="00E1125C">
        <w:rPr>
          <w:rFonts w:eastAsia="Times New Roman"/>
          <w:lang w:val="es-CR"/>
        </w:rPr>
        <w:t>, 1997,</w:t>
      </w:r>
      <w:r w:rsidR="00256BBA" w:rsidRPr="00E1125C">
        <w:rPr>
          <w:rFonts w:eastAsia="Times New Roman"/>
          <w:lang w:val="es-CR"/>
        </w:rPr>
        <w:t xml:space="preserve"> 1999,</w:t>
      </w:r>
      <w:r w:rsidR="0071157D" w:rsidRPr="00E1125C">
        <w:rPr>
          <w:rFonts w:eastAsia="Times New Roman"/>
          <w:lang w:val="es-CR"/>
        </w:rPr>
        <w:t xml:space="preserve"> </w:t>
      </w:r>
      <w:r w:rsidR="0071157D" w:rsidRPr="00E1125C">
        <w:rPr>
          <w:rFonts w:eastAsia="Times New Roman"/>
          <w:i/>
          <w:iCs/>
          <w:lang w:val="es-CR"/>
        </w:rPr>
        <w:t>Regulación y crisis del capitalismo</w:t>
      </w:r>
      <w:r w:rsidR="0071157D" w:rsidRPr="00E1125C">
        <w:rPr>
          <w:rFonts w:eastAsia="Times New Roman"/>
          <w:lang w:val="es-CR"/>
        </w:rPr>
        <w:t>, Ed. Siglo XXI, M</w:t>
      </w:r>
      <w:r w:rsidR="006725E5" w:rsidRPr="00E1125C">
        <w:rPr>
          <w:rFonts w:eastAsia="Times New Roman"/>
          <w:lang w:val="es-CR"/>
        </w:rPr>
        <w:t>é</w:t>
      </w:r>
      <w:r w:rsidR="0071157D" w:rsidRPr="00E1125C">
        <w:rPr>
          <w:rFonts w:eastAsia="Times New Roman"/>
          <w:lang w:val="es-CR"/>
        </w:rPr>
        <w:t>xico</w:t>
      </w:r>
      <w:r w:rsidR="006725E5" w:rsidRPr="00E1125C">
        <w:rPr>
          <w:rFonts w:eastAsia="Times New Roman"/>
          <w:lang w:val="es-CR"/>
        </w:rPr>
        <w:t>, Madrid, Buenos Aires.</w:t>
      </w:r>
    </w:p>
    <w:p w14:paraId="2D1B8A07" w14:textId="0EB5FBDD" w:rsidR="00B40B70" w:rsidRPr="00E1125C" w:rsidRDefault="00000000" w:rsidP="00AB3DEC">
      <w:pPr>
        <w:rPr>
          <w:rStyle w:val="Hipervnculo"/>
          <w:rFonts w:eastAsia="Times New Roman"/>
          <w:color w:val="auto"/>
          <w:lang w:val="es-CR"/>
        </w:rPr>
      </w:pPr>
      <w:hyperlink r:id="rId11" w:history="1">
        <w:r w:rsidR="00B40B70" w:rsidRPr="00E1125C">
          <w:rPr>
            <w:rStyle w:val="Hipervnculo"/>
            <w:rFonts w:eastAsia="Times New Roman"/>
            <w:color w:val="auto"/>
            <w:lang w:val="es-CR"/>
          </w:rPr>
          <w:t>https://www.google.com/url?q=http://revistas.bancomext.gob.mx/rce/magazines/666/9/RCE9.pdf&amp;sa=U&amp;ved=2ahUKEwj28I3e64T5AhUPacAKHcaaBcEQFnoECAoQAg&amp;usg=AOvVaw02dg0RXVCs_qLEG7oWCZcW</w:t>
        </w:r>
      </w:hyperlink>
    </w:p>
    <w:p w14:paraId="768C10F1" w14:textId="7672EE93" w:rsidR="00BB5CDF" w:rsidRPr="00E1125C" w:rsidRDefault="00BB5CDF" w:rsidP="00AB3DEC">
      <w:pPr>
        <w:rPr>
          <w:rStyle w:val="Hipervnculo"/>
          <w:rFonts w:eastAsia="Times New Roman"/>
          <w:color w:val="auto"/>
          <w:lang w:val="es-CR"/>
        </w:rPr>
      </w:pPr>
    </w:p>
    <w:p w14:paraId="14A40307" w14:textId="77777777" w:rsidR="00BB5CDF" w:rsidRPr="00E1125C" w:rsidRDefault="00BB5CDF" w:rsidP="003F2933">
      <w:pPr>
        <w:rPr>
          <w:rFonts w:eastAsia="Times New Roman"/>
          <w:lang w:val="es-CR"/>
        </w:rPr>
      </w:pPr>
      <w:r w:rsidRPr="00E1125C">
        <w:rPr>
          <w:rFonts w:eastAsia="Times New Roman"/>
          <w:lang w:val="es-CR"/>
        </w:rPr>
        <w:t xml:space="preserve">-Antillón, Walter, 2019, “Derechos humanos y fondos públicos”, </w:t>
      </w:r>
      <w:r w:rsidRPr="00E1125C">
        <w:rPr>
          <w:rFonts w:eastAsia="Times New Roman"/>
          <w:i/>
          <w:iCs/>
          <w:lang w:val="es-CR"/>
        </w:rPr>
        <w:t>El País.CR</w:t>
      </w:r>
      <w:r w:rsidRPr="00E1125C">
        <w:rPr>
          <w:rFonts w:eastAsia="Times New Roman"/>
          <w:lang w:val="es-CR"/>
        </w:rPr>
        <w:t>, Opinión, febrero, 17, San José.</w:t>
      </w:r>
    </w:p>
    <w:p w14:paraId="7314CE40" w14:textId="19B40AF7" w:rsidR="00BB5CDF" w:rsidRPr="00E1125C" w:rsidRDefault="00000000" w:rsidP="003F2933">
      <w:pPr>
        <w:rPr>
          <w:rStyle w:val="Hipervnculo"/>
          <w:rFonts w:eastAsia="Times New Roman"/>
          <w:color w:val="auto"/>
          <w:lang w:val="es-CR"/>
        </w:rPr>
      </w:pPr>
      <w:hyperlink r:id="rId12" w:history="1">
        <w:r w:rsidR="00BB5CDF" w:rsidRPr="00E1125C">
          <w:rPr>
            <w:rStyle w:val="Hipervnculo"/>
            <w:rFonts w:eastAsia="Times New Roman"/>
            <w:color w:val="auto"/>
            <w:lang w:val="es-CR"/>
          </w:rPr>
          <w:t>https://www.elpais.cr/2019/01/17/derechos-humanos-y-fondos-publicos/</w:t>
        </w:r>
      </w:hyperlink>
    </w:p>
    <w:p w14:paraId="2B1558AF" w14:textId="6CF7F8D4" w:rsidR="00D95124" w:rsidRPr="00E1125C" w:rsidRDefault="00D95124" w:rsidP="003F2933">
      <w:pPr>
        <w:rPr>
          <w:rStyle w:val="Hipervnculo"/>
          <w:rFonts w:eastAsia="Times New Roman"/>
          <w:color w:val="auto"/>
          <w:lang w:val="es-CR"/>
        </w:rPr>
      </w:pPr>
    </w:p>
    <w:p w14:paraId="453CCE83" w14:textId="656C9FD2" w:rsidR="00B73FFB" w:rsidRPr="00E1125C" w:rsidRDefault="00B73FFB" w:rsidP="00B73FFB">
      <w:pPr>
        <w:jc w:val="left"/>
        <w:rPr>
          <w:rFonts w:ascii="Times New Roman" w:eastAsia="Times New Roman" w:hAnsi="Times New Roman"/>
          <w:lang w:eastAsia="es-CR"/>
        </w:rPr>
      </w:pPr>
      <w:r w:rsidRPr="00E1125C">
        <w:rPr>
          <w:lang w:val="en-US"/>
        </w:rPr>
        <w:t xml:space="preserve">Azar, José and Schmalz, Martin C., Schmalz, Martin C. y </w:t>
      </w:r>
      <w:proofErr w:type="spellStart"/>
      <w:r w:rsidRPr="00E1125C">
        <w:rPr>
          <w:lang w:val="en-US"/>
        </w:rPr>
        <w:t>Tecu</w:t>
      </w:r>
      <w:proofErr w:type="spellEnd"/>
      <w:r w:rsidRPr="00E1125C">
        <w:rPr>
          <w:lang w:val="en-US"/>
        </w:rPr>
        <w:t xml:space="preserve">, Isabel, Anticompetitive Effects of Common Ownership (May 10, 2018). </w:t>
      </w:r>
      <w:r w:rsidRPr="00E1125C">
        <w:rPr>
          <w:i/>
          <w:iCs/>
          <w:lang w:val="en-US"/>
        </w:rPr>
        <w:t>Journal of Finance</w:t>
      </w:r>
      <w:r w:rsidRPr="00E1125C">
        <w:rPr>
          <w:lang w:val="en-US"/>
        </w:rPr>
        <w:t xml:space="preserve">, 73(4), 2018, Available at SSRN: </w:t>
      </w:r>
      <w:hyperlink r:id="rId13" w:tgtFrame="_blank" w:history="1">
        <w:r w:rsidRPr="00E1125C">
          <w:rPr>
            <w:rStyle w:val="Hipervnculo"/>
            <w:color w:val="auto"/>
            <w:lang w:val="en-US"/>
          </w:rPr>
          <w:t>https://ssrn.com/abstract=2427345.</w:t>
        </w:r>
      </w:hyperlink>
      <w:r w:rsidRPr="00E1125C">
        <w:rPr>
          <w:lang w:val="en-US"/>
        </w:rPr>
        <w:t xml:space="preserve"> </w:t>
      </w:r>
      <w:proofErr w:type="spellStart"/>
      <w:r w:rsidRPr="00E1125C">
        <w:t>or</w:t>
      </w:r>
      <w:proofErr w:type="spellEnd"/>
      <w:r w:rsidRPr="00E1125C">
        <w:t xml:space="preserve"> </w:t>
      </w:r>
      <w:hyperlink r:id="rId14" w:tgtFrame="_blank" w:history="1">
        <w:r w:rsidRPr="00E1125C">
          <w:rPr>
            <w:rStyle w:val="Hipervnculo"/>
            <w:color w:val="auto"/>
          </w:rPr>
          <w:t xml:space="preserve">http://dx.doi.org/10.2139/ssrn.2427345 </w:t>
        </w:r>
      </w:hyperlink>
    </w:p>
    <w:p w14:paraId="3100EAD9" w14:textId="0B3E4A45" w:rsidR="002C77A9" w:rsidRPr="00D03E89" w:rsidRDefault="002C77A9" w:rsidP="003F2933">
      <w:pPr>
        <w:rPr>
          <w:rStyle w:val="Hipervnculo"/>
          <w:rFonts w:eastAsia="Times New Roman"/>
          <w:color w:val="auto"/>
          <w:lang w:val="es-CR"/>
        </w:rPr>
      </w:pPr>
    </w:p>
    <w:p w14:paraId="6348010A" w14:textId="3DA422A1" w:rsidR="002C77A9" w:rsidRPr="00E1125C" w:rsidRDefault="002C77A9" w:rsidP="003F2933">
      <w:pPr>
        <w:rPr>
          <w:rFonts w:eastAsia="Times New Roman"/>
        </w:rPr>
      </w:pPr>
      <w:r w:rsidRPr="00E1125C">
        <w:rPr>
          <w:rFonts w:eastAsia="Times New Roman"/>
        </w:rPr>
        <w:t>Banco Central de Costa Rica,</w:t>
      </w:r>
      <w:r w:rsidR="00945889" w:rsidRPr="00E1125C">
        <w:rPr>
          <w:rFonts w:eastAsia="Times New Roman"/>
        </w:rPr>
        <w:t xml:space="preserve"> 2022,</w:t>
      </w:r>
      <w:r w:rsidRPr="00E1125C">
        <w:rPr>
          <w:rFonts w:eastAsia="Times New Roman"/>
        </w:rPr>
        <w:t xml:space="preserve"> </w:t>
      </w:r>
      <w:r w:rsidRPr="00E1125C">
        <w:rPr>
          <w:rFonts w:eastAsia="Times New Roman"/>
          <w:i/>
          <w:iCs/>
        </w:rPr>
        <w:t>Indicadores empresariales</w:t>
      </w:r>
      <w:r w:rsidRPr="00E1125C">
        <w:rPr>
          <w:rFonts w:eastAsia="Times New Roman"/>
        </w:rPr>
        <w:t>,</w:t>
      </w:r>
    </w:p>
    <w:p w14:paraId="6FB3FED2" w14:textId="7978AB2B" w:rsidR="002C77A9" w:rsidRPr="00E1125C" w:rsidRDefault="00000000" w:rsidP="003F2933">
      <w:pPr>
        <w:rPr>
          <w:rStyle w:val="Hipervnculo"/>
          <w:color w:val="auto"/>
          <w:lang w:val="es-CR"/>
        </w:rPr>
      </w:pPr>
      <w:hyperlink r:id="rId15" w:history="1">
        <w:r w:rsidR="002C77A9" w:rsidRPr="00E1125C">
          <w:rPr>
            <w:rStyle w:val="Hipervnculo"/>
            <w:rFonts w:eastAsia="Times New Roman"/>
            <w:color w:val="auto"/>
            <w:lang w:val="es-CR"/>
          </w:rPr>
          <w:t>https://www.bccr.fi.cr/indicadores-economicos/estadísticas-empresariales</w:t>
        </w:r>
      </w:hyperlink>
      <w:r w:rsidR="002C77A9" w:rsidRPr="00E1125C">
        <w:rPr>
          <w:rStyle w:val="Hipervnculo"/>
          <w:color w:val="auto"/>
          <w:lang w:val="es-CR"/>
        </w:rPr>
        <w:t>.</w:t>
      </w:r>
    </w:p>
    <w:p w14:paraId="34D0A388" w14:textId="77777777" w:rsidR="002C77A9" w:rsidRPr="00E1125C" w:rsidRDefault="002C77A9" w:rsidP="003F2933">
      <w:pPr>
        <w:rPr>
          <w:rFonts w:eastAsia="Times New Roman"/>
          <w:lang w:val="es-CR"/>
        </w:rPr>
      </w:pPr>
    </w:p>
    <w:p w14:paraId="455FFAF7" w14:textId="77777777" w:rsidR="0045579D" w:rsidRPr="00E1125C" w:rsidRDefault="0045579D" w:rsidP="00444DD8">
      <w:pPr>
        <w:rPr>
          <w:rFonts w:eastAsia="Times New Roman"/>
          <w:lang w:val="es-CR"/>
        </w:rPr>
      </w:pPr>
    </w:p>
    <w:p w14:paraId="498BB957" w14:textId="787AD5AF" w:rsidR="00AF6E80" w:rsidRPr="00E1125C" w:rsidRDefault="00AB24E5" w:rsidP="00444DD8">
      <w:pPr>
        <w:rPr>
          <w:rFonts w:eastAsia="Times New Roman"/>
          <w:lang w:val="es-CR"/>
        </w:rPr>
      </w:pPr>
      <w:r w:rsidRPr="00E1125C">
        <w:rPr>
          <w:rFonts w:eastAsia="Times New Roman"/>
          <w:lang w:val="es-CR"/>
        </w:rPr>
        <w:t>-</w:t>
      </w:r>
      <w:r w:rsidR="00CA5886" w:rsidRPr="00E1125C">
        <w:rPr>
          <w:rFonts w:eastAsia="Times New Roman"/>
          <w:lang w:val="es-CR"/>
        </w:rPr>
        <w:t>Boyer</w:t>
      </w:r>
      <w:r w:rsidR="002908FB" w:rsidRPr="00E1125C">
        <w:rPr>
          <w:rFonts w:eastAsia="Times New Roman"/>
          <w:lang w:val="es-CR"/>
        </w:rPr>
        <w:t>,</w:t>
      </w:r>
      <w:r w:rsidR="00AF6580" w:rsidRPr="00E1125C">
        <w:rPr>
          <w:rFonts w:eastAsia="Times New Roman"/>
          <w:lang w:val="es-CR"/>
        </w:rPr>
        <w:t xml:space="preserve"> Robert,</w:t>
      </w:r>
      <w:r w:rsidR="0045579D" w:rsidRPr="00E1125C">
        <w:rPr>
          <w:rFonts w:eastAsia="Times New Roman"/>
          <w:lang w:val="es-CR"/>
        </w:rPr>
        <w:t xml:space="preserve"> </w:t>
      </w:r>
      <w:r w:rsidR="002908FB" w:rsidRPr="00E1125C">
        <w:rPr>
          <w:rFonts w:eastAsia="Times New Roman"/>
          <w:lang w:val="es-CR"/>
        </w:rPr>
        <w:t>20</w:t>
      </w:r>
      <w:r w:rsidR="00D26F52" w:rsidRPr="00E1125C">
        <w:rPr>
          <w:rFonts w:eastAsia="Times New Roman"/>
          <w:lang w:val="es-CR"/>
        </w:rPr>
        <w:t xml:space="preserve">20, </w:t>
      </w:r>
      <w:r w:rsidR="00AF6E80" w:rsidRPr="00E1125C">
        <w:rPr>
          <w:rFonts w:eastAsia="Times New Roman"/>
          <w:lang w:val="es-CR"/>
        </w:rPr>
        <w:t>“</w:t>
      </w:r>
      <w:r w:rsidR="007F0295" w:rsidRPr="00E1125C">
        <w:rPr>
          <w:rFonts w:eastAsia="Times New Roman"/>
          <w:lang w:val="es-CR"/>
        </w:rPr>
        <w:t>La teorí</w:t>
      </w:r>
      <w:r w:rsidR="00AF6E80" w:rsidRPr="00E1125C">
        <w:rPr>
          <w:rFonts w:eastAsia="Times New Roman"/>
          <w:lang w:val="es-CR"/>
        </w:rPr>
        <w:t>a</w:t>
      </w:r>
      <w:r w:rsidR="007F0295" w:rsidRPr="00E1125C">
        <w:rPr>
          <w:rFonts w:eastAsia="Times New Roman"/>
          <w:lang w:val="es-CR"/>
        </w:rPr>
        <w:t xml:space="preserve"> de la regulación y e</w:t>
      </w:r>
      <w:r w:rsidR="00D26F52" w:rsidRPr="00E1125C">
        <w:rPr>
          <w:rFonts w:eastAsia="Times New Roman"/>
          <w:lang w:val="es-CR"/>
        </w:rPr>
        <w:t>l legado de Marx</w:t>
      </w:r>
      <w:r w:rsidR="00AF6E80" w:rsidRPr="00E1125C">
        <w:rPr>
          <w:rFonts w:eastAsia="Times New Roman"/>
          <w:lang w:val="es-CR"/>
        </w:rPr>
        <w:t xml:space="preserve">”, en </w:t>
      </w:r>
      <w:r w:rsidR="00AF6E80" w:rsidRPr="00E1125C">
        <w:rPr>
          <w:rFonts w:eastAsia="Times New Roman"/>
          <w:i/>
          <w:iCs/>
          <w:lang w:val="es-CR"/>
        </w:rPr>
        <w:t xml:space="preserve">Marx </w:t>
      </w:r>
      <w:r w:rsidR="00A153EE" w:rsidRPr="00E1125C">
        <w:rPr>
          <w:rFonts w:eastAsia="Times New Roman"/>
          <w:i/>
          <w:iCs/>
          <w:lang w:val="es-CR"/>
        </w:rPr>
        <w:t>200</w:t>
      </w:r>
      <w:r w:rsidR="00C84EC0" w:rsidRPr="00E1125C">
        <w:rPr>
          <w:rFonts w:eastAsia="Times New Roman"/>
          <w:i/>
          <w:iCs/>
          <w:lang w:val="es-CR"/>
        </w:rPr>
        <w:t xml:space="preserve"> años</w:t>
      </w:r>
      <w:r w:rsidR="00B41050" w:rsidRPr="00E1125C">
        <w:rPr>
          <w:rFonts w:eastAsia="Times New Roman"/>
          <w:i/>
          <w:iCs/>
          <w:lang w:val="es-CR"/>
        </w:rPr>
        <w:t>, presente, pasado y futuro</w:t>
      </w:r>
      <w:r w:rsidR="00A153EE" w:rsidRPr="00E1125C">
        <w:rPr>
          <w:rFonts w:eastAsia="Times New Roman"/>
          <w:i/>
          <w:iCs/>
          <w:lang w:val="es-CR"/>
        </w:rPr>
        <w:t>,</w:t>
      </w:r>
      <w:r w:rsidR="00426803" w:rsidRPr="00E1125C">
        <w:rPr>
          <w:rFonts w:eastAsia="Times New Roman"/>
          <w:i/>
          <w:iCs/>
          <w:lang w:val="es-CR"/>
        </w:rPr>
        <w:t xml:space="preserve"> </w:t>
      </w:r>
      <w:r w:rsidR="001B028D" w:rsidRPr="00E1125C">
        <w:rPr>
          <w:rFonts w:eastAsia="Times New Roman"/>
          <w:lang w:val="es-CR"/>
        </w:rPr>
        <w:t xml:space="preserve">Ed. </w:t>
      </w:r>
      <w:r w:rsidR="00A153EE" w:rsidRPr="00E1125C">
        <w:rPr>
          <w:rFonts w:eastAsia="Times New Roman"/>
          <w:lang w:val="es-CR"/>
        </w:rPr>
        <w:t>FLACSO</w:t>
      </w:r>
      <w:r w:rsidR="007F242E" w:rsidRPr="00E1125C">
        <w:rPr>
          <w:rFonts w:eastAsia="Times New Roman"/>
          <w:lang w:val="es-CR"/>
        </w:rPr>
        <w:t>, México</w:t>
      </w:r>
      <w:r w:rsidR="0071600C" w:rsidRPr="00E1125C">
        <w:rPr>
          <w:rFonts w:eastAsia="Times New Roman"/>
          <w:lang w:val="es-CR"/>
        </w:rPr>
        <w:t xml:space="preserve">, pp. </w:t>
      </w:r>
      <w:r w:rsidR="00354C4D" w:rsidRPr="00E1125C">
        <w:rPr>
          <w:rFonts w:eastAsia="Times New Roman"/>
          <w:lang w:val="es-CR"/>
        </w:rPr>
        <w:t>301- 336.</w:t>
      </w:r>
    </w:p>
    <w:p w14:paraId="1B649D2D" w14:textId="77777777" w:rsidR="00181AFA" w:rsidRPr="00E1125C" w:rsidRDefault="00181AFA" w:rsidP="00444DD8">
      <w:pPr>
        <w:rPr>
          <w:rFonts w:eastAsia="Times New Roman"/>
          <w:lang w:val="es-CR"/>
        </w:rPr>
      </w:pPr>
    </w:p>
    <w:p w14:paraId="336BFFED" w14:textId="514604C2" w:rsidR="002E7EBE" w:rsidRPr="00E1125C" w:rsidRDefault="002E7EBE" w:rsidP="00444DD8">
      <w:pPr>
        <w:rPr>
          <w:rFonts w:eastAsia="Times New Roman"/>
          <w:lang w:val="es-CR"/>
        </w:rPr>
      </w:pPr>
    </w:p>
    <w:p w14:paraId="06316244" w14:textId="1BD11403" w:rsidR="002E7EBE" w:rsidRPr="00E1125C" w:rsidRDefault="006F236C" w:rsidP="00444DD8">
      <w:pPr>
        <w:rPr>
          <w:rFonts w:eastAsia="Times New Roman"/>
          <w:lang w:val="es-CR"/>
        </w:rPr>
      </w:pPr>
      <w:r w:rsidRPr="00E1125C">
        <w:rPr>
          <w:rFonts w:eastAsia="Times New Roman"/>
          <w:lang w:val="es-CR"/>
        </w:rPr>
        <w:t>-</w:t>
      </w:r>
      <w:r w:rsidR="002E7EBE" w:rsidRPr="00E1125C">
        <w:rPr>
          <w:rFonts w:eastAsia="Times New Roman"/>
          <w:lang w:val="es-CR"/>
        </w:rPr>
        <w:t>Chacón Quesada</w:t>
      </w:r>
      <w:r w:rsidR="007A7CA0" w:rsidRPr="00E1125C">
        <w:rPr>
          <w:rFonts w:eastAsia="Times New Roman"/>
          <w:lang w:val="es-CR"/>
        </w:rPr>
        <w:t>,</w:t>
      </w:r>
      <w:r w:rsidR="002E7EBE" w:rsidRPr="00E1125C">
        <w:rPr>
          <w:rFonts w:eastAsia="Times New Roman"/>
          <w:lang w:val="es-CR"/>
        </w:rPr>
        <w:t xml:space="preserve"> </w:t>
      </w:r>
      <w:r w:rsidR="007A7CA0" w:rsidRPr="00E1125C">
        <w:rPr>
          <w:rFonts w:eastAsia="Times New Roman"/>
          <w:lang w:val="es-CR"/>
        </w:rPr>
        <w:t>Karina y Vega Reyes,</w:t>
      </w:r>
      <w:r w:rsidR="00242EF7" w:rsidRPr="00E1125C">
        <w:rPr>
          <w:rFonts w:eastAsia="Times New Roman"/>
          <w:lang w:val="es-CR"/>
        </w:rPr>
        <w:t xml:space="preserve"> </w:t>
      </w:r>
      <w:r w:rsidR="004D79E9" w:rsidRPr="00E1125C">
        <w:rPr>
          <w:rFonts w:eastAsia="Times New Roman"/>
          <w:lang w:val="es-CR"/>
        </w:rPr>
        <w:t xml:space="preserve">2014, </w:t>
      </w:r>
      <w:r w:rsidR="00483453" w:rsidRPr="00E1125C">
        <w:rPr>
          <w:rFonts w:eastAsia="Times New Roman"/>
          <w:lang w:val="es-CR"/>
        </w:rPr>
        <w:t>“</w:t>
      </w:r>
      <w:r w:rsidR="004D79E9" w:rsidRPr="00E1125C">
        <w:rPr>
          <w:rFonts w:eastAsia="Times New Roman"/>
          <w:lang w:val="es-CR"/>
        </w:rPr>
        <w:t xml:space="preserve">El control de </w:t>
      </w:r>
      <w:r w:rsidR="00483453" w:rsidRPr="00E1125C">
        <w:rPr>
          <w:rFonts w:eastAsia="Times New Roman"/>
          <w:lang w:val="es-CR"/>
        </w:rPr>
        <w:t xml:space="preserve">las </w:t>
      </w:r>
      <w:r w:rsidR="004D79E9" w:rsidRPr="00E1125C">
        <w:rPr>
          <w:rFonts w:eastAsia="Times New Roman"/>
          <w:lang w:val="es-CR"/>
        </w:rPr>
        <w:t>conce</w:t>
      </w:r>
      <w:r w:rsidR="00483453" w:rsidRPr="00E1125C">
        <w:rPr>
          <w:rFonts w:eastAsia="Times New Roman"/>
          <w:lang w:val="es-CR"/>
        </w:rPr>
        <w:t>n</w:t>
      </w:r>
      <w:r w:rsidR="004D79E9" w:rsidRPr="00E1125C">
        <w:rPr>
          <w:rFonts w:eastAsia="Times New Roman"/>
          <w:lang w:val="es-CR"/>
        </w:rPr>
        <w:t>traciones económicas en Costa Rica a la luz de la</w:t>
      </w:r>
      <w:r w:rsidR="002D10E5" w:rsidRPr="00E1125C">
        <w:rPr>
          <w:rFonts w:eastAsia="Times New Roman"/>
          <w:lang w:val="es-CR"/>
        </w:rPr>
        <w:t xml:space="preserve"> reforma a la</w:t>
      </w:r>
      <w:r w:rsidR="00483453" w:rsidRPr="00E1125C">
        <w:rPr>
          <w:rFonts w:eastAsia="Times New Roman"/>
          <w:lang w:val="es-CR"/>
        </w:rPr>
        <w:t xml:space="preserve"> l</w:t>
      </w:r>
      <w:r w:rsidR="002D10E5" w:rsidRPr="00E1125C">
        <w:rPr>
          <w:rFonts w:eastAsia="Times New Roman"/>
          <w:lang w:val="es-CR"/>
        </w:rPr>
        <w:t>ey de promoción de las competencia y defensa efectiva</w:t>
      </w:r>
      <w:r w:rsidR="009F2282" w:rsidRPr="00E1125C">
        <w:rPr>
          <w:rFonts w:eastAsia="Times New Roman"/>
          <w:lang w:val="es-CR"/>
        </w:rPr>
        <w:t xml:space="preserve"> del consumidor, decreto legislativo número 9972</w:t>
      </w:r>
      <w:r w:rsidR="00F63B4E" w:rsidRPr="00E1125C">
        <w:rPr>
          <w:rFonts w:eastAsia="Times New Roman"/>
          <w:lang w:val="es-CR"/>
        </w:rPr>
        <w:t xml:space="preserve">”, </w:t>
      </w:r>
      <w:r w:rsidR="00F63B4E" w:rsidRPr="00E1125C">
        <w:rPr>
          <w:rFonts w:eastAsia="Times New Roman"/>
          <w:i/>
          <w:iCs/>
          <w:lang w:val="es-CR"/>
        </w:rPr>
        <w:t>Trabajo de Graduació</w:t>
      </w:r>
      <w:r w:rsidR="00F63B4E" w:rsidRPr="00E1125C">
        <w:rPr>
          <w:rFonts w:eastAsia="Times New Roman"/>
          <w:lang w:val="es-CR"/>
        </w:rPr>
        <w:t>n, Universidad de Costa Rica</w:t>
      </w:r>
      <w:r w:rsidR="00885534" w:rsidRPr="00E1125C">
        <w:rPr>
          <w:rFonts w:eastAsia="Times New Roman"/>
          <w:lang w:val="es-CR"/>
        </w:rPr>
        <w:t>.</w:t>
      </w:r>
    </w:p>
    <w:p w14:paraId="5A4F6A5A" w14:textId="2B77BEDE" w:rsidR="003A55E9" w:rsidRPr="00E1125C" w:rsidRDefault="00000000" w:rsidP="00444DD8">
      <w:pPr>
        <w:rPr>
          <w:rFonts w:eastAsia="Times New Roman"/>
          <w:lang w:val="es-CR"/>
        </w:rPr>
      </w:pPr>
      <w:hyperlink r:id="rId16" w:history="1">
        <w:r w:rsidR="003A55E9" w:rsidRPr="00E1125C">
          <w:rPr>
            <w:rStyle w:val="Hipervnculo"/>
            <w:rFonts w:eastAsia="Times New Roman"/>
            <w:color w:val="auto"/>
            <w:lang w:val="es-CR"/>
          </w:rPr>
          <w:t>https://www.google.com/url?q=https://iij.ucr.ac.cr/wp-content/uploads/bsk-pdf-manager/2017/06/El-Control-de-Concentraciones-Econ%25C3%25B3micas-en-Costa-Rica-a-la-luz-de-la-Reforma-a-la-Ley-De-Promoci%25C3%25B3n-de-la-Competencia-y-Defensa-Efectiva-del-Consumidor-Decreto-Legislativo-N%25C3%25BAmero-9072.pdf&amp;sa=U&amp;ved=2ahUKEwjrxNX-7vv4AhWWaMAKHZ6qC64QFnoECAYQAg&amp;usg=AOvVaw1mp3IK_0jmtALSzL2frf2T</w:t>
        </w:r>
      </w:hyperlink>
    </w:p>
    <w:p w14:paraId="57CE3251" w14:textId="77777777" w:rsidR="002908FB" w:rsidRPr="00E1125C" w:rsidRDefault="002908FB" w:rsidP="00444DD8">
      <w:pPr>
        <w:rPr>
          <w:rFonts w:eastAsia="Times New Roman"/>
          <w:lang w:val="es-CR"/>
        </w:rPr>
      </w:pPr>
    </w:p>
    <w:p w14:paraId="5738A6FB" w14:textId="6A92C65F" w:rsidR="00C4029E" w:rsidRPr="00E1125C" w:rsidRDefault="006F236C" w:rsidP="00AB3DEC">
      <w:pPr>
        <w:rPr>
          <w:rFonts w:eastAsia="Times New Roman"/>
          <w:lang w:val="es-CR"/>
        </w:rPr>
      </w:pPr>
      <w:r w:rsidRPr="00E1125C">
        <w:rPr>
          <w:rFonts w:eastAsia="Times New Roman"/>
          <w:lang w:val="es-CR"/>
        </w:rPr>
        <w:t>-</w:t>
      </w:r>
      <w:r w:rsidR="00C4029E" w:rsidRPr="00E1125C">
        <w:rPr>
          <w:rFonts w:eastAsia="Times New Roman"/>
          <w:lang w:val="es-CR"/>
        </w:rPr>
        <w:t xml:space="preserve">Córdova L., </w:t>
      </w:r>
      <w:proofErr w:type="spellStart"/>
      <w:r w:rsidR="00C4029E" w:rsidRPr="00E1125C">
        <w:rPr>
          <w:rFonts w:eastAsia="Times New Roman"/>
          <w:lang w:val="es-CR"/>
        </w:rPr>
        <w:t>Fernándo</w:t>
      </w:r>
      <w:proofErr w:type="spellEnd"/>
      <w:r w:rsidR="00C4029E" w:rsidRPr="00E1125C">
        <w:rPr>
          <w:rFonts w:eastAsia="Times New Roman"/>
          <w:lang w:val="es-CR"/>
        </w:rPr>
        <w:t>, Duque E., Gabriela, 2019, “Análisis de la distribución de ingresos y beneficios empresariales por sectores económicos del Ecuador”, Ponencia, XXIV Congreso Intern</w:t>
      </w:r>
      <w:r w:rsidR="001B5E42" w:rsidRPr="00E1125C">
        <w:rPr>
          <w:rFonts w:eastAsia="Times New Roman"/>
          <w:lang w:val="es-CR"/>
        </w:rPr>
        <w:t>a</w:t>
      </w:r>
      <w:r w:rsidR="00C4029E" w:rsidRPr="00E1125C">
        <w:rPr>
          <w:rFonts w:eastAsia="Times New Roman"/>
          <w:lang w:val="es-CR"/>
        </w:rPr>
        <w:t>cional de Contaduría, Administración e Informática, octubre 9, 10 y 11, México, D.F.</w:t>
      </w:r>
    </w:p>
    <w:p w14:paraId="24E6C865" w14:textId="7483F6A3" w:rsidR="00C4029E" w:rsidRPr="00E1125C" w:rsidRDefault="00000000" w:rsidP="007E1091">
      <w:pPr>
        <w:rPr>
          <w:rFonts w:eastAsia="Times New Roman"/>
          <w:lang w:val="es-CR"/>
        </w:rPr>
      </w:pPr>
      <w:hyperlink r:id="rId17" w:history="1">
        <w:r w:rsidR="00620DE1" w:rsidRPr="00E1125C">
          <w:rPr>
            <w:rStyle w:val="Hipervnculo"/>
            <w:rFonts w:eastAsia="Times New Roman"/>
            <w:color w:val="auto"/>
            <w:lang w:val="es-CR"/>
          </w:rPr>
          <w:t>https://www.google.com/url?q=https://investigacion.fca.unam.mx/docs/memorias/2019/8.01.pdf&amp;sa=U&amp;ved=2ahUKEwiH54yN54T5AhXeQ0EAHTVhBVQQFnoECAkQAg&amp;usg=AOvVaw2hb2iM0vvvmAd1cXPeOchu</w:t>
        </w:r>
      </w:hyperlink>
    </w:p>
    <w:p w14:paraId="4B94826B" w14:textId="14267F2F" w:rsidR="00511C6D" w:rsidRPr="00E1125C" w:rsidRDefault="00511C6D" w:rsidP="007E1091">
      <w:pPr>
        <w:rPr>
          <w:rFonts w:eastAsia="Times New Roman"/>
          <w:lang w:val="es-CR"/>
        </w:rPr>
      </w:pPr>
    </w:p>
    <w:p w14:paraId="23E9D749" w14:textId="478EA829" w:rsidR="00B51111" w:rsidRPr="00E1125C" w:rsidRDefault="00B51111" w:rsidP="007E1091">
      <w:pPr>
        <w:rPr>
          <w:rFonts w:eastAsia="Times New Roman"/>
          <w:lang w:val="en-US"/>
        </w:rPr>
      </w:pPr>
      <w:r w:rsidRPr="00E1125C">
        <w:rPr>
          <w:rFonts w:eastAsia="Times New Roman"/>
          <w:lang w:val="en-US"/>
        </w:rPr>
        <w:lastRenderedPageBreak/>
        <w:t>Davoudi, Leonardo</w:t>
      </w:r>
      <w:r w:rsidR="00620DE1" w:rsidRPr="00E1125C">
        <w:rPr>
          <w:rFonts w:eastAsia="Times New Roman"/>
          <w:lang w:val="en-US"/>
        </w:rPr>
        <w:t>;</w:t>
      </w:r>
      <w:r w:rsidRPr="00E1125C">
        <w:rPr>
          <w:rFonts w:eastAsia="Times New Roman"/>
          <w:lang w:val="en-US"/>
        </w:rPr>
        <w:t xml:space="preserve"> </w:t>
      </w:r>
      <w:r w:rsidR="00620DE1" w:rsidRPr="00E1125C">
        <w:rPr>
          <w:rFonts w:eastAsia="Times New Roman"/>
          <w:lang w:val="en-US"/>
        </w:rPr>
        <w:t xml:space="preserve">McKenna, Christopher; y </w:t>
      </w:r>
      <w:proofErr w:type="spellStart"/>
      <w:r w:rsidR="00620DE1" w:rsidRPr="00E1125C">
        <w:rPr>
          <w:rFonts w:eastAsia="Times New Roman"/>
          <w:lang w:val="en-US"/>
        </w:rPr>
        <w:t>Olegario</w:t>
      </w:r>
      <w:proofErr w:type="spellEnd"/>
      <w:r w:rsidR="00620DE1" w:rsidRPr="00E1125C">
        <w:rPr>
          <w:rFonts w:eastAsia="Times New Roman"/>
          <w:lang w:val="en-US"/>
        </w:rPr>
        <w:t xml:space="preserve"> Rowena, 2018, “The historical role o the corporation in society”, </w:t>
      </w:r>
      <w:r w:rsidR="00620DE1" w:rsidRPr="00E1125C">
        <w:rPr>
          <w:rFonts w:eastAsia="Times New Roman"/>
          <w:i/>
          <w:iCs/>
          <w:lang w:val="en-US"/>
        </w:rPr>
        <w:t>Journal of the British Academy,</w:t>
      </w:r>
      <w:r w:rsidR="0041020A" w:rsidRPr="00E1125C">
        <w:rPr>
          <w:rFonts w:eastAsia="Times New Roman"/>
          <w:i/>
          <w:iCs/>
          <w:lang w:val="en-US"/>
        </w:rPr>
        <w:t xml:space="preserve"> </w:t>
      </w:r>
      <w:r w:rsidR="0041020A" w:rsidRPr="00E1125C">
        <w:rPr>
          <w:rFonts w:eastAsia="Times New Roman"/>
          <w:lang w:val="en-US"/>
        </w:rPr>
        <w:t xml:space="preserve">6(s1), </w:t>
      </w:r>
      <w:r w:rsidR="00620DE1" w:rsidRPr="00E1125C">
        <w:rPr>
          <w:rFonts w:eastAsia="Times New Roman"/>
          <w:lang w:val="en-US"/>
        </w:rPr>
        <w:t>The British Academy</w:t>
      </w:r>
      <w:r w:rsidR="00BE0814" w:rsidRPr="00E1125C">
        <w:rPr>
          <w:rFonts w:eastAsia="Times New Roman"/>
          <w:lang w:val="en-US"/>
        </w:rPr>
        <w:t>, pp.17-47.</w:t>
      </w:r>
    </w:p>
    <w:p w14:paraId="07D1FB29" w14:textId="1D9CFC0F" w:rsidR="00225B36" w:rsidRPr="00E1125C" w:rsidRDefault="00000000" w:rsidP="007E1091">
      <w:pPr>
        <w:rPr>
          <w:rFonts w:eastAsia="Times New Roman"/>
          <w:lang w:val="en-US"/>
        </w:rPr>
      </w:pPr>
      <w:hyperlink r:id="rId18" w:history="1">
        <w:r w:rsidR="00620DE1" w:rsidRPr="00E1125C">
          <w:rPr>
            <w:rStyle w:val="Hipervnculo"/>
            <w:rFonts w:eastAsia="Times New Roman"/>
            <w:color w:val="auto"/>
            <w:lang w:val="en-US"/>
          </w:rPr>
          <w:t>http://doi.org/10.5871/lba/006s1.017/</w:t>
        </w:r>
      </w:hyperlink>
    </w:p>
    <w:p w14:paraId="74672FA6" w14:textId="77777777" w:rsidR="00347FCE" w:rsidRPr="00E1125C" w:rsidRDefault="00347FCE" w:rsidP="00347FCE">
      <w:pPr>
        <w:rPr>
          <w:rFonts w:eastAsia="Times New Roman"/>
          <w:lang w:val="en-US"/>
        </w:rPr>
      </w:pPr>
    </w:p>
    <w:p w14:paraId="5585297D" w14:textId="43EB5907" w:rsidR="00347FCE" w:rsidRPr="00E1125C" w:rsidRDefault="00347FCE" w:rsidP="00347FCE">
      <w:pPr>
        <w:rPr>
          <w:rFonts w:eastAsia="Times New Roman"/>
          <w:lang w:val="en-US"/>
        </w:rPr>
      </w:pPr>
      <w:r w:rsidRPr="00E1125C">
        <w:rPr>
          <w:rFonts w:eastAsia="Times New Roman"/>
          <w:lang w:val="en-US"/>
        </w:rPr>
        <w:t xml:space="preserve">Hsieh, </w:t>
      </w:r>
      <w:proofErr w:type="spellStart"/>
      <w:r w:rsidRPr="00E1125C">
        <w:rPr>
          <w:rFonts w:eastAsia="Times New Roman"/>
          <w:lang w:val="en-US"/>
        </w:rPr>
        <w:t>Nien-hê</w:t>
      </w:r>
      <w:proofErr w:type="spellEnd"/>
      <w:r w:rsidR="00B47ECB" w:rsidRPr="00E1125C">
        <w:rPr>
          <w:rFonts w:eastAsia="Times New Roman"/>
          <w:lang w:val="en-US"/>
        </w:rPr>
        <w:t xml:space="preserve">; Meyer, Marco; Rodin, David y </w:t>
      </w:r>
      <w:proofErr w:type="spellStart"/>
      <w:r w:rsidR="00B47ECB" w:rsidRPr="00E1125C">
        <w:rPr>
          <w:rFonts w:eastAsia="Times New Roman"/>
          <w:lang w:val="en-US"/>
        </w:rPr>
        <w:t>Van’T</w:t>
      </w:r>
      <w:proofErr w:type="spellEnd"/>
      <w:r w:rsidR="00B47ECB" w:rsidRPr="00E1125C">
        <w:rPr>
          <w:rFonts w:eastAsia="Times New Roman"/>
          <w:lang w:val="en-US"/>
        </w:rPr>
        <w:t xml:space="preserve"> </w:t>
      </w:r>
      <w:proofErr w:type="spellStart"/>
      <w:r w:rsidR="00B47ECB" w:rsidRPr="00E1125C">
        <w:rPr>
          <w:rFonts w:eastAsia="Times New Roman"/>
          <w:lang w:val="en-US"/>
        </w:rPr>
        <w:t>Klooster</w:t>
      </w:r>
      <w:proofErr w:type="spellEnd"/>
      <w:r w:rsidR="00B47ECB" w:rsidRPr="00E1125C">
        <w:rPr>
          <w:rFonts w:eastAsia="Times New Roman"/>
          <w:lang w:val="en-US"/>
        </w:rPr>
        <w:t xml:space="preserve">, 2018, “The Social Purpose, of Corporations”, </w:t>
      </w:r>
      <w:r w:rsidR="00B47ECB" w:rsidRPr="00E1125C">
        <w:rPr>
          <w:rFonts w:eastAsia="Times New Roman"/>
          <w:i/>
          <w:iCs/>
          <w:lang w:val="en-US"/>
        </w:rPr>
        <w:t>Journal of the British Academy</w:t>
      </w:r>
      <w:r w:rsidR="00B47ECB" w:rsidRPr="00E1125C">
        <w:rPr>
          <w:rFonts w:eastAsia="Times New Roman"/>
          <w:lang w:val="en-US"/>
        </w:rPr>
        <w:t xml:space="preserve">, 6 (s1), 17 </w:t>
      </w:r>
      <w:proofErr w:type="spellStart"/>
      <w:r w:rsidR="00B47ECB" w:rsidRPr="00E1125C">
        <w:rPr>
          <w:rFonts w:eastAsia="Times New Roman"/>
          <w:lang w:val="en-US"/>
        </w:rPr>
        <w:t>december</w:t>
      </w:r>
      <w:proofErr w:type="spellEnd"/>
      <w:r w:rsidR="00B47ECB" w:rsidRPr="00E1125C">
        <w:rPr>
          <w:rFonts w:eastAsia="Times New Roman"/>
          <w:lang w:val="en-US"/>
        </w:rPr>
        <w:t>, The British Academy, pp.49-73.</w:t>
      </w:r>
    </w:p>
    <w:p w14:paraId="292433E5" w14:textId="3E725212" w:rsidR="00347FCE" w:rsidRPr="00E1125C" w:rsidRDefault="00000000" w:rsidP="007E1091">
      <w:pPr>
        <w:rPr>
          <w:rFonts w:eastAsia="Times New Roman"/>
          <w:lang w:val="en-US"/>
        </w:rPr>
      </w:pPr>
      <w:hyperlink r:id="rId19" w:history="1">
        <w:r w:rsidR="00BE0814" w:rsidRPr="00E1125C">
          <w:rPr>
            <w:rStyle w:val="Hipervnculo"/>
            <w:rFonts w:eastAsia="Times New Roman"/>
            <w:color w:val="auto"/>
            <w:lang w:val="en-US"/>
          </w:rPr>
          <w:t>https://doi.org/10.5871/jba/006s1.049/</w:t>
        </w:r>
      </w:hyperlink>
    </w:p>
    <w:p w14:paraId="0E0AA113" w14:textId="77777777" w:rsidR="00347FCE" w:rsidRPr="00E1125C" w:rsidRDefault="00347FCE" w:rsidP="007E1091">
      <w:pPr>
        <w:rPr>
          <w:rFonts w:eastAsia="Times New Roman"/>
          <w:lang w:val="en-US"/>
        </w:rPr>
      </w:pPr>
    </w:p>
    <w:p w14:paraId="53E903F9" w14:textId="28B2B0AB" w:rsidR="00225B36" w:rsidRPr="00E1125C" w:rsidRDefault="00225B36" w:rsidP="007E1091">
      <w:pPr>
        <w:rPr>
          <w:rFonts w:eastAsia="Times New Roman"/>
          <w:lang w:val="en-US"/>
        </w:rPr>
      </w:pPr>
      <w:proofErr w:type="spellStart"/>
      <w:r w:rsidRPr="00E1125C">
        <w:rPr>
          <w:rFonts w:eastAsia="Times New Roman"/>
          <w:lang w:val="en-US"/>
        </w:rPr>
        <w:t>Godon</w:t>
      </w:r>
      <w:proofErr w:type="spellEnd"/>
      <w:r w:rsidRPr="00E1125C">
        <w:rPr>
          <w:rFonts w:eastAsia="Times New Roman"/>
          <w:lang w:val="en-US"/>
        </w:rPr>
        <w:t xml:space="preserve">, Jeffrey, N., 2018, “Is Corporate governance a first-order cause of the current malaise?”, </w:t>
      </w:r>
      <w:r w:rsidRPr="00E1125C">
        <w:rPr>
          <w:rFonts w:eastAsia="Times New Roman"/>
          <w:i/>
          <w:iCs/>
          <w:lang w:val="en-US"/>
        </w:rPr>
        <w:t>Journal of British Academy</w:t>
      </w:r>
      <w:r w:rsidRPr="00E1125C">
        <w:rPr>
          <w:rFonts w:eastAsia="Times New Roman"/>
          <w:lang w:val="en-US"/>
        </w:rPr>
        <w:t xml:space="preserve">, 6(s1), 19 </w:t>
      </w:r>
      <w:proofErr w:type="spellStart"/>
      <w:r w:rsidRPr="00E1125C">
        <w:rPr>
          <w:rFonts w:eastAsia="Times New Roman"/>
          <w:lang w:val="en-US"/>
        </w:rPr>
        <w:t>december</w:t>
      </w:r>
      <w:proofErr w:type="spellEnd"/>
      <w:r w:rsidR="0041020A" w:rsidRPr="00E1125C">
        <w:rPr>
          <w:rFonts w:eastAsia="Times New Roman"/>
          <w:lang w:val="en-US"/>
        </w:rPr>
        <w:t xml:space="preserve">, </w:t>
      </w:r>
      <w:r w:rsidR="00BE0814" w:rsidRPr="00E1125C">
        <w:rPr>
          <w:rFonts w:eastAsia="Times New Roman"/>
          <w:lang w:val="en-US"/>
        </w:rPr>
        <w:t xml:space="preserve">The British Academy, </w:t>
      </w:r>
    </w:p>
    <w:p w14:paraId="0C531F85" w14:textId="112E203B" w:rsidR="00225B36" w:rsidRPr="00E1125C" w:rsidRDefault="00000000" w:rsidP="007E1091">
      <w:pPr>
        <w:rPr>
          <w:rFonts w:eastAsia="Times New Roman"/>
          <w:lang w:val="en-US"/>
        </w:rPr>
      </w:pPr>
      <w:hyperlink r:id="rId20" w:history="1">
        <w:r w:rsidR="00BE0814" w:rsidRPr="00E1125C">
          <w:rPr>
            <w:rStyle w:val="Hipervnculo"/>
            <w:rFonts w:eastAsia="Times New Roman"/>
            <w:color w:val="auto"/>
            <w:lang w:val="en-US"/>
          </w:rPr>
          <w:t>Https://doi.org/10.5871/jba/006s1.405/</w:t>
        </w:r>
      </w:hyperlink>
    </w:p>
    <w:p w14:paraId="15FF838A" w14:textId="77777777" w:rsidR="00225B36" w:rsidRPr="00E1125C" w:rsidRDefault="00225B36" w:rsidP="007E1091">
      <w:pPr>
        <w:rPr>
          <w:rFonts w:eastAsia="Times New Roman"/>
          <w:lang w:val="en-US"/>
        </w:rPr>
      </w:pPr>
    </w:p>
    <w:p w14:paraId="4B63417B" w14:textId="177BA316" w:rsidR="00D840DA" w:rsidRPr="00E1125C" w:rsidRDefault="006F236C" w:rsidP="00AB3DEC">
      <w:pPr>
        <w:rPr>
          <w:rStyle w:val="Hipervnculo"/>
          <w:rFonts w:eastAsia="Times New Roman"/>
          <w:color w:val="auto"/>
          <w:u w:val="none"/>
          <w:lang w:val="en-US"/>
        </w:rPr>
      </w:pPr>
      <w:r w:rsidRPr="00E1125C">
        <w:rPr>
          <w:rFonts w:eastAsia="Times New Roman"/>
          <w:lang w:val="en-US"/>
        </w:rPr>
        <w:t>-</w:t>
      </w:r>
      <w:proofErr w:type="spellStart"/>
      <w:r w:rsidR="00947CA4" w:rsidRPr="00E1125C">
        <w:rPr>
          <w:rFonts w:eastAsia="Times New Roman"/>
          <w:lang w:val="en-US"/>
        </w:rPr>
        <w:t>Ferrando</w:t>
      </w:r>
      <w:proofErr w:type="spellEnd"/>
      <w:r w:rsidR="00947CA4" w:rsidRPr="00E1125C">
        <w:rPr>
          <w:rFonts w:eastAsia="Times New Roman"/>
          <w:lang w:val="en-US"/>
        </w:rPr>
        <w:t xml:space="preserve">, </w:t>
      </w:r>
      <w:proofErr w:type="spellStart"/>
      <w:r w:rsidR="00947CA4" w:rsidRPr="00E1125C">
        <w:rPr>
          <w:rFonts w:eastAsia="Times New Roman"/>
          <w:lang w:val="en-US"/>
        </w:rPr>
        <w:t>Ammalisa</w:t>
      </w:r>
      <w:proofErr w:type="spellEnd"/>
      <w:r w:rsidR="00947CA4" w:rsidRPr="00E1125C">
        <w:rPr>
          <w:rFonts w:eastAsia="Times New Roman"/>
          <w:lang w:val="en-US"/>
        </w:rPr>
        <w:t xml:space="preserve">; McAdam, Peter; </w:t>
      </w:r>
      <w:proofErr w:type="spellStart"/>
      <w:r w:rsidR="00947CA4" w:rsidRPr="00E1125C">
        <w:rPr>
          <w:rFonts w:eastAsia="Times New Roman"/>
          <w:lang w:val="en-US"/>
        </w:rPr>
        <w:t>Petroulakis</w:t>
      </w:r>
      <w:proofErr w:type="spellEnd"/>
      <w:r w:rsidR="00947CA4" w:rsidRPr="00E1125C">
        <w:rPr>
          <w:rFonts w:eastAsia="Times New Roman"/>
          <w:lang w:val="en-US"/>
        </w:rPr>
        <w:t>, Filippos; Vives, Javier; 2021, “Product market structure and Monetary policy: Evidence from the Euro Area”, Workin</w:t>
      </w:r>
      <w:r w:rsidR="00D840DA" w:rsidRPr="00E1125C">
        <w:rPr>
          <w:rFonts w:eastAsia="Times New Roman"/>
          <w:lang w:val="en-US"/>
        </w:rPr>
        <w:t>g</w:t>
      </w:r>
      <w:r w:rsidR="00947CA4" w:rsidRPr="00E1125C">
        <w:rPr>
          <w:rFonts w:eastAsia="Times New Roman"/>
          <w:lang w:val="en-US"/>
        </w:rPr>
        <w:t xml:space="preserve"> Paper No.2021/2632, </w:t>
      </w:r>
      <w:r w:rsidR="00D840DA" w:rsidRPr="00E1125C">
        <w:rPr>
          <w:rFonts w:eastAsia="Times New Roman"/>
          <w:lang w:val="en-US"/>
        </w:rPr>
        <w:t>ECB.</w:t>
      </w:r>
    </w:p>
    <w:p w14:paraId="633C613C" w14:textId="18791AD7" w:rsidR="001B352E" w:rsidRPr="00E1125C" w:rsidRDefault="00000000" w:rsidP="00D840DA">
      <w:pPr>
        <w:rPr>
          <w:rStyle w:val="Hipervnculo"/>
          <w:rFonts w:eastAsia="Times New Roman"/>
          <w:color w:val="auto"/>
          <w:lang w:val="en-US"/>
        </w:rPr>
      </w:pPr>
      <w:hyperlink r:id="rId21" w:history="1">
        <w:r w:rsidR="001B352E" w:rsidRPr="00E1125C">
          <w:rPr>
            <w:rStyle w:val="Hipervnculo"/>
            <w:rFonts w:eastAsia="Times New Roman"/>
            <w:color w:val="auto"/>
            <w:lang w:val="en-US"/>
          </w:rPr>
          <w:t>https://papers.ssrn.com/sol3/Delivery.cfm/RePEc_ecb_ecbwps_20212632.pdf?abstractid=3991359&amp;mirid=1</w:t>
        </w:r>
      </w:hyperlink>
    </w:p>
    <w:p w14:paraId="79075B08" w14:textId="2A3C3333" w:rsidR="00657802" w:rsidRPr="00E1125C" w:rsidRDefault="00657802" w:rsidP="00D840DA">
      <w:pPr>
        <w:rPr>
          <w:rStyle w:val="Hipervnculo"/>
          <w:rFonts w:eastAsia="Times New Roman"/>
          <w:color w:val="auto"/>
          <w:lang w:val="en-US"/>
        </w:rPr>
      </w:pPr>
    </w:p>
    <w:p w14:paraId="221AD09E" w14:textId="77777777" w:rsidR="00657802" w:rsidRPr="00E1125C" w:rsidRDefault="00657802" w:rsidP="00FC089A">
      <w:pPr>
        <w:rPr>
          <w:rFonts w:eastAsia="Times New Roman"/>
          <w:lang w:val="es-CR"/>
        </w:rPr>
      </w:pPr>
      <w:r w:rsidRPr="00E1125C">
        <w:rPr>
          <w:rFonts w:eastAsia="Times New Roman"/>
          <w:lang w:val="es-CR"/>
        </w:rPr>
        <w:t xml:space="preserve">Hace, Adam, 2021, </w:t>
      </w:r>
      <w:proofErr w:type="spellStart"/>
      <w:r w:rsidRPr="00E1125C">
        <w:rPr>
          <w:rFonts w:eastAsia="Times New Roman"/>
          <w:i/>
          <w:iCs/>
          <w:lang w:val="es-CR"/>
        </w:rPr>
        <w:t>Investopedia</w:t>
      </w:r>
      <w:proofErr w:type="spellEnd"/>
      <w:r w:rsidRPr="00E1125C">
        <w:rPr>
          <w:rFonts w:eastAsia="Times New Roman"/>
          <w:lang w:val="es-CR"/>
        </w:rPr>
        <w:t xml:space="preserve">, </w:t>
      </w:r>
      <w:hyperlink r:id="rId22" w:history="1">
        <w:r w:rsidRPr="00E1125C">
          <w:rPr>
            <w:rStyle w:val="Hipervnculo"/>
            <w:rFonts w:eastAsia="Times New Roman"/>
            <w:color w:val="auto"/>
            <w:lang w:val="es-CR"/>
          </w:rPr>
          <w:t>https://www.investopedia.com/terms/h/hhi.asp</w:t>
        </w:r>
      </w:hyperlink>
    </w:p>
    <w:p w14:paraId="5BEA6BA9" w14:textId="59ECDD4A" w:rsidR="00D840DA" w:rsidRPr="00E1125C" w:rsidRDefault="00D840DA" w:rsidP="00D840DA">
      <w:pPr>
        <w:rPr>
          <w:rFonts w:eastAsia="Times New Roman"/>
          <w:lang w:val="es-CR"/>
        </w:rPr>
      </w:pPr>
    </w:p>
    <w:p w14:paraId="38E9BED9" w14:textId="66BF7116" w:rsidR="00F61EAB" w:rsidRPr="00E1125C" w:rsidRDefault="00D46614" w:rsidP="00D840DA">
      <w:pPr>
        <w:rPr>
          <w:rFonts w:eastAsia="Times New Roman"/>
          <w:lang w:val="es-CR"/>
        </w:rPr>
      </w:pPr>
      <w:r w:rsidRPr="00E1125C">
        <w:rPr>
          <w:rFonts w:eastAsia="Times New Roman"/>
          <w:lang w:val="es-CR"/>
        </w:rPr>
        <w:t xml:space="preserve">Izurieta, </w:t>
      </w:r>
      <w:r w:rsidR="008610C0" w:rsidRPr="00E1125C">
        <w:rPr>
          <w:rFonts w:eastAsia="Times New Roman"/>
          <w:lang w:val="es-CR"/>
        </w:rPr>
        <w:t>Carlos,</w:t>
      </w:r>
      <w:r w:rsidR="005D2B80" w:rsidRPr="00E1125C">
        <w:rPr>
          <w:rFonts w:eastAsia="Times New Roman"/>
          <w:lang w:val="es-CR"/>
        </w:rPr>
        <w:t xml:space="preserve"> A,</w:t>
      </w:r>
      <w:r w:rsidR="008610C0" w:rsidRPr="00E1125C">
        <w:rPr>
          <w:rFonts w:eastAsia="Times New Roman"/>
          <w:lang w:val="es-CR"/>
        </w:rPr>
        <w:t xml:space="preserve"> 198</w:t>
      </w:r>
      <w:r w:rsidR="00007C52" w:rsidRPr="00E1125C">
        <w:rPr>
          <w:rFonts w:eastAsia="Times New Roman"/>
          <w:lang w:val="es-CR"/>
        </w:rPr>
        <w:t>2</w:t>
      </w:r>
      <w:r w:rsidR="008610C0" w:rsidRPr="00E1125C">
        <w:rPr>
          <w:rFonts w:eastAsia="Times New Roman"/>
          <w:lang w:val="es-CR"/>
        </w:rPr>
        <w:t>,</w:t>
      </w:r>
      <w:r w:rsidR="00F61EAB" w:rsidRPr="00E1125C">
        <w:rPr>
          <w:rFonts w:eastAsia="Times New Roman"/>
          <w:lang w:val="es-CR"/>
        </w:rPr>
        <w:t xml:space="preserve"> </w:t>
      </w:r>
      <w:r w:rsidR="00F27049" w:rsidRPr="00E1125C">
        <w:rPr>
          <w:rFonts w:eastAsia="Times New Roman"/>
          <w:lang w:val="es-CR"/>
        </w:rPr>
        <w:t>“</w:t>
      </w:r>
      <w:r w:rsidR="00F61EAB" w:rsidRPr="00E1125C">
        <w:rPr>
          <w:rFonts w:eastAsia="Times New Roman"/>
          <w:lang w:val="es-CR"/>
        </w:rPr>
        <w:t>La concentració</w:t>
      </w:r>
      <w:r w:rsidR="00E35F23" w:rsidRPr="00E1125C">
        <w:rPr>
          <w:rFonts w:eastAsia="Times New Roman"/>
          <w:lang w:val="es-CR"/>
        </w:rPr>
        <w:t>n</w:t>
      </w:r>
      <w:r w:rsidR="00F61EAB" w:rsidRPr="00E1125C">
        <w:rPr>
          <w:rFonts w:eastAsia="Times New Roman"/>
          <w:lang w:val="es-CR"/>
        </w:rPr>
        <w:t xml:space="preserve"> in</w:t>
      </w:r>
      <w:r w:rsidR="00716CFC" w:rsidRPr="00E1125C">
        <w:rPr>
          <w:rFonts w:eastAsia="Times New Roman"/>
          <w:lang w:val="es-CR"/>
        </w:rPr>
        <w:t>d</w:t>
      </w:r>
      <w:r w:rsidR="00F61EAB" w:rsidRPr="00E1125C">
        <w:rPr>
          <w:rFonts w:eastAsia="Times New Roman"/>
          <w:lang w:val="es-CR"/>
        </w:rPr>
        <w:t>ustrial en Costa Rica</w:t>
      </w:r>
      <w:r w:rsidR="00716CFC" w:rsidRPr="00E1125C">
        <w:rPr>
          <w:rFonts w:eastAsia="Times New Roman"/>
          <w:lang w:val="es-CR"/>
        </w:rPr>
        <w:t xml:space="preserve">, </w:t>
      </w:r>
      <w:r w:rsidR="00DF38FC" w:rsidRPr="00E1125C">
        <w:rPr>
          <w:rFonts w:eastAsia="Times New Roman"/>
          <w:lang w:val="es-CR"/>
        </w:rPr>
        <w:t>(</w:t>
      </w:r>
      <w:r w:rsidR="00716CFC" w:rsidRPr="00E1125C">
        <w:rPr>
          <w:rFonts w:eastAsia="Times New Roman"/>
          <w:lang w:val="es-CR"/>
        </w:rPr>
        <w:t>1964,19</w:t>
      </w:r>
      <w:r w:rsidR="00DF38FC" w:rsidRPr="00E1125C">
        <w:rPr>
          <w:rFonts w:eastAsia="Times New Roman"/>
          <w:lang w:val="es-CR"/>
        </w:rPr>
        <w:t>75)</w:t>
      </w:r>
      <w:r w:rsidR="00EF1561" w:rsidRPr="00E1125C">
        <w:rPr>
          <w:rFonts w:eastAsia="Times New Roman"/>
          <w:lang w:val="es-CR"/>
        </w:rPr>
        <w:t xml:space="preserve">, </w:t>
      </w:r>
      <w:r w:rsidR="00F27049" w:rsidRPr="00E1125C">
        <w:rPr>
          <w:rFonts w:eastAsia="Times New Roman"/>
          <w:i/>
          <w:iCs/>
          <w:lang w:val="es-CR"/>
        </w:rPr>
        <w:t>Comercio Exterior</w:t>
      </w:r>
      <w:r w:rsidR="00F27049" w:rsidRPr="00E1125C">
        <w:rPr>
          <w:rFonts w:eastAsia="Times New Roman"/>
          <w:lang w:val="es-CR"/>
        </w:rPr>
        <w:t>, vol. 32, núm. 12, México</w:t>
      </w:r>
      <w:r w:rsidR="00BB26D8" w:rsidRPr="00E1125C">
        <w:rPr>
          <w:rFonts w:eastAsia="Times New Roman"/>
          <w:lang w:val="es-CR"/>
        </w:rPr>
        <w:t xml:space="preserve">, </w:t>
      </w:r>
      <w:r w:rsidR="00F27049" w:rsidRPr="00E1125C">
        <w:rPr>
          <w:rFonts w:eastAsia="Times New Roman"/>
          <w:lang w:val="es-CR"/>
        </w:rPr>
        <w:t>diciembre</w:t>
      </w:r>
      <w:r w:rsidR="00BB26D8" w:rsidRPr="00E1125C">
        <w:rPr>
          <w:rFonts w:eastAsia="Times New Roman"/>
          <w:lang w:val="es-CR"/>
        </w:rPr>
        <w:t xml:space="preserve"> </w:t>
      </w:r>
      <w:r w:rsidR="00F27049" w:rsidRPr="00E1125C">
        <w:rPr>
          <w:rFonts w:eastAsia="Times New Roman"/>
          <w:lang w:val="es-CR"/>
        </w:rPr>
        <w:t>de 1982, pp. 1346-1357</w:t>
      </w:r>
      <w:r w:rsidR="004933B7" w:rsidRPr="00E1125C">
        <w:rPr>
          <w:rFonts w:eastAsia="Times New Roman"/>
          <w:lang w:val="es-CR"/>
        </w:rPr>
        <w:t>.</w:t>
      </w:r>
    </w:p>
    <w:p w14:paraId="596241F7" w14:textId="6384FB40" w:rsidR="004933B7" w:rsidRPr="00E1125C" w:rsidRDefault="00000000" w:rsidP="00D840DA">
      <w:pPr>
        <w:rPr>
          <w:rFonts w:eastAsia="Times New Roman"/>
          <w:lang w:val="es-CR"/>
        </w:rPr>
      </w:pPr>
      <w:hyperlink r:id="rId23" w:history="1">
        <w:r w:rsidR="008C0B8A" w:rsidRPr="00E1125C">
          <w:rPr>
            <w:rStyle w:val="Hipervnculo"/>
            <w:rFonts w:eastAsia="Times New Roman"/>
            <w:color w:val="auto"/>
            <w:lang w:val="es-CR"/>
          </w:rPr>
          <w:t>https://www.google.com/url?q=http://revistas.bancomext.gob.mx/rce/magazines/666/9/RCE9.pdf&amp;sa=U&amp;ved=2ahUKEwj28I3e64T5AhUPacAKHcaaBcEQFnoECAoQAg&amp;usg=AOvVaw02dg0RXVCs_qLEG7oWCZcW</w:t>
        </w:r>
      </w:hyperlink>
    </w:p>
    <w:p w14:paraId="1451174C" w14:textId="46069A1E" w:rsidR="007749A4" w:rsidRPr="00E1125C" w:rsidRDefault="00657802" w:rsidP="00D840DA">
      <w:pPr>
        <w:rPr>
          <w:rFonts w:eastAsia="Times New Roman"/>
          <w:lang w:val="es-CR"/>
        </w:rPr>
      </w:pPr>
      <w:r w:rsidRPr="00E1125C">
        <w:rPr>
          <w:rFonts w:eastAsia="Times New Roman"/>
          <w:lang w:val="es-CR"/>
        </w:rPr>
        <w:t xml:space="preserve"> </w:t>
      </w:r>
    </w:p>
    <w:p w14:paraId="3073543A" w14:textId="4709ACFF" w:rsidR="00CF3BED" w:rsidRPr="00E1125C" w:rsidRDefault="00AB24E5" w:rsidP="002B6B70">
      <w:pPr>
        <w:rPr>
          <w:rFonts w:eastAsia="Times New Roman"/>
        </w:rPr>
      </w:pPr>
      <w:r w:rsidRPr="00E1125C">
        <w:rPr>
          <w:rFonts w:eastAsia="Times New Roman"/>
        </w:rPr>
        <w:t>-</w:t>
      </w:r>
      <w:r w:rsidR="00CF3BED" w:rsidRPr="00E1125C">
        <w:rPr>
          <w:rFonts w:eastAsia="Times New Roman"/>
        </w:rPr>
        <w:t xml:space="preserve">Medina, Fernando, 2001, “Consideraciones sobre el índice de Gini para medir la concentración del ingreso”, </w:t>
      </w:r>
      <w:r w:rsidR="00CF3BED" w:rsidRPr="00E1125C">
        <w:rPr>
          <w:rFonts w:eastAsia="Times New Roman"/>
          <w:i/>
          <w:iCs/>
        </w:rPr>
        <w:t>Estudios Estadísticas y Prospectivos</w:t>
      </w:r>
      <w:r w:rsidR="00CF3BED" w:rsidRPr="00E1125C">
        <w:rPr>
          <w:rFonts w:eastAsia="Times New Roman"/>
        </w:rPr>
        <w:t>, División estadística y Proyecciones económicas, CEPAL, Santiago de Chile.</w:t>
      </w:r>
      <w:r w:rsidR="001B352E" w:rsidRPr="00E1125C">
        <w:rPr>
          <w:rFonts w:eastAsia="Times New Roman"/>
        </w:rPr>
        <w:t xml:space="preserve"> </w:t>
      </w:r>
      <w:hyperlink r:id="rId24" w:history="1">
        <w:r w:rsidR="001B352E" w:rsidRPr="00E1125C">
          <w:rPr>
            <w:rStyle w:val="Hipervnculo"/>
            <w:rFonts w:eastAsia="Times New Roman"/>
            <w:color w:val="auto"/>
          </w:rPr>
          <w:t>https://repositorio.cepal.org/bitstream/handle/11362/4788/S01020119_es.pdf?sequence=1</w:t>
        </w:r>
      </w:hyperlink>
    </w:p>
    <w:p w14:paraId="3CEC3B74" w14:textId="77777777" w:rsidR="00CF3BED" w:rsidRPr="00E1125C" w:rsidRDefault="00CF3BED" w:rsidP="00CF3BED">
      <w:pPr>
        <w:rPr>
          <w:rFonts w:eastAsia="Times New Roman"/>
        </w:rPr>
      </w:pPr>
    </w:p>
    <w:p w14:paraId="20BD7648" w14:textId="2638E253" w:rsidR="006A0CCE" w:rsidRPr="00E1125C" w:rsidRDefault="002B6B70" w:rsidP="002B6B70">
      <w:pPr>
        <w:rPr>
          <w:rFonts w:eastAsia="Times New Roman"/>
        </w:rPr>
      </w:pPr>
      <w:r w:rsidRPr="00E1125C">
        <w:rPr>
          <w:rFonts w:eastAsia="Times New Roman"/>
        </w:rPr>
        <w:t>-</w:t>
      </w:r>
      <w:r w:rsidR="00FB7FE5" w:rsidRPr="00E1125C">
        <w:rPr>
          <w:rFonts w:eastAsia="Times New Roman"/>
        </w:rPr>
        <w:t>Reuben</w:t>
      </w:r>
      <w:r w:rsidR="00283B1B" w:rsidRPr="00E1125C">
        <w:rPr>
          <w:rFonts w:eastAsia="Times New Roman"/>
        </w:rPr>
        <w:t>-Soto</w:t>
      </w:r>
      <w:r w:rsidR="00FB7FE5" w:rsidRPr="00E1125C">
        <w:rPr>
          <w:rFonts w:eastAsia="Times New Roman"/>
        </w:rPr>
        <w:t xml:space="preserve">, Sergio, 2008, </w:t>
      </w:r>
      <w:r w:rsidR="008F05AC" w:rsidRPr="00E1125C">
        <w:rPr>
          <w:rFonts w:eastAsia="Times New Roman"/>
        </w:rPr>
        <w:t xml:space="preserve">“La crisis económica actual: una visión desde la economía política”, </w:t>
      </w:r>
      <w:r w:rsidR="008F05AC" w:rsidRPr="00E1125C">
        <w:rPr>
          <w:rFonts w:eastAsia="Times New Roman"/>
          <w:i/>
          <w:iCs/>
        </w:rPr>
        <w:t>Revista Ciencias Económicas,</w:t>
      </w:r>
      <w:r w:rsidR="008F05AC" w:rsidRPr="00E1125C">
        <w:rPr>
          <w:rFonts w:eastAsia="Times New Roman"/>
        </w:rPr>
        <w:t xml:space="preserve"> Vol.26, N°2, segundo semestre de 2008, pp.71-103, Facultad de Ciencias Económicas, Universidad de Costa Rica,</w:t>
      </w:r>
    </w:p>
    <w:p w14:paraId="42CED3ED" w14:textId="1B1A1CE9" w:rsidR="00CE1952" w:rsidRPr="00E1125C" w:rsidRDefault="00000000" w:rsidP="00CE1952">
      <w:hyperlink r:id="rId25" w:history="1">
        <w:r w:rsidR="00CE1952" w:rsidRPr="00E1125C">
          <w:rPr>
            <w:rStyle w:val="Hipervnculo"/>
            <w:color w:val="auto"/>
          </w:rPr>
          <w:t>http://revistas.ucr.ac.cr/index.php/economicas/article/view/7138/6822</w:t>
        </w:r>
      </w:hyperlink>
      <w:r w:rsidR="00CE1952" w:rsidRPr="00E1125C">
        <w:t>.</w:t>
      </w:r>
    </w:p>
    <w:p w14:paraId="04D6ADD3" w14:textId="77777777" w:rsidR="00CE1952" w:rsidRPr="00E1125C" w:rsidRDefault="00CE1952" w:rsidP="00CE1952">
      <w:pPr>
        <w:rPr>
          <w:rFonts w:eastAsia="Times New Roman"/>
        </w:rPr>
      </w:pPr>
    </w:p>
    <w:p w14:paraId="2AD80851" w14:textId="6F4F4771" w:rsidR="006A0CCE" w:rsidRPr="00E1125C" w:rsidRDefault="003A4963" w:rsidP="002B6B70">
      <w:pPr>
        <w:rPr>
          <w:rFonts w:eastAsia="Times New Roman"/>
        </w:rPr>
      </w:pPr>
      <w:r w:rsidRPr="00E1125C">
        <w:rPr>
          <w:rFonts w:eastAsia="Times New Roman"/>
        </w:rPr>
        <w:t>–</w:t>
      </w:r>
      <w:r w:rsidR="00FB7FE5" w:rsidRPr="00E1125C">
        <w:rPr>
          <w:rFonts w:eastAsia="Times New Roman"/>
        </w:rPr>
        <w:t>Reuben</w:t>
      </w:r>
      <w:r w:rsidR="00283B1B" w:rsidRPr="00E1125C">
        <w:rPr>
          <w:rFonts w:eastAsia="Times New Roman"/>
        </w:rPr>
        <w:t>-Soto</w:t>
      </w:r>
      <w:r w:rsidR="006A0CCE" w:rsidRPr="00E1125C">
        <w:rPr>
          <w:rFonts w:eastAsia="Times New Roman"/>
        </w:rPr>
        <w:t xml:space="preserve">, Sergio, </w:t>
      </w:r>
      <w:r w:rsidRPr="00E1125C">
        <w:rPr>
          <w:rFonts w:eastAsia="Times New Roman"/>
        </w:rPr>
        <w:t xml:space="preserve">2012, </w:t>
      </w:r>
      <w:r w:rsidR="006A0CCE" w:rsidRPr="00E1125C">
        <w:rPr>
          <w:rFonts w:eastAsia="Times New Roman"/>
        </w:rPr>
        <w:t>“Fundamentos hipotéticos para investigar la crisis económica contemporánea</w:t>
      </w:r>
      <w:r w:rsidR="006A0CCE" w:rsidRPr="00E1125C">
        <w:rPr>
          <w:rFonts w:eastAsia="Times New Roman"/>
          <w:i/>
          <w:iCs/>
        </w:rPr>
        <w:t>”, Revista Ciencias Económicas,</w:t>
      </w:r>
      <w:r w:rsidR="006A0CCE" w:rsidRPr="00E1125C">
        <w:rPr>
          <w:rFonts w:eastAsia="Times New Roman"/>
        </w:rPr>
        <w:t xml:space="preserve"> Vol.30, N°2, pp. 89-130, segundo semestre de 2012, Facultad de Ciencias Económicas, Universidad de Costa Rica.</w:t>
      </w:r>
    </w:p>
    <w:p w14:paraId="3CC3CA5E" w14:textId="6BD392FE" w:rsidR="006A0CCE" w:rsidRPr="00E1125C" w:rsidRDefault="00000000" w:rsidP="00CE1952">
      <w:pPr>
        <w:rPr>
          <w:rFonts w:eastAsia="Times New Roman"/>
        </w:rPr>
      </w:pPr>
      <w:hyperlink r:id="rId26" w:history="1">
        <w:r w:rsidR="00CE1952" w:rsidRPr="00E1125C">
          <w:rPr>
            <w:rStyle w:val="Hipervnculo"/>
            <w:rFonts w:eastAsia="Times New Roman"/>
            <w:color w:val="auto"/>
          </w:rPr>
          <w:t>http://revistas.ucr.ac.cr/index.php/economicas/article/download/8008/7630</w:t>
        </w:r>
      </w:hyperlink>
      <w:r w:rsidR="00CE1952" w:rsidRPr="00E1125C">
        <w:rPr>
          <w:rFonts w:eastAsia="Times New Roman"/>
        </w:rPr>
        <w:t>.</w:t>
      </w:r>
    </w:p>
    <w:p w14:paraId="3EB8F097" w14:textId="77777777" w:rsidR="00CE1952" w:rsidRPr="00E1125C" w:rsidRDefault="00CE1952" w:rsidP="00CE1952">
      <w:pPr>
        <w:rPr>
          <w:rFonts w:eastAsia="Times New Roman"/>
        </w:rPr>
      </w:pPr>
    </w:p>
    <w:p w14:paraId="4BCF1EAB" w14:textId="4F74B5B8" w:rsidR="003A4963" w:rsidRPr="00E1125C" w:rsidRDefault="003A4963" w:rsidP="002B6B70">
      <w:pPr>
        <w:rPr>
          <w:rFonts w:eastAsia="Times New Roman"/>
        </w:rPr>
      </w:pPr>
      <w:r w:rsidRPr="00E1125C">
        <w:rPr>
          <w:rFonts w:eastAsia="Times New Roman"/>
        </w:rPr>
        <w:t>–</w:t>
      </w:r>
      <w:r w:rsidR="006A0CCE" w:rsidRPr="00E1125C">
        <w:rPr>
          <w:rFonts w:eastAsia="Times New Roman"/>
        </w:rPr>
        <w:t>Reuben</w:t>
      </w:r>
      <w:r w:rsidR="00283B1B" w:rsidRPr="00E1125C">
        <w:rPr>
          <w:rFonts w:eastAsia="Times New Roman"/>
        </w:rPr>
        <w:t>-Soto</w:t>
      </w:r>
      <w:r w:rsidRPr="00E1125C">
        <w:rPr>
          <w:rFonts w:eastAsia="Times New Roman"/>
        </w:rPr>
        <w:t xml:space="preserve">, Sergio, 2018 “El capital a escala global-nacional y el malestar de las naciones”, </w:t>
      </w:r>
      <w:r w:rsidRPr="00E1125C">
        <w:rPr>
          <w:rFonts w:eastAsia="Times New Roman"/>
          <w:i/>
          <w:iCs/>
        </w:rPr>
        <w:t>Revista de Ciencias Sociales</w:t>
      </w:r>
      <w:r w:rsidRPr="00E1125C">
        <w:rPr>
          <w:rFonts w:eastAsia="Times New Roman"/>
        </w:rPr>
        <w:t xml:space="preserve">, </w:t>
      </w:r>
      <w:proofErr w:type="spellStart"/>
      <w:r w:rsidRPr="00E1125C">
        <w:rPr>
          <w:rFonts w:eastAsia="Times New Roman"/>
        </w:rPr>
        <w:t>N°</w:t>
      </w:r>
      <w:proofErr w:type="spellEnd"/>
      <w:r w:rsidRPr="00E1125C">
        <w:rPr>
          <w:rFonts w:eastAsia="Times New Roman"/>
        </w:rPr>
        <w:t xml:space="preserve"> 162, IV, 2018, pp. 107-115, Universidad de Costa Rica, San José.</w:t>
      </w:r>
    </w:p>
    <w:p w14:paraId="63D86EDE" w14:textId="1AD4E6BC" w:rsidR="003A4963" w:rsidRPr="00E1125C" w:rsidRDefault="00000000" w:rsidP="00CE1952">
      <w:pPr>
        <w:rPr>
          <w:rFonts w:eastAsia="Times New Roman"/>
          <w:lang w:val="en-US"/>
        </w:rPr>
      </w:pPr>
      <w:hyperlink r:id="rId27" w:history="1">
        <w:r w:rsidR="00CE1952" w:rsidRPr="00E1125C">
          <w:rPr>
            <w:rStyle w:val="Hipervnculo"/>
            <w:rFonts w:eastAsia="Times New Roman"/>
            <w:color w:val="auto"/>
            <w:lang w:val="en-US"/>
          </w:rPr>
          <w:t>https://revistas.ucr.ac.cr/index.php/sociales/article/view/36585</w:t>
        </w:r>
      </w:hyperlink>
      <w:r w:rsidR="003A4963" w:rsidRPr="00E1125C">
        <w:rPr>
          <w:rFonts w:eastAsia="Times New Roman"/>
          <w:lang w:val="en-US"/>
        </w:rPr>
        <w:t xml:space="preserve"> , enlace </w:t>
      </w:r>
      <w:proofErr w:type="spellStart"/>
      <w:r w:rsidR="003A4963" w:rsidRPr="00E1125C">
        <w:rPr>
          <w:rFonts w:eastAsia="Times New Roman"/>
          <w:lang w:val="en-US"/>
        </w:rPr>
        <w:t>Kerwá</w:t>
      </w:r>
      <w:proofErr w:type="spellEnd"/>
      <w:r w:rsidR="003A4963" w:rsidRPr="00E1125C">
        <w:rPr>
          <w:rFonts w:eastAsia="Times New Roman"/>
          <w:lang w:val="en-US"/>
        </w:rPr>
        <w:t>:</w:t>
      </w:r>
    </w:p>
    <w:p w14:paraId="42110628" w14:textId="390E4CC4" w:rsidR="003A4963" w:rsidRPr="00E1125C" w:rsidRDefault="00000000" w:rsidP="00CE1952">
      <w:pPr>
        <w:rPr>
          <w:rStyle w:val="Hipervnculo"/>
          <w:rFonts w:eastAsia="Times New Roman"/>
          <w:color w:val="auto"/>
        </w:rPr>
      </w:pPr>
      <w:hyperlink r:id="rId28" w:history="1">
        <w:r w:rsidR="00CE1952" w:rsidRPr="00E1125C">
          <w:rPr>
            <w:rStyle w:val="Hipervnculo"/>
            <w:rFonts w:eastAsia="Times New Roman"/>
            <w:color w:val="auto"/>
          </w:rPr>
          <w:t>http://hdl.handle.net/10669/77359</w:t>
        </w:r>
      </w:hyperlink>
    </w:p>
    <w:p w14:paraId="74A3DCFB" w14:textId="4D618AF5" w:rsidR="00C47DA5" w:rsidRPr="00E1125C" w:rsidRDefault="00C47DA5" w:rsidP="00CE1952">
      <w:pPr>
        <w:rPr>
          <w:rStyle w:val="Hipervnculo"/>
          <w:rFonts w:eastAsia="Times New Roman"/>
          <w:color w:val="auto"/>
        </w:rPr>
      </w:pPr>
    </w:p>
    <w:p w14:paraId="157B3250" w14:textId="3652FFD1" w:rsidR="00C47DA5" w:rsidRPr="00E1125C" w:rsidRDefault="00C47DA5" w:rsidP="00C47DA5">
      <w:r w:rsidRPr="00E1125C">
        <w:t>Reuben, Soto, Sergio, 2019a“</w:t>
      </w:r>
      <w:hyperlink r:id="rId29" w:history="1">
        <w:r w:rsidRPr="00E1125C">
          <w:rPr>
            <w:rStyle w:val="Hipervnculo"/>
            <w:color w:val="auto"/>
            <w:u w:val="none"/>
          </w:rPr>
          <w:t>Algunas consideraciones desde la perspectiva de las ciencias económicas al voto 18-019511 de la Sala Constitucional sobre el Proyecto de ley con #20.580 del expediente legislativo.</w:t>
        </w:r>
      </w:hyperlink>
      <w:r w:rsidRPr="00E1125C">
        <w:t>”</w:t>
      </w:r>
    </w:p>
    <w:p w14:paraId="321CC9EC" w14:textId="292CBB49" w:rsidR="00C47DA5" w:rsidRPr="00E1125C" w:rsidRDefault="00000000" w:rsidP="00CE1952">
      <w:pPr>
        <w:rPr>
          <w:rFonts w:eastAsia="Times New Roman"/>
        </w:rPr>
      </w:pPr>
      <w:hyperlink r:id="rId30" w:history="1">
        <w:r w:rsidR="00C47DA5" w:rsidRPr="00E1125C">
          <w:rPr>
            <w:rStyle w:val="Hipervnculo"/>
            <w:color w:val="auto"/>
          </w:rPr>
          <w:t>Algunas consideraciones desde la perspectiva de las ciencias económicas al voto 18-019511 de la Sala Constitucional sobre el Proyecto de ley con #20.580 del expediente legislativo.</w:t>
        </w:r>
      </w:hyperlink>
    </w:p>
    <w:p w14:paraId="039FE26C" w14:textId="77777777" w:rsidR="00CE1952" w:rsidRPr="00E1125C" w:rsidRDefault="00CE1952" w:rsidP="00CE1952">
      <w:pPr>
        <w:rPr>
          <w:rFonts w:eastAsia="Times New Roman"/>
        </w:rPr>
      </w:pPr>
    </w:p>
    <w:p w14:paraId="3AC429F5" w14:textId="305F7A6A" w:rsidR="003A4963" w:rsidRPr="00E1125C" w:rsidRDefault="003A4963" w:rsidP="002B6B70">
      <w:pPr>
        <w:rPr>
          <w:rFonts w:eastAsia="Times New Roman"/>
        </w:rPr>
      </w:pPr>
      <w:r w:rsidRPr="00E1125C">
        <w:rPr>
          <w:rFonts w:eastAsia="Times New Roman"/>
        </w:rPr>
        <w:t>–Reuben</w:t>
      </w:r>
      <w:r w:rsidR="00283B1B" w:rsidRPr="00E1125C">
        <w:rPr>
          <w:rFonts w:eastAsia="Times New Roman"/>
        </w:rPr>
        <w:t>-Soto</w:t>
      </w:r>
      <w:r w:rsidRPr="00E1125C">
        <w:rPr>
          <w:rFonts w:eastAsia="Times New Roman"/>
        </w:rPr>
        <w:t>, Sergio, 2019</w:t>
      </w:r>
      <w:r w:rsidR="00C47DA5" w:rsidRPr="00E1125C">
        <w:rPr>
          <w:rFonts w:eastAsia="Times New Roman"/>
        </w:rPr>
        <w:t>b</w:t>
      </w:r>
      <w:r w:rsidRPr="00E1125C">
        <w:rPr>
          <w:rFonts w:eastAsia="Times New Roman"/>
        </w:rPr>
        <w:t xml:space="preserve">, “La acumulación de capital trasgresora de la organización económica”, </w:t>
      </w:r>
      <w:r w:rsidRPr="00E1125C">
        <w:rPr>
          <w:rFonts w:eastAsia="Times New Roman"/>
          <w:i/>
          <w:iCs/>
        </w:rPr>
        <w:t>Revista de Economía Coyuntural,</w:t>
      </w:r>
      <w:r w:rsidRPr="00E1125C">
        <w:rPr>
          <w:rFonts w:eastAsia="Times New Roman"/>
        </w:rPr>
        <w:t xml:space="preserve"> No.3, Vol.4, julio-septiembre, 2019, Instituto de Investigaciones Económicas y Sociales “José Ortiz Mercado”, Santa Cruz de la Sierra, pp.57-110.</w:t>
      </w:r>
    </w:p>
    <w:p w14:paraId="3BFE1EE3" w14:textId="3D7295A7" w:rsidR="00283B1B" w:rsidRPr="00E1125C" w:rsidRDefault="00000000" w:rsidP="00CE1952">
      <w:hyperlink r:id="rId31" w:history="1">
        <w:r w:rsidR="00CE1952" w:rsidRPr="00E1125C">
          <w:rPr>
            <w:rStyle w:val="Hipervnculo"/>
            <w:color w:val="auto"/>
          </w:rPr>
          <w:t>https://www.iies.uagrm.edu.bo/wp-content/uploads/2019/09/Economia-Coyuntural-VOL.4-NRO.3-2019-3.LA-ACUMULACI%C3%93N-DE-CAPITAL.pdf</w:t>
        </w:r>
      </w:hyperlink>
      <w:r w:rsidR="00CE1952" w:rsidRPr="00E1125C">
        <w:t>.</w:t>
      </w:r>
    </w:p>
    <w:p w14:paraId="2E790308" w14:textId="73761163" w:rsidR="004607B8" w:rsidRPr="00E1125C" w:rsidRDefault="004607B8" w:rsidP="00CE1952">
      <w:pPr>
        <w:rPr>
          <w:rFonts w:eastAsia="Times New Roman"/>
        </w:rPr>
      </w:pPr>
    </w:p>
    <w:p w14:paraId="4ADED969" w14:textId="0E5C5EDA" w:rsidR="00AB645D" w:rsidRPr="00E1125C" w:rsidRDefault="004607B8" w:rsidP="00CE1952">
      <w:pPr>
        <w:rPr>
          <w:rFonts w:eastAsia="Times New Roman"/>
        </w:rPr>
      </w:pPr>
      <w:r w:rsidRPr="00E1125C">
        <w:rPr>
          <w:rFonts w:eastAsia="Times New Roman"/>
        </w:rPr>
        <w:t xml:space="preserve">-Reuben-Soto, Sergio, 2020a, “Los paradigmas de la economía y el liberalismo económico”, </w:t>
      </w:r>
      <w:r w:rsidRPr="00E1125C">
        <w:rPr>
          <w:rFonts w:eastAsia="Times New Roman"/>
          <w:i/>
          <w:iCs/>
        </w:rPr>
        <w:t>Oikos-Polis Revista latinoamericana de Ciencias Económicas</w:t>
      </w:r>
      <w:r w:rsidRPr="00E1125C">
        <w:rPr>
          <w:rFonts w:eastAsia="Times New Roman"/>
        </w:rPr>
        <w:t xml:space="preserve"> </w:t>
      </w:r>
      <w:r w:rsidRPr="00E1125C">
        <w:rPr>
          <w:rFonts w:eastAsia="Times New Roman"/>
          <w:i/>
          <w:iCs/>
        </w:rPr>
        <w:t>y Sociales,</w:t>
      </w:r>
      <w:r w:rsidR="00AB645D" w:rsidRPr="00E1125C">
        <w:rPr>
          <w:rFonts w:eastAsia="Times New Roman"/>
        </w:rPr>
        <w:t xml:space="preserve"> Vol. 5, No.2, pp.1-20,</w:t>
      </w:r>
      <w:r w:rsidRPr="00E1125C">
        <w:rPr>
          <w:rFonts w:eastAsia="Times New Roman"/>
        </w:rPr>
        <w:t xml:space="preserve"> Institu</w:t>
      </w:r>
      <w:r w:rsidR="00AB645D" w:rsidRPr="00E1125C">
        <w:rPr>
          <w:rFonts w:eastAsia="Times New Roman"/>
        </w:rPr>
        <w:t>to de Investigaciones Económicas y Sociales “Andrés Ortiz Mercado”, Universidad de la Cierra, San Cruz.</w:t>
      </w:r>
    </w:p>
    <w:p w14:paraId="10F7B83D" w14:textId="428613C8" w:rsidR="00AB645D" w:rsidRPr="00E1125C" w:rsidRDefault="00000000" w:rsidP="00CE1952">
      <w:pPr>
        <w:rPr>
          <w:rFonts w:eastAsia="Times New Roman"/>
        </w:rPr>
      </w:pPr>
      <w:hyperlink r:id="rId32" w:history="1">
        <w:r w:rsidR="00AB645D" w:rsidRPr="00E1125C">
          <w:rPr>
            <w:rStyle w:val="Hipervnculo"/>
            <w:rFonts w:eastAsia="Times New Roman"/>
            <w:color w:val="auto"/>
          </w:rPr>
          <w:t>https://www.iies.uagrm.edu.bo/vol-5-no2-2020-los-paradigmas-de-la-economia-y-el-neoliberalismo-economico/</w:t>
        </w:r>
      </w:hyperlink>
    </w:p>
    <w:p w14:paraId="41E1A31E" w14:textId="1D7FCCC1" w:rsidR="004607B8" w:rsidRPr="00E1125C" w:rsidRDefault="00AB645D" w:rsidP="00CE1952">
      <w:pPr>
        <w:rPr>
          <w:rFonts w:eastAsia="Times New Roman"/>
        </w:rPr>
      </w:pPr>
      <w:r w:rsidRPr="00E1125C">
        <w:rPr>
          <w:rFonts w:eastAsia="Times New Roman"/>
        </w:rPr>
        <w:t xml:space="preserve"> </w:t>
      </w:r>
    </w:p>
    <w:p w14:paraId="77E10FA0" w14:textId="62476E0E" w:rsidR="00CE1952" w:rsidRPr="00E1125C" w:rsidRDefault="002B6B70" w:rsidP="002B6B70">
      <w:pPr>
        <w:rPr>
          <w:rFonts w:eastAsia="Times New Roman"/>
        </w:rPr>
      </w:pPr>
      <w:r w:rsidRPr="00E1125C">
        <w:rPr>
          <w:rFonts w:eastAsia="Times New Roman"/>
        </w:rPr>
        <w:t>-</w:t>
      </w:r>
      <w:r w:rsidR="00283B1B" w:rsidRPr="00E1125C">
        <w:rPr>
          <w:rFonts w:eastAsia="Times New Roman"/>
        </w:rPr>
        <w:t>Reuben-Soto, Sergio, 2020</w:t>
      </w:r>
      <w:r w:rsidR="00AB645D" w:rsidRPr="00E1125C">
        <w:rPr>
          <w:rFonts w:eastAsia="Times New Roman"/>
        </w:rPr>
        <w:t>b</w:t>
      </w:r>
      <w:r w:rsidR="00283B1B" w:rsidRPr="00E1125C">
        <w:rPr>
          <w:rFonts w:eastAsia="Times New Roman"/>
        </w:rPr>
        <w:t xml:space="preserve">, “Racionalidad Capitalista y principio económico”, </w:t>
      </w:r>
      <w:r w:rsidR="00283B1B" w:rsidRPr="00E1125C">
        <w:rPr>
          <w:rFonts w:eastAsia="Times New Roman"/>
          <w:i/>
          <w:iCs/>
        </w:rPr>
        <w:t>Revista de Ciencias Económicas</w:t>
      </w:r>
      <w:r w:rsidR="00283B1B" w:rsidRPr="00E1125C">
        <w:rPr>
          <w:rFonts w:eastAsia="Times New Roman"/>
        </w:rPr>
        <w:t>, Vol. 39, Núm., 1, (enero-junio), 2021, Instituto de Investigaciones Económicas de la Universidad de Costa Rica, pp. 57–70,</w:t>
      </w:r>
    </w:p>
    <w:p w14:paraId="09E0F7BD" w14:textId="6925627E" w:rsidR="008F05AC" w:rsidRPr="00E1125C" w:rsidRDefault="00000000" w:rsidP="00CE1952">
      <w:pPr>
        <w:rPr>
          <w:rFonts w:eastAsia="Times New Roman"/>
        </w:rPr>
      </w:pPr>
      <w:hyperlink r:id="rId33" w:history="1">
        <w:r w:rsidR="00CE1952" w:rsidRPr="00E1125C">
          <w:rPr>
            <w:rStyle w:val="Hipervnculo"/>
            <w:rFonts w:eastAsia="Times New Roman"/>
            <w:color w:val="auto"/>
          </w:rPr>
          <w:t>https://revistas.ucr.ac.cr/index.php/conomicas/article/view/47629</w:t>
        </w:r>
      </w:hyperlink>
      <w:r w:rsidR="00283B1B" w:rsidRPr="00E1125C">
        <w:rPr>
          <w:rFonts w:eastAsia="Times New Roman"/>
        </w:rPr>
        <w:t>.</w:t>
      </w:r>
    </w:p>
    <w:p w14:paraId="5A407408" w14:textId="75B04533" w:rsidR="00576898" w:rsidRPr="00E1125C" w:rsidRDefault="00576898" w:rsidP="00CE1952">
      <w:pPr>
        <w:rPr>
          <w:rFonts w:eastAsia="Times New Roman"/>
        </w:rPr>
      </w:pPr>
    </w:p>
    <w:p w14:paraId="065B9DC2" w14:textId="1E51DB01" w:rsidR="00576898" w:rsidRPr="00E1125C" w:rsidRDefault="00F416C0" w:rsidP="00CE1952">
      <w:pPr>
        <w:rPr>
          <w:rFonts w:eastAsia="Times New Roman"/>
        </w:rPr>
      </w:pPr>
      <w:r w:rsidRPr="00E1125C">
        <w:rPr>
          <w:rFonts w:eastAsia="Times New Roman"/>
        </w:rPr>
        <w:t xml:space="preserve">-Rodríguez, Guillermo, </w:t>
      </w:r>
      <w:r w:rsidR="008576E1" w:rsidRPr="00E1125C">
        <w:rPr>
          <w:rFonts w:eastAsia="Times New Roman"/>
        </w:rPr>
        <w:t xml:space="preserve">“Las concentraciones extranjeras de agentes económicos con efectos </w:t>
      </w:r>
      <w:proofErr w:type="gramStart"/>
      <w:r w:rsidR="008576E1" w:rsidRPr="00E1125C">
        <w:rPr>
          <w:rFonts w:eastAsia="Times New Roman"/>
        </w:rPr>
        <w:t>anti competitivos</w:t>
      </w:r>
      <w:proofErr w:type="gramEnd"/>
      <w:r w:rsidR="008576E1" w:rsidRPr="00E1125C">
        <w:rPr>
          <w:rFonts w:eastAsia="Times New Roman"/>
        </w:rPr>
        <w:t xml:space="preserve"> en Costa Rica: Posibilidades reales de mitigar el efecto anti competitivo”</w:t>
      </w:r>
      <w:r w:rsidR="00D14192" w:rsidRPr="00E1125C">
        <w:rPr>
          <w:rFonts w:eastAsia="Times New Roman"/>
        </w:rPr>
        <w:t>, tesis para optar al grado de licenciatura en derecho, universidad de Costa Rica</w:t>
      </w:r>
      <w:r w:rsidR="00500ED7" w:rsidRPr="00E1125C">
        <w:rPr>
          <w:rFonts w:eastAsia="Times New Roman"/>
        </w:rPr>
        <w:t>.</w:t>
      </w:r>
    </w:p>
    <w:p w14:paraId="454B799F" w14:textId="73B09FBC" w:rsidR="002B5BCA" w:rsidRPr="00E1125C" w:rsidRDefault="00000000" w:rsidP="00CE1952">
      <w:pPr>
        <w:rPr>
          <w:rFonts w:eastAsia="Times New Roman"/>
        </w:rPr>
      </w:pPr>
      <w:hyperlink r:id="rId34" w:history="1">
        <w:r w:rsidR="00D46614" w:rsidRPr="00E1125C">
          <w:rPr>
            <w:rStyle w:val="Hipervnculo"/>
            <w:rFonts w:eastAsia="Times New Roman"/>
            <w:color w:val="auto"/>
          </w:rPr>
          <w:t>https://www.google.com/url?q=https://iij.ucr.ac.cr/wp-content/uploads/bsk-pdf-manager/2017/10/Las-concentraciones-extranjeras-de-agentes-econ%25C3%25B3micos-con-efectos-anti-competitivos-en-Costa-Rica.pdf&amp;sa=U&amp;ved=2ahUKEwjLoen_54T5AhUVQkEAHY4jAXwQFnoECAoQAg&amp;usg=AOvVaw06kkOJ9XHvjTP-aDIJKL70</w:t>
        </w:r>
      </w:hyperlink>
    </w:p>
    <w:p w14:paraId="67C414CA" w14:textId="49535AA3" w:rsidR="00D46614" w:rsidRPr="00E1125C" w:rsidRDefault="00D46614" w:rsidP="00CE1952">
      <w:pPr>
        <w:rPr>
          <w:rFonts w:eastAsia="Times New Roman"/>
        </w:rPr>
      </w:pPr>
    </w:p>
    <w:p w14:paraId="1DC90D10" w14:textId="6790A103" w:rsidR="0000634B" w:rsidRPr="00E1125C" w:rsidRDefault="0000634B" w:rsidP="00CE1952">
      <w:pPr>
        <w:rPr>
          <w:rFonts w:eastAsia="Times New Roman"/>
          <w:lang w:val="en-US"/>
        </w:rPr>
      </w:pPr>
      <w:proofErr w:type="spellStart"/>
      <w:r w:rsidRPr="00E1125C">
        <w:rPr>
          <w:rFonts w:eastAsia="Times New Roman"/>
          <w:lang w:val="en-US"/>
        </w:rPr>
        <w:t>Villalonga</w:t>
      </w:r>
      <w:proofErr w:type="spellEnd"/>
      <w:r w:rsidRPr="00E1125C">
        <w:rPr>
          <w:rFonts w:eastAsia="Times New Roman"/>
          <w:lang w:val="en-US"/>
        </w:rPr>
        <w:t xml:space="preserve">, </w:t>
      </w:r>
      <w:proofErr w:type="spellStart"/>
      <w:r w:rsidRPr="00E1125C">
        <w:rPr>
          <w:rFonts w:eastAsia="Times New Roman"/>
          <w:lang w:val="en-US"/>
        </w:rPr>
        <w:t>Belén</w:t>
      </w:r>
      <w:proofErr w:type="spellEnd"/>
      <w:r w:rsidRPr="00E1125C">
        <w:rPr>
          <w:rFonts w:eastAsia="Times New Roman"/>
          <w:lang w:val="en-US"/>
        </w:rPr>
        <w:t xml:space="preserve">, 2018, “The Impact of ownership on building sustainable and responsible Businesses”, </w:t>
      </w:r>
      <w:r w:rsidRPr="00E1125C">
        <w:rPr>
          <w:rFonts w:eastAsia="Times New Roman"/>
          <w:i/>
          <w:iCs/>
          <w:lang w:val="en-US"/>
        </w:rPr>
        <w:t>Journal of the British Academy</w:t>
      </w:r>
      <w:r w:rsidRPr="00E1125C">
        <w:rPr>
          <w:rFonts w:eastAsia="Times New Roman"/>
          <w:lang w:val="en-US"/>
        </w:rPr>
        <w:t xml:space="preserve">, 6(s1), </w:t>
      </w:r>
      <w:r w:rsidR="00800AED" w:rsidRPr="00E1125C">
        <w:rPr>
          <w:rFonts w:eastAsia="Times New Roman"/>
          <w:lang w:val="en-US"/>
        </w:rPr>
        <w:t xml:space="preserve">The British Academy, 19 </w:t>
      </w:r>
      <w:proofErr w:type="spellStart"/>
      <w:r w:rsidR="00800AED" w:rsidRPr="00E1125C">
        <w:rPr>
          <w:rFonts w:eastAsia="Times New Roman"/>
          <w:lang w:val="en-US"/>
        </w:rPr>
        <w:t>december</w:t>
      </w:r>
      <w:proofErr w:type="spellEnd"/>
      <w:r w:rsidR="00800AED" w:rsidRPr="00E1125C">
        <w:rPr>
          <w:rFonts w:eastAsia="Times New Roman"/>
          <w:lang w:val="en-US"/>
        </w:rPr>
        <w:t xml:space="preserve">, </w:t>
      </w:r>
      <w:r w:rsidR="00DE5ADC" w:rsidRPr="00E1125C">
        <w:rPr>
          <w:rFonts w:eastAsia="Times New Roman"/>
          <w:lang w:val="en-US"/>
        </w:rPr>
        <w:t>pp.375-403.</w:t>
      </w:r>
    </w:p>
    <w:p w14:paraId="327DDE03" w14:textId="6AB937C9" w:rsidR="00DE5ADC" w:rsidRPr="00E1125C" w:rsidRDefault="00000000" w:rsidP="00CE1952">
      <w:pPr>
        <w:rPr>
          <w:rFonts w:eastAsia="Times New Roman"/>
          <w:lang w:val="en-US"/>
        </w:rPr>
      </w:pPr>
      <w:hyperlink r:id="rId35" w:history="1">
        <w:r w:rsidR="00DE5ADC" w:rsidRPr="00E1125C">
          <w:rPr>
            <w:rStyle w:val="Hipervnculo"/>
            <w:rFonts w:eastAsia="Times New Roman"/>
            <w:color w:val="auto"/>
            <w:lang w:val="en-US"/>
          </w:rPr>
          <w:t>http://doi.org/10.5871/jba/006s1.375/</w:t>
        </w:r>
      </w:hyperlink>
    </w:p>
    <w:p w14:paraId="53F2A32C" w14:textId="77777777" w:rsidR="00DE5ADC" w:rsidRPr="00E1125C" w:rsidRDefault="00DE5ADC" w:rsidP="00CE1952">
      <w:pPr>
        <w:rPr>
          <w:rFonts w:eastAsia="Times New Roman"/>
          <w:lang w:val="en-US"/>
        </w:rPr>
      </w:pPr>
    </w:p>
    <w:sectPr w:rsidR="00DE5ADC" w:rsidRPr="00E1125C" w:rsidSect="00F37FC8">
      <w:headerReference w:type="even" r:id="rId36"/>
      <w:headerReference w:type="default" r:id="rId37"/>
      <w:footerReference w:type="even" r:id="rId38"/>
      <w:footerReference w:type="default" r:id="rId39"/>
      <w:headerReference w:type="first" r:id="rId40"/>
      <w:footerReference w:type="first" r:id="rId41"/>
      <w:pgSz w:w="12240" w:h="15840"/>
      <w:pgMar w:top="1417" w:right="1467" w:bottom="1417" w:left="1843"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6951A5" w14:textId="77777777" w:rsidR="00C620A2" w:rsidRDefault="00C620A2" w:rsidP="006A34CC">
      <w:r>
        <w:separator/>
      </w:r>
    </w:p>
  </w:endnote>
  <w:endnote w:type="continuationSeparator" w:id="0">
    <w:p w14:paraId="14EF3EA4" w14:textId="77777777" w:rsidR="00C620A2" w:rsidRDefault="00C620A2" w:rsidP="006A34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93ECF" w14:textId="77777777" w:rsidR="00BF77DE" w:rsidRDefault="00BF77DE">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9FC1A" w14:textId="77777777" w:rsidR="00BF77DE" w:rsidRDefault="00BF77DE">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D462C6" w14:textId="77777777" w:rsidR="00BF77DE" w:rsidRDefault="00BF77D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D3876B" w14:textId="77777777" w:rsidR="00C620A2" w:rsidRDefault="00C620A2" w:rsidP="006A34CC">
      <w:r>
        <w:separator/>
      </w:r>
    </w:p>
  </w:footnote>
  <w:footnote w:type="continuationSeparator" w:id="0">
    <w:p w14:paraId="07D39746" w14:textId="77777777" w:rsidR="00C620A2" w:rsidRDefault="00C620A2" w:rsidP="006A34CC">
      <w:r>
        <w:continuationSeparator/>
      </w:r>
    </w:p>
  </w:footnote>
  <w:footnote w:id="1">
    <w:p w14:paraId="10E8CAAA" w14:textId="399DB830" w:rsidR="000803B7" w:rsidRPr="00DF7896" w:rsidRDefault="000803B7">
      <w:pPr>
        <w:pStyle w:val="Textonotapie"/>
      </w:pPr>
      <w:r w:rsidRPr="00DF7896">
        <w:rPr>
          <w:rStyle w:val="Refdenotaalpie"/>
        </w:rPr>
        <w:footnoteRef/>
      </w:r>
      <w:r w:rsidRPr="00DF7896">
        <w:t xml:space="preserve"> </w:t>
      </w:r>
      <w:r w:rsidR="007C4C66" w:rsidRPr="00DF7896">
        <w:t xml:space="preserve">- Debemos reconocer que </w:t>
      </w:r>
      <w:r w:rsidR="00DB6EAC" w:rsidRPr="00DF7896">
        <w:t xml:space="preserve">esta decisión deja por fuera </w:t>
      </w:r>
      <w:r w:rsidR="00985EBA" w:rsidRPr="00DF7896">
        <w:t>a una cantidad enorme de trabajos y esfuerzos académicos</w:t>
      </w:r>
      <w:r w:rsidR="00BE1ED7" w:rsidRPr="00DF7896">
        <w:t xml:space="preserve"> valiosísimos</w:t>
      </w:r>
      <w:r w:rsidR="00C12EBA" w:rsidRPr="00DF7896">
        <w:t>, tant</w:t>
      </w:r>
      <w:r w:rsidR="00156F65" w:rsidRPr="00DF7896">
        <w:t>o</w:t>
      </w:r>
      <w:r w:rsidR="00C12EBA" w:rsidRPr="00DF7896">
        <w:t xml:space="preserve"> nacionales como </w:t>
      </w:r>
      <w:r w:rsidR="00156F65" w:rsidRPr="00DF7896">
        <w:t>e</w:t>
      </w:r>
      <w:r w:rsidR="00D60E4E" w:rsidRPr="00DF7896">
        <w:t>x</w:t>
      </w:r>
      <w:r w:rsidR="00156F65" w:rsidRPr="00DF7896">
        <w:t>tranjeros,</w:t>
      </w:r>
      <w:r w:rsidR="00985EBA" w:rsidRPr="00DF7896">
        <w:t xml:space="preserve"> en e</w:t>
      </w:r>
      <w:r w:rsidR="0063475F" w:rsidRPr="00DF7896">
        <w:t xml:space="preserve">l </w:t>
      </w:r>
      <w:r w:rsidR="00985EBA" w:rsidRPr="00DF7896">
        <w:t>m</w:t>
      </w:r>
      <w:r w:rsidR="0063475F" w:rsidRPr="00DF7896">
        <w:t>a</w:t>
      </w:r>
      <w:r w:rsidR="00985EBA" w:rsidRPr="00DF7896">
        <w:t xml:space="preserve">rco de </w:t>
      </w:r>
      <w:r w:rsidR="0063475F" w:rsidRPr="00DF7896">
        <w:t>e</w:t>
      </w:r>
      <w:r w:rsidR="00985EBA" w:rsidRPr="00DF7896">
        <w:t>sa misma línea heterodoxa de análisis,</w:t>
      </w:r>
      <w:r w:rsidR="00B560A4" w:rsidRPr="00DF7896">
        <w:t xml:space="preserve"> y que su discusión no es propósito de este trabajo</w:t>
      </w:r>
      <w:r w:rsidR="00E739B4" w:rsidRPr="00DF7896">
        <w:t xml:space="preserve"> porque </w:t>
      </w:r>
      <w:r w:rsidR="00176F08" w:rsidRPr="00DF7896">
        <w:t xml:space="preserve">en la investigación realizada, no reconocimos </w:t>
      </w:r>
      <w:r w:rsidR="001456CF" w:rsidRPr="00DF7896">
        <w:t>trabajos que</w:t>
      </w:r>
      <w:r w:rsidR="00D05132" w:rsidRPr="00DF7896">
        <w:t xml:space="preserve"> analicen y </w:t>
      </w:r>
      <w:r w:rsidR="00A532BF" w:rsidRPr="00DF7896">
        <w:t>propongan</w:t>
      </w:r>
      <w:r w:rsidR="001456CF" w:rsidRPr="00DF7896">
        <w:t xml:space="preserve"> de manera </w:t>
      </w:r>
      <w:r w:rsidR="009C41FD" w:rsidRPr="00DF7896">
        <w:t>explícita</w:t>
      </w:r>
      <w:r w:rsidR="001456CF" w:rsidRPr="00DF7896">
        <w:t xml:space="preserve"> </w:t>
      </w:r>
      <w:r w:rsidR="00A532BF" w:rsidRPr="00DF7896">
        <w:t xml:space="preserve">la asociación entre la lógica </w:t>
      </w:r>
      <w:r w:rsidR="006E66C1" w:rsidRPr="00DF7896">
        <w:t xml:space="preserve">de acción económica </w:t>
      </w:r>
      <w:r w:rsidR="00A532BF" w:rsidRPr="00DF7896">
        <w:t>impuest</w:t>
      </w:r>
      <w:r w:rsidR="006E66C1" w:rsidRPr="00DF7896">
        <w:t>a</w:t>
      </w:r>
      <w:r w:rsidR="00985EBA" w:rsidRPr="00DF7896">
        <w:t xml:space="preserve"> </w:t>
      </w:r>
      <w:r w:rsidR="006E66C1" w:rsidRPr="00DF7896">
        <w:t xml:space="preserve">por la </w:t>
      </w:r>
      <w:r w:rsidR="00A265A8" w:rsidRPr="00DF7896">
        <w:t>acumulación</w:t>
      </w:r>
      <w:r w:rsidR="006E66C1" w:rsidRPr="00DF7896">
        <w:t xml:space="preserve"> de capital</w:t>
      </w:r>
      <w:r w:rsidR="000820E7" w:rsidRPr="00DF7896">
        <w:t xml:space="preserve">, </w:t>
      </w:r>
      <w:r w:rsidR="00855F92" w:rsidRPr="00DF7896">
        <w:t xml:space="preserve">la </w:t>
      </w:r>
      <w:r w:rsidR="000820E7" w:rsidRPr="00DF7896">
        <w:t>concentración de la riqueza, el</w:t>
      </w:r>
      <w:r w:rsidR="00A670BB" w:rsidRPr="00DF7896">
        <w:t xml:space="preserve"> </w:t>
      </w:r>
      <w:r w:rsidR="000820E7" w:rsidRPr="00DF7896">
        <w:t>funcionamiento</w:t>
      </w:r>
      <w:r w:rsidR="00A670BB" w:rsidRPr="00DF7896">
        <w:t xml:space="preserve"> deficiente</w:t>
      </w:r>
      <w:r w:rsidR="000820E7" w:rsidRPr="00DF7896">
        <w:t xml:space="preserve"> de los mercados</w:t>
      </w:r>
      <w:r w:rsidR="00A670BB" w:rsidRPr="00DF7896">
        <w:t xml:space="preserve"> y </w:t>
      </w:r>
      <w:r w:rsidR="00BF396D" w:rsidRPr="00DF7896">
        <w:t xml:space="preserve">la generación de </w:t>
      </w:r>
      <w:r w:rsidR="00A670BB" w:rsidRPr="00DF7896">
        <w:t>la</w:t>
      </w:r>
      <w:r w:rsidR="00BF396D" w:rsidRPr="00DF7896">
        <w:t>s</w:t>
      </w:r>
      <w:r w:rsidR="00A670BB" w:rsidRPr="00DF7896">
        <w:t xml:space="preserve"> correspondiente</w:t>
      </w:r>
      <w:r w:rsidR="00BF396D" w:rsidRPr="00DF7896">
        <w:t xml:space="preserve">s condiciones </w:t>
      </w:r>
      <w:r w:rsidR="00036D39" w:rsidRPr="00DF7896">
        <w:t xml:space="preserve">para el rompimiento de la </w:t>
      </w:r>
      <w:r w:rsidR="001508AC" w:rsidRPr="00DF7896">
        <w:t>acumulación</w:t>
      </w:r>
      <w:r w:rsidR="00036D39" w:rsidRPr="00DF7896">
        <w:t xml:space="preserve"> de capital </w:t>
      </w:r>
      <w:r w:rsidR="00ED5C7C" w:rsidRPr="00DF7896">
        <w:t xml:space="preserve">con su secuela </w:t>
      </w:r>
      <w:r w:rsidR="00E52E4B" w:rsidRPr="00DF7896">
        <w:t>de</w:t>
      </w:r>
      <w:r w:rsidR="00036D39" w:rsidRPr="00DF7896">
        <w:t xml:space="preserve"> crisis económicas con i</w:t>
      </w:r>
      <w:r w:rsidR="005E3234" w:rsidRPr="00DF7896">
        <w:t>n</w:t>
      </w:r>
      <w:r w:rsidR="00036D39" w:rsidRPr="00DF7896">
        <w:t>evitables efectos sociales.</w:t>
      </w:r>
      <w:r w:rsidR="007229DB" w:rsidRPr="00DF7896">
        <w:t xml:space="preserve">  E</w:t>
      </w:r>
      <w:r w:rsidR="00E52E4B" w:rsidRPr="00DF7896">
        <w:t>s e</w:t>
      </w:r>
      <w:r w:rsidR="007229DB" w:rsidRPr="00DF7896">
        <w:t>se</w:t>
      </w:r>
      <w:r w:rsidR="000A7F88" w:rsidRPr="00DF7896">
        <w:t xml:space="preserve"> esquema analítico</w:t>
      </w:r>
      <w:r w:rsidR="00846C9F" w:rsidRPr="00DF7896">
        <w:t>, sostenemos,</w:t>
      </w:r>
      <w:r w:rsidR="000A7F88" w:rsidRPr="00DF7896">
        <w:t xml:space="preserve"> el que le da </w:t>
      </w:r>
      <w:r w:rsidR="00846C9F" w:rsidRPr="00DF7896">
        <w:t>solides a</w:t>
      </w:r>
      <w:r w:rsidR="00AB435D" w:rsidRPr="00DF7896">
        <w:t xml:space="preserve"> las conclusiones derivadas de</w:t>
      </w:r>
      <w:r w:rsidR="00DB319A" w:rsidRPr="00DF7896">
        <w:t>l</w:t>
      </w:r>
      <w:r w:rsidR="00AB435D" w:rsidRPr="00DF7896">
        <w:t xml:space="preserve"> estudio empírico sobre la concentración de</w:t>
      </w:r>
      <w:r w:rsidR="00A43032" w:rsidRPr="00DF7896">
        <w:t>l capital en</w:t>
      </w:r>
      <w:r w:rsidR="00DB319A" w:rsidRPr="00DF7896">
        <w:t xml:space="preserve"> la estructura productiva costarricense.</w:t>
      </w:r>
      <w:r w:rsidR="00A43032" w:rsidRPr="00DF7896">
        <w:t xml:space="preserve"> </w:t>
      </w:r>
      <w:r w:rsidR="00A670BB" w:rsidRPr="00DF7896">
        <w:t xml:space="preserve"> </w:t>
      </w:r>
    </w:p>
  </w:footnote>
  <w:footnote w:id="2">
    <w:p w14:paraId="48156014" w14:textId="56258A40" w:rsidR="00653929" w:rsidRPr="00653929" w:rsidRDefault="00653929">
      <w:pPr>
        <w:pStyle w:val="Textonotapie"/>
      </w:pPr>
      <w:r>
        <w:rPr>
          <w:rStyle w:val="Refdenotaalpie"/>
        </w:rPr>
        <w:footnoteRef/>
      </w:r>
      <w:r>
        <w:t xml:space="preserve"> -Conviene aquí señalar que no es sino hasta la 3era. Edición de El Capital, que aparece la distinción entre</w:t>
      </w:r>
      <w:r w:rsidR="000D681E">
        <w:t xml:space="preserve"> “</w:t>
      </w:r>
      <w:r>
        <w:t>acumulación</w:t>
      </w:r>
      <w:r w:rsidR="000D681E">
        <w:t>”</w:t>
      </w:r>
      <w:r>
        <w:t xml:space="preserve"> y “centralización” del capital</w:t>
      </w:r>
      <w:r w:rsidR="000D681E">
        <w:t>,</w:t>
      </w:r>
      <w:r>
        <w:t xml:space="preserve"> </w:t>
      </w:r>
      <w:r w:rsidR="000D681E">
        <w:t>para darle el sentido al último concepto de concentración de capitales en unos pocos, o en pocas manos, que es el fenómeno que nosotros queremos estudiar en este trabajo.</w:t>
      </w:r>
    </w:p>
  </w:footnote>
  <w:footnote w:id="3">
    <w:p w14:paraId="0310D273" w14:textId="0E8E29A5" w:rsidR="00366764" w:rsidRPr="00DF7896" w:rsidRDefault="00366764">
      <w:pPr>
        <w:pStyle w:val="Textonotapie"/>
      </w:pPr>
      <w:r w:rsidRPr="00DF7896">
        <w:rPr>
          <w:rStyle w:val="Refdenotaalpie"/>
        </w:rPr>
        <w:footnoteRef/>
      </w:r>
      <w:r w:rsidRPr="00DF7896">
        <w:t xml:space="preserve"> - </w:t>
      </w:r>
      <w:r w:rsidR="00694FE2" w:rsidRPr="00DF7896">
        <w:t>A quienes quisieran profu</w:t>
      </w:r>
      <w:r w:rsidR="006C5318" w:rsidRPr="00DF7896">
        <w:t>nd</w:t>
      </w:r>
      <w:r w:rsidR="00694FE2" w:rsidRPr="00DF7896">
        <w:t>izar</w:t>
      </w:r>
      <w:r w:rsidR="006C5318" w:rsidRPr="00DF7896">
        <w:t xml:space="preserve"> en el estudio de esta perspectiva teórica se recomienda leer el mencionado </w:t>
      </w:r>
      <w:proofErr w:type="gramStart"/>
      <w:r w:rsidR="006C5318" w:rsidRPr="00DF7896">
        <w:t>artículo</w:t>
      </w:r>
      <w:proofErr w:type="gramEnd"/>
      <w:r w:rsidR="00534DBB" w:rsidRPr="00DF7896">
        <w:t xml:space="preserve"> así como otros </w:t>
      </w:r>
      <w:r w:rsidR="001F20EE" w:rsidRPr="00DF7896">
        <w:t>trabajos</w:t>
      </w:r>
      <w:r w:rsidR="00534DBB" w:rsidRPr="00DF7896">
        <w:t xml:space="preserve"> como</w:t>
      </w:r>
      <w:r w:rsidR="00FD2B51" w:rsidRPr="00DF7896">
        <w:t xml:space="preserve"> </w:t>
      </w:r>
      <w:proofErr w:type="spellStart"/>
      <w:r w:rsidR="00FD2B51" w:rsidRPr="00DF7896">
        <w:t>Aglieta</w:t>
      </w:r>
      <w:proofErr w:type="spellEnd"/>
      <w:r w:rsidR="00FD2B51" w:rsidRPr="00DF7896">
        <w:t>, 1997</w:t>
      </w:r>
      <w:r w:rsidR="00881F9D" w:rsidRPr="00DF7896">
        <w:t>,</w:t>
      </w:r>
      <w:r w:rsidR="00C43789" w:rsidRPr="00DF7896">
        <w:t xml:space="preserve"> </w:t>
      </w:r>
      <w:r w:rsidR="003B4C65" w:rsidRPr="00DF7896">
        <w:t xml:space="preserve">y </w:t>
      </w:r>
      <w:r w:rsidR="00C43789" w:rsidRPr="00DF7896">
        <w:t>otros más recientes, tales como</w:t>
      </w:r>
      <w:r w:rsidR="00534DBB" w:rsidRPr="00DF7896">
        <w:t xml:space="preserve"> </w:t>
      </w:r>
      <w:r w:rsidR="00265E6E" w:rsidRPr="00DF7896">
        <w:t>Boyer</w:t>
      </w:r>
      <w:r w:rsidR="003B0036" w:rsidRPr="00DF7896">
        <w:t>, 20</w:t>
      </w:r>
      <w:r w:rsidR="0070388E" w:rsidRPr="00DF7896">
        <w:t>20</w:t>
      </w:r>
      <w:r w:rsidR="003B0036" w:rsidRPr="00DF7896">
        <w:t>.</w:t>
      </w:r>
    </w:p>
  </w:footnote>
  <w:footnote w:id="4">
    <w:p w14:paraId="0765D6FE" w14:textId="720E1284" w:rsidR="00C54706" w:rsidRPr="00DF7896" w:rsidRDefault="00C54706">
      <w:pPr>
        <w:pStyle w:val="Textonotapie"/>
      </w:pPr>
      <w:r w:rsidRPr="00DF7896">
        <w:rPr>
          <w:rStyle w:val="Refdenotaalpie"/>
        </w:rPr>
        <w:footnoteRef/>
      </w:r>
      <w:r w:rsidRPr="00DF7896">
        <w:t xml:space="preserve"> - Una </w:t>
      </w:r>
      <w:r w:rsidR="000F4BD0" w:rsidRPr="00DF7896">
        <w:t>categorización</w:t>
      </w:r>
      <w:r w:rsidRPr="00DF7896">
        <w:t xml:space="preserve"> sintética </w:t>
      </w:r>
      <w:r w:rsidR="000F4BD0" w:rsidRPr="00DF7896">
        <w:t xml:space="preserve">de estas políticas es identificarlas con lo que se ha denominado el “Consenso de Washington”, un conjunto de políticas públicas que fueron impulsadas por los principales organismos financieros internacionales </w:t>
      </w:r>
      <w:r w:rsidR="00FE7D79" w:rsidRPr="00DF7896">
        <w:t>a partir de la década de los años 80 de siglo pasado.</w:t>
      </w:r>
    </w:p>
  </w:footnote>
  <w:footnote w:id="5">
    <w:p w14:paraId="15338EF5" w14:textId="34212251" w:rsidR="00623E48" w:rsidRPr="00DF7896" w:rsidRDefault="00623E48">
      <w:pPr>
        <w:pStyle w:val="Textonotapie"/>
        <w:rPr>
          <w:sz w:val="22"/>
          <w:szCs w:val="22"/>
        </w:rPr>
      </w:pPr>
      <w:r w:rsidRPr="00DF7896">
        <w:rPr>
          <w:rStyle w:val="Refdenotaalpie"/>
        </w:rPr>
        <w:footnoteRef/>
      </w:r>
      <w:r w:rsidRPr="00DF7896">
        <w:t xml:space="preserve"> - </w:t>
      </w:r>
      <w:r w:rsidRPr="00DF7896">
        <w:rPr>
          <w:sz w:val="22"/>
          <w:szCs w:val="22"/>
        </w:rPr>
        <w:t xml:space="preserve">Artículo publicado originalmente en el periódico digital </w:t>
      </w:r>
      <w:r w:rsidRPr="00DF7896">
        <w:rPr>
          <w:i/>
          <w:iCs/>
          <w:sz w:val="22"/>
          <w:szCs w:val="22"/>
        </w:rPr>
        <w:t>Nuestro País</w:t>
      </w:r>
      <w:r w:rsidRPr="00DF7896">
        <w:rPr>
          <w:sz w:val="22"/>
          <w:szCs w:val="22"/>
        </w:rPr>
        <w:t xml:space="preserve"> bajo el título</w:t>
      </w:r>
      <w:r w:rsidR="0069387D" w:rsidRPr="00DF7896">
        <w:rPr>
          <w:sz w:val="22"/>
          <w:szCs w:val="22"/>
        </w:rPr>
        <w:t xml:space="preserve"> “Algunas </w:t>
      </w:r>
      <w:r w:rsidR="00816CDC" w:rsidRPr="00DF7896">
        <w:rPr>
          <w:sz w:val="22"/>
          <w:szCs w:val="22"/>
        </w:rPr>
        <w:t xml:space="preserve">consideraciones desde la perspectiva de las ciencias económicas al voto 18-019511 de la Sala constitucional, sobre </w:t>
      </w:r>
      <w:proofErr w:type="spellStart"/>
      <w:r w:rsidR="00816CDC" w:rsidRPr="00DF7896">
        <w:rPr>
          <w:sz w:val="22"/>
          <w:szCs w:val="22"/>
        </w:rPr>
        <w:t>le</w:t>
      </w:r>
      <w:proofErr w:type="spellEnd"/>
      <w:r w:rsidR="00816CDC" w:rsidRPr="00DF7896">
        <w:rPr>
          <w:sz w:val="22"/>
          <w:szCs w:val="22"/>
        </w:rPr>
        <w:t xml:space="preserve"> Proyecto de ley con #20.580 del expediente legislativo”</w:t>
      </w:r>
      <w:r w:rsidRPr="00DF7896">
        <w:rPr>
          <w:sz w:val="22"/>
          <w:szCs w:val="22"/>
        </w:rPr>
        <w:t xml:space="preserve"> (</w:t>
      </w:r>
      <w:r w:rsidR="00816CDC" w:rsidRPr="00DF7896">
        <w:rPr>
          <w:sz w:val="22"/>
          <w:szCs w:val="22"/>
        </w:rPr>
        <w:t xml:space="preserve">Reuben, </w:t>
      </w:r>
      <w:r w:rsidRPr="00DF7896">
        <w:rPr>
          <w:sz w:val="22"/>
          <w:szCs w:val="22"/>
        </w:rPr>
        <w:t xml:space="preserve">el 17 de enero del 2019) </w:t>
      </w:r>
      <w:r w:rsidR="00C613E2" w:rsidRPr="00DF7896">
        <w:rPr>
          <w:sz w:val="22"/>
          <w:szCs w:val="22"/>
        </w:rPr>
        <w:t>juntamente con</w:t>
      </w:r>
      <w:r w:rsidRPr="00DF7896">
        <w:rPr>
          <w:sz w:val="22"/>
          <w:szCs w:val="22"/>
        </w:rPr>
        <w:t xml:space="preserve"> el análisis jurídico del mismo voto por parte de Walter Antillón</w:t>
      </w:r>
      <w:r w:rsidR="00C613E2" w:rsidRPr="00DF7896">
        <w:rPr>
          <w:sz w:val="22"/>
          <w:szCs w:val="22"/>
        </w:rPr>
        <w:t xml:space="preserve"> 2019</w:t>
      </w:r>
      <w:r w:rsidRPr="00DF7896">
        <w:rPr>
          <w:sz w:val="22"/>
          <w:szCs w:val="22"/>
        </w:rPr>
        <w:t xml:space="preserve"> en el artículo</w:t>
      </w:r>
      <w:r w:rsidR="00816CDC" w:rsidRPr="00DF7896">
        <w:rPr>
          <w:sz w:val="22"/>
          <w:szCs w:val="22"/>
        </w:rPr>
        <w:t xml:space="preserve"> “Derechos humanos y fond</w:t>
      </w:r>
      <w:r w:rsidR="00C613E2" w:rsidRPr="00DF7896">
        <w:rPr>
          <w:sz w:val="22"/>
          <w:szCs w:val="22"/>
        </w:rPr>
        <w:t>os públicos”</w:t>
      </w:r>
      <w:r w:rsidRPr="00DF7896">
        <w:rPr>
          <w:sz w:val="22"/>
          <w:szCs w:val="22"/>
        </w:rPr>
        <w:t xml:space="preserve">.  Luego, con las transformaciones del caso fue publicado en la </w:t>
      </w:r>
      <w:proofErr w:type="gramStart"/>
      <w:r w:rsidRPr="00DF7896">
        <w:rPr>
          <w:sz w:val="22"/>
          <w:szCs w:val="22"/>
        </w:rPr>
        <w:t xml:space="preserve">revista  </w:t>
      </w:r>
      <w:r w:rsidRPr="00DF7896">
        <w:rPr>
          <w:rStyle w:val="nfasis"/>
          <w:sz w:val="22"/>
          <w:szCs w:val="22"/>
        </w:rPr>
        <w:t>Oikos</w:t>
      </w:r>
      <w:proofErr w:type="gramEnd"/>
      <w:r w:rsidRPr="00DF7896">
        <w:rPr>
          <w:rStyle w:val="nfasis"/>
          <w:sz w:val="22"/>
          <w:szCs w:val="22"/>
        </w:rPr>
        <w:t xml:space="preserve"> Polis</w:t>
      </w:r>
      <w:r w:rsidRPr="00DF7896">
        <w:rPr>
          <w:sz w:val="22"/>
          <w:szCs w:val="22"/>
        </w:rPr>
        <w:t>, revista latinoamericana de ciencias Económicas y Sociales,</w:t>
      </w:r>
      <w:r w:rsidR="00D966A2" w:rsidRPr="00DF7896">
        <w:rPr>
          <w:sz w:val="22"/>
          <w:szCs w:val="22"/>
        </w:rPr>
        <w:t xml:space="preserve"> (Reuben 2019b).</w:t>
      </w:r>
      <w:r w:rsidRPr="00DF7896">
        <w:rPr>
          <w:sz w:val="22"/>
          <w:szCs w:val="22"/>
        </w:rPr>
        <w:t xml:space="preserve"> </w:t>
      </w:r>
    </w:p>
  </w:footnote>
  <w:footnote w:id="6">
    <w:p w14:paraId="72D87F6C" w14:textId="10578C04" w:rsidR="0075368E" w:rsidRPr="00DF7896" w:rsidRDefault="0075368E">
      <w:pPr>
        <w:pStyle w:val="Textonotapie"/>
      </w:pPr>
      <w:r w:rsidRPr="00DF7896">
        <w:rPr>
          <w:rStyle w:val="Refdenotaalpie"/>
        </w:rPr>
        <w:footnoteRef/>
      </w:r>
      <w:r w:rsidRPr="00DF7896">
        <w:t xml:space="preserve"> -</w:t>
      </w:r>
      <w:r w:rsidR="00A11263" w:rsidRPr="00DF7896">
        <w:t xml:space="preserve"> Múltiples son las evidencia</w:t>
      </w:r>
      <w:r w:rsidR="00E223E6" w:rsidRPr="00DF7896">
        <w:t>s</w:t>
      </w:r>
      <w:r w:rsidR="00A11263" w:rsidRPr="00DF7896">
        <w:t xml:space="preserve"> que se encuentran en la literatura especializada más reciente, cuando el tema de la concentración de los mercados ha tomado nuevamente importancia. </w:t>
      </w:r>
      <w:r w:rsidRPr="00DF7896">
        <w:t xml:space="preserve"> En un reciente estudio</w:t>
      </w:r>
      <w:r w:rsidR="007375CE" w:rsidRPr="00DF7896">
        <w:t xml:space="preserve"> (2021)</w:t>
      </w:r>
      <w:r w:rsidR="00D975B2" w:rsidRPr="00DF7896">
        <w:t>,</w:t>
      </w:r>
      <w:r w:rsidRPr="00DF7896">
        <w:t xml:space="preserve"> funcionarios del Banco Central Europeo (ECB) </w:t>
      </w:r>
      <w:r w:rsidR="00D975B2" w:rsidRPr="00DF7896">
        <w:t xml:space="preserve">descubren </w:t>
      </w:r>
      <w:r w:rsidR="007375CE" w:rsidRPr="00DF7896">
        <w:t xml:space="preserve">que </w:t>
      </w:r>
      <w:r w:rsidR="00D975B2" w:rsidRPr="00DF7896">
        <w:t>los efectos</w:t>
      </w:r>
      <w:r w:rsidR="007375CE" w:rsidRPr="00DF7896">
        <w:t xml:space="preserve"> de la política monetaria son desiguales en </w:t>
      </w:r>
      <w:r w:rsidR="00D975B2" w:rsidRPr="00DF7896">
        <w:t>los mercados</w:t>
      </w:r>
      <w:r w:rsidR="007375CE" w:rsidRPr="00DF7896">
        <w:t xml:space="preserve"> concentrados</w:t>
      </w:r>
      <w:r w:rsidR="00D975B2" w:rsidRPr="00DF7896">
        <w:t xml:space="preserve"> (dominio por las grandes empresas de la competencia).  Tanto las restricciones al crédito bancario propiamente dicho, como los efectos de las tasas monetarias para “regular monetariamente” el funcionamiento de la economía, son </w:t>
      </w:r>
      <w:r w:rsidR="007375CE" w:rsidRPr="00DF7896">
        <w:t>ineficientes para regular el comportamiento económico de las grandes empresas</w:t>
      </w:r>
      <w:r w:rsidR="00947CA4" w:rsidRPr="00DF7896">
        <w:t xml:space="preserve"> (Ferrando, A., </w:t>
      </w:r>
      <w:proofErr w:type="spellStart"/>
      <w:r w:rsidR="00947CA4" w:rsidRPr="00DF7896">
        <w:t>McAdam</w:t>
      </w:r>
      <w:proofErr w:type="spellEnd"/>
      <w:r w:rsidR="00947CA4" w:rsidRPr="00DF7896">
        <w:t>, P., et al, 2021)</w:t>
      </w:r>
    </w:p>
  </w:footnote>
  <w:footnote w:id="7">
    <w:p w14:paraId="3169DE91" w14:textId="2BB796FD" w:rsidR="00487EEB" w:rsidRPr="00DF7896" w:rsidRDefault="00487EEB">
      <w:pPr>
        <w:pStyle w:val="Textonotapie"/>
      </w:pPr>
      <w:r w:rsidRPr="00DF7896">
        <w:rPr>
          <w:rStyle w:val="Refdenotaalpie"/>
        </w:rPr>
        <w:footnoteRef/>
      </w:r>
      <w:r w:rsidRPr="00DF7896">
        <w:t xml:space="preserve"> </w:t>
      </w:r>
      <w:r w:rsidRPr="00DF7896">
        <w:rPr>
          <w:sz w:val="22"/>
          <w:szCs w:val="22"/>
        </w:rPr>
        <w:t xml:space="preserve">- Nos pareció metodológicamente </w:t>
      </w:r>
      <w:r w:rsidR="00E4636A" w:rsidRPr="00DF7896">
        <w:rPr>
          <w:sz w:val="22"/>
          <w:szCs w:val="22"/>
        </w:rPr>
        <w:t>in</w:t>
      </w:r>
      <w:r w:rsidRPr="00DF7896">
        <w:rPr>
          <w:sz w:val="22"/>
          <w:szCs w:val="22"/>
        </w:rPr>
        <w:t>viable</w:t>
      </w:r>
      <w:r w:rsidR="00E4636A" w:rsidRPr="00DF7896">
        <w:rPr>
          <w:sz w:val="22"/>
          <w:szCs w:val="22"/>
        </w:rPr>
        <w:t>, con los recursos con que dispuso este estudio,</w:t>
      </w:r>
      <w:r w:rsidRPr="00DF7896">
        <w:rPr>
          <w:sz w:val="22"/>
          <w:szCs w:val="22"/>
        </w:rPr>
        <w:t xml:space="preserve"> emprender un esfuerzo de concatenación de datos entre los presentados por Izurieta en su </w:t>
      </w:r>
      <w:r w:rsidR="00E4636A" w:rsidRPr="00DF7896">
        <w:rPr>
          <w:sz w:val="22"/>
          <w:szCs w:val="22"/>
        </w:rPr>
        <w:t>trabajo</w:t>
      </w:r>
      <w:r w:rsidRPr="00DF7896">
        <w:rPr>
          <w:sz w:val="22"/>
          <w:szCs w:val="22"/>
        </w:rPr>
        <w:t xml:space="preserve"> y los actuales, de manera de poder llegar a alguna medición del proceso de concentración del sector industrial en los dos per</w:t>
      </w:r>
      <w:r w:rsidR="00E4636A" w:rsidRPr="00DF7896">
        <w:rPr>
          <w:sz w:val="22"/>
          <w:szCs w:val="22"/>
        </w:rPr>
        <w:t>íodos</w:t>
      </w:r>
      <w:r w:rsidRPr="00DF7896">
        <w:rPr>
          <w:sz w:val="22"/>
          <w:szCs w:val="22"/>
        </w:rPr>
        <w:t>.</w:t>
      </w:r>
    </w:p>
  </w:footnote>
  <w:footnote w:id="8">
    <w:p w14:paraId="57296EE0" w14:textId="78CEDB33" w:rsidR="002454B8" w:rsidRPr="00DF7896" w:rsidRDefault="002A6CD8" w:rsidP="00E4636A">
      <w:pPr>
        <w:rPr>
          <w:rFonts w:eastAsia="Times New Roman"/>
          <w:sz w:val="22"/>
        </w:rPr>
      </w:pPr>
      <w:r w:rsidRPr="00DF7896">
        <w:rPr>
          <w:rStyle w:val="Refdenotaalpie"/>
        </w:rPr>
        <w:footnoteRef/>
      </w:r>
      <w:r w:rsidRPr="00DF7896">
        <w:t xml:space="preserve"> </w:t>
      </w:r>
      <w:r w:rsidR="002454B8" w:rsidRPr="00DF7896">
        <w:t xml:space="preserve">- </w:t>
      </w:r>
      <w:r w:rsidR="002454B8" w:rsidRPr="00DF7896">
        <w:rPr>
          <w:rFonts w:eastAsia="Times New Roman"/>
          <w:sz w:val="22"/>
        </w:rPr>
        <w:t>En vista de que los datos estaban desagregados al nivel cantonal, se le solicitó al señor Henry Vargas, director del mencionado departamento, la integración por provincia de los datos desagregados, a lo que respondió en fecha 13 de julio de 2021 con la matriz dispuesta en</w:t>
      </w:r>
      <w:r w:rsidR="0019111B" w:rsidRPr="00DF7896">
        <w:rPr>
          <w:rFonts w:eastAsia="Times New Roman"/>
          <w:sz w:val="22"/>
        </w:rPr>
        <w:t xml:space="preserve"> (Banco Central de Costa Rica, Indicadores empresariales</w:t>
      </w:r>
      <w:r w:rsidR="002C77A9" w:rsidRPr="00DF7896">
        <w:rPr>
          <w:rFonts w:eastAsia="Times New Roman"/>
          <w:sz w:val="22"/>
        </w:rPr>
        <w:t>).</w:t>
      </w:r>
    </w:p>
    <w:p w14:paraId="7B6EDF40" w14:textId="6B8F5992" w:rsidR="002A6CD8" w:rsidRPr="00DF7896" w:rsidRDefault="002A6CD8">
      <w:pPr>
        <w:pStyle w:val="Textonotapie"/>
      </w:pPr>
    </w:p>
  </w:footnote>
  <w:footnote w:id="9">
    <w:p w14:paraId="57018347" w14:textId="011B357F" w:rsidR="00B019DC" w:rsidRPr="00DF7896" w:rsidRDefault="00B019DC" w:rsidP="00B019DC">
      <w:pPr>
        <w:pStyle w:val="Textonotapie"/>
        <w:rPr>
          <w:lang w:val="es-CR"/>
        </w:rPr>
      </w:pPr>
      <w:r w:rsidRPr="00DF7896">
        <w:rPr>
          <w:rStyle w:val="Refdenotaalpie"/>
        </w:rPr>
        <w:footnoteRef/>
      </w:r>
      <w:r w:rsidRPr="00DF7896">
        <w:t xml:space="preserve"> </w:t>
      </w:r>
      <w:r w:rsidRPr="00DF7896">
        <w:rPr>
          <w:lang w:val="es-CR"/>
        </w:rPr>
        <w:t>- Reglamento del Ministerio de Industria y Comercio, artículos 14 y 17, véase fórmula en Anexo de esta investigación.</w:t>
      </w:r>
    </w:p>
  </w:footnote>
  <w:footnote w:id="10">
    <w:p w14:paraId="3A049E72" w14:textId="77777777" w:rsidR="008A6F30" w:rsidRPr="00DF7896" w:rsidRDefault="008A6F30" w:rsidP="008A6F30">
      <w:pPr>
        <w:pStyle w:val="Textonotapie"/>
        <w:rPr>
          <w:lang w:val="es-CR"/>
        </w:rPr>
      </w:pPr>
      <w:r w:rsidRPr="00DF7896">
        <w:rPr>
          <w:rStyle w:val="Refdenotaalpie"/>
        </w:rPr>
        <w:footnoteRef/>
      </w:r>
      <w:r w:rsidRPr="00DF7896">
        <w:t xml:space="preserve"> </w:t>
      </w:r>
      <w:r w:rsidRPr="00DF7896">
        <w:rPr>
          <w:lang w:val="es-CR"/>
        </w:rPr>
        <w:t xml:space="preserve">- El índice de </w:t>
      </w:r>
      <w:proofErr w:type="spellStart"/>
      <w:r w:rsidRPr="00DF7896">
        <w:rPr>
          <w:lang w:val="es-CR"/>
        </w:rPr>
        <w:t>Herfindahl-Hirschman</w:t>
      </w:r>
      <w:proofErr w:type="spellEnd"/>
      <w:r w:rsidRPr="00DF7896">
        <w:rPr>
          <w:lang w:val="es-CR"/>
        </w:rPr>
        <w:t xml:space="preserve"> (IHH) se define como la suma de los cuadrados de las cuotas de mercado de las clases.  En nuestro caso, que no tenemos el dato de su participación en las ventas, pero tenemos el de su participación en los ingresos, el índice IHH muestra el grado de concentración de los ingresos del sector productivo.</w:t>
      </w:r>
    </w:p>
  </w:footnote>
  <w:footnote w:id="11">
    <w:p w14:paraId="3F4E8DF8" w14:textId="166BDE82" w:rsidR="003E24F7" w:rsidRPr="00DF7896" w:rsidRDefault="003E24F7">
      <w:pPr>
        <w:pStyle w:val="Textonotapie"/>
        <w:rPr>
          <w:lang w:val="es-CR"/>
        </w:rPr>
      </w:pPr>
      <w:r w:rsidRPr="00DF7896">
        <w:rPr>
          <w:rStyle w:val="Refdenotaalpie"/>
        </w:rPr>
        <w:footnoteRef/>
      </w:r>
      <w:r w:rsidRPr="00DF7896">
        <w:t xml:space="preserve"> </w:t>
      </w:r>
      <w:r w:rsidRPr="00DF7896">
        <w:rPr>
          <w:lang w:val="es-CR"/>
        </w:rPr>
        <w:t xml:space="preserve">- </w:t>
      </w:r>
      <w:r w:rsidR="00E25B6C" w:rsidRPr="00DF7896">
        <w:rPr>
          <w:lang w:val="es-CR"/>
        </w:rPr>
        <w:t xml:space="preserve">Ha sido señalado, como ya se dijo </w:t>
      </w:r>
      <w:r w:rsidR="00FB4D15" w:rsidRPr="00DF7896">
        <w:rPr>
          <w:lang w:val="es-CR"/>
        </w:rPr>
        <w:t>en el texto</w:t>
      </w:r>
      <w:r w:rsidR="00E25B6C" w:rsidRPr="00DF7896">
        <w:rPr>
          <w:lang w:val="es-CR"/>
        </w:rPr>
        <w:t xml:space="preserve">, que lo más usual y conveniente para calcular el IG es partir de datos desagregado; </w:t>
      </w:r>
      <w:r w:rsidR="00FB4D15" w:rsidRPr="00DF7896">
        <w:rPr>
          <w:lang w:val="es-CR"/>
        </w:rPr>
        <w:t>e</w:t>
      </w:r>
      <w:r w:rsidR="00E25B6C" w:rsidRPr="00DF7896">
        <w:rPr>
          <w:lang w:val="es-CR"/>
        </w:rPr>
        <w:t>l contar con datos agregados podría contraer un error de estimación.  No obstante, en este caso</w:t>
      </w:r>
      <w:r w:rsidR="00FB4D15" w:rsidRPr="00DF7896">
        <w:rPr>
          <w:lang w:val="es-CR"/>
        </w:rPr>
        <w:t>,</w:t>
      </w:r>
      <w:r w:rsidR="00E25B6C" w:rsidRPr="00DF7896">
        <w:rPr>
          <w:lang w:val="es-CR"/>
        </w:rPr>
        <w:t xml:space="preserve"> por mantener el mismo procedimiento de cálculo para todo el período, la comparación entre ellos no se ve afectada.</w:t>
      </w:r>
      <w:r w:rsidR="00FB4D15" w:rsidRPr="00DF7896">
        <w:rPr>
          <w:lang w:val="es-CR"/>
        </w:rPr>
        <w:t xml:space="preserve"> Aparte de la tendencia ya comentada arriba.</w:t>
      </w:r>
    </w:p>
  </w:footnote>
  <w:footnote w:id="12">
    <w:p w14:paraId="1BA2DAD4" w14:textId="62A77C35" w:rsidR="0034247F" w:rsidRPr="00DF7896" w:rsidRDefault="0034247F">
      <w:pPr>
        <w:pStyle w:val="Textonotapie"/>
        <w:rPr>
          <w:lang w:val="es-CR"/>
        </w:rPr>
      </w:pPr>
      <w:r w:rsidRPr="00DF7896">
        <w:rPr>
          <w:rStyle w:val="Refdenotaalpie"/>
        </w:rPr>
        <w:footnoteRef/>
      </w:r>
      <w:r w:rsidRPr="00DF7896">
        <w:t xml:space="preserve"> </w:t>
      </w:r>
      <w:r w:rsidRPr="00DF7896">
        <w:rPr>
          <w:lang w:val="es-CR"/>
        </w:rPr>
        <w:t xml:space="preserve">- En Reuben 2012.pp. </w:t>
      </w:r>
      <w:r w:rsidR="006A0CCE" w:rsidRPr="00DF7896">
        <w:rPr>
          <w:lang w:val="es-CR"/>
        </w:rPr>
        <w:t xml:space="preserve">97, </w:t>
      </w:r>
      <w:r w:rsidRPr="00DF7896">
        <w:rPr>
          <w:lang w:val="es-CR"/>
        </w:rPr>
        <w:t>se precisa cómo la acumulación</w:t>
      </w:r>
      <w:r w:rsidR="00DD20DD" w:rsidRPr="00DF7896">
        <w:rPr>
          <w:lang w:val="es-CR"/>
        </w:rPr>
        <w:t xml:space="preserve"> de capital,</w:t>
      </w:r>
      <w:r w:rsidRPr="00DF7896">
        <w:rPr>
          <w:lang w:val="es-CR"/>
        </w:rPr>
        <w:t xml:space="preserve"> como racionalidad de la acción económica</w:t>
      </w:r>
      <w:r w:rsidR="00DD20DD" w:rsidRPr="00DF7896">
        <w:rPr>
          <w:lang w:val="es-CR"/>
        </w:rPr>
        <w:t>,</w:t>
      </w:r>
      <w:r w:rsidRPr="00DF7896">
        <w:rPr>
          <w:lang w:val="es-CR"/>
        </w:rPr>
        <w:t xml:space="preserve"> conduce a </w:t>
      </w:r>
      <w:proofErr w:type="spellStart"/>
      <w:r w:rsidRPr="00DF7896">
        <w:rPr>
          <w:lang w:val="es-CR"/>
        </w:rPr>
        <w:t>endogenizar</w:t>
      </w:r>
      <w:proofErr w:type="spellEnd"/>
      <w:r w:rsidRPr="00DF7896">
        <w:rPr>
          <w:lang w:val="es-CR"/>
        </w:rPr>
        <w:t xml:space="preserve"> la competencia en </w:t>
      </w:r>
      <w:r w:rsidR="00DD20DD" w:rsidRPr="00DF7896">
        <w:rPr>
          <w:lang w:val="es-CR"/>
        </w:rPr>
        <w:t xml:space="preserve">la matriz de variables a disposición de las grandes empresas para maximizar su tasa de ganancia. </w:t>
      </w:r>
    </w:p>
  </w:footnote>
  <w:footnote w:id="13">
    <w:p w14:paraId="59F0F834" w14:textId="2ECCE4C1" w:rsidR="00FB7FE5" w:rsidRPr="00DF7896" w:rsidRDefault="00FB7FE5">
      <w:pPr>
        <w:pStyle w:val="Textonotapie"/>
        <w:rPr>
          <w:lang w:val="es-CR"/>
        </w:rPr>
      </w:pPr>
      <w:r w:rsidRPr="00DF7896">
        <w:rPr>
          <w:rStyle w:val="Refdenotaalpie"/>
        </w:rPr>
        <w:footnoteRef/>
      </w:r>
      <w:r w:rsidRPr="00DF7896">
        <w:t xml:space="preserve"> </w:t>
      </w:r>
      <w:r w:rsidRPr="00DF7896">
        <w:rPr>
          <w:lang w:val="es-CR"/>
        </w:rPr>
        <w:t xml:space="preserve">- </w:t>
      </w:r>
      <w:r w:rsidRPr="00DF7896">
        <w:t>En el artículo del 2012 se discuten las principales dificultades que enfrentan estos modelos para alcanzar un equilibrio virtuoso que se aproxime de mejor manera a las necesidades históricas del momento.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402B64" w14:textId="77777777" w:rsidR="00BF77DE" w:rsidRDefault="00BF77DE">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7A1363" w14:textId="23BF2E03" w:rsidR="006A34CC" w:rsidRDefault="00F37FC8">
    <w:pPr>
      <w:pStyle w:val="Encabezado"/>
      <w:jc w:val="right"/>
    </w:pPr>
    <w:r>
      <w:t xml:space="preserve">    </w:t>
    </w:r>
    <w:sdt>
      <w:sdtPr>
        <w:id w:val="219418434"/>
        <w:docPartObj>
          <w:docPartGallery w:val="Page Numbers (Top of Page)"/>
          <w:docPartUnique/>
        </w:docPartObj>
      </w:sdtPr>
      <w:sdtContent>
        <w:r w:rsidR="006A34CC">
          <w:fldChar w:fldCharType="begin"/>
        </w:r>
        <w:r w:rsidR="006A34CC">
          <w:instrText>PAGE   \* MERGEFORMAT</w:instrText>
        </w:r>
        <w:r w:rsidR="006A34CC">
          <w:fldChar w:fldCharType="separate"/>
        </w:r>
        <w:r w:rsidR="00BF77DE">
          <w:rPr>
            <w:noProof/>
          </w:rPr>
          <w:t>17</w:t>
        </w:r>
        <w:r w:rsidR="006A34CC">
          <w:fldChar w:fldCharType="end"/>
        </w:r>
      </w:sdtContent>
    </w:sdt>
  </w:p>
  <w:p w14:paraId="67D6199B" w14:textId="77777777" w:rsidR="006A34CC" w:rsidRDefault="006A34CC">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30E88" w14:textId="77777777" w:rsidR="00BF77DE" w:rsidRDefault="00BF77D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E9124B"/>
    <w:multiLevelType w:val="hybridMultilevel"/>
    <w:tmpl w:val="551A47C0"/>
    <w:lvl w:ilvl="0" w:tplc="D7B6FADC">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0983DB7"/>
    <w:multiLevelType w:val="hybridMultilevel"/>
    <w:tmpl w:val="CB96C110"/>
    <w:lvl w:ilvl="0" w:tplc="FFEA48F8">
      <w:start w:val="1"/>
      <w:numFmt w:val="bullet"/>
      <w:lvlText w:val="-"/>
      <w:lvlJc w:val="left"/>
      <w:pPr>
        <w:ind w:left="720" w:hanging="360"/>
      </w:pPr>
      <w:rPr>
        <w:rFonts w:ascii="Times New Roman" w:eastAsia="Times New Roman" w:hAnsi="Times New Roman" w:cs="Times New Roman" w:hint="default"/>
        <w:color w:val="0000FF"/>
        <w:u w:val="singl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2CE1766B"/>
    <w:multiLevelType w:val="hybridMultilevel"/>
    <w:tmpl w:val="A70E44E6"/>
    <w:lvl w:ilvl="0" w:tplc="EAB0E932">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5E1381E"/>
    <w:multiLevelType w:val="hybridMultilevel"/>
    <w:tmpl w:val="59B25EA4"/>
    <w:lvl w:ilvl="0" w:tplc="7F9AC998">
      <w:start w:val="1"/>
      <w:numFmt w:val="bullet"/>
      <w:lvlText w:val="-"/>
      <w:lvlJc w:val="left"/>
      <w:pPr>
        <w:ind w:left="720" w:hanging="360"/>
      </w:pPr>
      <w:rPr>
        <w:rFonts w:ascii="Times New Roman" w:eastAsia="Times New Roman" w:hAnsi="Times New Roman" w:cs="Times New Roman" w:hint="default"/>
        <w:color w:val="0000FF"/>
        <w:u w:val="single"/>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B3D467A"/>
    <w:multiLevelType w:val="hybridMultilevel"/>
    <w:tmpl w:val="1B8AE11C"/>
    <w:lvl w:ilvl="0" w:tplc="E6D647AC">
      <w:start w:val="2"/>
      <w:numFmt w:val="bullet"/>
      <w:lvlText w:val="-"/>
      <w:lvlJc w:val="left"/>
      <w:pPr>
        <w:ind w:left="1068" w:hanging="360"/>
      </w:pPr>
      <w:rPr>
        <w:rFonts w:ascii="Book Antiqua" w:eastAsia="Times New Roman" w:hAnsi="Book Antiqua" w:cstheme="minorBidi"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5" w15:restartNumberingAfterBreak="0">
    <w:nsid w:val="408E50C3"/>
    <w:multiLevelType w:val="hybridMultilevel"/>
    <w:tmpl w:val="52666734"/>
    <w:lvl w:ilvl="0" w:tplc="BC2A3D76">
      <w:start w:val="1"/>
      <w:numFmt w:val="bullet"/>
      <w:lvlText w:val="-"/>
      <w:lvlJc w:val="left"/>
      <w:pPr>
        <w:ind w:left="720" w:hanging="360"/>
      </w:pPr>
      <w:rPr>
        <w:rFonts w:ascii="Times New Roman" w:eastAsia="Times New Roman"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748306502">
    <w:abstractNumId w:val="1"/>
  </w:num>
  <w:num w:numId="2" w16cid:durableId="879972290">
    <w:abstractNumId w:val="0"/>
  </w:num>
  <w:num w:numId="3" w16cid:durableId="726877637">
    <w:abstractNumId w:val="2"/>
  </w:num>
  <w:num w:numId="4" w16cid:durableId="1697199146">
    <w:abstractNumId w:val="5"/>
  </w:num>
  <w:num w:numId="5" w16cid:durableId="711810992">
    <w:abstractNumId w:val="3"/>
  </w:num>
  <w:num w:numId="6" w16cid:durableId="17238153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activeWritingStyle w:appName="MSWord" w:lang="en" w:vendorID="64" w:dllVersion="0" w:nlCheck="1" w:checkStyle="0"/>
  <w:activeWritingStyle w:appName="MSWord" w:lang="en-US" w:vendorID="64" w:dllVersion="0" w:nlCheck="1" w:checkStyle="0"/>
  <w:activeWritingStyle w:appName="MSWord" w:lang="es-ES" w:vendorID="64" w:dllVersion="0" w:nlCheck="1" w:checkStyle="0"/>
  <w:activeWritingStyle w:appName="MSWord" w:lang="es-CR" w:vendorID="64" w:dllVersion="0" w:nlCheck="1" w:checkStyle="0"/>
  <w:activeWritingStyle w:appName="MSWord" w:lang="es-ES" w:vendorID="64" w:dllVersion="6" w:nlCheck="1" w:checkStyle="0"/>
  <w:activeWritingStyle w:appName="MSWord" w:lang="en-US" w:vendorID="64" w:dllVersion="6" w:nlCheck="1" w:checkStyle="0"/>
  <w:activeWritingStyle w:appName="MSWord" w:lang="es-CR" w:vendorID="64" w:dllVersion="6" w:nlCheck="1" w:checkStyle="0"/>
  <w:activeWritingStyle w:appName="MSWord" w:lang="es-ES" w:vendorID="64" w:dllVersion="4096" w:nlCheck="1" w:checkStyle="0"/>
  <w:activeWritingStyle w:appName="MSWord" w:lang="es-CR" w:vendorID="64" w:dllVersion="4096" w:nlCheck="1" w:checkStyle="0"/>
  <w:activeWritingStyle w:appName="MSWord" w:lang="en-US" w:vendorID="64" w:dllVersion="4096" w:nlCheck="1" w:checkStyle="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7EF6"/>
    <w:rsid w:val="0000183A"/>
    <w:rsid w:val="0000440E"/>
    <w:rsid w:val="00004EFB"/>
    <w:rsid w:val="00004F1C"/>
    <w:rsid w:val="00005066"/>
    <w:rsid w:val="00005628"/>
    <w:rsid w:val="00005793"/>
    <w:rsid w:val="00005AF5"/>
    <w:rsid w:val="0000634B"/>
    <w:rsid w:val="00007C52"/>
    <w:rsid w:val="00010113"/>
    <w:rsid w:val="00012E4A"/>
    <w:rsid w:val="000136F8"/>
    <w:rsid w:val="00014E7B"/>
    <w:rsid w:val="000161EE"/>
    <w:rsid w:val="00022413"/>
    <w:rsid w:val="000256BA"/>
    <w:rsid w:val="00027B5B"/>
    <w:rsid w:val="00031B9E"/>
    <w:rsid w:val="00033B30"/>
    <w:rsid w:val="00034792"/>
    <w:rsid w:val="00036CE0"/>
    <w:rsid w:val="00036D39"/>
    <w:rsid w:val="00043D32"/>
    <w:rsid w:val="00044F67"/>
    <w:rsid w:val="00046B8B"/>
    <w:rsid w:val="00052FF2"/>
    <w:rsid w:val="0005452A"/>
    <w:rsid w:val="00056464"/>
    <w:rsid w:val="00057190"/>
    <w:rsid w:val="000601DE"/>
    <w:rsid w:val="00061854"/>
    <w:rsid w:val="00062411"/>
    <w:rsid w:val="0006547B"/>
    <w:rsid w:val="00065541"/>
    <w:rsid w:val="0007103F"/>
    <w:rsid w:val="0007377E"/>
    <w:rsid w:val="000743A4"/>
    <w:rsid w:val="000743D8"/>
    <w:rsid w:val="00075512"/>
    <w:rsid w:val="00075F34"/>
    <w:rsid w:val="00076D16"/>
    <w:rsid w:val="000803B7"/>
    <w:rsid w:val="000820E7"/>
    <w:rsid w:val="00085350"/>
    <w:rsid w:val="000878C8"/>
    <w:rsid w:val="000928DB"/>
    <w:rsid w:val="0009703A"/>
    <w:rsid w:val="000A03F6"/>
    <w:rsid w:val="000A0F78"/>
    <w:rsid w:val="000A5114"/>
    <w:rsid w:val="000A7F88"/>
    <w:rsid w:val="000B0043"/>
    <w:rsid w:val="000B00E2"/>
    <w:rsid w:val="000B0823"/>
    <w:rsid w:val="000B783D"/>
    <w:rsid w:val="000C090E"/>
    <w:rsid w:val="000C0D75"/>
    <w:rsid w:val="000C1EC5"/>
    <w:rsid w:val="000C24F0"/>
    <w:rsid w:val="000C4DA4"/>
    <w:rsid w:val="000C53DF"/>
    <w:rsid w:val="000C64D9"/>
    <w:rsid w:val="000D0333"/>
    <w:rsid w:val="000D200F"/>
    <w:rsid w:val="000D278F"/>
    <w:rsid w:val="000D5486"/>
    <w:rsid w:val="000D681E"/>
    <w:rsid w:val="000D69FF"/>
    <w:rsid w:val="000D7264"/>
    <w:rsid w:val="000D7EBB"/>
    <w:rsid w:val="000F4BD0"/>
    <w:rsid w:val="000F67F2"/>
    <w:rsid w:val="0010049A"/>
    <w:rsid w:val="00103914"/>
    <w:rsid w:val="0011072C"/>
    <w:rsid w:val="001107D1"/>
    <w:rsid w:val="0011238F"/>
    <w:rsid w:val="00123A68"/>
    <w:rsid w:val="0012598D"/>
    <w:rsid w:val="0012641A"/>
    <w:rsid w:val="0012682F"/>
    <w:rsid w:val="00130D17"/>
    <w:rsid w:val="00130E22"/>
    <w:rsid w:val="00134CC0"/>
    <w:rsid w:val="001368DE"/>
    <w:rsid w:val="001405EF"/>
    <w:rsid w:val="00141909"/>
    <w:rsid w:val="001456CF"/>
    <w:rsid w:val="001508AC"/>
    <w:rsid w:val="00151D14"/>
    <w:rsid w:val="00152C9C"/>
    <w:rsid w:val="00156AD7"/>
    <w:rsid w:val="00156F65"/>
    <w:rsid w:val="001570FE"/>
    <w:rsid w:val="00161C13"/>
    <w:rsid w:val="001636BD"/>
    <w:rsid w:val="00165612"/>
    <w:rsid w:val="00171B36"/>
    <w:rsid w:val="00175AF3"/>
    <w:rsid w:val="0017621D"/>
    <w:rsid w:val="00176F08"/>
    <w:rsid w:val="00180ED8"/>
    <w:rsid w:val="001810D0"/>
    <w:rsid w:val="00181AA1"/>
    <w:rsid w:val="00181AFA"/>
    <w:rsid w:val="00182D40"/>
    <w:rsid w:val="001847F2"/>
    <w:rsid w:val="001866F5"/>
    <w:rsid w:val="00190D93"/>
    <w:rsid w:val="0019111B"/>
    <w:rsid w:val="00192C7A"/>
    <w:rsid w:val="001963FB"/>
    <w:rsid w:val="00197481"/>
    <w:rsid w:val="001A355A"/>
    <w:rsid w:val="001A50C4"/>
    <w:rsid w:val="001B028D"/>
    <w:rsid w:val="001B0AC4"/>
    <w:rsid w:val="001B232D"/>
    <w:rsid w:val="001B2341"/>
    <w:rsid w:val="001B352E"/>
    <w:rsid w:val="001B4D08"/>
    <w:rsid w:val="001B5E42"/>
    <w:rsid w:val="001B61BE"/>
    <w:rsid w:val="001B65AD"/>
    <w:rsid w:val="001C1C5F"/>
    <w:rsid w:val="001C3E22"/>
    <w:rsid w:val="001C4821"/>
    <w:rsid w:val="001C5AC0"/>
    <w:rsid w:val="001C676E"/>
    <w:rsid w:val="001D2034"/>
    <w:rsid w:val="001E0102"/>
    <w:rsid w:val="001F20EE"/>
    <w:rsid w:val="001F4065"/>
    <w:rsid w:val="001F55EB"/>
    <w:rsid w:val="001F645C"/>
    <w:rsid w:val="001F7B9D"/>
    <w:rsid w:val="00200B54"/>
    <w:rsid w:val="00203EC1"/>
    <w:rsid w:val="00205715"/>
    <w:rsid w:val="0021094A"/>
    <w:rsid w:val="00214735"/>
    <w:rsid w:val="002148F7"/>
    <w:rsid w:val="00215BD0"/>
    <w:rsid w:val="00216B40"/>
    <w:rsid w:val="00216ED8"/>
    <w:rsid w:val="00221B65"/>
    <w:rsid w:val="00225B36"/>
    <w:rsid w:val="002271C8"/>
    <w:rsid w:val="00227B1C"/>
    <w:rsid w:val="00227FBF"/>
    <w:rsid w:val="00230EDD"/>
    <w:rsid w:val="00231083"/>
    <w:rsid w:val="00231450"/>
    <w:rsid w:val="00242EF7"/>
    <w:rsid w:val="0024319B"/>
    <w:rsid w:val="002454B8"/>
    <w:rsid w:val="00246B65"/>
    <w:rsid w:val="0025339F"/>
    <w:rsid w:val="00256BBA"/>
    <w:rsid w:val="00260F0B"/>
    <w:rsid w:val="00261257"/>
    <w:rsid w:val="00261E97"/>
    <w:rsid w:val="00264BE2"/>
    <w:rsid w:val="00265E6E"/>
    <w:rsid w:val="00272529"/>
    <w:rsid w:val="002729B2"/>
    <w:rsid w:val="0027581E"/>
    <w:rsid w:val="00283B1B"/>
    <w:rsid w:val="002862A3"/>
    <w:rsid w:val="00286A1B"/>
    <w:rsid w:val="002908FB"/>
    <w:rsid w:val="00297011"/>
    <w:rsid w:val="002A69B1"/>
    <w:rsid w:val="002A6CD8"/>
    <w:rsid w:val="002A720E"/>
    <w:rsid w:val="002B5044"/>
    <w:rsid w:val="002B5BCA"/>
    <w:rsid w:val="002B5FFB"/>
    <w:rsid w:val="002B6B70"/>
    <w:rsid w:val="002C0178"/>
    <w:rsid w:val="002C2241"/>
    <w:rsid w:val="002C3AC7"/>
    <w:rsid w:val="002C4EC4"/>
    <w:rsid w:val="002C7572"/>
    <w:rsid w:val="002C77A9"/>
    <w:rsid w:val="002D10E5"/>
    <w:rsid w:val="002D4BF3"/>
    <w:rsid w:val="002D73C7"/>
    <w:rsid w:val="002E7EBE"/>
    <w:rsid w:val="002F0116"/>
    <w:rsid w:val="002F1C04"/>
    <w:rsid w:val="002F2B18"/>
    <w:rsid w:val="002F7EF6"/>
    <w:rsid w:val="00301CBE"/>
    <w:rsid w:val="003024B5"/>
    <w:rsid w:val="003058A9"/>
    <w:rsid w:val="00307C76"/>
    <w:rsid w:val="003123B3"/>
    <w:rsid w:val="00313BB4"/>
    <w:rsid w:val="00315F2A"/>
    <w:rsid w:val="00320531"/>
    <w:rsid w:val="00320B0F"/>
    <w:rsid w:val="00320CA3"/>
    <w:rsid w:val="00321685"/>
    <w:rsid w:val="0032667B"/>
    <w:rsid w:val="003314B4"/>
    <w:rsid w:val="00333D7E"/>
    <w:rsid w:val="00334850"/>
    <w:rsid w:val="00335631"/>
    <w:rsid w:val="00341570"/>
    <w:rsid w:val="0034247F"/>
    <w:rsid w:val="00344DC2"/>
    <w:rsid w:val="00345559"/>
    <w:rsid w:val="00345E42"/>
    <w:rsid w:val="00347FCE"/>
    <w:rsid w:val="00353C61"/>
    <w:rsid w:val="00354358"/>
    <w:rsid w:val="00354C4D"/>
    <w:rsid w:val="00361C9C"/>
    <w:rsid w:val="00362550"/>
    <w:rsid w:val="00366764"/>
    <w:rsid w:val="00366D17"/>
    <w:rsid w:val="003672A9"/>
    <w:rsid w:val="00373BE2"/>
    <w:rsid w:val="00374904"/>
    <w:rsid w:val="00375B23"/>
    <w:rsid w:val="00376B81"/>
    <w:rsid w:val="00384E1F"/>
    <w:rsid w:val="00386956"/>
    <w:rsid w:val="00392355"/>
    <w:rsid w:val="00392586"/>
    <w:rsid w:val="00393384"/>
    <w:rsid w:val="0039398D"/>
    <w:rsid w:val="00394D65"/>
    <w:rsid w:val="00397CB5"/>
    <w:rsid w:val="003A37C6"/>
    <w:rsid w:val="003A4963"/>
    <w:rsid w:val="003A55E9"/>
    <w:rsid w:val="003A5CB2"/>
    <w:rsid w:val="003B0036"/>
    <w:rsid w:val="003B4C65"/>
    <w:rsid w:val="003B5555"/>
    <w:rsid w:val="003B75E2"/>
    <w:rsid w:val="003C6A5F"/>
    <w:rsid w:val="003C6E91"/>
    <w:rsid w:val="003C7833"/>
    <w:rsid w:val="003D1817"/>
    <w:rsid w:val="003D192A"/>
    <w:rsid w:val="003D38FA"/>
    <w:rsid w:val="003D7D55"/>
    <w:rsid w:val="003D7E7E"/>
    <w:rsid w:val="003E23F9"/>
    <w:rsid w:val="003E24F7"/>
    <w:rsid w:val="003E5062"/>
    <w:rsid w:val="003F0B6D"/>
    <w:rsid w:val="003F1BE4"/>
    <w:rsid w:val="003F4F40"/>
    <w:rsid w:val="0040077A"/>
    <w:rsid w:val="00403975"/>
    <w:rsid w:val="004064B8"/>
    <w:rsid w:val="00407725"/>
    <w:rsid w:val="0041020A"/>
    <w:rsid w:val="00412335"/>
    <w:rsid w:val="00412936"/>
    <w:rsid w:val="004164ED"/>
    <w:rsid w:val="00424C87"/>
    <w:rsid w:val="00425142"/>
    <w:rsid w:val="00426803"/>
    <w:rsid w:val="00427F81"/>
    <w:rsid w:val="00430839"/>
    <w:rsid w:val="00432751"/>
    <w:rsid w:val="00434536"/>
    <w:rsid w:val="00440613"/>
    <w:rsid w:val="00441F5A"/>
    <w:rsid w:val="00442D01"/>
    <w:rsid w:val="00443339"/>
    <w:rsid w:val="00443ECF"/>
    <w:rsid w:val="00444DD8"/>
    <w:rsid w:val="00445352"/>
    <w:rsid w:val="004520D3"/>
    <w:rsid w:val="00454FC1"/>
    <w:rsid w:val="0045579D"/>
    <w:rsid w:val="00456FE8"/>
    <w:rsid w:val="004607B8"/>
    <w:rsid w:val="00462001"/>
    <w:rsid w:val="00463A3C"/>
    <w:rsid w:val="0046427B"/>
    <w:rsid w:val="004663D8"/>
    <w:rsid w:val="004668C9"/>
    <w:rsid w:val="004727D2"/>
    <w:rsid w:val="00476581"/>
    <w:rsid w:val="0048030E"/>
    <w:rsid w:val="004821CF"/>
    <w:rsid w:val="00483453"/>
    <w:rsid w:val="00487434"/>
    <w:rsid w:val="00487EEB"/>
    <w:rsid w:val="004933B7"/>
    <w:rsid w:val="00493471"/>
    <w:rsid w:val="00495D2A"/>
    <w:rsid w:val="00496FD7"/>
    <w:rsid w:val="004974FE"/>
    <w:rsid w:val="004A0995"/>
    <w:rsid w:val="004A2766"/>
    <w:rsid w:val="004A31A4"/>
    <w:rsid w:val="004A3D06"/>
    <w:rsid w:val="004A668A"/>
    <w:rsid w:val="004B1A59"/>
    <w:rsid w:val="004B7066"/>
    <w:rsid w:val="004C054C"/>
    <w:rsid w:val="004C09AC"/>
    <w:rsid w:val="004C49C7"/>
    <w:rsid w:val="004D17F3"/>
    <w:rsid w:val="004D218E"/>
    <w:rsid w:val="004D25BF"/>
    <w:rsid w:val="004D5489"/>
    <w:rsid w:val="004D6D7D"/>
    <w:rsid w:val="004D6F65"/>
    <w:rsid w:val="004D79E9"/>
    <w:rsid w:val="004D7C59"/>
    <w:rsid w:val="004E0176"/>
    <w:rsid w:val="004E0F1F"/>
    <w:rsid w:val="004E12BE"/>
    <w:rsid w:val="004E1F7A"/>
    <w:rsid w:val="004E257E"/>
    <w:rsid w:val="004E4284"/>
    <w:rsid w:val="004F036D"/>
    <w:rsid w:val="004F0C5C"/>
    <w:rsid w:val="004F2E4E"/>
    <w:rsid w:val="004F2F7E"/>
    <w:rsid w:val="004F374A"/>
    <w:rsid w:val="004F3E02"/>
    <w:rsid w:val="004F66DA"/>
    <w:rsid w:val="00500ED7"/>
    <w:rsid w:val="00501615"/>
    <w:rsid w:val="005050A9"/>
    <w:rsid w:val="00510963"/>
    <w:rsid w:val="005112DE"/>
    <w:rsid w:val="00511481"/>
    <w:rsid w:val="00511C6D"/>
    <w:rsid w:val="00512241"/>
    <w:rsid w:val="005134A9"/>
    <w:rsid w:val="00515001"/>
    <w:rsid w:val="0051507D"/>
    <w:rsid w:val="00516146"/>
    <w:rsid w:val="0051765A"/>
    <w:rsid w:val="00517BBD"/>
    <w:rsid w:val="00524ED5"/>
    <w:rsid w:val="00531732"/>
    <w:rsid w:val="00532D2B"/>
    <w:rsid w:val="00534DBB"/>
    <w:rsid w:val="00554BEF"/>
    <w:rsid w:val="00560BBC"/>
    <w:rsid w:val="005624E9"/>
    <w:rsid w:val="00564525"/>
    <w:rsid w:val="005649F8"/>
    <w:rsid w:val="00570D29"/>
    <w:rsid w:val="00571046"/>
    <w:rsid w:val="005752E1"/>
    <w:rsid w:val="0057601C"/>
    <w:rsid w:val="00576898"/>
    <w:rsid w:val="005771AF"/>
    <w:rsid w:val="00585B53"/>
    <w:rsid w:val="00590430"/>
    <w:rsid w:val="00591C64"/>
    <w:rsid w:val="005A13EA"/>
    <w:rsid w:val="005A1F48"/>
    <w:rsid w:val="005A2E67"/>
    <w:rsid w:val="005A45E8"/>
    <w:rsid w:val="005A632A"/>
    <w:rsid w:val="005A6699"/>
    <w:rsid w:val="005A6DD5"/>
    <w:rsid w:val="005A7EBD"/>
    <w:rsid w:val="005B1BDD"/>
    <w:rsid w:val="005B493B"/>
    <w:rsid w:val="005C10A5"/>
    <w:rsid w:val="005C47A4"/>
    <w:rsid w:val="005C6F0A"/>
    <w:rsid w:val="005D0B0B"/>
    <w:rsid w:val="005D2B80"/>
    <w:rsid w:val="005D442D"/>
    <w:rsid w:val="005D6047"/>
    <w:rsid w:val="005E0760"/>
    <w:rsid w:val="005E15D9"/>
    <w:rsid w:val="005E293C"/>
    <w:rsid w:val="005E302C"/>
    <w:rsid w:val="005E3234"/>
    <w:rsid w:val="005E5280"/>
    <w:rsid w:val="005F0565"/>
    <w:rsid w:val="005F1A86"/>
    <w:rsid w:val="005F28A0"/>
    <w:rsid w:val="005F30D4"/>
    <w:rsid w:val="005F41C9"/>
    <w:rsid w:val="005F4E3E"/>
    <w:rsid w:val="005F5181"/>
    <w:rsid w:val="00602EE7"/>
    <w:rsid w:val="006034BB"/>
    <w:rsid w:val="006073EA"/>
    <w:rsid w:val="006140CE"/>
    <w:rsid w:val="00614243"/>
    <w:rsid w:val="00615351"/>
    <w:rsid w:val="00615A8C"/>
    <w:rsid w:val="00616818"/>
    <w:rsid w:val="00620DE1"/>
    <w:rsid w:val="006210DC"/>
    <w:rsid w:val="00621151"/>
    <w:rsid w:val="006239E8"/>
    <w:rsid w:val="00623E48"/>
    <w:rsid w:val="0062417C"/>
    <w:rsid w:val="00624CB8"/>
    <w:rsid w:val="00625CFC"/>
    <w:rsid w:val="006261E6"/>
    <w:rsid w:val="00631991"/>
    <w:rsid w:val="00632AA4"/>
    <w:rsid w:val="00633EC0"/>
    <w:rsid w:val="0063475F"/>
    <w:rsid w:val="006354F2"/>
    <w:rsid w:val="006379E3"/>
    <w:rsid w:val="006407C8"/>
    <w:rsid w:val="00641009"/>
    <w:rsid w:val="00643BCC"/>
    <w:rsid w:val="00644C23"/>
    <w:rsid w:val="00645701"/>
    <w:rsid w:val="00645F19"/>
    <w:rsid w:val="00650943"/>
    <w:rsid w:val="00652B62"/>
    <w:rsid w:val="00653040"/>
    <w:rsid w:val="00653929"/>
    <w:rsid w:val="00656178"/>
    <w:rsid w:val="006567BC"/>
    <w:rsid w:val="0065763E"/>
    <w:rsid w:val="00657802"/>
    <w:rsid w:val="0066259C"/>
    <w:rsid w:val="006625F1"/>
    <w:rsid w:val="00664D48"/>
    <w:rsid w:val="00666E5A"/>
    <w:rsid w:val="006725E5"/>
    <w:rsid w:val="006749EB"/>
    <w:rsid w:val="00675EF4"/>
    <w:rsid w:val="0067641D"/>
    <w:rsid w:val="00680DC9"/>
    <w:rsid w:val="006819B3"/>
    <w:rsid w:val="006828ED"/>
    <w:rsid w:val="0068472C"/>
    <w:rsid w:val="00685A05"/>
    <w:rsid w:val="00687A0A"/>
    <w:rsid w:val="0069097E"/>
    <w:rsid w:val="0069363A"/>
    <w:rsid w:val="0069387D"/>
    <w:rsid w:val="00694FE2"/>
    <w:rsid w:val="0069631D"/>
    <w:rsid w:val="00696AA2"/>
    <w:rsid w:val="006974B4"/>
    <w:rsid w:val="00697BDE"/>
    <w:rsid w:val="006A0AB8"/>
    <w:rsid w:val="006A0CCE"/>
    <w:rsid w:val="006A248F"/>
    <w:rsid w:val="006A2533"/>
    <w:rsid w:val="006A29E3"/>
    <w:rsid w:val="006A2CD4"/>
    <w:rsid w:val="006A34CC"/>
    <w:rsid w:val="006A35EA"/>
    <w:rsid w:val="006A3C2C"/>
    <w:rsid w:val="006A3E98"/>
    <w:rsid w:val="006A4E74"/>
    <w:rsid w:val="006A7872"/>
    <w:rsid w:val="006B0B25"/>
    <w:rsid w:val="006B7FE3"/>
    <w:rsid w:val="006C29C4"/>
    <w:rsid w:val="006C5318"/>
    <w:rsid w:val="006C602D"/>
    <w:rsid w:val="006C6357"/>
    <w:rsid w:val="006C6627"/>
    <w:rsid w:val="006D3CC7"/>
    <w:rsid w:val="006E1F6E"/>
    <w:rsid w:val="006E3102"/>
    <w:rsid w:val="006E5137"/>
    <w:rsid w:val="006E66C1"/>
    <w:rsid w:val="006E79A2"/>
    <w:rsid w:val="006F1A32"/>
    <w:rsid w:val="006F236C"/>
    <w:rsid w:val="006F4BBE"/>
    <w:rsid w:val="006F4FB1"/>
    <w:rsid w:val="006F528D"/>
    <w:rsid w:val="006F6401"/>
    <w:rsid w:val="006F7711"/>
    <w:rsid w:val="0070388E"/>
    <w:rsid w:val="00703B1F"/>
    <w:rsid w:val="00704638"/>
    <w:rsid w:val="00705288"/>
    <w:rsid w:val="00710534"/>
    <w:rsid w:val="00710F39"/>
    <w:rsid w:val="0071157D"/>
    <w:rsid w:val="0071227B"/>
    <w:rsid w:val="00712290"/>
    <w:rsid w:val="007159F7"/>
    <w:rsid w:val="0071600C"/>
    <w:rsid w:val="00716CFC"/>
    <w:rsid w:val="0072003D"/>
    <w:rsid w:val="007229DB"/>
    <w:rsid w:val="007251A1"/>
    <w:rsid w:val="007268BF"/>
    <w:rsid w:val="007322EF"/>
    <w:rsid w:val="007326CC"/>
    <w:rsid w:val="00734DD7"/>
    <w:rsid w:val="00735891"/>
    <w:rsid w:val="007375CE"/>
    <w:rsid w:val="0074231A"/>
    <w:rsid w:val="00742684"/>
    <w:rsid w:val="0074284B"/>
    <w:rsid w:val="00742B5D"/>
    <w:rsid w:val="0075032B"/>
    <w:rsid w:val="0075209D"/>
    <w:rsid w:val="007534E1"/>
    <w:rsid w:val="0075368E"/>
    <w:rsid w:val="007563BE"/>
    <w:rsid w:val="007642CA"/>
    <w:rsid w:val="00765BD7"/>
    <w:rsid w:val="007671A4"/>
    <w:rsid w:val="007675FC"/>
    <w:rsid w:val="00771CCC"/>
    <w:rsid w:val="007749A4"/>
    <w:rsid w:val="00776BCF"/>
    <w:rsid w:val="00777106"/>
    <w:rsid w:val="007945C9"/>
    <w:rsid w:val="0079650F"/>
    <w:rsid w:val="007A7A33"/>
    <w:rsid w:val="007A7CA0"/>
    <w:rsid w:val="007B1017"/>
    <w:rsid w:val="007B255F"/>
    <w:rsid w:val="007B25FE"/>
    <w:rsid w:val="007B3F3C"/>
    <w:rsid w:val="007B60C7"/>
    <w:rsid w:val="007C08D8"/>
    <w:rsid w:val="007C221A"/>
    <w:rsid w:val="007C42F8"/>
    <w:rsid w:val="007C4761"/>
    <w:rsid w:val="007C4C66"/>
    <w:rsid w:val="007D1378"/>
    <w:rsid w:val="007D501E"/>
    <w:rsid w:val="007D50BD"/>
    <w:rsid w:val="007D5EAE"/>
    <w:rsid w:val="007E1091"/>
    <w:rsid w:val="007E180B"/>
    <w:rsid w:val="007E21AA"/>
    <w:rsid w:val="007E4AD3"/>
    <w:rsid w:val="007E500D"/>
    <w:rsid w:val="007E5629"/>
    <w:rsid w:val="007E65D4"/>
    <w:rsid w:val="007F0295"/>
    <w:rsid w:val="007F242E"/>
    <w:rsid w:val="007F36F5"/>
    <w:rsid w:val="007F46E3"/>
    <w:rsid w:val="007F7F94"/>
    <w:rsid w:val="00800AED"/>
    <w:rsid w:val="00803758"/>
    <w:rsid w:val="00803AB2"/>
    <w:rsid w:val="00804C5E"/>
    <w:rsid w:val="00804E5B"/>
    <w:rsid w:val="00807042"/>
    <w:rsid w:val="0081072F"/>
    <w:rsid w:val="008112CB"/>
    <w:rsid w:val="00811DF8"/>
    <w:rsid w:val="0081252B"/>
    <w:rsid w:val="00815BD8"/>
    <w:rsid w:val="00815C9D"/>
    <w:rsid w:val="00816CDC"/>
    <w:rsid w:val="00821445"/>
    <w:rsid w:val="00825F52"/>
    <w:rsid w:val="00834ABA"/>
    <w:rsid w:val="00835437"/>
    <w:rsid w:val="00835A31"/>
    <w:rsid w:val="00846C9F"/>
    <w:rsid w:val="00846FD2"/>
    <w:rsid w:val="008475D5"/>
    <w:rsid w:val="008529FB"/>
    <w:rsid w:val="00852FB0"/>
    <w:rsid w:val="00855F92"/>
    <w:rsid w:val="008576E1"/>
    <w:rsid w:val="008605DE"/>
    <w:rsid w:val="008610C0"/>
    <w:rsid w:val="00862D2F"/>
    <w:rsid w:val="008634F0"/>
    <w:rsid w:val="00863AC0"/>
    <w:rsid w:val="0086461F"/>
    <w:rsid w:val="00866941"/>
    <w:rsid w:val="00870AC2"/>
    <w:rsid w:val="00870C97"/>
    <w:rsid w:val="008713B4"/>
    <w:rsid w:val="0087255F"/>
    <w:rsid w:val="008740CD"/>
    <w:rsid w:val="00875110"/>
    <w:rsid w:val="00875B44"/>
    <w:rsid w:val="00875CC9"/>
    <w:rsid w:val="0087606D"/>
    <w:rsid w:val="00876ED6"/>
    <w:rsid w:val="008772D8"/>
    <w:rsid w:val="00880390"/>
    <w:rsid w:val="00881F9D"/>
    <w:rsid w:val="0088437A"/>
    <w:rsid w:val="00884831"/>
    <w:rsid w:val="00885534"/>
    <w:rsid w:val="0088657A"/>
    <w:rsid w:val="00892DF4"/>
    <w:rsid w:val="00893FB4"/>
    <w:rsid w:val="00896063"/>
    <w:rsid w:val="008964E4"/>
    <w:rsid w:val="00897911"/>
    <w:rsid w:val="008A08CD"/>
    <w:rsid w:val="008A0F76"/>
    <w:rsid w:val="008A1698"/>
    <w:rsid w:val="008A2EB7"/>
    <w:rsid w:val="008A404D"/>
    <w:rsid w:val="008A53E4"/>
    <w:rsid w:val="008A6F30"/>
    <w:rsid w:val="008B26CA"/>
    <w:rsid w:val="008B41A1"/>
    <w:rsid w:val="008B474C"/>
    <w:rsid w:val="008B4EF7"/>
    <w:rsid w:val="008B7633"/>
    <w:rsid w:val="008C0B8A"/>
    <w:rsid w:val="008C13DF"/>
    <w:rsid w:val="008C3119"/>
    <w:rsid w:val="008C3321"/>
    <w:rsid w:val="008C64A5"/>
    <w:rsid w:val="008D4A53"/>
    <w:rsid w:val="008E04DE"/>
    <w:rsid w:val="008E3369"/>
    <w:rsid w:val="008E473D"/>
    <w:rsid w:val="008E64C0"/>
    <w:rsid w:val="008F05AC"/>
    <w:rsid w:val="008F2AA3"/>
    <w:rsid w:val="008F2F47"/>
    <w:rsid w:val="008F4E92"/>
    <w:rsid w:val="008F51A1"/>
    <w:rsid w:val="008F5536"/>
    <w:rsid w:val="008F7EEB"/>
    <w:rsid w:val="009009DE"/>
    <w:rsid w:val="00903125"/>
    <w:rsid w:val="009053CE"/>
    <w:rsid w:val="0091026B"/>
    <w:rsid w:val="009105FD"/>
    <w:rsid w:val="00917599"/>
    <w:rsid w:val="00917AE1"/>
    <w:rsid w:val="00920ACF"/>
    <w:rsid w:val="00920EBF"/>
    <w:rsid w:val="00921971"/>
    <w:rsid w:val="0092453F"/>
    <w:rsid w:val="009247F3"/>
    <w:rsid w:val="00924F66"/>
    <w:rsid w:val="0093042A"/>
    <w:rsid w:val="00933B89"/>
    <w:rsid w:val="00935BC9"/>
    <w:rsid w:val="00936B4A"/>
    <w:rsid w:val="00936BF2"/>
    <w:rsid w:val="0093789F"/>
    <w:rsid w:val="00940FD9"/>
    <w:rsid w:val="0094242C"/>
    <w:rsid w:val="009438D8"/>
    <w:rsid w:val="00945889"/>
    <w:rsid w:val="00947CA4"/>
    <w:rsid w:val="00950928"/>
    <w:rsid w:val="00955948"/>
    <w:rsid w:val="00956191"/>
    <w:rsid w:val="0095738C"/>
    <w:rsid w:val="009578AD"/>
    <w:rsid w:val="009603C0"/>
    <w:rsid w:val="00960D50"/>
    <w:rsid w:val="009615A7"/>
    <w:rsid w:val="00964D98"/>
    <w:rsid w:val="00964FE2"/>
    <w:rsid w:val="0096565B"/>
    <w:rsid w:val="00966EDC"/>
    <w:rsid w:val="0096764D"/>
    <w:rsid w:val="0097187F"/>
    <w:rsid w:val="009758B9"/>
    <w:rsid w:val="009762A0"/>
    <w:rsid w:val="0097778E"/>
    <w:rsid w:val="00980E13"/>
    <w:rsid w:val="0098315F"/>
    <w:rsid w:val="00984D4E"/>
    <w:rsid w:val="00984F32"/>
    <w:rsid w:val="00985EBA"/>
    <w:rsid w:val="00986B97"/>
    <w:rsid w:val="00990DD6"/>
    <w:rsid w:val="0099183A"/>
    <w:rsid w:val="009953EB"/>
    <w:rsid w:val="00996398"/>
    <w:rsid w:val="009A0E99"/>
    <w:rsid w:val="009A157F"/>
    <w:rsid w:val="009A16EC"/>
    <w:rsid w:val="009A2F2A"/>
    <w:rsid w:val="009B14FA"/>
    <w:rsid w:val="009C1549"/>
    <w:rsid w:val="009C38D8"/>
    <w:rsid w:val="009C41FD"/>
    <w:rsid w:val="009C61D0"/>
    <w:rsid w:val="009D01A1"/>
    <w:rsid w:val="009D20F7"/>
    <w:rsid w:val="009D22D5"/>
    <w:rsid w:val="009D35C6"/>
    <w:rsid w:val="009D4865"/>
    <w:rsid w:val="009D587B"/>
    <w:rsid w:val="009E2FF2"/>
    <w:rsid w:val="009E369A"/>
    <w:rsid w:val="009E6535"/>
    <w:rsid w:val="009F07A5"/>
    <w:rsid w:val="009F2282"/>
    <w:rsid w:val="009F4939"/>
    <w:rsid w:val="00A06703"/>
    <w:rsid w:val="00A06CF1"/>
    <w:rsid w:val="00A11263"/>
    <w:rsid w:val="00A11FF8"/>
    <w:rsid w:val="00A1415C"/>
    <w:rsid w:val="00A153EE"/>
    <w:rsid w:val="00A16A6E"/>
    <w:rsid w:val="00A265A8"/>
    <w:rsid w:val="00A26BA5"/>
    <w:rsid w:val="00A30DC4"/>
    <w:rsid w:val="00A32828"/>
    <w:rsid w:val="00A33BD3"/>
    <w:rsid w:val="00A43032"/>
    <w:rsid w:val="00A47031"/>
    <w:rsid w:val="00A479C4"/>
    <w:rsid w:val="00A5045C"/>
    <w:rsid w:val="00A532BF"/>
    <w:rsid w:val="00A54C57"/>
    <w:rsid w:val="00A62805"/>
    <w:rsid w:val="00A62FAD"/>
    <w:rsid w:val="00A65B29"/>
    <w:rsid w:val="00A670BB"/>
    <w:rsid w:val="00A7159C"/>
    <w:rsid w:val="00A72986"/>
    <w:rsid w:val="00A75ACB"/>
    <w:rsid w:val="00A85F15"/>
    <w:rsid w:val="00A90E64"/>
    <w:rsid w:val="00A9480F"/>
    <w:rsid w:val="00A95723"/>
    <w:rsid w:val="00A96942"/>
    <w:rsid w:val="00AA36E1"/>
    <w:rsid w:val="00AA7A5F"/>
    <w:rsid w:val="00AB24E5"/>
    <w:rsid w:val="00AB3DEC"/>
    <w:rsid w:val="00AB42FC"/>
    <w:rsid w:val="00AB435D"/>
    <w:rsid w:val="00AB645D"/>
    <w:rsid w:val="00AB73CA"/>
    <w:rsid w:val="00AB7E78"/>
    <w:rsid w:val="00AC0C93"/>
    <w:rsid w:val="00AC3B91"/>
    <w:rsid w:val="00AC5C50"/>
    <w:rsid w:val="00AC6C83"/>
    <w:rsid w:val="00AD0090"/>
    <w:rsid w:val="00AD446A"/>
    <w:rsid w:val="00AE08FD"/>
    <w:rsid w:val="00AE4B2E"/>
    <w:rsid w:val="00AF497D"/>
    <w:rsid w:val="00AF6580"/>
    <w:rsid w:val="00AF6E80"/>
    <w:rsid w:val="00AF7AAE"/>
    <w:rsid w:val="00B00F2D"/>
    <w:rsid w:val="00B019DC"/>
    <w:rsid w:val="00B0202E"/>
    <w:rsid w:val="00B109F9"/>
    <w:rsid w:val="00B13198"/>
    <w:rsid w:val="00B131C7"/>
    <w:rsid w:val="00B132EB"/>
    <w:rsid w:val="00B165EC"/>
    <w:rsid w:val="00B20182"/>
    <w:rsid w:val="00B31B1D"/>
    <w:rsid w:val="00B378F7"/>
    <w:rsid w:val="00B40B70"/>
    <w:rsid w:val="00B41050"/>
    <w:rsid w:val="00B4124F"/>
    <w:rsid w:val="00B4506A"/>
    <w:rsid w:val="00B47ECB"/>
    <w:rsid w:val="00B47FE9"/>
    <w:rsid w:val="00B51111"/>
    <w:rsid w:val="00B54513"/>
    <w:rsid w:val="00B5596F"/>
    <w:rsid w:val="00B560A4"/>
    <w:rsid w:val="00B57C43"/>
    <w:rsid w:val="00B60DFB"/>
    <w:rsid w:val="00B63928"/>
    <w:rsid w:val="00B661E8"/>
    <w:rsid w:val="00B66B7A"/>
    <w:rsid w:val="00B700C3"/>
    <w:rsid w:val="00B71643"/>
    <w:rsid w:val="00B72888"/>
    <w:rsid w:val="00B73FFB"/>
    <w:rsid w:val="00B74486"/>
    <w:rsid w:val="00B8007F"/>
    <w:rsid w:val="00B83829"/>
    <w:rsid w:val="00B87FF1"/>
    <w:rsid w:val="00B90DD0"/>
    <w:rsid w:val="00B90F48"/>
    <w:rsid w:val="00B91EA3"/>
    <w:rsid w:val="00B91EE9"/>
    <w:rsid w:val="00B92B8C"/>
    <w:rsid w:val="00B931E4"/>
    <w:rsid w:val="00B955E2"/>
    <w:rsid w:val="00BA32E3"/>
    <w:rsid w:val="00BA4496"/>
    <w:rsid w:val="00BA5548"/>
    <w:rsid w:val="00BA6A13"/>
    <w:rsid w:val="00BA6CBE"/>
    <w:rsid w:val="00BB26D8"/>
    <w:rsid w:val="00BB5CDF"/>
    <w:rsid w:val="00BC3965"/>
    <w:rsid w:val="00BC4984"/>
    <w:rsid w:val="00BC7336"/>
    <w:rsid w:val="00BD0B28"/>
    <w:rsid w:val="00BD3CAC"/>
    <w:rsid w:val="00BD40C6"/>
    <w:rsid w:val="00BD496A"/>
    <w:rsid w:val="00BD4B11"/>
    <w:rsid w:val="00BD50DF"/>
    <w:rsid w:val="00BD6348"/>
    <w:rsid w:val="00BD74AE"/>
    <w:rsid w:val="00BE0814"/>
    <w:rsid w:val="00BE1ED7"/>
    <w:rsid w:val="00BE2685"/>
    <w:rsid w:val="00BE4AFE"/>
    <w:rsid w:val="00BE5CB5"/>
    <w:rsid w:val="00BF0201"/>
    <w:rsid w:val="00BF0CE6"/>
    <w:rsid w:val="00BF108F"/>
    <w:rsid w:val="00BF396D"/>
    <w:rsid w:val="00BF542E"/>
    <w:rsid w:val="00BF5EFC"/>
    <w:rsid w:val="00BF77DE"/>
    <w:rsid w:val="00C004B4"/>
    <w:rsid w:val="00C02DBD"/>
    <w:rsid w:val="00C05477"/>
    <w:rsid w:val="00C11A20"/>
    <w:rsid w:val="00C12EBA"/>
    <w:rsid w:val="00C1387D"/>
    <w:rsid w:val="00C17851"/>
    <w:rsid w:val="00C220DD"/>
    <w:rsid w:val="00C22EEA"/>
    <w:rsid w:val="00C2495B"/>
    <w:rsid w:val="00C25748"/>
    <w:rsid w:val="00C25E0C"/>
    <w:rsid w:val="00C25E94"/>
    <w:rsid w:val="00C31AFF"/>
    <w:rsid w:val="00C32F99"/>
    <w:rsid w:val="00C33A9B"/>
    <w:rsid w:val="00C35594"/>
    <w:rsid w:val="00C4029E"/>
    <w:rsid w:val="00C4095E"/>
    <w:rsid w:val="00C412B9"/>
    <w:rsid w:val="00C41466"/>
    <w:rsid w:val="00C43789"/>
    <w:rsid w:val="00C457F7"/>
    <w:rsid w:val="00C47DA5"/>
    <w:rsid w:val="00C47EE8"/>
    <w:rsid w:val="00C50CBC"/>
    <w:rsid w:val="00C51050"/>
    <w:rsid w:val="00C54706"/>
    <w:rsid w:val="00C55157"/>
    <w:rsid w:val="00C555EB"/>
    <w:rsid w:val="00C5612C"/>
    <w:rsid w:val="00C562E4"/>
    <w:rsid w:val="00C56D2F"/>
    <w:rsid w:val="00C613E2"/>
    <w:rsid w:val="00C620A2"/>
    <w:rsid w:val="00C641B2"/>
    <w:rsid w:val="00C6745F"/>
    <w:rsid w:val="00C76995"/>
    <w:rsid w:val="00C77B0F"/>
    <w:rsid w:val="00C81C42"/>
    <w:rsid w:val="00C84ABB"/>
    <w:rsid w:val="00C84EC0"/>
    <w:rsid w:val="00C90606"/>
    <w:rsid w:val="00C931A8"/>
    <w:rsid w:val="00C97AC4"/>
    <w:rsid w:val="00CA0B0F"/>
    <w:rsid w:val="00CA4D10"/>
    <w:rsid w:val="00CA5739"/>
    <w:rsid w:val="00CA5886"/>
    <w:rsid w:val="00CB0186"/>
    <w:rsid w:val="00CB10A7"/>
    <w:rsid w:val="00CB16C7"/>
    <w:rsid w:val="00CB77C9"/>
    <w:rsid w:val="00CC3C73"/>
    <w:rsid w:val="00CC3DCD"/>
    <w:rsid w:val="00CC6088"/>
    <w:rsid w:val="00CC663C"/>
    <w:rsid w:val="00CD09C3"/>
    <w:rsid w:val="00CD0B31"/>
    <w:rsid w:val="00CD3D94"/>
    <w:rsid w:val="00CD4D23"/>
    <w:rsid w:val="00CD4E4F"/>
    <w:rsid w:val="00CD6AFD"/>
    <w:rsid w:val="00CE1952"/>
    <w:rsid w:val="00CE55E4"/>
    <w:rsid w:val="00CE67F3"/>
    <w:rsid w:val="00CE68A3"/>
    <w:rsid w:val="00CF17B3"/>
    <w:rsid w:val="00CF3BED"/>
    <w:rsid w:val="00CF42AD"/>
    <w:rsid w:val="00CF56DC"/>
    <w:rsid w:val="00CF5887"/>
    <w:rsid w:val="00CF5EA9"/>
    <w:rsid w:val="00CF68AA"/>
    <w:rsid w:val="00CF7710"/>
    <w:rsid w:val="00D01B64"/>
    <w:rsid w:val="00D033F3"/>
    <w:rsid w:val="00D038B2"/>
    <w:rsid w:val="00D03E89"/>
    <w:rsid w:val="00D05132"/>
    <w:rsid w:val="00D05551"/>
    <w:rsid w:val="00D069BE"/>
    <w:rsid w:val="00D10619"/>
    <w:rsid w:val="00D116BF"/>
    <w:rsid w:val="00D14192"/>
    <w:rsid w:val="00D14A90"/>
    <w:rsid w:val="00D14F4A"/>
    <w:rsid w:val="00D162D3"/>
    <w:rsid w:val="00D16379"/>
    <w:rsid w:val="00D26F52"/>
    <w:rsid w:val="00D27FEE"/>
    <w:rsid w:val="00D31AA3"/>
    <w:rsid w:val="00D31B76"/>
    <w:rsid w:val="00D31C7F"/>
    <w:rsid w:val="00D3518D"/>
    <w:rsid w:val="00D358A1"/>
    <w:rsid w:val="00D35B7B"/>
    <w:rsid w:val="00D36698"/>
    <w:rsid w:val="00D3686E"/>
    <w:rsid w:val="00D37A5E"/>
    <w:rsid w:val="00D40470"/>
    <w:rsid w:val="00D42831"/>
    <w:rsid w:val="00D43002"/>
    <w:rsid w:val="00D4306A"/>
    <w:rsid w:val="00D44FF0"/>
    <w:rsid w:val="00D450C4"/>
    <w:rsid w:val="00D46614"/>
    <w:rsid w:val="00D50CE7"/>
    <w:rsid w:val="00D50F87"/>
    <w:rsid w:val="00D533D0"/>
    <w:rsid w:val="00D60E4E"/>
    <w:rsid w:val="00D6158E"/>
    <w:rsid w:val="00D62CA3"/>
    <w:rsid w:val="00D63C66"/>
    <w:rsid w:val="00D656C9"/>
    <w:rsid w:val="00D65EF3"/>
    <w:rsid w:val="00D66160"/>
    <w:rsid w:val="00D75CF6"/>
    <w:rsid w:val="00D75E63"/>
    <w:rsid w:val="00D77BA6"/>
    <w:rsid w:val="00D8125A"/>
    <w:rsid w:val="00D83FB9"/>
    <w:rsid w:val="00D840DA"/>
    <w:rsid w:val="00D858DD"/>
    <w:rsid w:val="00D944C4"/>
    <w:rsid w:val="00D95124"/>
    <w:rsid w:val="00D966A2"/>
    <w:rsid w:val="00D972F6"/>
    <w:rsid w:val="00D975B2"/>
    <w:rsid w:val="00DA0A5F"/>
    <w:rsid w:val="00DA330F"/>
    <w:rsid w:val="00DA59D3"/>
    <w:rsid w:val="00DB01A0"/>
    <w:rsid w:val="00DB0ADF"/>
    <w:rsid w:val="00DB2636"/>
    <w:rsid w:val="00DB319A"/>
    <w:rsid w:val="00DB3D12"/>
    <w:rsid w:val="00DB532C"/>
    <w:rsid w:val="00DB5908"/>
    <w:rsid w:val="00DB613D"/>
    <w:rsid w:val="00DB637E"/>
    <w:rsid w:val="00DB6EAC"/>
    <w:rsid w:val="00DC25A2"/>
    <w:rsid w:val="00DC3C80"/>
    <w:rsid w:val="00DC3F4B"/>
    <w:rsid w:val="00DC7EA0"/>
    <w:rsid w:val="00DD05C6"/>
    <w:rsid w:val="00DD1F7C"/>
    <w:rsid w:val="00DD20DD"/>
    <w:rsid w:val="00DD608C"/>
    <w:rsid w:val="00DD634E"/>
    <w:rsid w:val="00DD6737"/>
    <w:rsid w:val="00DE35C5"/>
    <w:rsid w:val="00DE5ADC"/>
    <w:rsid w:val="00DE659D"/>
    <w:rsid w:val="00DF38FC"/>
    <w:rsid w:val="00DF705C"/>
    <w:rsid w:val="00DF7896"/>
    <w:rsid w:val="00E0208F"/>
    <w:rsid w:val="00E03926"/>
    <w:rsid w:val="00E04682"/>
    <w:rsid w:val="00E05B76"/>
    <w:rsid w:val="00E05C3E"/>
    <w:rsid w:val="00E065A9"/>
    <w:rsid w:val="00E1125C"/>
    <w:rsid w:val="00E134B9"/>
    <w:rsid w:val="00E1557B"/>
    <w:rsid w:val="00E16804"/>
    <w:rsid w:val="00E20FBB"/>
    <w:rsid w:val="00E223E6"/>
    <w:rsid w:val="00E231D7"/>
    <w:rsid w:val="00E24525"/>
    <w:rsid w:val="00E25B6C"/>
    <w:rsid w:val="00E30ADC"/>
    <w:rsid w:val="00E35F23"/>
    <w:rsid w:val="00E37AA0"/>
    <w:rsid w:val="00E423F4"/>
    <w:rsid w:val="00E43185"/>
    <w:rsid w:val="00E4636A"/>
    <w:rsid w:val="00E46FF4"/>
    <w:rsid w:val="00E503EB"/>
    <w:rsid w:val="00E51FB3"/>
    <w:rsid w:val="00E52E4B"/>
    <w:rsid w:val="00E57285"/>
    <w:rsid w:val="00E643AA"/>
    <w:rsid w:val="00E652B9"/>
    <w:rsid w:val="00E654E5"/>
    <w:rsid w:val="00E65D54"/>
    <w:rsid w:val="00E72D1B"/>
    <w:rsid w:val="00E739B4"/>
    <w:rsid w:val="00E74067"/>
    <w:rsid w:val="00E75572"/>
    <w:rsid w:val="00E80B1F"/>
    <w:rsid w:val="00E80E87"/>
    <w:rsid w:val="00E82969"/>
    <w:rsid w:val="00E83557"/>
    <w:rsid w:val="00E84F35"/>
    <w:rsid w:val="00E87237"/>
    <w:rsid w:val="00E87FBB"/>
    <w:rsid w:val="00E916FD"/>
    <w:rsid w:val="00E93307"/>
    <w:rsid w:val="00E938D0"/>
    <w:rsid w:val="00E956E0"/>
    <w:rsid w:val="00E96F8A"/>
    <w:rsid w:val="00E977C1"/>
    <w:rsid w:val="00EA4AA6"/>
    <w:rsid w:val="00EA7ACA"/>
    <w:rsid w:val="00EB03BC"/>
    <w:rsid w:val="00EB1EEE"/>
    <w:rsid w:val="00EB76FA"/>
    <w:rsid w:val="00EB7829"/>
    <w:rsid w:val="00EB7F80"/>
    <w:rsid w:val="00EC0BCB"/>
    <w:rsid w:val="00ED2FEE"/>
    <w:rsid w:val="00ED5C7C"/>
    <w:rsid w:val="00ED6420"/>
    <w:rsid w:val="00ED66F9"/>
    <w:rsid w:val="00ED6E6E"/>
    <w:rsid w:val="00EE20FD"/>
    <w:rsid w:val="00EE4084"/>
    <w:rsid w:val="00EE61C7"/>
    <w:rsid w:val="00EE76A7"/>
    <w:rsid w:val="00EF1561"/>
    <w:rsid w:val="00EF4C8D"/>
    <w:rsid w:val="00F00EA5"/>
    <w:rsid w:val="00F01327"/>
    <w:rsid w:val="00F02546"/>
    <w:rsid w:val="00F04835"/>
    <w:rsid w:val="00F0639E"/>
    <w:rsid w:val="00F1342B"/>
    <w:rsid w:val="00F137A7"/>
    <w:rsid w:val="00F14FF7"/>
    <w:rsid w:val="00F15E4A"/>
    <w:rsid w:val="00F171CE"/>
    <w:rsid w:val="00F2324C"/>
    <w:rsid w:val="00F24AAD"/>
    <w:rsid w:val="00F2563F"/>
    <w:rsid w:val="00F25942"/>
    <w:rsid w:val="00F265F5"/>
    <w:rsid w:val="00F266A0"/>
    <w:rsid w:val="00F27049"/>
    <w:rsid w:val="00F3043E"/>
    <w:rsid w:val="00F30E6E"/>
    <w:rsid w:val="00F32147"/>
    <w:rsid w:val="00F358D9"/>
    <w:rsid w:val="00F373A3"/>
    <w:rsid w:val="00F373A5"/>
    <w:rsid w:val="00F37FC8"/>
    <w:rsid w:val="00F4164A"/>
    <w:rsid w:val="00F416C0"/>
    <w:rsid w:val="00F4335F"/>
    <w:rsid w:val="00F531AB"/>
    <w:rsid w:val="00F540D0"/>
    <w:rsid w:val="00F55DE2"/>
    <w:rsid w:val="00F5782F"/>
    <w:rsid w:val="00F61EAB"/>
    <w:rsid w:val="00F62507"/>
    <w:rsid w:val="00F63B4E"/>
    <w:rsid w:val="00F63DF9"/>
    <w:rsid w:val="00F64020"/>
    <w:rsid w:val="00F64C85"/>
    <w:rsid w:val="00F717DF"/>
    <w:rsid w:val="00F77CD9"/>
    <w:rsid w:val="00F853D4"/>
    <w:rsid w:val="00F85472"/>
    <w:rsid w:val="00F91DA1"/>
    <w:rsid w:val="00F93A1A"/>
    <w:rsid w:val="00FA0563"/>
    <w:rsid w:val="00FA3021"/>
    <w:rsid w:val="00FA356F"/>
    <w:rsid w:val="00FA40A7"/>
    <w:rsid w:val="00FA6C33"/>
    <w:rsid w:val="00FA6CF2"/>
    <w:rsid w:val="00FA7DEC"/>
    <w:rsid w:val="00FB2890"/>
    <w:rsid w:val="00FB4D15"/>
    <w:rsid w:val="00FB57B8"/>
    <w:rsid w:val="00FB7FE5"/>
    <w:rsid w:val="00FC0E48"/>
    <w:rsid w:val="00FC3652"/>
    <w:rsid w:val="00FD2B51"/>
    <w:rsid w:val="00FD5125"/>
    <w:rsid w:val="00FD726D"/>
    <w:rsid w:val="00FE0A4B"/>
    <w:rsid w:val="00FE191C"/>
    <w:rsid w:val="00FE2F25"/>
    <w:rsid w:val="00FE4536"/>
    <w:rsid w:val="00FE4FA7"/>
    <w:rsid w:val="00FE7D79"/>
    <w:rsid w:val="00FF0E32"/>
    <w:rsid w:val="00FF3385"/>
    <w:rsid w:val="00FF5D8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103CA5"/>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2586"/>
    <w:pPr>
      <w:spacing w:after="0"/>
      <w:jc w:val="both"/>
    </w:pPr>
    <w:rPr>
      <w:rFonts w:ascii="Book Antiqua" w:eastAsiaTheme="minorEastAsia" w:hAnsi="Book Antiqua"/>
      <w:sz w:val="24"/>
      <w:lang w:eastAsia="es-ES"/>
    </w:rPr>
  </w:style>
  <w:style w:type="paragraph" w:styleId="Ttulo1">
    <w:name w:val="heading 1"/>
    <w:basedOn w:val="Normal"/>
    <w:link w:val="Ttulo1Car"/>
    <w:uiPriority w:val="9"/>
    <w:qFormat/>
    <w:rsid w:val="00825F52"/>
    <w:pPr>
      <w:spacing w:before="100" w:beforeAutospacing="1" w:after="100" w:afterAutospacing="1"/>
      <w:jc w:val="center"/>
      <w:outlineLvl w:val="0"/>
    </w:pPr>
    <w:rPr>
      <w:rFonts w:eastAsia="Times New Roman"/>
      <w:bCs/>
      <w:kern w:val="36"/>
      <w:sz w:val="36"/>
      <w:szCs w:val="40"/>
    </w:rPr>
  </w:style>
  <w:style w:type="paragraph" w:styleId="Ttulo2">
    <w:name w:val="heading 2"/>
    <w:basedOn w:val="Normal"/>
    <w:next w:val="Normal"/>
    <w:link w:val="Ttulo2Car"/>
    <w:uiPriority w:val="9"/>
    <w:unhideWhenUsed/>
    <w:qFormat/>
    <w:rsid w:val="00E05C3E"/>
    <w:pPr>
      <w:keepNext/>
      <w:keepLines/>
      <w:spacing w:before="340" w:after="180"/>
      <w:ind w:left="170"/>
      <w:outlineLvl w:val="1"/>
    </w:pPr>
    <w:rPr>
      <w:rFonts w:eastAsiaTheme="majorEastAsia" w:cstheme="majorBidi"/>
      <w:i/>
      <w:sz w:val="28"/>
      <w:szCs w:val="26"/>
    </w:rPr>
  </w:style>
  <w:style w:type="paragraph" w:styleId="Ttulo3">
    <w:name w:val="heading 3"/>
    <w:basedOn w:val="Normal"/>
    <w:next w:val="Normal"/>
    <w:link w:val="Ttulo3Car"/>
    <w:uiPriority w:val="9"/>
    <w:unhideWhenUsed/>
    <w:qFormat/>
    <w:rsid w:val="008634F0"/>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25F52"/>
    <w:rPr>
      <w:rFonts w:ascii="Book Antiqua" w:eastAsia="Times New Roman" w:hAnsi="Book Antiqua"/>
      <w:bCs/>
      <w:kern w:val="36"/>
      <w:sz w:val="36"/>
      <w:szCs w:val="40"/>
      <w:lang w:eastAsia="es-ES"/>
    </w:rPr>
  </w:style>
  <w:style w:type="paragraph" w:styleId="NormalWeb">
    <w:name w:val="Normal (Web)"/>
    <w:basedOn w:val="Normal"/>
    <w:uiPriority w:val="99"/>
    <w:unhideWhenUsed/>
    <w:rsid w:val="00880390"/>
    <w:pPr>
      <w:spacing w:before="100" w:beforeAutospacing="1" w:after="100" w:afterAutospacing="1"/>
    </w:pPr>
  </w:style>
  <w:style w:type="character" w:customStyle="1" w:styleId="Ttulo2Car">
    <w:name w:val="Título 2 Car"/>
    <w:basedOn w:val="Fuentedeprrafopredeter"/>
    <w:link w:val="Ttulo2"/>
    <w:uiPriority w:val="9"/>
    <w:rsid w:val="00E05C3E"/>
    <w:rPr>
      <w:rFonts w:ascii="Book Antiqua" w:eastAsiaTheme="majorEastAsia" w:hAnsi="Book Antiqua" w:cstheme="majorBidi"/>
      <w:i/>
      <w:sz w:val="28"/>
      <w:szCs w:val="26"/>
      <w:lang w:eastAsia="es-ES"/>
    </w:rPr>
  </w:style>
  <w:style w:type="paragraph" w:styleId="Cita">
    <w:name w:val="Quote"/>
    <w:basedOn w:val="Normal"/>
    <w:next w:val="Normal"/>
    <w:link w:val="CitaCar"/>
    <w:uiPriority w:val="29"/>
    <w:qFormat/>
    <w:rsid w:val="00E231D7"/>
    <w:pPr>
      <w:spacing w:before="200" w:after="160"/>
      <w:ind w:left="862" w:right="862"/>
      <w:jc w:val="right"/>
    </w:pPr>
    <w:rPr>
      <w:rFonts w:eastAsiaTheme="minorHAnsi"/>
      <w:i/>
      <w:iCs/>
      <w:color w:val="404040" w:themeColor="text1" w:themeTint="BF"/>
      <w:lang w:eastAsia="en-US"/>
    </w:rPr>
  </w:style>
  <w:style w:type="character" w:customStyle="1" w:styleId="CitaCar">
    <w:name w:val="Cita Car"/>
    <w:basedOn w:val="Fuentedeprrafopredeter"/>
    <w:link w:val="Cita"/>
    <w:uiPriority w:val="29"/>
    <w:rsid w:val="00E231D7"/>
    <w:rPr>
      <w:rFonts w:ascii="Book Antiqua" w:hAnsi="Book Antiqua"/>
      <w:i/>
      <w:iCs/>
      <w:color w:val="404040" w:themeColor="text1" w:themeTint="BF"/>
      <w:sz w:val="24"/>
    </w:rPr>
  </w:style>
  <w:style w:type="paragraph" w:customStyle="1" w:styleId="has-text-align-right">
    <w:name w:val="has-text-align-right"/>
    <w:basedOn w:val="Normal"/>
    <w:rsid w:val="002F7EF6"/>
    <w:pPr>
      <w:spacing w:before="100" w:beforeAutospacing="1" w:after="100" w:afterAutospacing="1"/>
      <w:jc w:val="left"/>
    </w:pPr>
    <w:rPr>
      <w:rFonts w:ascii="Times New Roman" w:eastAsia="Times New Roman" w:hAnsi="Times New Roman" w:cs="Times New Roman"/>
      <w:szCs w:val="24"/>
    </w:rPr>
  </w:style>
  <w:style w:type="character" w:styleId="Hipervnculo">
    <w:name w:val="Hyperlink"/>
    <w:basedOn w:val="Fuentedeprrafopredeter"/>
    <w:uiPriority w:val="99"/>
    <w:unhideWhenUsed/>
    <w:rsid w:val="002F7EF6"/>
    <w:rPr>
      <w:color w:val="0000FF"/>
      <w:u w:val="single"/>
    </w:rPr>
  </w:style>
  <w:style w:type="paragraph" w:customStyle="1" w:styleId="has-drop-cap">
    <w:name w:val="has-drop-cap"/>
    <w:basedOn w:val="Normal"/>
    <w:rsid w:val="002F7EF6"/>
    <w:pPr>
      <w:spacing w:before="100" w:beforeAutospacing="1" w:after="100" w:afterAutospacing="1"/>
      <w:jc w:val="left"/>
    </w:pPr>
    <w:rPr>
      <w:rFonts w:ascii="Times New Roman" w:eastAsia="Times New Roman" w:hAnsi="Times New Roman" w:cs="Times New Roman"/>
      <w:szCs w:val="24"/>
    </w:rPr>
  </w:style>
  <w:style w:type="character" w:styleId="nfasis">
    <w:name w:val="Emphasis"/>
    <w:basedOn w:val="Fuentedeprrafopredeter"/>
    <w:uiPriority w:val="20"/>
    <w:qFormat/>
    <w:rsid w:val="002F7EF6"/>
    <w:rPr>
      <w:i/>
      <w:iCs/>
    </w:rPr>
  </w:style>
  <w:style w:type="paragraph" w:customStyle="1" w:styleId="has-text-align-justify">
    <w:name w:val="has-text-align-justify"/>
    <w:basedOn w:val="Normal"/>
    <w:rsid w:val="002F7EF6"/>
    <w:pPr>
      <w:spacing w:before="100" w:beforeAutospacing="1" w:after="100" w:afterAutospacing="1"/>
      <w:jc w:val="left"/>
    </w:pPr>
    <w:rPr>
      <w:rFonts w:ascii="Times New Roman" w:eastAsia="Times New Roman" w:hAnsi="Times New Roman" w:cs="Times New Roman"/>
      <w:szCs w:val="24"/>
    </w:rPr>
  </w:style>
  <w:style w:type="character" w:customStyle="1" w:styleId="skimlinks-unlinked">
    <w:name w:val="skimlinks-unlinked"/>
    <w:basedOn w:val="Fuentedeprrafopredeter"/>
    <w:rsid w:val="002F7EF6"/>
  </w:style>
  <w:style w:type="character" w:styleId="Textoennegrita">
    <w:name w:val="Strong"/>
    <w:basedOn w:val="Fuentedeprrafopredeter"/>
    <w:uiPriority w:val="22"/>
    <w:qFormat/>
    <w:rsid w:val="00A26BA5"/>
    <w:rPr>
      <w:b/>
      <w:bCs/>
    </w:rPr>
  </w:style>
  <w:style w:type="character" w:styleId="nfasissutil">
    <w:name w:val="Subtle Emphasis"/>
    <w:basedOn w:val="Fuentedeprrafopredeter"/>
    <w:uiPriority w:val="19"/>
    <w:qFormat/>
    <w:rsid w:val="009578AD"/>
    <w:rPr>
      <w:i/>
      <w:iCs/>
      <w:color w:val="404040" w:themeColor="text1" w:themeTint="BF"/>
    </w:rPr>
  </w:style>
  <w:style w:type="character" w:customStyle="1" w:styleId="Mencinsinresolver1">
    <w:name w:val="Mención sin resolver1"/>
    <w:basedOn w:val="Fuentedeprrafopredeter"/>
    <w:uiPriority w:val="99"/>
    <w:semiHidden/>
    <w:unhideWhenUsed/>
    <w:rsid w:val="006A34CC"/>
    <w:rPr>
      <w:color w:val="605E5C"/>
      <w:shd w:val="clear" w:color="auto" w:fill="E1DFDD"/>
    </w:rPr>
  </w:style>
  <w:style w:type="paragraph" w:styleId="Encabezado">
    <w:name w:val="header"/>
    <w:basedOn w:val="Normal"/>
    <w:link w:val="EncabezadoCar"/>
    <w:uiPriority w:val="99"/>
    <w:unhideWhenUsed/>
    <w:rsid w:val="006A34CC"/>
    <w:pPr>
      <w:tabs>
        <w:tab w:val="center" w:pos="4419"/>
        <w:tab w:val="right" w:pos="8838"/>
      </w:tabs>
    </w:pPr>
  </w:style>
  <w:style w:type="character" w:customStyle="1" w:styleId="EncabezadoCar">
    <w:name w:val="Encabezado Car"/>
    <w:basedOn w:val="Fuentedeprrafopredeter"/>
    <w:link w:val="Encabezado"/>
    <w:uiPriority w:val="99"/>
    <w:rsid w:val="006A34CC"/>
    <w:rPr>
      <w:rFonts w:ascii="Book Antiqua" w:eastAsiaTheme="minorEastAsia" w:hAnsi="Book Antiqua"/>
      <w:sz w:val="24"/>
      <w:lang w:eastAsia="es-ES"/>
    </w:rPr>
  </w:style>
  <w:style w:type="paragraph" w:styleId="Piedepgina">
    <w:name w:val="footer"/>
    <w:basedOn w:val="Normal"/>
    <w:link w:val="PiedepginaCar"/>
    <w:uiPriority w:val="99"/>
    <w:unhideWhenUsed/>
    <w:rsid w:val="006A34CC"/>
    <w:pPr>
      <w:tabs>
        <w:tab w:val="center" w:pos="4419"/>
        <w:tab w:val="right" w:pos="8838"/>
      </w:tabs>
    </w:pPr>
  </w:style>
  <w:style w:type="character" w:customStyle="1" w:styleId="PiedepginaCar">
    <w:name w:val="Pie de página Car"/>
    <w:basedOn w:val="Fuentedeprrafopredeter"/>
    <w:link w:val="Piedepgina"/>
    <w:uiPriority w:val="99"/>
    <w:rsid w:val="006A34CC"/>
    <w:rPr>
      <w:rFonts w:ascii="Book Antiqua" w:eastAsiaTheme="minorEastAsia" w:hAnsi="Book Antiqua"/>
      <w:sz w:val="24"/>
      <w:lang w:eastAsia="es-ES"/>
    </w:rPr>
  </w:style>
  <w:style w:type="paragraph" w:styleId="Textonotapie">
    <w:name w:val="footnote text"/>
    <w:basedOn w:val="Normal"/>
    <w:link w:val="TextonotapieCar"/>
    <w:uiPriority w:val="99"/>
    <w:semiHidden/>
    <w:unhideWhenUsed/>
    <w:rsid w:val="0034247F"/>
    <w:rPr>
      <w:sz w:val="20"/>
      <w:szCs w:val="20"/>
    </w:rPr>
  </w:style>
  <w:style w:type="character" w:customStyle="1" w:styleId="TextonotapieCar">
    <w:name w:val="Texto nota pie Car"/>
    <w:basedOn w:val="Fuentedeprrafopredeter"/>
    <w:link w:val="Textonotapie"/>
    <w:uiPriority w:val="99"/>
    <w:semiHidden/>
    <w:rsid w:val="0034247F"/>
    <w:rPr>
      <w:rFonts w:ascii="Book Antiqua" w:eastAsiaTheme="minorEastAsia" w:hAnsi="Book Antiqua"/>
      <w:sz w:val="20"/>
      <w:szCs w:val="20"/>
      <w:lang w:eastAsia="es-ES"/>
    </w:rPr>
  </w:style>
  <w:style w:type="character" w:styleId="Refdenotaalpie">
    <w:name w:val="footnote reference"/>
    <w:basedOn w:val="Fuentedeprrafopredeter"/>
    <w:uiPriority w:val="99"/>
    <w:semiHidden/>
    <w:unhideWhenUsed/>
    <w:rsid w:val="0034247F"/>
    <w:rPr>
      <w:vertAlign w:val="superscript"/>
    </w:rPr>
  </w:style>
  <w:style w:type="character" w:styleId="Hipervnculovisitado">
    <w:name w:val="FollowedHyperlink"/>
    <w:basedOn w:val="Fuentedeprrafopredeter"/>
    <w:uiPriority w:val="99"/>
    <w:semiHidden/>
    <w:unhideWhenUsed/>
    <w:rsid w:val="006C602D"/>
    <w:rPr>
      <w:color w:val="954F72" w:themeColor="followedHyperlink"/>
      <w:u w:val="single"/>
    </w:rPr>
  </w:style>
  <w:style w:type="paragraph" w:styleId="Prrafodelista">
    <w:name w:val="List Paragraph"/>
    <w:basedOn w:val="Normal"/>
    <w:uiPriority w:val="34"/>
    <w:qFormat/>
    <w:rsid w:val="00FB7FE5"/>
    <w:pPr>
      <w:ind w:left="720"/>
      <w:contextualSpacing/>
    </w:pPr>
  </w:style>
  <w:style w:type="character" w:customStyle="1" w:styleId="Ttulo3Car">
    <w:name w:val="Título 3 Car"/>
    <w:basedOn w:val="Fuentedeprrafopredeter"/>
    <w:link w:val="Ttulo3"/>
    <w:uiPriority w:val="9"/>
    <w:rsid w:val="008634F0"/>
    <w:rPr>
      <w:rFonts w:asciiTheme="majorHAnsi" w:eastAsiaTheme="majorEastAsia" w:hAnsiTheme="majorHAnsi" w:cstheme="majorBidi"/>
      <w:color w:val="1F3763" w:themeColor="accent1" w:themeShade="7F"/>
      <w:sz w:val="24"/>
      <w:szCs w:val="24"/>
      <w:lang w:eastAsia="es-ES"/>
    </w:rPr>
  </w:style>
  <w:style w:type="character" w:styleId="Refdecomentario">
    <w:name w:val="annotation reference"/>
    <w:basedOn w:val="Fuentedeprrafopredeter"/>
    <w:uiPriority w:val="99"/>
    <w:semiHidden/>
    <w:unhideWhenUsed/>
    <w:rsid w:val="00EE76A7"/>
    <w:rPr>
      <w:sz w:val="16"/>
      <w:szCs w:val="16"/>
    </w:rPr>
  </w:style>
  <w:style w:type="paragraph" w:styleId="Textocomentario">
    <w:name w:val="annotation text"/>
    <w:basedOn w:val="Normal"/>
    <w:link w:val="TextocomentarioCar"/>
    <w:uiPriority w:val="99"/>
    <w:unhideWhenUsed/>
    <w:rsid w:val="00EE76A7"/>
    <w:rPr>
      <w:sz w:val="20"/>
      <w:szCs w:val="20"/>
    </w:rPr>
  </w:style>
  <w:style w:type="character" w:customStyle="1" w:styleId="TextocomentarioCar">
    <w:name w:val="Texto comentario Car"/>
    <w:basedOn w:val="Fuentedeprrafopredeter"/>
    <w:link w:val="Textocomentario"/>
    <w:uiPriority w:val="99"/>
    <w:rsid w:val="00EE76A7"/>
    <w:rPr>
      <w:rFonts w:ascii="Book Antiqua" w:eastAsiaTheme="minorEastAsia" w:hAnsi="Book Antiqua"/>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EE76A7"/>
    <w:rPr>
      <w:b/>
      <w:bCs/>
    </w:rPr>
  </w:style>
  <w:style w:type="character" w:customStyle="1" w:styleId="AsuntodelcomentarioCar">
    <w:name w:val="Asunto del comentario Car"/>
    <w:basedOn w:val="TextocomentarioCar"/>
    <w:link w:val="Asuntodelcomentario"/>
    <w:uiPriority w:val="99"/>
    <w:semiHidden/>
    <w:rsid w:val="00EE76A7"/>
    <w:rPr>
      <w:rFonts w:ascii="Book Antiqua" w:eastAsiaTheme="minorEastAsia" w:hAnsi="Book Antiqua"/>
      <w:b/>
      <w:bCs/>
      <w:sz w:val="20"/>
      <w:szCs w:val="20"/>
      <w:lang w:eastAsia="es-ES"/>
    </w:rPr>
  </w:style>
  <w:style w:type="character" w:styleId="Mencinsinresolver">
    <w:name w:val="Unresolved Mention"/>
    <w:basedOn w:val="Fuentedeprrafopredeter"/>
    <w:uiPriority w:val="99"/>
    <w:semiHidden/>
    <w:unhideWhenUsed/>
    <w:rsid w:val="003A55E9"/>
    <w:rPr>
      <w:color w:val="605E5C"/>
      <w:shd w:val="clear" w:color="auto" w:fill="E1DFDD"/>
    </w:rPr>
  </w:style>
  <w:style w:type="paragraph" w:styleId="HTMLconformatoprevio">
    <w:name w:val="HTML Preformatted"/>
    <w:basedOn w:val="Normal"/>
    <w:link w:val="HTMLconformatoprevioCar"/>
    <w:uiPriority w:val="99"/>
    <w:semiHidden/>
    <w:unhideWhenUsed/>
    <w:rsid w:val="00F00EA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 w:val="20"/>
      <w:szCs w:val="20"/>
      <w:lang w:val="es-CR" w:eastAsia="es-CR"/>
    </w:rPr>
  </w:style>
  <w:style w:type="character" w:customStyle="1" w:styleId="HTMLconformatoprevioCar">
    <w:name w:val="HTML con formato previo Car"/>
    <w:basedOn w:val="Fuentedeprrafopredeter"/>
    <w:link w:val="HTMLconformatoprevio"/>
    <w:uiPriority w:val="99"/>
    <w:semiHidden/>
    <w:rsid w:val="00F00EA5"/>
    <w:rPr>
      <w:rFonts w:ascii="Courier New" w:eastAsia="Times New Roman" w:hAnsi="Courier New" w:cs="Courier New"/>
      <w:sz w:val="20"/>
      <w:szCs w:val="20"/>
      <w:lang w:val="es-CR" w:eastAsia="es-CR"/>
    </w:rPr>
  </w:style>
  <w:style w:type="character" w:customStyle="1" w:styleId="y2iqfc">
    <w:name w:val="y2iqfc"/>
    <w:basedOn w:val="Fuentedeprrafopredeter"/>
    <w:rsid w:val="00F00EA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068327">
      <w:bodyDiv w:val="1"/>
      <w:marLeft w:val="0"/>
      <w:marRight w:val="0"/>
      <w:marTop w:val="0"/>
      <w:marBottom w:val="0"/>
      <w:divBdr>
        <w:top w:val="none" w:sz="0" w:space="0" w:color="auto"/>
        <w:left w:val="none" w:sz="0" w:space="0" w:color="auto"/>
        <w:bottom w:val="none" w:sz="0" w:space="0" w:color="auto"/>
        <w:right w:val="none" w:sz="0" w:space="0" w:color="auto"/>
      </w:divBdr>
      <w:divsChild>
        <w:div w:id="1601061352">
          <w:marLeft w:val="0"/>
          <w:marRight w:val="0"/>
          <w:marTop w:val="0"/>
          <w:marBottom w:val="0"/>
          <w:divBdr>
            <w:top w:val="none" w:sz="0" w:space="0" w:color="auto"/>
            <w:left w:val="none" w:sz="0" w:space="0" w:color="auto"/>
            <w:bottom w:val="none" w:sz="0" w:space="0" w:color="auto"/>
            <w:right w:val="none" w:sz="0" w:space="0" w:color="auto"/>
          </w:divBdr>
        </w:div>
        <w:div w:id="2077819018">
          <w:marLeft w:val="0"/>
          <w:marRight w:val="0"/>
          <w:marTop w:val="0"/>
          <w:marBottom w:val="0"/>
          <w:divBdr>
            <w:top w:val="none" w:sz="0" w:space="0" w:color="auto"/>
            <w:left w:val="none" w:sz="0" w:space="0" w:color="auto"/>
            <w:bottom w:val="none" w:sz="0" w:space="0" w:color="auto"/>
            <w:right w:val="none" w:sz="0" w:space="0" w:color="auto"/>
          </w:divBdr>
        </w:div>
        <w:div w:id="762651450">
          <w:marLeft w:val="0"/>
          <w:marRight w:val="0"/>
          <w:marTop w:val="0"/>
          <w:marBottom w:val="0"/>
          <w:divBdr>
            <w:top w:val="none" w:sz="0" w:space="0" w:color="auto"/>
            <w:left w:val="none" w:sz="0" w:space="0" w:color="auto"/>
            <w:bottom w:val="none" w:sz="0" w:space="0" w:color="auto"/>
            <w:right w:val="none" w:sz="0" w:space="0" w:color="auto"/>
          </w:divBdr>
        </w:div>
        <w:div w:id="1870142470">
          <w:marLeft w:val="0"/>
          <w:marRight w:val="0"/>
          <w:marTop w:val="0"/>
          <w:marBottom w:val="0"/>
          <w:divBdr>
            <w:top w:val="none" w:sz="0" w:space="0" w:color="auto"/>
            <w:left w:val="none" w:sz="0" w:space="0" w:color="auto"/>
            <w:bottom w:val="none" w:sz="0" w:space="0" w:color="auto"/>
            <w:right w:val="none" w:sz="0" w:space="0" w:color="auto"/>
          </w:divBdr>
        </w:div>
      </w:divsChild>
    </w:div>
    <w:div w:id="371854185">
      <w:bodyDiv w:val="1"/>
      <w:marLeft w:val="0"/>
      <w:marRight w:val="0"/>
      <w:marTop w:val="0"/>
      <w:marBottom w:val="0"/>
      <w:divBdr>
        <w:top w:val="none" w:sz="0" w:space="0" w:color="auto"/>
        <w:left w:val="none" w:sz="0" w:space="0" w:color="auto"/>
        <w:bottom w:val="none" w:sz="0" w:space="0" w:color="auto"/>
        <w:right w:val="none" w:sz="0" w:space="0" w:color="auto"/>
      </w:divBdr>
    </w:div>
    <w:div w:id="531770209">
      <w:bodyDiv w:val="1"/>
      <w:marLeft w:val="0"/>
      <w:marRight w:val="0"/>
      <w:marTop w:val="0"/>
      <w:marBottom w:val="0"/>
      <w:divBdr>
        <w:top w:val="none" w:sz="0" w:space="0" w:color="auto"/>
        <w:left w:val="none" w:sz="0" w:space="0" w:color="auto"/>
        <w:bottom w:val="none" w:sz="0" w:space="0" w:color="auto"/>
        <w:right w:val="none" w:sz="0" w:space="0" w:color="auto"/>
      </w:divBdr>
    </w:div>
    <w:div w:id="648093063">
      <w:bodyDiv w:val="1"/>
      <w:marLeft w:val="0"/>
      <w:marRight w:val="0"/>
      <w:marTop w:val="0"/>
      <w:marBottom w:val="0"/>
      <w:divBdr>
        <w:top w:val="none" w:sz="0" w:space="0" w:color="auto"/>
        <w:left w:val="none" w:sz="0" w:space="0" w:color="auto"/>
        <w:bottom w:val="none" w:sz="0" w:space="0" w:color="auto"/>
        <w:right w:val="none" w:sz="0" w:space="0" w:color="auto"/>
      </w:divBdr>
    </w:div>
    <w:div w:id="827138571">
      <w:bodyDiv w:val="1"/>
      <w:marLeft w:val="0"/>
      <w:marRight w:val="0"/>
      <w:marTop w:val="0"/>
      <w:marBottom w:val="0"/>
      <w:divBdr>
        <w:top w:val="none" w:sz="0" w:space="0" w:color="auto"/>
        <w:left w:val="none" w:sz="0" w:space="0" w:color="auto"/>
        <w:bottom w:val="none" w:sz="0" w:space="0" w:color="auto"/>
        <w:right w:val="none" w:sz="0" w:space="0" w:color="auto"/>
      </w:divBdr>
      <w:divsChild>
        <w:div w:id="1373115261">
          <w:marLeft w:val="0"/>
          <w:marRight w:val="0"/>
          <w:marTop w:val="0"/>
          <w:marBottom w:val="0"/>
          <w:divBdr>
            <w:top w:val="none" w:sz="0" w:space="0" w:color="auto"/>
            <w:left w:val="none" w:sz="0" w:space="0" w:color="auto"/>
            <w:bottom w:val="none" w:sz="0" w:space="0" w:color="auto"/>
            <w:right w:val="none" w:sz="0" w:space="0" w:color="auto"/>
          </w:divBdr>
        </w:div>
      </w:divsChild>
    </w:div>
    <w:div w:id="896207275">
      <w:bodyDiv w:val="1"/>
      <w:marLeft w:val="0"/>
      <w:marRight w:val="0"/>
      <w:marTop w:val="0"/>
      <w:marBottom w:val="0"/>
      <w:divBdr>
        <w:top w:val="none" w:sz="0" w:space="0" w:color="auto"/>
        <w:left w:val="none" w:sz="0" w:space="0" w:color="auto"/>
        <w:bottom w:val="none" w:sz="0" w:space="0" w:color="auto"/>
        <w:right w:val="none" w:sz="0" w:space="0" w:color="auto"/>
      </w:divBdr>
    </w:div>
    <w:div w:id="1431775820">
      <w:bodyDiv w:val="1"/>
      <w:marLeft w:val="0"/>
      <w:marRight w:val="0"/>
      <w:marTop w:val="0"/>
      <w:marBottom w:val="0"/>
      <w:divBdr>
        <w:top w:val="none" w:sz="0" w:space="0" w:color="auto"/>
        <w:left w:val="none" w:sz="0" w:space="0" w:color="auto"/>
        <w:bottom w:val="none" w:sz="0" w:space="0" w:color="auto"/>
        <w:right w:val="none" w:sz="0" w:space="0" w:color="auto"/>
      </w:divBdr>
    </w:div>
    <w:div w:id="1496993640">
      <w:bodyDiv w:val="1"/>
      <w:marLeft w:val="0"/>
      <w:marRight w:val="0"/>
      <w:marTop w:val="0"/>
      <w:marBottom w:val="0"/>
      <w:divBdr>
        <w:top w:val="none" w:sz="0" w:space="0" w:color="auto"/>
        <w:left w:val="none" w:sz="0" w:space="0" w:color="auto"/>
        <w:bottom w:val="none" w:sz="0" w:space="0" w:color="auto"/>
        <w:right w:val="none" w:sz="0" w:space="0" w:color="auto"/>
      </w:divBdr>
    </w:div>
    <w:div w:id="1581984300">
      <w:bodyDiv w:val="1"/>
      <w:marLeft w:val="0"/>
      <w:marRight w:val="0"/>
      <w:marTop w:val="0"/>
      <w:marBottom w:val="0"/>
      <w:divBdr>
        <w:top w:val="none" w:sz="0" w:space="0" w:color="auto"/>
        <w:left w:val="none" w:sz="0" w:space="0" w:color="auto"/>
        <w:bottom w:val="none" w:sz="0" w:space="0" w:color="auto"/>
        <w:right w:val="none" w:sz="0" w:space="0" w:color="auto"/>
      </w:divBdr>
      <w:divsChild>
        <w:div w:id="1690257305">
          <w:marLeft w:val="0"/>
          <w:marRight w:val="0"/>
          <w:marTop w:val="0"/>
          <w:marBottom w:val="0"/>
          <w:divBdr>
            <w:top w:val="none" w:sz="0" w:space="0" w:color="auto"/>
            <w:left w:val="none" w:sz="0" w:space="0" w:color="auto"/>
            <w:bottom w:val="none" w:sz="0" w:space="0" w:color="auto"/>
            <w:right w:val="none" w:sz="0" w:space="0" w:color="auto"/>
          </w:divBdr>
        </w:div>
      </w:divsChild>
    </w:div>
    <w:div w:id="1633293681">
      <w:bodyDiv w:val="1"/>
      <w:marLeft w:val="0"/>
      <w:marRight w:val="0"/>
      <w:marTop w:val="0"/>
      <w:marBottom w:val="0"/>
      <w:divBdr>
        <w:top w:val="none" w:sz="0" w:space="0" w:color="auto"/>
        <w:left w:val="none" w:sz="0" w:space="0" w:color="auto"/>
        <w:bottom w:val="none" w:sz="0" w:space="0" w:color="auto"/>
        <w:right w:val="none" w:sz="0" w:space="0" w:color="auto"/>
      </w:divBdr>
    </w:div>
    <w:div w:id="1652519341">
      <w:bodyDiv w:val="1"/>
      <w:marLeft w:val="0"/>
      <w:marRight w:val="0"/>
      <w:marTop w:val="0"/>
      <w:marBottom w:val="0"/>
      <w:divBdr>
        <w:top w:val="none" w:sz="0" w:space="0" w:color="auto"/>
        <w:left w:val="none" w:sz="0" w:space="0" w:color="auto"/>
        <w:bottom w:val="none" w:sz="0" w:space="0" w:color="auto"/>
        <w:right w:val="none" w:sz="0" w:space="0" w:color="auto"/>
      </w:divBdr>
    </w:div>
    <w:div w:id="1783112388">
      <w:bodyDiv w:val="1"/>
      <w:marLeft w:val="0"/>
      <w:marRight w:val="0"/>
      <w:marTop w:val="0"/>
      <w:marBottom w:val="0"/>
      <w:divBdr>
        <w:top w:val="none" w:sz="0" w:space="0" w:color="auto"/>
        <w:left w:val="none" w:sz="0" w:space="0" w:color="auto"/>
        <w:bottom w:val="none" w:sz="0" w:space="0" w:color="auto"/>
        <w:right w:val="none" w:sz="0" w:space="0" w:color="auto"/>
      </w:divBdr>
    </w:div>
    <w:div w:id="1839684617">
      <w:bodyDiv w:val="1"/>
      <w:marLeft w:val="0"/>
      <w:marRight w:val="0"/>
      <w:marTop w:val="0"/>
      <w:marBottom w:val="0"/>
      <w:divBdr>
        <w:top w:val="none" w:sz="0" w:space="0" w:color="auto"/>
        <w:left w:val="none" w:sz="0" w:space="0" w:color="auto"/>
        <w:bottom w:val="none" w:sz="0" w:space="0" w:color="auto"/>
        <w:right w:val="none" w:sz="0" w:space="0" w:color="auto"/>
      </w:divBdr>
    </w:div>
    <w:div w:id="2014260444">
      <w:bodyDiv w:val="1"/>
      <w:marLeft w:val="0"/>
      <w:marRight w:val="0"/>
      <w:marTop w:val="0"/>
      <w:marBottom w:val="0"/>
      <w:divBdr>
        <w:top w:val="none" w:sz="0" w:space="0" w:color="auto"/>
        <w:left w:val="none" w:sz="0" w:space="0" w:color="auto"/>
        <w:bottom w:val="none" w:sz="0" w:space="0" w:color="auto"/>
        <w:right w:val="none" w:sz="0" w:space="0" w:color="auto"/>
      </w:divBdr>
    </w:div>
    <w:div w:id="2054113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srn.com/abstract=2427345." TargetMode="External"/><Relationship Id="rId18" Type="http://schemas.openxmlformats.org/officeDocument/2006/relationships/hyperlink" Target="http://doi.org/10.5871/lba/006s1.017/" TargetMode="External"/><Relationship Id="rId26" Type="http://schemas.openxmlformats.org/officeDocument/2006/relationships/hyperlink" Target="http://revistas.ucr.ac.cr/index.php/economicas/article/download/8008/7630" TargetMode="External"/><Relationship Id="rId39" Type="http://schemas.openxmlformats.org/officeDocument/2006/relationships/footer" Target="footer2.xml"/><Relationship Id="rId21" Type="http://schemas.openxmlformats.org/officeDocument/2006/relationships/hyperlink" Target="https://papers.ssrn.com/sol3/Delivery.cfm/RePEc_ecb_ecbwps_20212632.pdf?abstractid=3991359&amp;mirid=1" TargetMode="External"/><Relationship Id="rId34" Type="http://schemas.openxmlformats.org/officeDocument/2006/relationships/hyperlink" Target="https://www.google.com/url?q=https://iij.ucr.ac.cr/wp-content/uploads/bsk-pdf-manager/2017/10/Las-concentraciones-extranjeras-de-agentes-econ%25C3%25B3micos-con-efectos-anti-competitivos-en-Costa-Rica.pdf&amp;sa=U&amp;ved=2ahUKEwjLoen_54T5AhUVQkEAHY4jAXwQFnoECAoQAg&amp;usg=AOvVaw06kkOJ9XHvjTP-aDIJKL70" TargetMode="External"/><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google.com/url?q=https://iij.ucr.ac.cr/wp-content/uploads/bsk-pdf-manager/2017/06/El-Control-de-Concentraciones-Econ%25C3%25B3micas-en-Costa-Rica-a-la-luz-de-la-Reforma-a-la-Ley-De-Promoci%25C3%25B3n-de-la-Competencia-y-Defensa-Efectiva-del-Consumidor-Decreto-Legislativo-N%25C3%25BAmero-9072.pdf&amp;sa=U&amp;ved=2ahUKEwjrxNX-7vv4AhWWaMAKHZ6qC64QFnoECAYQAg&amp;usg=AOvVaw1mp3IK_0jmtALSzL2frf2T" TargetMode="External"/><Relationship Id="rId20" Type="http://schemas.openxmlformats.org/officeDocument/2006/relationships/hyperlink" Target="Https://doi.org/10.5871/jba/006s1.405/" TargetMode="External"/><Relationship Id="rId29" Type="http://schemas.openxmlformats.org/officeDocument/2006/relationships/hyperlink" Target="https://www.elpais.cr/2019/01/17/algunas-consideraciones-desde-la-perspectiva-de-las-ciencias-economicas-al-voto-18-019511-de-la-sala-constitucional-sobre-el-proyecto-de-ley-con-20-580-del-expediente-legislativo/" TargetMode="External"/><Relationship Id="rId41"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com/url?q=http://revistas.bancomext.gob.mx/rce/magazines/666/9/RCE9.pdf&amp;sa=U&amp;ved=2ahUKEwj28I3e64T5AhUPacAKHcaaBcEQFnoECAoQAg&amp;usg=AOvVaw02dg0RXVCs_qLEG7oWCZcW" TargetMode="External"/><Relationship Id="rId24" Type="http://schemas.openxmlformats.org/officeDocument/2006/relationships/hyperlink" Target="https://repositorio.cepal.org/bitstream/handle/11362/4788/S01020119_es.pdf?sequence=1" TargetMode="External"/><Relationship Id="rId32" Type="http://schemas.openxmlformats.org/officeDocument/2006/relationships/hyperlink" Target="https://www.iies.uagrm.edu.bo/vol-5-no2-2020-los-paradigmas-de-la-economia-y-el-neoliberalismo-economico/" TargetMode="External"/><Relationship Id="rId37" Type="http://schemas.openxmlformats.org/officeDocument/2006/relationships/header" Target="header2.xml"/><Relationship Id="rId40"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s://www.bccr.fi.cr/indicadores-economicos/estad&#237;sticas-empresariales" TargetMode="External"/><Relationship Id="rId23" Type="http://schemas.openxmlformats.org/officeDocument/2006/relationships/hyperlink" Target="https://www.google.com/url?q=http://revistas.bancomext.gob.mx/rce/magazines/666/9/RCE9.pdf&amp;sa=U&amp;ved=2ahUKEwj28I3e64T5AhUPacAKHcaaBcEQFnoECAoQAg&amp;usg=AOvVaw02dg0RXVCs_qLEG7oWCZcW" TargetMode="External"/><Relationship Id="rId28" Type="http://schemas.openxmlformats.org/officeDocument/2006/relationships/hyperlink" Target="http://hdl.handle.net/10669/77359" TargetMode="External"/><Relationship Id="rId36" Type="http://schemas.openxmlformats.org/officeDocument/2006/relationships/header" Target="header1.xml"/><Relationship Id="rId10" Type="http://schemas.openxmlformats.org/officeDocument/2006/relationships/image" Target="media/image1.png"/><Relationship Id="rId19" Type="http://schemas.openxmlformats.org/officeDocument/2006/relationships/hyperlink" Target="https://doi.org/10.5871/jba/006s1.049/" TargetMode="External"/><Relationship Id="rId31" Type="http://schemas.openxmlformats.org/officeDocument/2006/relationships/hyperlink" Target="https://www.iies.uagrm.edu.bo/wp-content/uploads/2019/09/Economia-Coyuntural-VOL.4-NRO.3-2019-3.LA-ACUMULACI%C3%93N-DE-CAPITAL.pdf"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x.doi.org/10.2139/ssrn.2427345" TargetMode="External"/><Relationship Id="rId22" Type="http://schemas.openxmlformats.org/officeDocument/2006/relationships/hyperlink" Target="https://www.investopedia.com/terms/h/hhi.asp" TargetMode="External"/><Relationship Id="rId27" Type="http://schemas.openxmlformats.org/officeDocument/2006/relationships/hyperlink" Target="https://revistas.ucr.ac.cr/index.php/sociales/article/view/36585" TargetMode="External"/><Relationship Id="rId30" Type="http://schemas.openxmlformats.org/officeDocument/2006/relationships/hyperlink" Target="https://www.elpais.cr/2019/01/17/algunas-consideraciones-desde-la-perspectiva-de-las-ciencias-economicas-al-voto-18-019511-de-la-sala-constitucional-sobre-el-proyecto-de-ley-con-20-580-del-expediente-legislativo/" TargetMode="External"/><Relationship Id="rId35" Type="http://schemas.openxmlformats.org/officeDocument/2006/relationships/hyperlink" Target="http://doi.org/10.5871/jba/006s1.375/" TargetMode="External"/><Relationship Id="rId43" Type="http://schemas.openxmlformats.org/officeDocument/2006/relationships/theme" Target="theme/theme1.xml"/><Relationship Id="rId8" Type="http://schemas.openxmlformats.org/officeDocument/2006/relationships/chart" Target="charts/chart1.xml"/><Relationship Id="rId3" Type="http://schemas.openxmlformats.org/officeDocument/2006/relationships/styles" Target="styles.xml"/><Relationship Id="rId12" Type="http://schemas.openxmlformats.org/officeDocument/2006/relationships/hyperlink" Target="https://www.elpais.cr/2019/01/17/derechos-humanos-y-fondos-publicos/" TargetMode="External"/><Relationship Id="rId17" Type="http://schemas.openxmlformats.org/officeDocument/2006/relationships/hyperlink" Target="https://www.google.com/url?q=https://investigacion.fca.unam.mx/docs/memorias/2019/8.01.pdf&amp;sa=U&amp;ved=2ahUKEwiH54yN54T5AhXeQ0EAHTVhBVQQFnoECAkQAg&amp;usg=AOvVaw2hb2iM0vvvmAd1cXPeOchu" TargetMode="External"/><Relationship Id="rId25" Type="http://schemas.openxmlformats.org/officeDocument/2006/relationships/hyperlink" Target="http://revistas.ucr.ac.cr/index.php/economicas/article/view/7138/6822" TargetMode="External"/><Relationship Id="rId33" Type="http://schemas.openxmlformats.org/officeDocument/2006/relationships/hyperlink" Target="https://revistas.ucr.ac.cr/index.php/conomicas/article/view/47629" TargetMode="External"/><Relationship Id="rId38" Type="http://schemas.openxmlformats.org/officeDocument/2006/relationships/footer" Target="footer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SReubenS\Documents\Investigaciones\Datos%20Econ&#243;micos%20y%20Sociales\Costa%20Rica\Etudio%20Conctr.Empresarial%20C.R\SRS-BCCR-Estadisticas_empresariales_2012-2018.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ReubenS\Documents\Investigaciones\Datos%20Econ&#243;micos%20y%20Sociales\Costa%20Rica\Etudio%20Conctr.Empresarial%20C.R\SRS-BCCR-Estadisticas_empresariales_2012-2018.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Relaciones!$A$34</c:f>
              <c:strCache>
                <c:ptCount val="1"/>
                <c:pt idx="0">
                  <c:v>Agropecuario</c:v>
                </c:pt>
              </c:strCache>
            </c:strRef>
          </c:tx>
          <c:spPr>
            <a:ln w="28575" cap="rnd">
              <a:solidFill>
                <a:schemeClr val="accent1"/>
              </a:solidFill>
              <a:round/>
            </a:ln>
            <a:effectLst/>
          </c:spPr>
          <c:marker>
            <c:symbol val="none"/>
          </c:marker>
          <c:cat>
            <c:numRef>
              <c:f>Relaciones!$B$33:$H$33</c:f>
              <c:numCache>
                <c:formatCode>General</c:formatCode>
                <c:ptCount val="7"/>
                <c:pt idx="0">
                  <c:v>2012</c:v>
                </c:pt>
                <c:pt idx="1">
                  <c:v>2013</c:v>
                </c:pt>
                <c:pt idx="2">
                  <c:v>2014</c:v>
                </c:pt>
                <c:pt idx="3">
                  <c:v>2015</c:v>
                </c:pt>
                <c:pt idx="4">
                  <c:v>2016</c:v>
                </c:pt>
                <c:pt idx="5">
                  <c:v>2017</c:v>
                </c:pt>
                <c:pt idx="6">
                  <c:v>2018</c:v>
                </c:pt>
              </c:numCache>
            </c:numRef>
          </c:cat>
          <c:val>
            <c:numRef>
              <c:f>Relaciones!$B$34:$H$34</c:f>
              <c:numCache>
                <c:formatCode>0.00%</c:formatCode>
                <c:ptCount val="7"/>
                <c:pt idx="0">
                  <c:v>0.83360245382602649</c:v>
                </c:pt>
                <c:pt idx="1">
                  <c:v>0.83102484864261095</c:v>
                </c:pt>
                <c:pt idx="2">
                  <c:v>0.82908966143314422</c:v>
                </c:pt>
                <c:pt idx="3">
                  <c:v>0.82401220070179593</c:v>
                </c:pt>
                <c:pt idx="4">
                  <c:v>0.84231492494114024</c:v>
                </c:pt>
                <c:pt idx="5">
                  <c:v>0.85349286767027799</c:v>
                </c:pt>
                <c:pt idx="6">
                  <c:v>0.84742043805335077</c:v>
                </c:pt>
              </c:numCache>
            </c:numRef>
          </c:val>
          <c:smooth val="0"/>
          <c:extLst>
            <c:ext xmlns:c16="http://schemas.microsoft.com/office/drawing/2014/chart" uri="{C3380CC4-5D6E-409C-BE32-E72D297353CC}">
              <c16:uniqueId val="{00000000-A9D9-4E73-93E6-183D48779217}"/>
            </c:ext>
          </c:extLst>
        </c:ser>
        <c:ser>
          <c:idx val="1"/>
          <c:order val="1"/>
          <c:tx>
            <c:strRef>
              <c:f>Relaciones!$A$35</c:f>
              <c:strCache>
                <c:ptCount val="1"/>
                <c:pt idx="0">
                  <c:v>Manufacturero</c:v>
                </c:pt>
              </c:strCache>
            </c:strRef>
          </c:tx>
          <c:spPr>
            <a:ln w="28575" cap="rnd">
              <a:solidFill>
                <a:schemeClr val="accent2"/>
              </a:solidFill>
              <a:round/>
            </a:ln>
            <a:effectLst/>
          </c:spPr>
          <c:marker>
            <c:symbol val="none"/>
          </c:marker>
          <c:cat>
            <c:numRef>
              <c:f>Relaciones!$B$33:$H$33</c:f>
              <c:numCache>
                <c:formatCode>General</c:formatCode>
                <c:ptCount val="7"/>
                <c:pt idx="0">
                  <c:v>2012</c:v>
                </c:pt>
                <c:pt idx="1">
                  <c:v>2013</c:v>
                </c:pt>
                <c:pt idx="2">
                  <c:v>2014</c:v>
                </c:pt>
                <c:pt idx="3">
                  <c:v>2015</c:v>
                </c:pt>
                <c:pt idx="4">
                  <c:v>2016</c:v>
                </c:pt>
                <c:pt idx="5">
                  <c:v>2017</c:v>
                </c:pt>
                <c:pt idx="6">
                  <c:v>2018</c:v>
                </c:pt>
              </c:numCache>
            </c:numRef>
          </c:cat>
          <c:val>
            <c:numRef>
              <c:f>Relaciones!$B$35:$H$35</c:f>
              <c:numCache>
                <c:formatCode>0.00%</c:formatCode>
                <c:ptCount val="7"/>
                <c:pt idx="0">
                  <c:v>0.92020448135597988</c:v>
                </c:pt>
                <c:pt idx="1">
                  <c:v>0.91971171982811162</c:v>
                </c:pt>
                <c:pt idx="2">
                  <c:v>0.91836943992301179</c:v>
                </c:pt>
                <c:pt idx="3">
                  <c:v>0.91443750342269792</c:v>
                </c:pt>
                <c:pt idx="4">
                  <c:v>0.91744610286793848</c:v>
                </c:pt>
                <c:pt idx="5">
                  <c:v>0.9195892038871204</c:v>
                </c:pt>
                <c:pt idx="6">
                  <c:v>0.92026206401900856</c:v>
                </c:pt>
              </c:numCache>
            </c:numRef>
          </c:val>
          <c:smooth val="0"/>
          <c:extLst>
            <c:ext xmlns:c16="http://schemas.microsoft.com/office/drawing/2014/chart" uri="{C3380CC4-5D6E-409C-BE32-E72D297353CC}">
              <c16:uniqueId val="{00000001-A9D9-4E73-93E6-183D48779217}"/>
            </c:ext>
          </c:extLst>
        </c:ser>
        <c:ser>
          <c:idx val="2"/>
          <c:order val="2"/>
          <c:tx>
            <c:strRef>
              <c:f>Relaciones!$A$36</c:f>
              <c:strCache>
                <c:ptCount val="1"/>
                <c:pt idx="0">
                  <c:v>Construcción</c:v>
                </c:pt>
              </c:strCache>
            </c:strRef>
          </c:tx>
          <c:spPr>
            <a:ln w="28575" cap="rnd">
              <a:solidFill>
                <a:schemeClr val="accent3"/>
              </a:solidFill>
              <a:round/>
            </a:ln>
            <a:effectLst/>
          </c:spPr>
          <c:marker>
            <c:symbol val="none"/>
          </c:marker>
          <c:cat>
            <c:numRef>
              <c:f>Relaciones!$B$33:$H$33</c:f>
              <c:numCache>
                <c:formatCode>General</c:formatCode>
                <c:ptCount val="7"/>
                <c:pt idx="0">
                  <c:v>2012</c:v>
                </c:pt>
                <c:pt idx="1">
                  <c:v>2013</c:v>
                </c:pt>
                <c:pt idx="2">
                  <c:v>2014</c:v>
                </c:pt>
                <c:pt idx="3">
                  <c:v>2015</c:v>
                </c:pt>
                <c:pt idx="4">
                  <c:v>2016</c:v>
                </c:pt>
                <c:pt idx="5">
                  <c:v>2017</c:v>
                </c:pt>
                <c:pt idx="6">
                  <c:v>2018</c:v>
                </c:pt>
              </c:numCache>
            </c:numRef>
          </c:cat>
          <c:val>
            <c:numRef>
              <c:f>Relaciones!$B$36:$H$36</c:f>
              <c:numCache>
                <c:formatCode>0.00%</c:formatCode>
                <c:ptCount val="7"/>
                <c:pt idx="0">
                  <c:v>0.78361038023553942</c:v>
                </c:pt>
                <c:pt idx="1">
                  <c:v>0.79094818834756253</c:v>
                </c:pt>
                <c:pt idx="2">
                  <c:v>0.79016511345000429</c:v>
                </c:pt>
                <c:pt idx="3">
                  <c:v>0.78568855797390358</c:v>
                </c:pt>
                <c:pt idx="4">
                  <c:v>0.7900065043950627</c:v>
                </c:pt>
                <c:pt idx="5">
                  <c:v>0.78622239715635289</c:v>
                </c:pt>
                <c:pt idx="6">
                  <c:v>0.79279941821354916</c:v>
                </c:pt>
              </c:numCache>
            </c:numRef>
          </c:val>
          <c:smooth val="0"/>
          <c:extLst>
            <c:ext xmlns:c16="http://schemas.microsoft.com/office/drawing/2014/chart" uri="{C3380CC4-5D6E-409C-BE32-E72D297353CC}">
              <c16:uniqueId val="{00000002-A9D9-4E73-93E6-183D48779217}"/>
            </c:ext>
          </c:extLst>
        </c:ser>
        <c:ser>
          <c:idx val="3"/>
          <c:order val="3"/>
          <c:tx>
            <c:strRef>
              <c:f>Relaciones!$A$37</c:f>
              <c:strCache>
                <c:ptCount val="1"/>
                <c:pt idx="0">
                  <c:v>Comercio General</c:v>
                </c:pt>
              </c:strCache>
            </c:strRef>
          </c:tx>
          <c:spPr>
            <a:ln w="28575" cap="rnd">
              <a:solidFill>
                <a:schemeClr val="accent4">
                  <a:lumMod val="75000"/>
                </a:schemeClr>
              </a:solidFill>
              <a:round/>
            </a:ln>
            <a:effectLst/>
          </c:spPr>
          <c:marker>
            <c:symbol val="none"/>
          </c:marker>
          <c:cat>
            <c:numRef>
              <c:f>Relaciones!$B$33:$H$33</c:f>
              <c:numCache>
                <c:formatCode>General</c:formatCode>
                <c:ptCount val="7"/>
                <c:pt idx="0">
                  <c:v>2012</c:v>
                </c:pt>
                <c:pt idx="1">
                  <c:v>2013</c:v>
                </c:pt>
                <c:pt idx="2">
                  <c:v>2014</c:v>
                </c:pt>
                <c:pt idx="3">
                  <c:v>2015</c:v>
                </c:pt>
                <c:pt idx="4">
                  <c:v>2016</c:v>
                </c:pt>
                <c:pt idx="5">
                  <c:v>2017</c:v>
                </c:pt>
                <c:pt idx="6">
                  <c:v>2018</c:v>
                </c:pt>
              </c:numCache>
            </c:numRef>
          </c:cat>
          <c:val>
            <c:numRef>
              <c:f>Relaciones!$B$37:$H$37</c:f>
              <c:numCache>
                <c:formatCode>0.00%</c:formatCode>
                <c:ptCount val="7"/>
                <c:pt idx="0">
                  <c:v>0.83783517163944665</c:v>
                </c:pt>
                <c:pt idx="1">
                  <c:v>0.83971182436019676</c:v>
                </c:pt>
                <c:pt idx="2">
                  <c:v>0.84095382191551593</c:v>
                </c:pt>
                <c:pt idx="3">
                  <c:v>0.8386875878948038</c:v>
                </c:pt>
                <c:pt idx="4">
                  <c:v>0.84302440601689799</c:v>
                </c:pt>
                <c:pt idx="5">
                  <c:v>0.85368547513656601</c:v>
                </c:pt>
                <c:pt idx="6">
                  <c:v>0.85658424318830928</c:v>
                </c:pt>
              </c:numCache>
            </c:numRef>
          </c:val>
          <c:smooth val="0"/>
          <c:extLst>
            <c:ext xmlns:c16="http://schemas.microsoft.com/office/drawing/2014/chart" uri="{C3380CC4-5D6E-409C-BE32-E72D297353CC}">
              <c16:uniqueId val="{00000003-A9D9-4E73-93E6-183D48779217}"/>
            </c:ext>
          </c:extLst>
        </c:ser>
        <c:dLbls>
          <c:showLegendKey val="0"/>
          <c:showVal val="0"/>
          <c:showCatName val="0"/>
          <c:showSerName val="0"/>
          <c:showPercent val="0"/>
          <c:showBubbleSize val="0"/>
        </c:dLbls>
        <c:smooth val="0"/>
        <c:axId val="1954568367"/>
        <c:axId val="1954567119"/>
      </c:lineChart>
      <c:catAx>
        <c:axId val="195456836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54567119"/>
        <c:crosses val="autoZero"/>
        <c:auto val="1"/>
        <c:lblAlgn val="ctr"/>
        <c:lblOffset val="100"/>
        <c:noMultiLvlLbl val="0"/>
      </c:catAx>
      <c:valAx>
        <c:axId val="1954567119"/>
        <c:scaling>
          <c:orientation val="minMax"/>
          <c:min val="0.75000000000000011"/>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95456836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accent4">
            <a:lumMod val="5000"/>
            <a:lumOff val="95000"/>
          </a:schemeClr>
        </a:gs>
        <a:gs pos="74000">
          <a:schemeClr val="accent4">
            <a:lumMod val="45000"/>
            <a:lumOff val="55000"/>
          </a:schemeClr>
        </a:gs>
        <a:gs pos="83000">
          <a:schemeClr val="accent4">
            <a:lumMod val="45000"/>
            <a:lumOff val="55000"/>
          </a:schemeClr>
        </a:gs>
        <a:gs pos="100000">
          <a:schemeClr val="accent4">
            <a:lumMod val="30000"/>
            <a:lumOff val="70000"/>
          </a:schemeClr>
        </a:gs>
      </a:gsLst>
      <a:lin ang="5400000" scaled="1"/>
      <a:tileRect/>
    </a:gra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'Coeficiente de Gini'!$A$5</c:f>
              <c:strCache>
                <c:ptCount val="1"/>
                <c:pt idx="0">
                  <c:v>Agropecuario</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forward val="1"/>
            <c:dispRSqr val="0"/>
            <c:dispEq val="1"/>
            <c:trendlineLbl>
              <c:layout>
                <c:manualLayout>
                  <c:x val="5.3411385448803528E-2"/>
                  <c:y val="4.04946321431491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rendlineLbl>
          </c:trendline>
          <c:cat>
            <c:numRef>
              <c:f>'Coeficiente de Gini'!$B$4:$H$4</c:f>
              <c:numCache>
                <c:formatCode>0</c:formatCode>
                <c:ptCount val="7"/>
                <c:pt idx="0">
                  <c:v>2012</c:v>
                </c:pt>
                <c:pt idx="1">
                  <c:v>2013</c:v>
                </c:pt>
                <c:pt idx="2">
                  <c:v>2014</c:v>
                </c:pt>
                <c:pt idx="3">
                  <c:v>2015</c:v>
                </c:pt>
                <c:pt idx="4">
                  <c:v>2016</c:v>
                </c:pt>
                <c:pt idx="5">
                  <c:v>2017</c:v>
                </c:pt>
                <c:pt idx="6">
                  <c:v>2018</c:v>
                </c:pt>
              </c:numCache>
            </c:numRef>
          </c:cat>
          <c:val>
            <c:numRef>
              <c:f>'Coeficiente de Gini'!$B$5:$H$5</c:f>
              <c:numCache>
                <c:formatCode>_-* #,##0.000_-;\-* #,##0.000_-;_-* "-"??_-;_-@_-</c:formatCode>
                <c:ptCount val="7"/>
                <c:pt idx="0">
                  <c:v>0.71050620823933475</c:v>
                </c:pt>
                <c:pt idx="1">
                  <c:v>0.71500402373266703</c:v>
                </c:pt>
                <c:pt idx="2">
                  <c:v>0.72556894235496694</c:v>
                </c:pt>
                <c:pt idx="3">
                  <c:v>0.70638305089157583</c:v>
                </c:pt>
                <c:pt idx="4">
                  <c:v>0.71992524425853355</c:v>
                </c:pt>
                <c:pt idx="5">
                  <c:v>0.73151067858219943</c:v>
                </c:pt>
                <c:pt idx="6">
                  <c:v>0.72649762401182316</c:v>
                </c:pt>
              </c:numCache>
            </c:numRef>
          </c:val>
          <c:smooth val="0"/>
          <c:extLst>
            <c:ext xmlns:c16="http://schemas.microsoft.com/office/drawing/2014/chart" uri="{C3380CC4-5D6E-409C-BE32-E72D297353CC}">
              <c16:uniqueId val="{00000001-3A71-4E51-B68D-F9B98480E7DD}"/>
            </c:ext>
          </c:extLst>
        </c:ser>
        <c:ser>
          <c:idx val="1"/>
          <c:order val="1"/>
          <c:tx>
            <c:strRef>
              <c:f>'Coeficiente de Gini'!$A$6</c:f>
              <c:strCache>
                <c:ptCount val="1"/>
                <c:pt idx="0">
                  <c:v>Manufactura</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forward val="1"/>
            <c:dispRSqr val="0"/>
            <c:dispEq val="1"/>
            <c:trendlineLbl>
              <c:layout>
                <c:manualLayout>
                  <c:x val="7.1175130359384886E-2"/>
                  <c:y val="4.414329263451109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rendlineLbl>
          </c:trendline>
          <c:cat>
            <c:numRef>
              <c:f>'Coeficiente de Gini'!$B$4:$H$4</c:f>
              <c:numCache>
                <c:formatCode>0</c:formatCode>
                <c:ptCount val="7"/>
                <c:pt idx="0">
                  <c:v>2012</c:v>
                </c:pt>
                <c:pt idx="1">
                  <c:v>2013</c:v>
                </c:pt>
                <c:pt idx="2">
                  <c:v>2014</c:v>
                </c:pt>
                <c:pt idx="3">
                  <c:v>2015</c:v>
                </c:pt>
                <c:pt idx="4">
                  <c:v>2016</c:v>
                </c:pt>
                <c:pt idx="5">
                  <c:v>2017</c:v>
                </c:pt>
                <c:pt idx="6">
                  <c:v>2018</c:v>
                </c:pt>
              </c:numCache>
            </c:numRef>
          </c:cat>
          <c:val>
            <c:numRef>
              <c:f>'Coeficiente de Gini'!$B$6:$H$6</c:f>
              <c:numCache>
                <c:formatCode>_-* #,##0.000_-;\-* #,##0.000_-;_-* "-"??_-;_-@_-</c:formatCode>
                <c:ptCount val="7"/>
                <c:pt idx="0">
                  <c:v>0.90204335914021505</c:v>
                </c:pt>
                <c:pt idx="1">
                  <c:v>0.90184464017304367</c:v>
                </c:pt>
                <c:pt idx="2">
                  <c:v>0.90318565248076643</c:v>
                </c:pt>
                <c:pt idx="3">
                  <c:v>0.89864954536420893</c:v>
                </c:pt>
                <c:pt idx="4">
                  <c:v>0.90225364892532256</c:v>
                </c:pt>
                <c:pt idx="5">
                  <c:v>0.90564715453893863</c:v>
                </c:pt>
                <c:pt idx="6">
                  <c:v>0.90973081948374523</c:v>
                </c:pt>
              </c:numCache>
            </c:numRef>
          </c:val>
          <c:smooth val="0"/>
          <c:extLst>
            <c:ext xmlns:c16="http://schemas.microsoft.com/office/drawing/2014/chart" uri="{C3380CC4-5D6E-409C-BE32-E72D297353CC}">
              <c16:uniqueId val="{00000003-3A71-4E51-B68D-F9B98480E7DD}"/>
            </c:ext>
          </c:extLst>
        </c:ser>
        <c:ser>
          <c:idx val="2"/>
          <c:order val="2"/>
          <c:tx>
            <c:strRef>
              <c:f>'Coeficiente de Gini'!$A$7</c:f>
              <c:strCache>
                <c:ptCount val="1"/>
                <c:pt idx="0">
                  <c:v>Construcción</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trendline>
            <c:spPr>
              <a:ln w="19050" cap="rnd">
                <a:solidFill>
                  <a:schemeClr val="accent3"/>
                </a:solidFill>
                <a:prstDash val="sysDot"/>
              </a:ln>
              <a:effectLst/>
            </c:spPr>
            <c:trendlineType val="linear"/>
            <c:forward val="1"/>
            <c:dispRSqr val="0"/>
            <c:dispEq val="1"/>
            <c:trendlineLbl>
              <c:layout>
                <c:manualLayout>
                  <c:x val="3.7499784557334929E-2"/>
                  <c:y val="-3.238064877753552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rendlineLbl>
          </c:trendline>
          <c:cat>
            <c:numRef>
              <c:f>'Coeficiente de Gini'!$B$4:$H$4</c:f>
              <c:numCache>
                <c:formatCode>0</c:formatCode>
                <c:ptCount val="7"/>
                <c:pt idx="0">
                  <c:v>2012</c:v>
                </c:pt>
                <c:pt idx="1">
                  <c:v>2013</c:v>
                </c:pt>
                <c:pt idx="2">
                  <c:v>2014</c:v>
                </c:pt>
                <c:pt idx="3">
                  <c:v>2015</c:v>
                </c:pt>
                <c:pt idx="4">
                  <c:v>2016</c:v>
                </c:pt>
                <c:pt idx="5">
                  <c:v>2017</c:v>
                </c:pt>
                <c:pt idx="6">
                  <c:v>2018</c:v>
                </c:pt>
              </c:numCache>
            </c:numRef>
          </c:cat>
          <c:val>
            <c:numRef>
              <c:f>'Coeficiente de Gini'!$B$7:$H$7</c:f>
              <c:numCache>
                <c:formatCode>_-* #,##0.000_-;\-* #,##0.000_-;_-* "-"??_-;_-@_-</c:formatCode>
                <c:ptCount val="7"/>
                <c:pt idx="0">
                  <c:v>0.70626833404891465</c:v>
                </c:pt>
                <c:pt idx="1">
                  <c:v>0.71868566977746484</c:v>
                </c:pt>
                <c:pt idx="2">
                  <c:v>0.73368525224898695</c:v>
                </c:pt>
                <c:pt idx="3">
                  <c:v>0.72764581317334243</c:v>
                </c:pt>
                <c:pt idx="4">
                  <c:v>0.74085101193509217</c:v>
                </c:pt>
                <c:pt idx="5">
                  <c:v>0.74004298379918043</c:v>
                </c:pt>
                <c:pt idx="6">
                  <c:v>0.74435932838639007</c:v>
                </c:pt>
              </c:numCache>
            </c:numRef>
          </c:val>
          <c:smooth val="0"/>
          <c:extLst>
            <c:ext xmlns:c16="http://schemas.microsoft.com/office/drawing/2014/chart" uri="{C3380CC4-5D6E-409C-BE32-E72D297353CC}">
              <c16:uniqueId val="{00000005-3A71-4E51-B68D-F9B98480E7DD}"/>
            </c:ext>
          </c:extLst>
        </c:ser>
        <c:ser>
          <c:idx val="3"/>
          <c:order val="3"/>
          <c:tx>
            <c:strRef>
              <c:f>'Coeficiente de Gini'!$A$8</c:f>
              <c:strCache>
                <c:ptCount val="1"/>
                <c:pt idx="0">
                  <c:v>Comercio General</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trendline>
            <c:spPr>
              <a:ln w="19050" cap="rnd">
                <a:solidFill>
                  <a:schemeClr val="accent4"/>
                </a:solidFill>
                <a:prstDash val="sysDot"/>
              </a:ln>
              <a:effectLst/>
            </c:spPr>
            <c:trendlineType val="linear"/>
            <c:forward val="1"/>
            <c:dispRSqr val="0"/>
            <c:dispEq val="1"/>
            <c:trendlineLbl>
              <c:layout>
                <c:manualLayout>
                  <c:x val="1.8104972947030271E-2"/>
                  <c:y val="-5.4038229327737171E-2"/>
                </c:manualLayout>
              </c:layout>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trendlineLbl>
          </c:trendline>
          <c:cat>
            <c:numRef>
              <c:f>'Coeficiente de Gini'!$B$4:$H$4</c:f>
              <c:numCache>
                <c:formatCode>0</c:formatCode>
                <c:ptCount val="7"/>
                <c:pt idx="0">
                  <c:v>2012</c:v>
                </c:pt>
                <c:pt idx="1">
                  <c:v>2013</c:v>
                </c:pt>
                <c:pt idx="2">
                  <c:v>2014</c:v>
                </c:pt>
                <c:pt idx="3">
                  <c:v>2015</c:v>
                </c:pt>
                <c:pt idx="4">
                  <c:v>2016</c:v>
                </c:pt>
                <c:pt idx="5">
                  <c:v>2017</c:v>
                </c:pt>
                <c:pt idx="6">
                  <c:v>2018</c:v>
                </c:pt>
              </c:numCache>
            </c:numRef>
          </c:cat>
          <c:val>
            <c:numRef>
              <c:f>'Coeficiente de Gini'!$B$8:$H$8</c:f>
              <c:numCache>
                <c:formatCode>_-* #,##0.000_-;\-* #,##0.000_-;_-* "-"??_-;_-@_-</c:formatCode>
                <c:ptCount val="7"/>
                <c:pt idx="0">
                  <c:v>0.79934556288808833</c:v>
                </c:pt>
                <c:pt idx="1">
                  <c:v>0.80088169093570194</c:v>
                </c:pt>
                <c:pt idx="2">
                  <c:v>0.80172544000209245</c:v>
                </c:pt>
                <c:pt idx="3">
                  <c:v>0.79323893807004264</c:v>
                </c:pt>
                <c:pt idx="4">
                  <c:v>0.79444863122512099</c:v>
                </c:pt>
                <c:pt idx="5">
                  <c:v>0.80180636728369026</c:v>
                </c:pt>
                <c:pt idx="6">
                  <c:v>0.80391629185017155</c:v>
                </c:pt>
              </c:numCache>
            </c:numRef>
          </c:val>
          <c:smooth val="0"/>
          <c:extLst>
            <c:ext xmlns:c16="http://schemas.microsoft.com/office/drawing/2014/chart" uri="{C3380CC4-5D6E-409C-BE32-E72D297353CC}">
              <c16:uniqueId val="{00000007-3A71-4E51-B68D-F9B98480E7DD}"/>
            </c:ext>
          </c:extLst>
        </c:ser>
        <c:dLbls>
          <c:showLegendKey val="0"/>
          <c:showVal val="0"/>
          <c:showCatName val="0"/>
          <c:showSerName val="0"/>
          <c:showPercent val="0"/>
          <c:showBubbleSize val="0"/>
        </c:dLbls>
        <c:marker val="1"/>
        <c:smooth val="0"/>
        <c:axId val="1672920431"/>
        <c:axId val="1672917935"/>
      </c:lineChart>
      <c:catAx>
        <c:axId val="1672920431"/>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672917935"/>
        <c:crosses val="autoZero"/>
        <c:auto val="1"/>
        <c:lblAlgn val="ctr"/>
        <c:lblOffset val="100"/>
        <c:noMultiLvlLbl val="0"/>
      </c:catAx>
      <c:valAx>
        <c:axId val="1672917935"/>
        <c:scaling>
          <c:orientation val="minMax"/>
          <c:min val="0.60000000000000009"/>
        </c:scaling>
        <c:delete val="0"/>
        <c:axPos val="l"/>
        <c:majorGridlines>
          <c:spPr>
            <a:ln w="9525" cap="flat" cmpd="sng" algn="ctr">
              <a:solidFill>
                <a:schemeClr val="tx1">
                  <a:lumMod val="15000"/>
                  <a:lumOff val="85000"/>
                </a:schemeClr>
              </a:solidFill>
              <a:round/>
            </a:ln>
            <a:effectLst/>
          </c:spPr>
        </c:majorGridlines>
        <c:numFmt formatCode="_-* #,##0.000_-;\-* #,##0.0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1672920431"/>
        <c:crosses val="autoZero"/>
        <c:crossBetween val="between"/>
      </c:valAx>
      <c:spPr>
        <a:noFill/>
        <a:ln>
          <a:noFill/>
        </a:ln>
        <a:effectLst/>
      </c:spPr>
    </c:plotArea>
    <c:legend>
      <c:legendPos val="b"/>
      <c:legendEntry>
        <c:idx val="4"/>
        <c:delete val="1"/>
      </c:legendEntry>
      <c:legendEntry>
        <c:idx val="5"/>
        <c:delete val="1"/>
      </c:legendEntry>
      <c:legendEntry>
        <c:idx val="6"/>
        <c:delete val="1"/>
      </c:legendEntry>
      <c:legendEntry>
        <c:idx val="7"/>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a:gsLst>
        <a:gs pos="0">
          <a:schemeClr val="accent4">
            <a:lumMod val="40000"/>
            <a:lumOff val="60000"/>
          </a:schemeClr>
        </a:gs>
        <a:gs pos="74000">
          <a:schemeClr val="accent4">
            <a:lumMod val="20000"/>
            <a:lumOff val="80000"/>
          </a:schemeClr>
        </a:gs>
        <a:gs pos="83000">
          <a:schemeClr val="accent4">
            <a:lumMod val="20000"/>
            <a:lumOff val="80000"/>
          </a:schemeClr>
        </a:gs>
        <a:gs pos="100000">
          <a:schemeClr val="accent4">
            <a:lumMod val="40000"/>
            <a:lumOff val="60000"/>
          </a:schemeClr>
        </a:gs>
      </a:gsLst>
      <a:lin ang="5400000" scaled="1"/>
    </a:gra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F65DE0-9F69-4FC7-BAED-2A647A21B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24</Pages>
  <Words>9533</Words>
  <Characters>52435</Characters>
  <Application>Microsoft Office Word</Application>
  <DocSecurity>0</DocSecurity>
  <Lines>436</Lines>
  <Paragraphs>123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61845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2022-10-19T22:06:00Z</dcterms:created>
  <dcterms:modified xsi:type="dcterms:W3CDTF">2022-10-19T22:52:00Z</dcterms:modified>
</cp:coreProperties>
</file>