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BD" w:rsidRDefault="00E74907" w:rsidP="00D307F4">
      <w:pPr>
        <w:jc w:val="center"/>
        <w:rPr>
          <w:rFonts w:ascii="Calibri" w:hAnsi="Calibri" w:cs="Tahoma"/>
          <w:b/>
          <w:sz w:val="44"/>
          <w:szCs w:val="44"/>
        </w:rPr>
      </w:pPr>
      <w:r>
        <w:rPr>
          <w:rFonts w:ascii="Calibri" w:hAnsi="Calibri" w:cs="Tahoma"/>
          <w:b/>
          <w:noProof/>
          <w:sz w:val="44"/>
          <w:szCs w:val="44"/>
        </w:rPr>
        <w:drawing>
          <wp:inline distT="0" distB="0" distL="0" distR="0">
            <wp:extent cx="7753198" cy="1371600"/>
            <wp:effectExtent l="8423" t="0" r="3159" b="0"/>
            <wp:docPr id="1"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1700808"/>
                      <a:chOff x="0" y="0"/>
                      <a:chExt cx="9144000" cy="1700808"/>
                    </a:xfrm>
                  </a:grpSpPr>
                  <a:grpSp>
                    <a:nvGrpSpPr>
                      <a:cNvPr id="27" name="26 Grupo"/>
                      <a:cNvGrpSpPr/>
                    </a:nvGrpSpPr>
                    <a:grpSpPr>
                      <a:xfrm>
                        <a:off x="0" y="0"/>
                        <a:ext cx="9144000" cy="1700808"/>
                        <a:chOff x="0" y="0"/>
                        <a:chExt cx="9144000" cy="1700808"/>
                      </a:xfrm>
                    </a:grpSpPr>
                    <a:sp>
                      <a:nvSpPr>
                        <a:cNvPr id="25" name="24 Rectángulo"/>
                        <a:cNvSpPr/>
                      </a:nvSpPr>
                      <a:spPr>
                        <a:xfrm>
                          <a:off x="0" y="0"/>
                          <a:ext cx="9144000" cy="1700808"/>
                        </a:xfrm>
                        <a:prstGeom prst="rect">
                          <a:avLst/>
                        </a:prstGeom>
                        <a:solidFill>
                          <a:srgbClr val="00B0F0">
                            <a:alpha val="16000"/>
                          </a:srgbClr>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1 Grupo"/>
                        <a:cNvGrpSpPr/>
                      </a:nvGrpSpPr>
                      <a:grpSpPr>
                        <a:xfrm>
                          <a:off x="7564582" y="96983"/>
                          <a:ext cx="1502844" cy="1413163"/>
                          <a:chOff x="788988" y="655638"/>
                          <a:chExt cx="3025775" cy="2879725"/>
                        </a:xfrm>
                      </a:grpSpPr>
                      <a:sp>
                        <a:nvSpPr>
                          <a:cNvPr id="3" name="Oval 4"/>
                          <a:cNvSpPr>
                            <a:spLocks noChangeArrowheads="1"/>
                          </a:cNvSpPr>
                        </a:nvSpPr>
                        <a:spPr bwMode="auto">
                          <a:xfrm>
                            <a:off x="788988" y="655638"/>
                            <a:ext cx="3025775" cy="2879725"/>
                          </a:xfrm>
                          <a:prstGeom prst="ellipse">
                            <a:avLst/>
                          </a:prstGeom>
                          <a:solidFill>
                            <a:schemeClr val="bg1"/>
                          </a:solidFill>
                          <a:ln w="25400">
                            <a:solidFill>
                              <a:schemeClr val="tx1">
                                <a:lumMod val="65000"/>
                                <a:lumOff val="35000"/>
                              </a:schemeClr>
                            </a:solidFill>
                            <a:round/>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 name="Group 5"/>
                          <a:cNvGrpSpPr>
                            <a:grpSpLocks/>
                          </a:cNvGrpSpPr>
                        </a:nvGrpSpPr>
                        <a:grpSpPr bwMode="auto">
                          <a:xfrm>
                            <a:off x="822330" y="693738"/>
                            <a:ext cx="2406652" cy="2662238"/>
                            <a:chOff x="1948" y="1277"/>
                            <a:chExt cx="1516" cy="1677"/>
                          </a:xfrm>
                        </a:grpSpPr>
                        <a:sp>
                          <a:nvSpPr>
                            <a:cNvPr id="17" name="Freeform 6"/>
                            <a:cNvSpPr>
                              <a:spLocks/>
                            </a:cNvSpPr>
                          </a:nvSpPr>
                          <a:spPr bwMode="auto">
                            <a:xfrm rot="8136000">
                              <a:off x="2937" y="2025"/>
                              <a:ext cx="527" cy="929"/>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1F501E"/>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 name="Freeform 7"/>
                            <a:cNvSpPr>
                              <a:spLocks/>
                            </a:cNvSpPr>
                          </a:nvSpPr>
                          <a:spPr bwMode="auto">
                            <a:xfrm rot="955188">
                              <a:off x="2742" y="1277"/>
                              <a:ext cx="536" cy="897"/>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1F501E"/>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 name="Freeform 8"/>
                            <a:cNvSpPr>
                              <a:spLocks/>
                            </a:cNvSpPr>
                          </a:nvSpPr>
                          <a:spPr bwMode="auto">
                            <a:xfrm rot="-6246055">
                              <a:off x="2166" y="1794"/>
                              <a:ext cx="508" cy="944"/>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1F501E"/>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0" name="Group 9"/>
                          <a:cNvGrpSpPr>
                            <a:grpSpLocks/>
                          </a:cNvGrpSpPr>
                        </a:nvGrpSpPr>
                        <a:grpSpPr bwMode="auto">
                          <a:xfrm>
                            <a:off x="1212851" y="881065"/>
                            <a:ext cx="2343151" cy="2036764"/>
                            <a:chOff x="2194" y="1395"/>
                            <a:chExt cx="1476" cy="1283"/>
                          </a:xfrm>
                        </a:grpSpPr>
                        <a:sp>
                          <a:nvSpPr>
                            <a:cNvPr id="14" name="Freeform 10"/>
                            <a:cNvSpPr>
                              <a:spLocks/>
                            </a:cNvSpPr>
                          </a:nvSpPr>
                          <a:spPr bwMode="auto">
                            <a:xfrm rot="6403686">
                              <a:off x="3021" y="1875"/>
                              <a:ext cx="489" cy="809"/>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2F6D29"/>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 name="Freeform 11"/>
                            <a:cNvSpPr>
                              <a:spLocks/>
                            </a:cNvSpPr>
                          </a:nvSpPr>
                          <a:spPr bwMode="auto">
                            <a:xfrm rot="-777127">
                              <a:off x="2544" y="1395"/>
                              <a:ext cx="499" cy="774"/>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2F6D29"/>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6" name="Freeform 12"/>
                            <a:cNvSpPr>
                              <a:spLocks/>
                            </a:cNvSpPr>
                          </a:nvSpPr>
                          <a:spPr bwMode="auto">
                            <a:xfrm rot="-7978369">
                              <a:off x="2339" y="2034"/>
                              <a:ext cx="499" cy="790"/>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2F6D29"/>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1" name="Group 13"/>
                          <a:cNvGrpSpPr>
                            <a:grpSpLocks/>
                          </a:cNvGrpSpPr>
                        </a:nvGrpSpPr>
                        <a:grpSpPr bwMode="auto">
                          <a:xfrm>
                            <a:off x="1671641" y="1166813"/>
                            <a:ext cx="1708151" cy="1912938"/>
                            <a:chOff x="2483" y="1575"/>
                            <a:chExt cx="1076" cy="1205"/>
                          </a:xfrm>
                        </a:grpSpPr>
                        <a:sp>
                          <a:nvSpPr>
                            <a:cNvPr id="6" name="Freeform 14"/>
                            <a:cNvSpPr>
                              <a:spLocks/>
                            </a:cNvSpPr>
                          </a:nvSpPr>
                          <a:spPr bwMode="auto">
                            <a:xfrm rot="4913024">
                              <a:off x="3026" y="1773"/>
                              <a:ext cx="384" cy="683"/>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3C8C34"/>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 name="Freeform 15"/>
                            <a:cNvSpPr>
                              <a:spLocks/>
                            </a:cNvSpPr>
                          </a:nvSpPr>
                          <a:spPr bwMode="auto">
                            <a:xfrm rot="-2267791">
                              <a:off x="2483" y="1575"/>
                              <a:ext cx="393" cy="647"/>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3C8C34"/>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3" name="Freeform 16"/>
                            <a:cNvSpPr>
                              <a:spLocks/>
                            </a:cNvSpPr>
                          </a:nvSpPr>
                          <a:spPr bwMode="auto">
                            <a:xfrm rot="-9469032">
                              <a:off x="2561" y="2137"/>
                              <a:ext cx="393" cy="643"/>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3C8C34"/>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2" name="Group 17"/>
                          <a:cNvGrpSpPr>
                            <a:grpSpLocks/>
                          </a:cNvGrpSpPr>
                        </a:nvGrpSpPr>
                        <a:grpSpPr bwMode="auto">
                          <a:xfrm>
                            <a:off x="1495425" y="1608140"/>
                            <a:ext cx="1555750" cy="1287464"/>
                            <a:chOff x="2372" y="1853"/>
                            <a:chExt cx="980" cy="811"/>
                          </a:xfrm>
                        </a:grpSpPr>
                        <a:sp>
                          <a:nvSpPr>
                            <a:cNvPr id="8" name="Freeform 18"/>
                            <a:cNvSpPr>
                              <a:spLocks/>
                            </a:cNvSpPr>
                          </a:nvSpPr>
                          <a:spPr bwMode="auto">
                            <a:xfrm rot="3201188">
                              <a:off x="2945" y="1742"/>
                              <a:ext cx="295" cy="518"/>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49A93F"/>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 name="Freeform 19"/>
                            <a:cNvSpPr>
                              <a:spLocks/>
                            </a:cNvSpPr>
                          </a:nvSpPr>
                          <a:spPr bwMode="auto">
                            <a:xfrm rot="-3979625">
                              <a:off x="2476" y="1787"/>
                              <a:ext cx="317" cy="525"/>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49A93F"/>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 name="Freeform 20"/>
                            <a:cNvSpPr>
                              <a:spLocks/>
                            </a:cNvSpPr>
                          </a:nvSpPr>
                          <a:spPr bwMode="auto">
                            <a:xfrm rot="10419132">
                              <a:off x="2747" y="2156"/>
                              <a:ext cx="317" cy="508"/>
                            </a:xfrm>
                            <a:custGeom>
                              <a:avLst/>
                              <a:gdLst>
                                <a:gd name="T0" fmla="*/ 139 w 279"/>
                                <a:gd name="T1" fmla="*/ 0 h 456"/>
                                <a:gd name="T2" fmla="*/ 80 w 279"/>
                                <a:gd name="T3" fmla="*/ 69 h 456"/>
                                <a:gd name="T4" fmla="*/ 40 w 279"/>
                                <a:gd name="T5" fmla="*/ 126 h 456"/>
                                <a:gd name="T6" fmla="*/ 10 w 279"/>
                                <a:gd name="T7" fmla="*/ 177 h 456"/>
                                <a:gd name="T8" fmla="*/ 1 w 279"/>
                                <a:gd name="T9" fmla="*/ 229 h 456"/>
                                <a:gd name="T10" fmla="*/ 17 w 279"/>
                                <a:gd name="T11" fmla="*/ 284 h 456"/>
                                <a:gd name="T12" fmla="*/ 56 w 279"/>
                                <a:gd name="T13" fmla="*/ 347 h 456"/>
                                <a:gd name="T14" fmla="*/ 100 w 279"/>
                                <a:gd name="T15" fmla="*/ 407 h 456"/>
                                <a:gd name="T16" fmla="*/ 137 w 279"/>
                                <a:gd name="T17" fmla="*/ 456 h 456"/>
                                <a:gd name="T18" fmla="*/ 176 w 279"/>
                                <a:gd name="T19" fmla="*/ 408 h 456"/>
                                <a:gd name="T20" fmla="*/ 218 w 279"/>
                                <a:gd name="T21" fmla="*/ 353 h 456"/>
                                <a:gd name="T22" fmla="*/ 257 w 279"/>
                                <a:gd name="T23" fmla="*/ 288 h 456"/>
                                <a:gd name="T24" fmla="*/ 278 w 279"/>
                                <a:gd name="T25" fmla="*/ 230 h 456"/>
                                <a:gd name="T26" fmla="*/ 265 w 279"/>
                                <a:gd name="T27" fmla="*/ 173 h 456"/>
                                <a:gd name="T28" fmla="*/ 230 w 279"/>
                                <a:gd name="T29" fmla="*/ 114 h 456"/>
                                <a:gd name="T30" fmla="*/ 185 w 279"/>
                                <a:gd name="T31" fmla="*/ 56 h 456"/>
                                <a:gd name="T32" fmla="*/ 139 w 279"/>
                                <a:gd name="T33" fmla="*/ 0 h 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9"/>
                                <a:gd name="T52" fmla="*/ 0 h 456"/>
                                <a:gd name="T53" fmla="*/ 279 w 279"/>
                                <a:gd name="T54" fmla="*/ 456 h 4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9" h="456">
                                  <a:moveTo>
                                    <a:pt x="139" y="0"/>
                                  </a:moveTo>
                                  <a:lnTo>
                                    <a:pt x="80" y="69"/>
                                  </a:lnTo>
                                  <a:cubicBezTo>
                                    <a:pt x="64" y="90"/>
                                    <a:pt x="52" y="108"/>
                                    <a:pt x="40" y="126"/>
                                  </a:cubicBezTo>
                                  <a:cubicBezTo>
                                    <a:pt x="28" y="144"/>
                                    <a:pt x="16" y="160"/>
                                    <a:pt x="10" y="177"/>
                                  </a:cubicBezTo>
                                  <a:cubicBezTo>
                                    <a:pt x="4" y="194"/>
                                    <a:pt x="0" y="211"/>
                                    <a:pt x="1" y="229"/>
                                  </a:cubicBezTo>
                                  <a:cubicBezTo>
                                    <a:pt x="2" y="247"/>
                                    <a:pt x="8" y="264"/>
                                    <a:pt x="17" y="284"/>
                                  </a:cubicBezTo>
                                  <a:cubicBezTo>
                                    <a:pt x="26" y="304"/>
                                    <a:pt x="42" y="326"/>
                                    <a:pt x="56" y="347"/>
                                  </a:cubicBezTo>
                                  <a:cubicBezTo>
                                    <a:pt x="70" y="368"/>
                                    <a:pt x="86" y="389"/>
                                    <a:pt x="100" y="407"/>
                                  </a:cubicBezTo>
                                  <a:lnTo>
                                    <a:pt x="137" y="456"/>
                                  </a:lnTo>
                                  <a:lnTo>
                                    <a:pt x="176" y="408"/>
                                  </a:lnTo>
                                  <a:cubicBezTo>
                                    <a:pt x="189" y="391"/>
                                    <a:pt x="205" y="373"/>
                                    <a:pt x="218" y="353"/>
                                  </a:cubicBezTo>
                                  <a:cubicBezTo>
                                    <a:pt x="231" y="333"/>
                                    <a:pt x="247" y="308"/>
                                    <a:pt x="257" y="288"/>
                                  </a:cubicBezTo>
                                  <a:cubicBezTo>
                                    <a:pt x="267" y="268"/>
                                    <a:pt x="277" y="249"/>
                                    <a:pt x="278" y="230"/>
                                  </a:cubicBezTo>
                                  <a:cubicBezTo>
                                    <a:pt x="279" y="211"/>
                                    <a:pt x="273" y="192"/>
                                    <a:pt x="265" y="173"/>
                                  </a:cubicBezTo>
                                  <a:cubicBezTo>
                                    <a:pt x="257" y="154"/>
                                    <a:pt x="243" y="133"/>
                                    <a:pt x="230" y="114"/>
                                  </a:cubicBezTo>
                                  <a:cubicBezTo>
                                    <a:pt x="217" y="95"/>
                                    <a:pt x="200" y="75"/>
                                    <a:pt x="185" y="56"/>
                                  </a:cubicBezTo>
                                  <a:lnTo>
                                    <a:pt x="139" y="0"/>
                                  </a:lnTo>
                                  <a:close/>
                                </a:path>
                              </a:pathLst>
                            </a:custGeom>
                            <a:solidFill>
                              <a:srgbClr val="49A93F"/>
                            </a:solidFill>
                            <a:ln w="1587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23" name="22 CuadroTexto"/>
                        <a:cNvSpPr txBox="1"/>
                      </a:nvSpPr>
                      <a:spPr>
                        <a:xfrm>
                          <a:off x="1589227" y="1052736"/>
                          <a:ext cx="6048672" cy="430887"/>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_tradnl" sz="2200" dirty="0" smtClean="0">
                                <a:latin typeface="Calibri" pitchFamily="34" charset="0"/>
                              </a:rPr>
                              <a:t>Centro de Investigaciones en Protección de Cultivos</a:t>
                            </a:r>
                            <a:endParaRPr lang="en-US" sz="2200" dirty="0">
                              <a:latin typeface="Calibri" pitchFamily="34" charset="0"/>
                            </a:endParaRPr>
                          </a:p>
                        </a:txBody>
                        <a:useSpRect/>
                      </a:txSp>
                    </a:sp>
                    <a:sp>
                      <a:nvSpPr>
                        <a:cNvPr id="24" name="23 CuadroTexto"/>
                        <a:cNvSpPr txBox="1"/>
                      </a:nvSpPr>
                      <a:spPr>
                        <a:xfrm>
                          <a:off x="1841255" y="332656"/>
                          <a:ext cx="5544616" cy="707886"/>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_tradnl" sz="4000" dirty="0" smtClean="0">
                                <a:latin typeface="Calibri" pitchFamily="34" charset="0"/>
                              </a:rPr>
                              <a:t>Universidad de Costa Rica</a:t>
                            </a:r>
                            <a:endParaRPr lang="en-US" sz="4000" dirty="0">
                              <a:latin typeface="Calibri" pitchFamily="34" charset="0"/>
                            </a:endParaRPr>
                          </a:p>
                        </a:txBody>
                        <a:useSpRect/>
                      </a:txSp>
                    </a:sp>
                    <a:pic>
                      <a:nvPicPr>
                        <a:cNvPr id="17410" name="Picture 2" descr="C:\Documents and Settings\Juan Ramon\Escritorio\LINEA GRAFICA\oficinistas\Formato Video\GIF\escudo.gif"/>
                        <a:cNvPicPr>
                          <a:picLocks noChangeAspect="1" noChangeArrowheads="1"/>
                        </a:cNvPicPr>
                      </a:nvPicPr>
                      <a:blipFill>
                        <a:blip r:embed="rId6"/>
                        <a:srcRect/>
                        <a:stretch>
                          <a:fillRect/>
                        </a:stretch>
                      </a:blipFill>
                      <a:spPr bwMode="auto">
                        <a:xfrm>
                          <a:off x="132500" y="55418"/>
                          <a:ext cx="1502335" cy="1589007"/>
                        </a:xfrm>
                        <a:prstGeom prst="rect">
                          <a:avLst/>
                        </a:prstGeom>
                        <a:noFill/>
                      </a:spPr>
                    </a:pic>
                  </a:grpSp>
                </lc:lockedCanvas>
              </a:graphicData>
            </a:graphic>
          </wp:inline>
        </w:drawing>
      </w:r>
    </w:p>
    <w:p w:rsidR="00F64DBD" w:rsidRPr="00F64DBD" w:rsidRDefault="00F64DBD" w:rsidP="00D307F4">
      <w:pPr>
        <w:jc w:val="center"/>
        <w:rPr>
          <w:rFonts w:ascii="Calibri" w:hAnsi="Calibri" w:cs="Tahoma"/>
          <w:b/>
          <w:sz w:val="18"/>
          <w:szCs w:val="18"/>
          <w:lang w:val="es-ES_tradnl"/>
        </w:rPr>
      </w:pPr>
    </w:p>
    <w:p w:rsidR="00F64DBD" w:rsidRDefault="00F64DBD" w:rsidP="00D307F4">
      <w:pPr>
        <w:jc w:val="center"/>
        <w:rPr>
          <w:rFonts w:ascii="Calibri" w:hAnsi="Calibri" w:cs="Tahoma"/>
          <w:b/>
          <w:sz w:val="44"/>
          <w:szCs w:val="44"/>
          <w:lang w:val="es-ES_tradnl"/>
        </w:rPr>
        <w:sectPr w:rsidR="00F64DBD" w:rsidSect="00F64DBD">
          <w:pgSz w:w="12240" w:h="15840"/>
          <w:pgMar w:top="0" w:right="0" w:bottom="0" w:left="0" w:header="720" w:footer="720" w:gutter="0"/>
          <w:cols w:space="708"/>
          <w:noEndnote/>
          <w:docGrid w:linePitch="299"/>
        </w:sectPr>
      </w:pPr>
    </w:p>
    <w:p w:rsidR="00092153" w:rsidRDefault="00092153" w:rsidP="00092153">
      <w:pPr>
        <w:jc w:val="center"/>
        <w:rPr>
          <w:rFonts w:ascii="Calibri" w:hAnsi="Calibri"/>
          <w:b/>
          <w:sz w:val="48"/>
          <w:szCs w:val="48"/>
          <w:lang w:val="es-ES"/>
        </w:rPr>
      </w:pPr>
      <w:r w:rsidRPr="00092153">
        <w:rPr>
          <w:rFonts w:ascii="Calibri" w:hAnsi="Calibri"/>
          <w:b/>
          <w:sz w:val="48"/>
          <w:szCs w:val="48"/>
          <w:lang w:val="es-ES"/>
        </w:rPr>
        <w:lastRenderedPageBreak/>
        <w:t xml:space="preserve">La naturaleza estadística de la </w:t>
      </w:r>
    </w:p>
    <w:p w:rsidR="00396EF9" w:rsidRPr="00092153" w:rsidRDefault="00092153" w:rsidP="00092153">
      <w:pPr>
        <w:jc w:val="center"/>
        <w:rPr>
          <w:rFonts w:ascii="Calibri" w:hAnsi="Calibri"/>
          <w:b/>
          <w:sz w:val="48"/>
          <w:szCs w:val="48"/>
          <w:lang w:val="es-ES"/>
        </w:rPr>
      </w:pPr>
      <w:proofErr w:type="gramStart"/>
      <w:r w:rsidRPr="00092153">
        <w:rPr>
          <w:rFonts w:ascii="Calibri" w:hAnsi="Calibri"/>
          <w:b/>
          <w:sz w:val="48"/>
          <w:szCs w:val="48"/>
          <w:lang w:val="es-ES"/>
        </w:rPr>
        <w:t>evaluación</w:t>
      </w:r>
      <w:proofErr w:type="gramEnd"/>
      <w:r w:rsidRPr="00092153">
        <w:rPr>
          <w:rFonts w:ascii="Calibri" w:hAnsi="Calibri"/>
          <w:b/>
          <w:sz w:val="48"/>
          <w:szCs w:val="48"/>
          <w:lang w:val="es-ES"/>
        </w:rPr>
        <w:t xml:space="preserve"> visual</w:t>
      </w:r>
    </w:p>
    <w:p w:rsidR="00092153" w:rsidRPr="00092153" w:rsidRDefault="00092153" w:rsidP="00092153">
      <w:pPr>
        <w:jc w:val="right"/>
        <w:rPr>
          <w:rFonts w:ascii="Calibri" w:hAnsi="Calibri"/>
          <w:sz w:val="28"/>
          <w:szCs w:val="28"/>
          <w:lang w:val="es-ES"/>
        </w:rPr>
      </w:pPr>
      <w:r w:rsidRPr="00092153">
        <w:rPr>
          <w:rFonts w:ascii="Calibri" w:hAnsi="Calibri"/>
          <w:sz w:val="28"/>
          <w:szCs w:val="28"/>
          <w:lang w:val="es-ES"/>
        </w:rPr>
        <w:t>Juan Ramón Navarro Flores</w:t>
      </w:r>
      <w:r w:rsidRPr="00092153">
        <w:rPr>
          <w:rFonts w:ascii="Calibri" w:hAnsi="Calibri"/>
          <w:sz w:val="28"/>
          <w:szCs w:val="28"/>
          <w:vertAlign w:val="superscript"/>
          <w:lang w:val="es-ES"/>
        </w:rPr>
        <w:t>1</w:t>
      </w:r>
    </w:p>
    <w:p w:rsidR="00092153" w:rsidRDefault="00092153" w:rsidP="00092153">
      <w:pPr>
        <w:jc w:val="both"/>
        <w:rPr>
          <w:rFonts w:ascii="Calibri" w:hAnsi="Calibri"/>
          <w:lang w:val="es-ES"/>
        </w:rPr>
      </w:pPr>
    </w:p>
    <w:p w:rsidR="00092153" w:rsidRDefault="00092153" w:rsidP="00092153">
      <w:pPr>
        <w:jc w:val="both"/>
        <w:rPr>
          <w:rFonts w:ascii="Calibri" w:hAnsi="Calibri"/>
          <w:lang w:val="es-ES"/>
        </w:rPr>
      </w:pPr>
    </w:p>
    <w:p w:rsidR="00092153" w:rsidRPr="00092153" w:rsidRDefault="00092153" w:rsidP="00092153">
      <w:pPr>
        <w:jc w:val="both"/>
        <w:rPr>
          <w:rFonts w:ascii="Calibri" w:hAnsi="Calibri"/>
          <w:b/>
          <w:sz w:val="28"/>
          <w:szCs w:val="28"/>
          <w:lang w:val="es-ES"/>
        </w:rPr>
      </w:pPr>
      <w:r w:rsidRPr="00092153">
        <w:rPr>
          <w:rFonts w:ascii="Calibri" w:hAnsi="Calibri"/>
          <w:b/>
          <w:sz w:val="28"/>
          <w:szCs w:val="28"/>
          <w:lang w:val="es-ES"/>
        </w:rPr>
        <w:t>Introducción:</w:t>
      </w:r>
    </w:p>
    <w:p w:rsidR="00092153" w:rsidRPr="00092153" w:rsidRDefault="00092153" w:rsidP="00092153">
      <w:pPr>
        <w:pStyle w:val="yiv1798426951msonormal"/>
        <w:jc w:val="both"/>
        <w:rPr>
          <w:rFonts w:asciiTheme="minorHAnsi" w:hAnsiTheme="minorHAnsi"/>
          <w:lang w:val="es-ES"/>
        </w:rPr>
      </w:pPr>
      <w:r>
        <w:rPr>
          <w:rFonts w:asciiTheme="minorHAnsi" w:hAnsiTheme="minorHAnsi"/>
          <w:lang w:val="es-ES"/>
        </w:rPr>
        <w:t>Siempre que se va a realizar un ensayo donde para alguna evaluación se va a utilizar una escala, surge l</w:t>
      </w:r>
      <w:r w:rsidRPr="00092153">
        <w:rPr>
          <w:rFonts w:asciiTheme="minorHAnsi" w:hAnsiTheme="minorHAnsi"/>
          <w:lang w:val="es-ES"/>
        </w:rPr>
        <w:t xml:space="preserve">a pregunta </w:t>
      </w:r>
      <w:r>
        <w:rPr>
          <w:rFonts w:asciiTheme="minorHAnsi" w:hAnsiTheme="minorHAnsi"/>
          <w:lang w:val="es-ES"/>
        </w:rPr>
        <w:t xml:space="preserve">de si esa evaluación resultante es una variable cualitativa o es una variable numérica </w:t>
      </w:r>
      <w:r w:rsidR="00D33055">
        <w:rPr>
          <w:rFonts w:asciiTheme="minorHAnsi" w:hAnsiTheme="minorHAnsi"/>
          <w:lang w:val="es-ES"/>
        </w:rPr>
        <w:t>continua</w:t>
      </w:r>
      <w:r>
        <w:rPr>
          <w:rFonts w:asciiTheme="minorHAnsi" w:hAnsiTheme="minorHAnsi"/>
          <w:lang w:val="es-ES"/>
        </w:rPr>
        <w:t xml:space="preserve">.  Para responder a esta pregunta es necesario hurgar en la historia un poco ya que esto es </w:t>
      </w:r>
      <w:r w:rsidRPr="00092153">
        <w:rPr>
          <w:rFonts w:asciiTheme="minorHAnsi" w:hAnsiTheme="minorHAnsi"/>
          <w:lang w:val="es-ES"/>
        </w:rPr>
        <w:t xml:space="preserve"> un debate que existe desde el siglo XIX cuando por primera vez </w:t>
      </w:r>
      <w:proofErr w:type="spellStart"/>
      <w:r w:rsidRPr="00092153">
        <w:rPr>
          <w:rFonts w:asciiTheme="minorHAnsi" w:hAnsiTheme="minorHAnsi"/>
          <w:lang w:val="es-ES"/>
        </w:rPr>
        <w:t>Ernest</w:t>
      </w:r>
      <w:proofErr w:type="spellEnd"/>
      <w:r w:rsidRPr="00092153">
        <w:rPr>
          <w:rFonts w:asciiTheme="minorHAnsi" w:hAnsiTheme="minorHAnsi"/>
          <w:lang w:val="es-ES"/>
        </w:rPr>
        <w:t xml:space="preserve"> </w:t>
      </w:r>
      <w:proofErr w:type="spellStart"/>
      <w:r w:rsidRPr="00092153">
        <w:rPr>
          <w:rFonts w:asciiTheme="minorHAnsi" w:hAnsiTheme="minorHAnsi"/>
          <w:lang w:val="es-ES"/>
        </w:rPr>
        <w:t>Heinrich</w:t>
      </w:r>
      <w:proofErr w:type="spellEnd"/>
      <w:r w:rsidRPr="00092153">
        <w:rPr>
          <w:rFonts w:asciiTheme="minorHAnsi" w:hAnsiTheme="minorHAnsi"/>
          <w:lang w:val="es-ES"/>
        </w:rPr>
        <w:t xml:space="preserve"> Weber (1795-1878), (fundador de la psicofísica, profesor de la universidad de Halle-</w:t>
      </w:r>
      <w:proofErr w:type="spellStart"/>
      <w:r w:rsidRPr="00092153">
        <w:rPr>
          <w:rFonts w:asciiTheme="minorHAnsi" w:hAnsiTheme="minorHAnsi"/>
          <w:lang w:val="es-ES"/>
        </w:rPr>
        <w:t>Wittemberg</w:t>
      </w:r>
      <w:proofErr w:type="spellEnd"/>
      <w:r w:rsidRPr="00092153">
        <w:rPr>
          <w:rFonts w:asciiTheme="minorHAnsi" w:hAnsiTheme="minorHAnsi"/>
          <w:lang w:val="es-ES"/>
        </w:rPr>
        <w:t xml:space="preserve">) formuló la ley que lleva su nombre y que posteriormente Gustav </w:t>
      </w:r>
      <w:proofErr w:type="spellStart"/>
      <w:r w:rsidRPr="00092153">
        <w:rPr>
          <w:rFonts w:asciiTheme="minorHAnsi" w:hAnsiTheme="minorHAnsi"/>
          <w:lang w:val="es-ES"/>
        </w:rPr>
        <w:t>Theodor</w:t>
      </w:r>
      <w:proofErr w:type="spellEnd"/>
      <w:r w:rsidRPr="00092153">
        <w:rPr>
          <w:rFonts w:asciiTheme="minorHAnsi" w:hAnsiTheme="minorHAnsi"/>
          <w:lang w:val="es-ES"/>
        </w:rPr>
        <w:t xml:space="preserve"> </w:t>
      </w:r>
      <w:proofErr w:type="spellStart"/>
      <w:r w:rsidRPr="00092153">
        <w:rPr>
          <w:rFonts w:asciiTheme="minorHAnsi" w:hAnsiTheme="minorHAnsi"/>
          <w:lang w:val="es-ES"/>
        </w:rPr>
        <w:t>Fechner</w:t>
      </w:r>
      <w:proofErr w:type="spellEnd"/>
      <w:r w:rsidRPr="00092153">
        <w:rPr>
          <w:rFonts w:asciiTheme="minorHAnsi" w:hAnsiTheme="minorHAnsi"/>
          <w:lang w:val="es-ES"/>
        </w:rPr>
        <w:t xml:space="preserve"> (1801-1887) planteó, en términos matemáticos, la relación entre el est</w:t>
      </w:r>
      <w:r w:rsidR="005E0238">
        <w:rPr>
          <w:rFonts w:asciiTheme="minorHAnsi" w:hAnsiTheme="minorHAnsi"/>
          <w:lang w:val="es-ES"/>
        </w:rPr>
        <w:t xml:space="preserve">ímulo físico y la sensación. </w:t>
      </w:r>
      <w:r w:rsidRPr="00092153">
        <w:rPr>
          <w:rFonts w:asciiTheme="minorHAnsi" w:hAnsiTheme="minorHAnsi"/>
          <w:lang w:val="es-ES"/>
        </w:rPr>
        <w:t xml:space="preserve"> </w:t>
      </w:r>
      <w:r w:rsidRPr="00092153">
        <w:rPr>
          <w:rFonts w:asciiTheme="minorHAnsi" w:hAnsiTheme="minorHAnsi"/>
          <w:spacing w:val="-3"/>
          <w:lang w:val="es-ES"/>
        </w:rPr>
        <w:t>La ley de Weber-</w:t>
      </w:r>
      <w:proofErr w:type="spellStart"/>
      <w:r w:rsidRPr="00092153">
        <w:rPr>
          <w:rFonts w:asciiTheme="minorHAnsi" w:hAnsiTheme="minorHAnsi"/>
          <w:spacing w:val="-3"/>
          <w:lang w:val="es-ES"/>
        </w:rPr>
        <w:t>Fechner</w:t>
      </w:r>
      <w:proofErr w:type="spellEnd"/>
      <w:r w:rsidRPr="00092153">
        <w:rPr>
          <w:rFonts w:asciiTheme="minorHAnsi" w:hAnsiTheme="minorHAnsi"/>
          <w:spacing w:val="-3"/>
          <w:lang w:val="es-ES"/>
        </w:rPr>
        <w:t xml:space="preserve"> dice que la agudeza de la visión es directamente proporcional al logaritmo del estímulo</w:t>
      </w:r>
      <w:r w:rsidR="005E0238">
        <w:rPr>
          <w:rFonts w:asciiTheme="minorHAnsi" w:hAnsiTheme="minorHAnsi"/>
          <w:spacing w:val="-3"/>
          <w:lang w:val="es-ES"/>
        </w:rPr>
        <w:t xml:space="preserve"> (</w:t>
      </w:r>
      <w:proofErr w:type="spellStart"/>
      <w:r w:rsidR="005E0238">
        <w:rPr>
          <w:rFonts w:asciiTheme="minorHAnsi" w:hAnsiTheme="minorHAnsi"/>
          <w:spacing w:val="-3"/>
          <w:lang w:val="es-ES"/>
        </w:rPr>
        <w:t>Wikipedia</w:t>
      </w:r>
      <w:proofErr w:type="spellEnd"/>
      <w:r w:rsidR="005E0238">
        <w:rPr>
          <w:rFonts w:asciiTheme="minorHAnsi" w:hAnsiTheme="minorHAnsi"/>
          <w:spacing w:val="-3"/>
          <w:lang w:val="es-ES"/>
        </w:rPr>
        <w:t>)</w:t>
      </w:r>
      <w:r>
        <w:rPr>
          <w:rFonts w:asciiTheme="minorHAnsi" w:hAnsiTheme="minorHAnsi"/>
          <w:spacing w:val="-3"/>
          <w:lang w:val="es-ES"/>
        </w:rPr>
        <w:t xml:space="preserve">, y que por ser una función matemática entonces </w:t>
      </w:r>
      <w:r w:rsidR="005502FE">
        <w:rPr>
          <w:rFonts w:asciiTheme="minorHAnsi" w:hAnsiTheme="minorHAnsi"/>
          <w:spacing w:val="-3"/>
          <w:lang w:val="es-ES"/>
        </w:rPr>
        <w:t xml:space="preserve"> la respuesta necesariamente tiene que ser numérica y así fue juzgada luego por un estudiante de fitopatología</w:t>
      </w:r>
      <w:r w:rsidRPr="00092153">
        <w:rPr>
          <w:rFonts w:asciiTheme="minorHAnsi" w:hAnsiTheme="minorHAnsi"/>
          <w:spacing w:val="-3"/>
          <w:lang w:val="es-ES"/>
        </w:rPr>
        <w:t>.</w:t>
      </w:r>
    </w:p>
    <w:p w:rsidR="00092153" w:rsidRPr="00092153" w:rsidRDefault="00092153" w:rsidP="00092153">
      <w:pPr>
        <w:pStyle w:val="yiv1798426951msonormal"/>
        <w:jc w:val="both"/>
        <w:rPr>
          <w:rFonts w:asciiTheme="minorHAnsi" w:hAnsiTheme="minorHAnsi"/>
          <w:lang w:val="es-ES"/>
        </w:rPr>
      </w:pPr>
      <w:r w:rsidRPr="00092153">
        <w:rPr>
          <w:rFonts w:asciiTheme="minorHAnsi" w:hAnsiTheme="minorHAnsi"/>
          <w:lang w:val="es-ES"/>
        </w:rPr>
        <w:t xml:space="preserve">Cuando James G. </w:t>
      </w:r>
      <w:proofErr w:type="spellStart"/>
      <w:r w:rsidRPr="00092153">
        <w:rPr>
          <w:rFonts w:asciiTheme="minorHAnsi" w:hAnsiTheme="minorHAnsi"/>
          <w:lang w:val="es-ES"/>
        </w:rPr>
        <w:t>Horsfall</w:t>
      </w:r>
      <w:proofErr w:type="spellEnd"/>
      <w:r w:rsidRPr="00092153">
        <w:rPr>
          <w:rFonts w:asciiTheme="minorHAnsi" w:hAnsiTheme="minorHAnsi"/>
          <w:lang w:val="es-ES"/>
        </w:rPr>
        <w:t xml:space="preserve"> estudiaba fitopatología (1945) en la estación experimental agrícola de Connecticut, quería </w:t>
      </w:r>
      <w:r w:rsidR="005502FE">
        <w:rPr>
          <w:rFonts w:asciiTheme="minorHAnsi" w:hAnsiTheme="minorHAnsi"/>
          <w:lang w:val="es-ES"/>
        </w:rPr>
        <w:t>“</w:t>
      </w:r>
      <w:r w:rsidRPr="005502FE">
        <w:rPr>
          <w:rFonts w:asciiTheme="minorHAnsi" w:hAnsiTheme="minorHAnsi"/>
          <w:b/>
          <w:lang w:val="es-ES"/>
        </w:rPr>
        <w:t>medir</w:t>
      </w:r>
      <w:r w:rsidR="005502FE">
        <w:rPr>
          <w:rFonts w:asciiTheme="minorHAnsi" w:hAnsiTheme="minorHAnsi"/>
          <w:b/>
          <w:lang w:val="es-ES"/>
        </w:rPr>
        <w:t>”</w:t>
      </w:r>
      <w:r w:rsidRPr="00092153">
        <w:rPr>
          <w:rFonts w:asciiTheme="minorHAnsi" w:hAnsiTheme="minorHAnsi"/>
          <w:lang w:val="es-ES"/>
        </w:rPr>
        <w:t xml:space="preserve"> la enfermedad, no solo describirla como leve, media o severa por lo que recurrió  a un colega estudiante graduado de otra universidad que se dedicaba a la fisiología de las enfermedades.  Estudiando juntos el problema</w:t>
      </w:r>
      <w:r w:rsidR="005502FE">
        <w:rPr>
          <w:rFonts w:asciiTheme="minorHAnsi" w:hAnsiTheme="minorHAnsi"/>
          <w:lang w:val="es-ES"/>
        </w:rPr>
        <w:t xml:space="preserve"> </w:t>
      </w:r>
      <w:proofErr w:type="spellStart"/>
      <w:r w:rsidR="005502FE">
        <w:rPr>
          <w:rFonts w:asciiTheme="minorHAnsi" w:hAnsiTheme="minorHAnsi"/>
          <w:lang w:val="es-ES"/>
        </w:rPr>
        <w:t>Horsfall</w:t>
      </w:r>
      <w:proofErr w:type="spellEnd"/>
      <w:r w:rsidR="005502FE">
        <w:rPr>
          <w:rFonts w:asciiTheme="minorHAnsi" w:hAnsiTheme="minorHAnsi"/>
          <w:lang w:val="es-ES"/>
        </w:rPr>
        <w:t xml:space="preserve"> y </w:t>
      </w:r>
      <w:proofErr w:type="spellStart"/>
      <w:r w:rsidR="005502FE">
        <w:rPr>
          <w:rFonts w:asciiTheme="minorHAnsi" w:hAnsiTheme="minorHAnsi"/>
          <w:lang w:val="es-ES"/>
        </w:rPr>
        <w:t>Barratt</w:t>
      </w:r>
      <w:proofErr w:type="spellEnd"/>
      <w:r w:rsidRPr="00092153">
        <w:rPr>
          <w:rFonts w:asciiTheme="minorHAnsi" w:hAnsiTheme="minorHAnsi"/>
          <w:lang w:val="es-ES"/>
        </w:rPr>
        <w:t xml:space="preserve"> tropezaron con el principio de Weber-</w:t>
      </w:r>
      <w:proofErr w:type="spellStart"/>
      <w:r w:rsidRPr="00092153">
        <w:rPr>
          <w:rFonts w:asciiTheme="minorHAnsi" w:hAnsiTheme="minorHAnsi"/>
          <w:lang w:val="es-ES"/>
        </w:rPr>
        <w:t>Fechner</w:t>
      </w:r>
      <w:proofErr w:type="spellEnd"/>
      <w:r w:rsidRPr="00092153">
        <w:rPr>
          <w:rFonts w:asciiTheme="minorHAnsi" w:hAnsiTheme="minorHAnsi"/>
          <w:lang w:val="es-ES"/>
        </w:rPr>
        <w:t xml:space="preserve"> lo que rápidamente los llevó a plantear una escala numérica para </w:t>
      </w:r>
      <w:r w:rsidRPr="005502FE">
        <w:rPr>
          <w:rFonts w:asciiTheme="minorHAnsi" w:hAnsiTheme="minorHAnsi"/>
          <w:b/>
          <w:lang w:val="es-ES"/>
        </w:rPr>
        <w:t>“medir”</w:t>
      </w:r>
      <w:r w:rsidRPr="00092153">
        <w:rPr>
          <w:rFonts w:asciiTheme="minorHAnsi" w:hAnsiTheme="minorHAnsi"/>
          <w:lang w:val="es-ES"/>
        </w:rPr>
        <w:t xml:space="preserve"> la enfermedad.  En el artículo que siguió a este trabajo en </w:t>
      </w:r>
      <w:proofErr w:type="spellStart"/>
      <w:r w:rsidRPr="00092153">
        <w:rPr>
          <w:rFonts w:asciiTheme="minorHAnsi" w:hAnsiTheme="minorHAnsi"/>
          <w:lang w:val="es-ES"/>
        </w:rPr>
        <w:t>Phytopathology</w:t>
      </w:r>
      <w:proofErr w:type="spellEnd"/>
      <w:r w:rsidRPr="00092153">
        <w:rPr>
          <w:rFonts w:asciiTheme="minorHAnsi" w:hAnsiTheme="minorHAnsi"/>
          <w:lang w:val="es-ES"/>
        </w:rPr>
        <w:t>, los estudiantes exponen que el ojo es una “</w:t>
      </w:r>
      <w:proofErr w:type="spellStart"/>
      <w:r w:rsidRPr="00092153">
        <w:rPr>
          <w:rFonts w:asciiTheme="minorHAnsi" w:hAnsiTheme="minorHAnsi"/>
          <w:lang w:val="es-ES"/>
        </w:rPr>
        <w:t>fotocelda</w:t>
      </w:r>
      <w:proofErr w:type="spellEnd"/>
      <w:r w:rsidRPr="00092153">
        <w:rPr>
          <w:rFonts w:asciiTheme="minorHAnsi" w:hAnsiTheme="minorHAnsi"/>
          <w:lang w:val="es-ES"/>
        </w:rPr>
        <w:t>” que lee en logaritmos</w:t>
      </w:r>
      <w:r w:rsidR="005502FE">
        <w:rPr>
          <w:rFonts w:asciiTheme="minorHAnsi" w:hAnsiTheme="minorHAnsi"/>
          <w:lang w:val="es-ES"/>
        </w:rPr>
        <w:t xml:space="preserve">.  En ese mismo sentido, el Dr. </w:t>
      </w:r>
      <w:proofErr w:type="spellStart"/>
      <w:r w:rsidR="005502FE" w:rsidRPr="00092153">
        <w:rPr>
          <w:rFonts w:asciiTheme="minorHAnsi" w:hAnsiTheme="minorHAnsi"/>
          <w:lang w:val="es-ES"/>
        </w:rPr>
        <w:t>Grönevald</w:t>
      </w:r>
      <w:proofErr w:type="spellEnd"/>
      <w:r w:rsidR="005502FE">
        <w:rPr>
          <w:rFonts w:asciiTheme="minorHAnsi" w:hAnsiTheme="minorHAnsi"/>
          <w:lang w:val="es-ES"/>
        </w:rPr>
        <w:t xml:space="preserve">, emérito de la Universidad Estatal de Iowa, afirmaba en su curso de diseño experimental que “el ojo humano es un instrumento de medida como cualquier otro, quizás no tan preciso pero un </w:t>
      </w:r>
      <w:r w:rsidR="00D33055">
        <w:rPr>
          <w:rFonts w:asciiTheme="minorHAnsi" w:hAnsiTheme="minorHAnsi"/>
          <w:lang w:val="es-ES"/>
        </w:rPr>
        <w:t>instrumento</w:t>
      </w:r>
      <w:r w:rsidR="005502FE">
        <w:rPr>
          <w:rFonts w:asciiTheme="minorHAnsi" w:hAnsiTheme="minorHAnsi"/>
          <w:lang w:val="es-ES"/>
        </w:rPr>
        <w:t xml:space="preserve"> de medida al fin”</w:t>
      </w:r>
      <w:r w:rsidRPr="00092153">
        <w:rPr>
          <w:rFonts w:asciiTheme="minorHAnsi" w:hAnsiTheme="minorHAnsi"/>
          <w:lang w:val="es-ES"/>
        </w:rPr>
        <w:t>.</w:t>
      </w:r>
    </w:p>
    <w:p w:rsidR="005502FE" w:rsidRDefault="00092153" w:rsidP="00092153">
      <w:pPr>
        <w:pStyle w:val="yiv1798426951msonormal"/>
        <w:jc w:val="both"/>
        <w:rPr>
          <w:rFonts w:asciiTheme="minorHAnsi" w:hAnsiTheme="minorHAnsi"/>
          <w:spacing w:val="-3"/>
          <w:lang w:val="es-ES"/>
        </w:rPr>
      </w:pPr>
      <w:r w:rsidRPr="00092153">
        <w:rPr>
          <w:rFonts w:asciiTheme="minorHAnsi" w:hAnsiTheme="minorHAnsi"/>
          <w:lang w:val="es-ES"/>
        </w:rPr>
        <w:t xml:space="preserve">Posteriormente, en 1978 John C. </w:t>
      </w:r>
      <w:proofErr w:type="spellStart"/>
      <w:r w:rsidRPr="00092153">
        <w:rPr>
          <w:rFonts w:asciiTheme="minorHAnsi" w:hAnsiTheme="minorHAnsi"/>
          <w:lang w:val="es-ES"/>
        </w:rPr>
        <w:t>Baird</w:t>
      </w:r>
      <w:proofErr w:type="spellEnd"/>
      <w:r w:rsidRPr="00092153">
        <w:rPr>
          <w:rFonts w:asciiTheme="minorHAnsi" w:hAnsiTheme="minorHAnsi"/>
          <w:lang w:val="es-ES"/>
        </w:rPr>
        <w:t xml:space="preserve"> y </w:t>
      </w:r>
      <w:proofErr w:type="spellStart"/>
      <w:r w:rsidRPr="00092153">
        <w:rPr>
          <w:rFonts w:asciiTheme="minorHAnsi" w:hAnsiTheme="minorHAnsi"/>
          <w:lang w:val="es-ES"/>
        </w:rPr>
        <w:t>Elliot</w:t>
      </w:r>
      <w:proofErr w:type="spellEnd"/>
      <w:r w:rsidRPr="00092153">
        <w:rPr>
          <w:rFonts w:asciiTheme="minorHAnsi" w:hAnsiTheme="minorHAnsi"/>
          <w:lang w:val="es-ES"/>
        </w:rPr>
        <w:t xml:space="preserve"> Noma publican un libro titulado “Fundamentals of </w:t>
      </w:r>
      <w:proofErr w:type="spellStart"/>
      <w:r w:rsidRPr="00092153">
        <w:rPr>
          <w:rFonts w:asciiTheme="minorHAnsi" w:hAnsiTheme="minorHAnsi"/>
          <w:lang w:val="es-ES"/>
        </w:rPr>
        <w:t>scaling</w:t>
      </w:r>
      <w:proofErr w:type="spellEnd"/>
      <w:r w:rsidRPr="00092153">
        <w:rPr>
          <w:rFonts w:asciiTheme="minorHAnsi" w:hAnsiTheme="minorHAnsi"/>
          <w:lang w:val="es-ES"/>
        </w:rPr>
        <w:t xml:space="preserve"> and </w:t>
      </w:r>
      <w:proofErr w:type="spellStart"/>
      <w:r w:rsidRPr="00092153">
        <w:rPr>
          <w:rFonts w:asciiTheme="minorHAnsi" w:hAnsiTheme="minorHAnsi"/>
          <w:lang w:val="es-ES"/>
        </w:rPr>
        <w:t>psychophysics</w:t>
      </w:r>
      <w:proofErr w:type="spellEnd"/>
      <w:r w:rsidRPr="00092153">
        <w:rPr>
          <w:rFonts w:asciiTheme="minorHAnsi" w:hAnsiTheme="minorHAnsi"/>
          <w:lang w:val="es-ES"/>
        </w:rPr>
        <w:t xml:space="preserve">” en que amplían el concepto del </w:t>
      </w:r>
      <w:proofErr w:type="spellStart"/>
      <w:r w:rsidRPr="00092153">
        <w:rPr>
          <w:rFonts w:asciiTheme="minorHAnsi" w:hAnsiTheme="minorHAnsi"/>
          <w:lang w:val="es-ES"/>
        </w:rPr>
        <w:t>Horsfall</w:t>
      </w:r>
      <w:proofErr w:type="spellEnd"/>
      <w:r w:rsidRPr="00092153">
        <w:rPr>
          <w:rFonts w:asciiTheme="minorHAnsi" w:hAnsiTheme="minorHAnsi"/>
          <w:lang w:val="es-ES"/>
        </w:rPr>
        <w:t xml:space="preserve"> y </w:t>
      </w:r>
      <w:proofErr w:type="spellStart"/>
      <w:r w:rsidRPr="00092153">
        <w:rPr>
          <w:rFonts w:asciiTheme="minorHAnsi" w:hAnsiTheme="minorHAnsi"/>
          <w:lang w:val="es-ES"/>
        </w:rPr>
        <w:t>Barratt</w:t>
      </w:r>
      <w:proofErr w:type="spellEnd"/>
      <w:r w:rsidRPr="00092153">
        <w:rPr>
          <w:rFonts w:asciiTheme="minorHAnsi" w:hAnsiTheme="minorHAnsi"/>
          <w:lang w:val="es-ES"/>
        </w:rPr>
        <w:t xml:space="preserve">; estos autores </w:t>
      </w:r>
      <w:r w:rsidRPr="00092153">
        <w:rPr>
          <w:rFonts w:asciiTheme="minorHAnsi" w:hAnsiTheme="minorHAnsi"/>
          <w:spacing w:val="-3"/>
          <w:lang w:val="es-ES"/>
        </w:rPr>
        <w:t>postulan que probablemente existen cua</w:t>
      </w:r>
      <w:r w:rsidR="005502FE">
        <w:rPr>
          <w:rFonts w:asciiTheme="minorHAnsi" w:hAnsiTheme="minorHAnsi"/>
          <w:spacing w:val="-3"/>
          <w:lang w:val="es-ES"/>
        </w:rPr>
        <w:t>tro tipos de curvas estímulo-</w:t>
      </w:r>
      <w:r w:rsidRPr="00092153">
        <w:rPr>
          <w:rFonts w:asciiTheme="minorHAnsi" w:hAnsiTheme="minorHAnsi"/>
          <w:spacing w:val="-3"/>
          <w:lang w:val="es-ES"/>
        </w:rPr>
        <w:t>respuesta: la primera es una función lineal en la que la respuesta aumenta linealmente conforme el estímulo también aumenta linealmente, dentro de este grupo se citan principalmente las estimaciones de proporciones; el segundo tipo es una función logarítmica en la que la respuesta aumenta linealmente mientras que el estímulo aumenta de manera logarítmica; el tercer tipo es una función exponencial en la que la respuesta aumenta logarítmicamente</w:t>
      </w:r>
    </w:p>
    <w:p w:rsidR="005502FE" w:rsidRPr="005502FE" w:rsidRDefault="003D7BA9" w:rsidP="00092153">
      <w:pPr>
        <w:pStyle w:val="yiv1798426951msonormal"/>
        <w:jc w:val="both"/>
        <w:rPr>
          <w:rFonts w:asciiTheme="minorHAnsi" w:hAnsiTheme="minorHAnsi"/>
          <w:spacing w:val="-3"/>
          <w:sz w:val="18"/>
          <w:szCs w:val="18"/>
          <w:lang w:val="es-ES"/>
        </w:rPr>
      </w:pPr>
      <w:r w:rsidRPr="003D7BA9">
        <w:rPr>
          <w:rFonts w:asciiTheme="minorHAnsi" w:hAnsiTheme="minorHAnsi"/>
          <w:noProof/>
        </w:rPr>
        <w:pict>
          <v:shapetype id="_x0000_t32" coordsize="21600,21600" o:spt="32" o:oned="t" path="m,l21600,21600e" filled="f">
            <v:path arrowok="t" fillok="f" o:connecttype="none"/>
            <o:lock v:ext="edit" shapetype="t"/>
          </v:shapetype>
          <v:shape id="_x0000_s1029" type="#_x0000_t32" style="position:absolute;left:0;text-align:left;margin-left:.3pt;margin-top:8.7pt;width:249pt;height:0;z-index:251658240" o:connectortype="straight"/>
        </w:pict>
      </w:r>
    </w:p>
    <w:p w:rsidR="005502FE" w:rsidRDefault="005502FE" w:rsidP="005502FE">
      <w:pPr>
        <w:jc w:val="both"/>
        <w:rPr>
          <w:rFonts w:ascii="Calibri" w:hAnsi="Calibri"/>
          <w:sz w:val="20"/>
          <w:szCs w:val="20"/>
          <w:lang w:val="es-ES_tradnl"/>
        </w:rPr>
      </w:pPr>
      <w:r w:rsidRPr="005502FE">
        <w:rPr>
          <w:rFonts w:ascii="Calibri" w:hAnsi="Calibri"/>
          <w:vertAlign w:val="superscript"/>
          <w:lang w:val="es-ES_tradnl"/>
        </w:rPr>
        <w:t>1</w:t>
      </w:r>
      <w:r>
        <w:rPr>
          <w:rFonts w:ascii="Calibri" w:hAnsi="Calibri"/>
          <w:lang w:val="es-ES_tradnl"/>
        </w:rPr>
        <w:t xml:space="preserve"> </w:t>
      </w:r>
      <w:r w:rsidRPr="00823149">
        <w:rPr>
          <w:rFonts w:ascii="Calibri" w:hAnsi="Calibri"/>
          <w:sz w:val="20"/>
          <w:szCs w:val="20"/>
          <w:lang w:val="es-ES_tradnl"/>
        </w:rPr>
        <w:t xml:space="preserve">Centro de Investigaciones en Protección de Cultivos (CIPROC), </w:t>
      </w:r>
      <w:hyperlink r:id="rId7" w:history="1">
        <w:r w:rsidRPr="00752693">
          <w:rPr>
            <w:rStyle w:val="Hipervnculo"/>
            <w:rFonts w:ascii="Calibri" w:hAnsi="Calibri"/>
            <w:sz w:val="20"/>
            <w:szCs w:val="20"/>
            <w:lang w:val="es-ES_tradnl"/>
          </w:rPr>
          <w:t>juan.navarro@ucr.ac.cr</w:t>
        </w:r>
      </w:hyperlink>
    </w:p>
    <w:p w:rsidR="005502FE" w:rsidRPr="005502FE" w:rsidRDefault="005502FE" w:rsidP="00092153">
      <w:pPr>
        <w:pStyle w:val="yiv1798426951msonormal"/>
        <w:jc w:val="both"/>
        <w:rPr>
          <w:rFonts w:asciiTheme="minorHAnsi" w:hAnsiTheme="minorHAnsi"/>
          <w:spacing w:val="-3"/>
          <w:lang w:val="es-ES_tradnl"/>
        </w:rPr>
      </w:pPr>
    </w:p>
    <w:p w:rsidR="005502FE" w:rsidRDefault="005502FE" w:rsidP="00092153">
      <w:pPr>
        <w:pStyle w:val="yiv1798426951msonormal"/>
        <w:jc w:val="both"/>
        <w:rPr>
          <w:rFonts w:asciiTheme="minorHAnsi" w:hAnsiTheme="minorHAnsi"/>
          <w:spacing w:val="-3"/>
          <w:lang w:val="es-ES"/>
        </w:rPr>
      </w:pPr>
    </w:p>
    <w:p w:rsidR="00092153" w:rsidRPr="00092153" w:rsidRDefault="00092153" w:rsidP="00092153">
      <w:pPr>
        <w:pStyle w:val="yiv1798426951msonormal"/>
        <w:jc w:val="both"/>
        <w:rPr>
          <w:rFonts w:asciiTheme="minorHAnsi" w:hAnsiTheme="minorHAnsi"/>
          <w:lang w:val="es-ES"/>
        </w:rPr>
      </w:pPr>
      <w:r w:rsidRPr="00092153">
        <w:rPr>
          <w:rFonts w:asciiTheme="minorHAnsi" w:hAnsiTheme="minorHAnsi"/>
          <w:spacing w:val="-3"/>
          <w:lang w:val="es-ES"/>
        </w:rPr>
        <w:lastRenderedPageBreak/>
        <w:t xml:space="preserve"> </w:t>
      </w:r>
      <w:proofErr w:type="gramStart"/>
      <w:r w:rsidRPr="00092153">
        <w:rPr>
          <w:rFonts w:asciiTheme="minorHAnsi" w:hAnsiTheme="minorHAnsi"/>
          <w:spacing w:val="-3"/>
          <w:lang w:val="es-ES"/>
        </w:rPr>
        <w:t>mientras</w:t>
      </w:r>
      <w:proofErr w:type="gramEnd"/>
      <w:r w:rsidRPr="00092153">
        <w:rPr>
          <w:rFonts w:asciiTheme="minorHAnsi" w:hAnsiTheme="minorHAnsi"/>
          <w:spacing w:val="-3"/>
          <w:lang w:val="es-ES"/>
        </w:rPr>
        <w:t xml:space="preserve"> que el estímulo lo hace linealmente; por último, el cuarto tipo es una función potencial en la que la respuesta y el estímulo aumentan logarítmicamente, conocida como la ley de Steven, y que ha sido verificada para gran cantidad de estímulos tales como estimaciones de área, dulzura, el olor del café, ruido, brillo, etc.</w:t>
      </w:r>
      <w:r w:rsidRPr="00092153">
        <w:rPr>
          <w:rFonts w:asciiTheme="minorHAnsi" w:hAnsiTheme="minorHAnsi"/>
          <w:lang w:val="es-ES"/>
        </w:rPr>
        <w:t xml:space="preserve"> </w:t>
      </w:r>
    </w:p>
    <w:p w:rsidR="00092153" w:rsidRPr="00092153" w:rsidRDefault="00092153" w:rsidP="00092153">
      <w:pPr>
        <w:pStyle w:val="yiv1798426951msonormal"/>
        <w:jc w:val="both"/>
        <w:rPr>
          <w:rFonts w:asciiTheme="minorHAnsi" w:hAnsiTheme="minorHAnsi"/>
          <w:lang w:val="es-ES"/>
        </w:rPr>
      </w:pPr>
      <w:r w:rsidRPr="00092153">
        <w:rPr>
          <w:rFonts w:asciiTheme="minorHAnsi" w:hAnsiTheme="minorHAnsi"/>
          <w:lang w:val="es-ES"/>
        </w:rPr>
        <w:t xml:space="preserve">Gran cantidad de autores se pueden citar que están en contra de este concepto; sin embargo, ninguno lo llega a negar o a descartar del todo.  La máxima crítica lanzada a estas mediciones con una escala es que (Herbert, 1982) no existe evidencia experimental de que usar una escala produce un mejor resultado que la evaluación directa de la severidad de una enfermedad.  En el 99, el Dr. Arauz y yo (Navarro y Arauz, </w:t>
      </w:r>
      <w:r w:rsidR="00571F83">
        <w:rPr>
          <w:rFonts w:asciiTheme="minorHAnsi" w:hAnsiTheme="minorHAnsi"/>
          <w:lang w:val="es-ES"/>
        </w:rPr>
        <w:t>1999</w:t>
      </w:r>
      <w:r w:rsidRPr="00092153">
        <w:rPr>
          <w:rFonts w:asciiTheme="minorHAnsi" w:hAnsiTheme="minorHAnsi"/>
          <w:lang w:val="es-ES"/>
        </w:rPr>
        <w:t xml:space="preserve">) hicimos algo en este sentido, comparamos dos métodos de evaluación de enfermedades del fruto de papaya  con un método de referencia; el método A era la evaluación visual directa y el método B era lo mismo pero la evaluación era asistida por una escala pictórica, basada en una escala numérica que responde al principio de </w:t>
      </w:r>
      <w:proofErr w:type="spellStart"/>
      <w:r w:rsidRPr="00092153">
        <w:rPr>
          <w:rFonts w:asciiTheme="minorHAnsi" w:hAnsiTheme="minorHAnsi"/>
          <w:lang w:val="es-ES"/>
        </w:rPr>
        <w:t>Horsfall</w:t>
      </w:r>
      <w:proofErr w:type="spellEnd"/>
      <w:r w:rsidRPr="00092153">
        <w:rPr>
          <w:rFonts w:asciiTheme="minorHAnsi" w:hAnsiTheme="minorHAnsi"/>
          <w:lang w:val="es-ES"/>
        </w:rPr>
        <w:t xml:space="preserve"> y </w:t>
      </w:r>
      <w:proofErr w:type="spellStart"/>
      <w:r w:rsidRPr="00092153">
        <w:rPr>
          <w:rFonts w:asciiTheme="minorHAnsi" w:hAnsiTheme="minorHAnsi"/>
          <w:lang w:val="es-ES"/>
        </w:rPr>
        <w:t>Barratt</w:t>
      </w:r>
      <w:proofErr w:type="spellEnd"/>
      <w:r w:rsidRPr="00092153">
        <w:rPr>
          <w:rFonts w:asciiTheme="minorHAnsi" w:hAnsiTheme="minorHAnsi"/>
          <w:lang w:val="es-ES"/>
        </w:rPr>
        <w:t>.  Obtuvimos que con ambos métodos se obtenían resultados similares pero que el método de evaluación visual directa era mucho menos repetible y bastante más variable, esto es: más impreciso.</w:t>
      </w:r>
      <w:r w:rsidR="00BB3737">
        <w:rPr>
          <w:rFonts w:asciiTheme="minorHAnsi" w:hAnsiTheme="minorHAnsi"/>
          <w:lang w:val="es-ES"/>
        </w:rPr>
        <w:t xml:space="preserve">  Además, Arauz (comunicación personal) apunta</w:t>
      </w:r>
      <w:r w:rsidR="00BB3737" w:rsidRPr="00BB3737">
        <w:rPr>
          <w:rFonts w:asciiTheme="minorHAnsi" w:hAnsiTheme="minorHAnsi"/>
          <w:lang w:val="es-ES"/>
        </w:rPr>
        <w:t xml:space="preserve"> </w:t>
      </w:r>
      <w:r w:rsidR="00D33055">
        <w:rPr>
          <w:rFonts w:asciiTheme="minorHAnsi" w:hAnsiTheme="minorHAnsi"/>
          <w:lang w:val="es-ES"/>
        </w:rPr>
        <w:t>un problema</w:t>
      </w:r>
      <w:r w:rsidR="00BB3737">
        <w:rPr>
          <w:rFonts w:asciiTheme="minorHAnsi" w:hAnsiTheme="minorHAnsi"/>
          <w:lang w:val="es-ES"/>
        </w:rPr>
        <w:t xml:space="preserve"> adicional del uso de escalas; </w:t>
      </w:r>
      <w:r w:rsidR="00BB3737" w:rsidRPr="00BB3737">
        <w:rPr>
          <w:rFonts w:asciiTheme="minorHAnsi" w:hAnsiTheme="minorHAnsi"/>
          <w:color w:val="000000"/>
          <w:lang w:val="es-ES"/>
        </w:rPr>
        <w:t>cuando</w:t>
      </w:r>
      <w:r w:rsidR="00BB3737">
        <w:rPr>
          <w:rFonts w:asciiTheme="minorHAnsi" w:hAnsiTheme="minorHAnsi"/>
          <w:color w:val="000000"/>
          <w:lang w:val="es-ES"/>
        </w:rPr>
        <w:t xml:space="preserve"> por ejemplo</w:t>
      </w:r>
      <w:r w:rsidR="00BB3737" w:rsidRPr="00BB3737">
        <w:rPr>
          <w:rFonts w:asciiTheme="minorHAnsi" w:hAnsiTheme="minorHAnsi"/>
          <w:color w:val="000000"/>
          <w:lang w:val="es-ES"/>
        </w:rPr>
        <w:t xml:space="preserve"> se evalúan raíces, no es lo mismo un % de daño en la raíz principal que el mismo % en una raíz secundaria</w:t>
      </w:r>
      <w:r w:rsidR="00BB3737">
        <w:rPr>
          <w:rFonts w:asciiTheme="minorHAnsi" w:hAnsiTheme="minorHAnsi"/>
          <w:color w:val="000000"/>
          <w:lang w:val="es-ES"/>
        </w:rPr>
        <w:t>. En este caso sugiere emplear un índice que sería una especie de ponderación entre el grado asignado por la escala (</w:t>
      </w:r>
      <w:r w:rsidR="00FE3444" w:rsidRPr="00BB3737">
        <w:rPr>
          <w:rFonts w:asciiTheme="minorHAnsi" w:hAnsiTheme="minorHAnsi"/>
          <w:color w:val="000000"/>
          <w:lang w:val="es-ES"/>
        </w:rPr>
        <w:t>1 equivale a una severidad en un ámbito que va de más de 0 hasta 3%,  2 = entre 3 y 6</w:t>
      </w:r>
      <w:proofErr w:type="gramStart"/>
      <w:r w:rsidR="00FE3444" w:rsidRPr="00BB3737">
        <w:rPr>
          <w:rFonts w:asciiTheme="minorHAnsi" w:hAnsiTheme="minorHAnsi"/>
          <w:color w:val="000000"/>
          <w:lang w:val="es-ES"/>
        </w:rPr>
        <w:t>% ,</w:t>
      </w:r>
      <w:proofErr w:type="gramEnd"/>
      <w:r w:rsidR="00FE3444" w:rsidRPr="00BB3737">
        <w:rPr>
          <w:rFonts w:asciiTheme="minorHAnsi" w:hAnsiTheme="minorHAnsi"/>
          <w:color w:val="000000"/>
          <w:lang w:val="es-ES"/>
        </w:rPr>
        <w:t xml:space="preserve"> 3 = de 6 a 12%</w:t>
      </w:r>
      <w:r w:rsidR="00FE3444">
        <w:rPr>
          <w:rFonts w:asciiTheme="minorHAnsi" w:hAnsiTheme="minorHAnsi"/>
          <w:color w:val="000000"/>
          <w:lang w:val="es-ES"/>
        </w:rPr>
        <w:t>, etc.) y la cantidad de individuos que califiquen dentro de cada clase,</w:t>
      </w:r>
      <w:r w:rsidR="00FE3444" w:rsidRPr="00FE3444">
        <w:rPr>
          <w:rFonts w:asciiTheme="minorHAnsi" w:hAnsiTheme="minorHAnsi"/>
          <w:color w:val="000000"/>
          <w:lang w:val="es-ES"/>
        </w:rPr>
        <w:t xml:space="preserve"> </w:t>
      </w:r>
      <w:r w:rsidR="00FE3444" w:rsidRPr="00BB3737">
        <w:rPr>
          <w:rFonts w:asciiTheme="minorHAnsi" w:hAnsiTheme="minorHAnsi"/>
          <w:color w:val="000000"/>
          <w:lang w:val="es-ES"/>
        </w:rPr>
        <w:t>todo dividido por el producto del número total de unidades evaluadas por el grado más alto de la escala.</w:t>
      </w:r>
    </w:p>
    <w:p w:rsidR="00092153" w:rsidRPr="00092153" w:rsidRDefault="00092153" w:rsidP="00092153">
      <w:pPr>
        <w:pStyle w:val="yiv1798426951msonormal"/>
        <w:jc w:val="both"/>
        <w:rPr>
          <w:rFonts w:asciiTheme="minorHAnsi" w:hAnsiTheme="minorHAnsi"/>
          <w:lang w:val="es-ES"/>
        </w:rPr>
      </w:pPr>
      <w:r w:rsidRPr="00092153">
        <w:rPr>
          <w:rFonts w:asciiTheme="minorHAnsi" w:hAnsiTheme="minorHAnsi"/>
          <w:lang w:val="es-ES"/>
        </w:rPr>
        <w:t>Dicen los críticos (Herbert, 1982) que se debe determinar si las escalas se utilizan para estimar la proporción real de  enfermedad en un fruto o en una planta, o si simplemente las escalas son un instrumento que ayuda a ubicar el material vegetal en categorías  de intensidad de enfermedad.  Hasta el momento no he visto una respuesta satisfactoria a esta crítica de Herbert.</w:t>
      </w:r>
      <w:r w:rsidR="00BB3737">
        <w:rPr>
          <w:rFonts w:asciiTheme="minorHAnsi" w:hAnsiTheme="minorHAnsi"/>
          <w:lang w:val="es-ES"/>
        </w:rPr>
        <w:t xml:space="preserve">  </w:t>
      </w:r>
      <w:r w:rsidRPr="00BB3737">
        <w:rPr>
          <w:rFonts w:asciiTheme="minorHAnsi" w:hAnsiTheme="minorHAnsi"/>
          <w:lang w:val="es-ES"/>
        </w:rPr>
        <w:t>Mi opinión es que el número es una apreciación de cantidad desarrollado por nuestra misma mente, y si el número lo consideramos una medida, bien podemos también considerar una medida la</w:t>
      </w:r>
      <w:r w:rsidRPr="00092153">
        <w:rPr>
          <w:rFonts w:asciiTheme="minorHAnsi" w:hAnsiTheme="minorHAnsi"/>
          <w:lang w:val="es-ES"/>
        </w:rPr>
        <w:t xml:space="preserve"> apreciación de cantidad que hacemos de una enfermedad, un sabor, un color, un área, etc., en última instancia es la misma mente humana la que está creando ambos: número y apreciación de cantidad</w:t>
      </w:r>
      <w:r w:rsidR="00FE3444">
        <w:rPr>
          <w:rFonts w:asciiTheme="minorHAnsi" w:hAnsiTheme="minorHAnsi"/>
          <w:lang w:val="es-ES"/>
        </w:rPr>
        <w:t xml:space="preserve">, </w:t>
      </w:r>
      <w:r w:rsidRPr="00092153">
        <w:rPr>
          <w:rFonts w:asciiTheme="minorHAnsi" w:hAnsiTheme="minorHAnsi"/>
          <w:lang w:val="es-ES"/>
        </w:rPr>
        <w:t>con la salvedad de que se debe utilizar un mayor número de repeticiones para incrementar un poco la precisión del ojo.</w:t>
      </w:r>
    </w:p>
    <w:p w:rsidR="00C32F9F" w:rsidRDefault="00FE3444" w:rsidP="00C32F9F">
      <w:pPr>
        <w:pStyle w:val="yiv1798426951msonormal"/>
        <w:jc w:val="both"/>
        <w:rPr>
          <w:rFonts w:asciiTheme="minorHAnsi" w:hAnsiTheme="minorHAnsi"/>
          <w:lang w:val="es-ES"/>
        </w:rPr>
      </w:pPr>
      <w:r>
        <w:rPr>
          <w:rFonts w:asciiTheme="minorHAnsi" w:hAnsiTheme="minorHAnsi"/>
          <w:lang w:val="es-ES"/>
        </w:rPr>
        <w:t xml:space="preserve">Hay sin embargo, situaciones donde se pretende cuantificar criterios descriptivos </w:t>
      </w:r>
      <w:r w:rsidR="0032534B">
        <w:rPr>
          <w:rFonts w:asciiTheme="minorHAnsi" w:hAnsiTheme="minorHAnsi"/>
          <w:color w:val="000000"/>
          <w:lang w:val="es-ES"/>
        </w:rPr>
        <w:t xml:space="preserve">como por ejemplo, </w:t>
      </w:r>
      <w:r w:rsidRPr="00FE3444">
        <w:rPr>
          <w:rFonts w:asciiTheme="minorHAnsi" w:hAnsiTheme="minorHAnsi"/>
          <w:color w:val="000000"/>
          <w:lang w:val="es-ES"/>
        </w:rPr>
        <w:t xml:space="preserve">calificar </w:t>
      </w:r>
      <w:r w:rsidR="00D33055">
        <w:rPr>
          <w:rFonts w:asciiTheme="minorHAnsi" w:hAnsiTheme="minorHAnsi"/>
          <w:color w:val="000000"/>
          <w:lang w:val="es-ES"/>
        </w:rPr>
        <w:t xml:space="preserve">el grado de </w:t>
      </w:r>
      <w:proofErr w:type="spellStart"/>
      <w:r w:rsidR="00D33055">
        <w:rPr>
          <w:rFonts w:asciiTheme="minorHAnsi" w:hAnsiTheme="minorHAnsi"/>
          <w:color w:val="000000"/>
          <w:lang w:val="es-ES"/>
        </w:rPr>
        <w:t>pedregosidad</w:t>
      </w:r>
      <w:proofErr w:type="spellEnd"/>
      <w:r w:rsidR="00D33055">
        <w:rPr>
          <w:rFonts w:asciiTheme="minorHAnsi" w:hAnsiTheme="minorHAnsi"/>
          <w:color w:val="000000"/>
          <w:lang w:val="es-ES"/>
        </w:rPr>
        <w:t xml:space="preserve"> como: 1,</w:t>
      </w:r>
      <w:r w:rsidRPr="00FE3444">
        <w:rPr>
          <w:rFonts w:asciiTheme="minorHAnsi" w:hAnsiTheme="minorHAnsi"/>
          <w:color w:val="000000"/>
          <w:lang w:val="es-ES"/>
        </w:rPr>
        <w:t xml:space="preserve"> </w:t>
      </w:r>
      <w:r w:rsidR="0032534B">
        <w:rPr>
          <w:rFonts w:asciiTheme="minorHAnsi" w:hAnsiTheme="minorHAnsi"/>
          <w:color w:val="000000"/>
          <w:lang w:val="es-ES"/>
        </w:rPr>
        <w:t>poco pedregoso</w:t>
      </w:r>
      <w:r w:rsidR="00D33055">
        <w:rPr>
          <w:rFonts w:asciiTheme="minorHAnsi" w:hAnsiTheme="minorHAnsi"/>
          <w:color w:val="000000"/>
          <w:lang w:val="es-ES"/>
        </w:rPr>
        <w:t>; 2, pedregoso</w:t>
      </w:r>
      <w:r w:rsidR="00B07EF8">
        <w:rPr>
          <w:rFonts w:asciiTheme="minorHAnsi" w:hAnsiTheme="minorHAnsi"/>
          <w:color w:val="000000"/>
          <w:lang w:val="es-ES"/>
        </w:rPr>
        <w:t>;</w:t>
      </w:r>
      <w:r w:rsidR="00D33055">
        <w:rPr>
          <w:rFonts w:asciiTheme="minorHAnsi" w:hAnsiTheme="minorHAnsi"/>
          <w:color w:val="000000"/>
          <w:lang w:val="es-ES"/>
        </w:rPr>
        <w:t> 3, muy pedregoso</w:t>
      </w:r>
      <w:r w:rsidR="00B07EF8">
        <w:rPr>
          <w:rFonts w:asciiTheme="minorHAnsi" w:hAnsiTheme="minorHAnsi"/>
          <w:color w:val="000000"/>
          <w:lang w:val="es-ES"/>
        </w:rPr>
        <w:t xml:space="preserve">; 4, </w:t>
      </w:r>
      <w:r w:rsidR="0032534B">
        <w:rPr>
          <w:rFonts w:asciiTheme="minorHAnsi" w:hAnsiTheme="minorHAnsi"/>
          <w:color w:val="000000"/>
          <w:lang w:val="es-ES"/>
        </w:rPr>
        <w:t>extremadamente pedregoso,</w:t>
      </w:r>
      <w:r w:rsidRPr="00FE3444">
        <w:rPr>
          <w:rFonts w:asciiTheme="minorHAnsi" w:hAnsiTheme="minorHAnsi"/>
          <w:color w:val="000000"/>
          <w:lang w:val="es-ES"/>
        </w:rPr>
        <w:t xml:space="preserve"> y luego promediar el 1 con el 4 para describir el promedio de la </w:t>
      </w:r>
      <w:proofErr w:type="spellStart"/>
      <w:r w:rsidRPr="00FE3444">
        <w:rPr>
          <w:rFonts w:asciiTheme="minorHAnsi" w:hAnsiTheme="minorHAnsi"/>
          <w:color w:val="000000"/>
          <w:lang w:val="es-ES"/>
        </w:rPr>
        <w:t>pedregosidad</w:t>
      </w:r>
      <w:proofErr w:type="spellEnd"/>
      <w:r w:rsidRPr="00FE3444">
        <w:rPr>
          <w:rFonts w:asciiTheme="minorHAnsi" w:hAnsiTheme="minorHAnsi"/>
          <w:color w:val="000000"/>
          <w:lang w:val="es-ES"/>
        </w:rPr>
        <w:t xml:space="preserve"> de dos suelos</w:t>
      </w:r>
      <w:r w:rsidR="0032534B">
        <w:rPr>
          <w:rFonts w:asciiTheme="minorHAnsi" w:hAnsiTheme="minorHAnsi"/>
          <w:color w:val="000000"/>
          <w:lang w:val="es-ES"/>
        </w:rPr>
        <w:t>. O</w:t>
      </w:r>
      <w:r w:rsidRPr="00FE3444">
        <w:rPr>
          <w:rFonts w:asciiTheme="minorHAnsi" w:hAnsiTheme="minorHAnsi"/>
          <w:lang w:val="es-ES"/>
        </w:rPr>
        <w:t xml:space="preserve"> </w:t>
      </w:r>
      <w:r w:rsidR="00092153" w:rsidRPr="00FE3444">
        <w:rPr>
          <w:rFonts w:asciiTheme="minorHAnsi" w:hAnsiTheme="minorHAnsi"/>
          <w:lang w:val="es-ES"/>
        </w:rPr>
        <w:t xml:space="preserve">fenómenos muy complejos como por ejemplo: el dolor, el apego y el compromiso </w:t>
      </w:r>
      <w:r w:rsidRPr="00FE3444">
        <w:rPr>
          <w:rFonts w:asciiTheme="minorHAnsi" w:hAnsiTheme="minorHAnsi"/>
          <w:lang w:val="es-ES"/>
        </w:rPr>
        <w:t>en los que</w:t>
      </w:r>
      <w:r w:rsidR="00092153" w:rsidRPr="00FE3444">
        <w:rPr>
          <w:rFonts w:asciiTheme="minorHAnsi" w:hAnsiTheme="minorHAnsi"/>
          <w:lang w:val="es-ES"/>
        </w:rPr>
        <w:t xml:space="preserve"> intervienen otros aspectos adicionales a los sentidos</w:t>
      </w:r>
      <w:r w:rsidRPr="00FE3444">
        <w:rPr>
          <w:rFonts w:asciiTheme="minorHAnsi" w:hAnsiTheme="minorHAnsi"/>
          <w:lang w:val="es-ES"/>
        </w:rPr>
        <w:t xml:space="preserve"> tales como sentimientos, preparación, experiencia, </w:t>
      </w:r>
      <w:proofErr w:type="spellStart"/>
      <w:r w:rsidRPr="00FE3444">
        <w:rPr>
          <w:rFonts w:asciiTheme="minorHAnsi" w:hAnsiTheme="minorHAnsi"/>
          <w:lang w:val="es-ES"/>
        </w:rPr>
        <w:t>etc</w:t>
      </w:r>
      <w:proofErr w:type="spellEnd"/>
      <w:r w:rsidR="00092153" w:rsidRPr="00FE3444">
        <w:rPr>
          <w:rFonts w:asciiTheme="minorHAnsi" w:hAnsiTheme="minorHAnsi"/>
          <w:lang w:val="es-ES"/>
        </w:rPr>
        <w:t xml:space="preserve">; en estos casos si </w:t>
      </w:r>
      <w:r w:rsidRPr="00FE3444">
        <w:rPr>
          <w:rFonts w:asciiTheme="minorHAnsi" w:hAnsiTheme="minorHAnsi"/>
          <w:lang w:val="es-ES"/>
        </w:rPr>
        <w:t>es preferible</w:t>
      </w:r>
      <w:r w:rsidR="00092153" w:rsidRPr="00FE3444">
        <w:rPr>
          <w:rFonts w:asciiTheme="minorHAnsi" w:hAnsiTheme="minorHAnsi"/>
          <w:lang w:val="es-ES"/>
        </w:rPr>
        <w:t xml:space="preserve"> recurrir</w:t>
      </w:r>
      <w:r w:rsidR="00C32F9F">
        <w:rPr>
          <w:rFonts w:asciiTheme="minorHAnsi" w:hAnsiTheme="minorHAnsi"/>
          <w:lang w:val="es-ES"/>
        </w:rPr>
        <w:t xml:space="preserve"> a metodologías no paramétricas.</w:t>
      </w:r>
    </w:p>
    <w:p w:rsidR="00C32F9F" w:rsidRDefault="00C32F9F" w:rsidP="00F50721">
      <w:pPr>
        <w:pStyle w:val="yiv1798426951msonormal"/>
        <w:spacing w:before="0" w:beforeAutospacing="0" w:after="0" w:afterAutospacing="0"/>
        <w:jc w:val="both"/>
        <w:rPr>
          <w:rFonts w:asciiTheme="minorHAnsi" w:hAnsiTheme="minorHAnsi"/>
          <w:b/>
        </w:rPr>
      </w:pPr>
      <w:proofErr w:type="spellStart"/>
      <w:r w:rsidRPr="00BD033F">
        <w:rPr>
          <w:rFonts w:asciiTheme="minorHAnsi" w:hAnsiTheme="minorHAnsi"/>
          <w:b/>
        </w:rPr>
        <w:t>Literatura</w:t>
      </w:r>
      <w:proofErr w:type="spellEnd"/>
      <w:r w:rsidRPr="00BD033F">
        <w:rPr>
          <w:rFonts w:asciiTheme="minorHAnsi" w:hAnsiTheme="minorHAnsi"/>
          <w:b/>
        </w:rPr>
        <w:t xml:space="preserve"> </w:t>
      </w:r>
      <w:proofErr w:type="spellStart"/>
      <w:r w:rsidRPr="00BD033F">
        <w:rPr>
          <w:rFonts w:asciiTheme="minorHAnsi" w:hAnsiTheme="minorHAnsi"/>
          <w:b/>
        </w:rPr>
        <w:t>citada</w:t>
      </w:r>
      <w:proofErr w:type="spellEnd"/>
      <w:r w:rsidRPr="00BD033F">
        <w:rPr>
          <w:rFonts w:asciiTheme="minorHAnsi" w:hAnsiTheme="minorHAnsi"/>
          <w:b/>
        </w:rPr>
        <w:t>:</w:t>
      </w:r>
    </w:p>
    <w:p w:rsidR="000958DD" w:rsidRPr="00BD033F" w:rsidRDefault="000958DD" w:rsidP="000958DD">
      <w:pPr>
        <w:autoSpaceDE w:val="0"/>
        <w:autoSpaceDN w:val="0"/>
        <w:adjustRightInd w:val="0"/>
        <w:jc w:val="both"/>
        <w:rPr>
          <w:rFonts w:asciiTheme="minorHAnsi" w:hAnsiTheme="minorHAnsi" w:cs="Times New Roman"/>
        </w:rPr>
      </w:pPr>
    </w:p>
    <w:p w:rsidR="000958DD" w:rsidRDefault="000958DD" w:rsidP="000958DD">
      <w:pPr>
        <w:pStyle w:val="Ttulo1"/>
        <w:spacing w:before="0" w:beforeAutospacing="0" w:after="0" w:afterAutospacing="0"/>
        <w:jc w:val="both"/>
        <w:rPr>
          <w:rFonts w:asciiTheme="minorHAnsi" w:hAnsiTheme="minorHAnsi"/>
          <w:b w:val="0"/>
          <w:sz w:val="24"/>
          <w:szCs w:val="24"/>
        </w:rPr>
      </w:pPr>
      <w:proofErr w:type="spellStart"/>
      <w:r w:rsidRPr="000958DD">
        <w:rPr>
          <w:rFonts w:ascii="Calibri" w:hAnsi="Calibri"/>
          <w:sz w:val="24"/>
          <w:szCs w:val="24"/>
          <w:lang w:val="es-ES"/>
        </w:rPr>
        <w:t>Baird</w:t>
      </w:r>
      <w:proofErr w:type="spellEnd"/>
      <w:r w:rsidRPr="000958DD">
        <w:rPr>
          <w:rFonts w:ascii="Calibri" w:hAnsi="Calibri"/>
          <w:sz w:val="24"/>
          <w:szCs w:val="24"/>
          <w:lang w:val="es-ES"/>
        </w:rPr>
        <w:t>, J.C. y Noma, E.J.</w:t>
      </w:r>
      <w:r w:rsidRPr="000958DD">
        <w:rPr>
          <w:rFonts w:ascii="Calibri" w:hAnsi="Calibri"/>
          <w:b w:val="0"/>
          <w:sz w:val="24"/>
          <w:szCs w:val="24"/>
          <w:lang w:val="es-ES"/>
        </w:rPr>
        <w:t>..</w:t>
      </w:r>
      <w:r w:rsidRPr="000958DD">
        <w:rPr>
          <w:rFonts w:asciiTheme="minorHAnsi" w:hAnsiTheme="minorHAnsi"/>
          <w:b w:val="0"/>
          <w:sz w:val="24"/>
          <w:szCs w:val="24"/>
          <w:lang w:val="es-ES"/>
        </w:rPr>
        <w:t xml:space="preserve">  </w:t>
      </w:r>
      <w:r w:rsidRPr="00F50721">
        <w:rPr>
          <w:rFonts w:asciiTheme="minorHAnsi" w:hAnsiTheme="minorHAnsi"/>
          <w:b w:val="0"/>
          <w:sz w:val="24"/>
          <w:szCs w:val="24"/>
        </w:rPr>
        <w:t>1978.  Fundamentals of scaling and psychophysics (Wiley series in behavior)</w:t>
      </w:r>
      <w:r>
        <w:rPr>
          <w:rFonts w:asciiTheme="minorHAnsi" w:hAnsiTheme="minorHAnsi"/>
          <w:b w:val="0"/>
          <w:sz w:val="24"/>
          <w:szCs w:val="24"/>
        </w:rPr>
        <w:t xml:space="preserve">.  </w:t>
      </w:r>
      <w:proofErr w:type="gramStart"/>
      <w:r>
        <w:rPr>
          <w:rFonts w:asciiTheme="minorHAnsi" w:hAnsiTheme="minorHAnsi"/>
          <w:b w:val="0"/>
          <w:sz w:val="24"/>
          <w:szCs w:val="24"/>
        </w:rPr>
        <w:t>John Wiley &amp; Sons.</w:t>
      </w:r>
      <w:proofErr w:type="gramEnd"/>
      <w:r>
        <w:rPr>
          <w:rFonts w:asciiTheme="minorHAnsi" w:hAnsiTheme="minorHAnsi"/>
          <w:b w:val="0"/>
          <w:sz w:val="24"/>
          <w:szCs w:val="24"/>
        </w:rPr>
        <w:t xml:space="preserve"> </w:t>
      </w:r>
      <w:proofErr w:type="gramStart"/>
      <w:r>
        <w:rPr>
          <w:rFonts w:asciiTheme="minorHAnsi" w:hAnsiTheme="minorHAnsi"/>
          <w:b w:val="0"/>
          <w:sz w:val="24"/>
          <w:szCs w:val="24"/>
        </w:rPr>
        <w:t>287 pp.</w:t>
      </w:r>
      <w:proofErr w:type="gramEnd"/>
    </w:p>
    <w:p w:rsidR="00573C2A" w:rsidRDefault="00573C2A" w:rsidP="00F50721">
      <w:pPr>
        <w:pStyle w:val="yiv1798426951msonormal"/>
        <w:spacing w:before="0" w:beforeAutospacing="0" w:after="0" w:afterAutospacing="0"/>
        <w:jc w:val="both"/>
        <w:rPr>
          <w:rFonts w:asciiTheme="minorHAnsi" w:hAnsiTheme="minorHAnsi"/>
          <w:b/>
        </w:rPr>
      </w:pPr>
    </w:p>
    <w:p w:rsidR="00573C2A" w:rsidRDefault="00573C2A" w:rsidP="00573C2A">
      <w:pPr>
        <w:autoSpaceDE w:val="0"/>
        <w:autoSpaceDN w:val="0"/>
        <w:adjustRightInd w:val="0"/>
        <w:jc w:val="both"/>
        <w:rPr>
          <w:rFonts w:ascii="Calibri" w:hAnsi="Calibri"/>
        </w:rPr>
      </w:pPr>
      <w:r w:rsidRPr="00573C2A">
        <w:rPr>
          <w:rFonts w:ascii="Calibri" w:hAnsi="Calibri"/>
          <w:b/>
        </w:rPr>
        <w:t>Her</w:t>
      </w:r>
      <w:r w:rsidR="00FE787B">
        <w:rPr>
          <w:rFonts w:ascii="Calibri" w:hAnsi="Calibri"/>
          <w:b/>
        </w:rPr>
        <w:t>b</w:t>
      </w:r>
      <w:r w:rsidRPr="00573C2A">
        <w:rPr>
          <w:rFonts w:ascii="Calibri" w:hAnsi="Calibri"/>
          <w:b/>
        </w:rPr>
        <w:t>ert, T.T</w:t>
      </w:r>
      <w:r w:rsidRPr="00573C2A">
        <w:rPr>
          <w:rFonts w:ascii="Calibri" w:hAnsi="Calibri"/>
        </w:rPr>
        <w:t xml:space="preserve">.  1982. The rationale for the </w:t>
      </w:r>
      <w:proofErr w:type="spellStart"/>
      <w:r w:rsidRPr="00573C2A">
        <w:rPr>
          <w:rFonts w:ascii="Calibri" w:hAnsi="Calibri"/>
        </w:rPr>
        <w:t>Horsfall</w:t>
      </w:r>
      <w:proofErr w:type="spellEnd"/>
      <w:r w:rsidRPr="00573C2A">
        <w:rPr>
          <w:rFonts w:ascii="Calibri" w:hAnsi="Calibri"/>
        </w:rPr>
        <w:t xml:space="preserve">-Barratt plant disease assessment scale. </w:t>
      </w:r>
      <w:proofErr w:type="spellStart"/>
      <w:r w:rsidRPr="00573C2A">
        <w:rPr>
          <w:rFonts w:ascii="Calibri" w:hAnsi="Calibri"/>
        </w:rPr>
        <w:t>Phytopatholgy</w:t>
      </w:r>
      <w:proofErr w:type="spellEnd"/>
      <w:r w:rsidRPr="00573C2A">
        <w:rPr>
          <w:rFonts w:ascii="Calibri" w:hAnsi="Calibri"/>
        </w:rPr>
        <w:t xml:space="preserve"> 105 72(10):1269</w:t>
      </w:r>
      <w:r>
        <w:rPr>
          <w:rFonts w:ascii="Calibri" w:hAnsi="Calibri"/>
        </w:rPr>
        <w:t>.</w:t>
      </w:r>
    </w:p>
    <w:p w:rsidR="00F50721" w:rsidRPr="00BD033F" w:rsidRDefault="00F50721" w:rsidP="00F50721">
      <w:pPr>
        <w:pStyle w:val="yiv1798426951msonormal"/>
        <w:spacing w:before="0" w:beforeAutospacing="0" w:after="0" w:afterAutospacing="0"/>
        <w:jc w:val="both"/>
        <w:rPr>
          <w:rFonts w:asciiTheme="minorHAnsi" w:hAnsiTheme="minorHAnsi"/>
          <w:b/>
        </w:rPr>
      </w:pPr>
    </w:p>
    <w:p w:rsidR="00092153" w:rsidRDefault="00C32F9F" w:rsidP="00573C2A">
      <w:pPr>
        <w:autoSpaceDE w:val="0"/>
        <w:autoSpaceDN w:val="0"/>
        <w:adjustRightInd w:val="0"/>
        <w:jc w:val="both"/>
        <w:rPr>
          <w:rFonts w:asciiTheme="minorHAnsi" w:hAnsiTheme="minorHAnsi" w:cs="Times New Roman"/>
        </w:rPr>
      </w:pPr>
      <w:proofErr w:type="spellStart"/>
      <w:r w:rsidRPr="00BD033F">
        <w:rPr>
          <w:rFonts w:asciiTheme="minorHAnsi" w:hAnsiTheme="minorHAnsi" w:cs="Times New Roman"/>
          <w:b/>
          <w:bCs/>
        </w:rPr>
        <w:t>Horsfall</w:t>
      </w:r>
      <w:proofErr w:type="spellEnd"/>
      <w:r w:rsidRPr="00BD033F">
        <w:rPr>
          <w:rFonts w:asciiTheme="minorHAnsi" w:hAnsiTheme="minorHAnsi" w:cs="Times New Roman"/>
          <w:b/>
          <w:bCs/>
        </w:rPr>
        <w:t>, J.G.</w:t>
      </w:r>
      <w:r w:rsidR="00BD033F">
        <w:rPr>
          <w:rFonts w:asciiTheme="minorHAnsi" w:hAnsiTheme="minorHAnsi" w:cs="Times New Roman"/>
          <w:b/>
          <w:bCs/>
        </w:rPr>
        <w:t>,</w:t>
      </w:r>
      <w:r w:rsidR="000958DD">
        <w:rPr>
          <w:rFonts w:asciiTheme="minorHAnsi" w:hAnsiTheme="minorHAnsi" w:cs="Times New Roman"/>
          <w:b/>
          <w:bCs/>
        </w:rPr>
        <w:t xml:space="preserve"> y</w:t>
      </w:r>
      <w:r w:rsidRPr="00BD033F">
        <w:rPr>
          <w:rFonts w:asciiTheme="minorHAnsi" w:hAnsiTheme="minorHAnsi" w:cs="Times New Roman"/>
          <w:b/>
          <w:bCs/>
        </w:rPr>
        <w:t xml:space="preserve"> </w:t>
      </w:r>
      <w:r w:rsidRPr="00BD033F">
        <w:rPr>
          <w:rFonts w:asciiTheme="minorHAnsi" w:hAnsiTheme="minorHAnsi" w:cs="Times New Roman"/>
          <w:b/>
        </w:rPr>
        <w:t>Barratt, R.</w:t>
      </w:r>
      <w:r w:rsidRPr="00BD033F">
        <w:rPr>
          <w:rFonts w:asciiTheme="minorHAnsi" w:hAnsiTheme="minorHAnsi" w:cs="Times New Roman"/>
          <w:b/>
          <w:bCs/>
        </w:rPr>
        <w:t xml:space="preserve">W.  </w:t>
      </w:r>
      <w:r w:rsidRPr="00BD033F">
        <w:rPr>
          <w:rFonts w:asciiTheme="minorHAnsi" w:hAnsiTheme="minorHAnsi" w:cs="Times New Roman"/>
          <w:bCs/>
        </w:rPr>
        <w:t>1945</w:t>
      </w:r>
      <w:r w:rsidRPr="00BD033F">
        <w:rPr>
          <w:rFonts w:asciiTheme="minorHAnsi" w:hAnsiTheme="minorHAnsi" w:cs="Times New Roman"/>
          <w:b/>
          <w:bCs/>
        </w:rPr>
        <w:t xml:space="preserve">. </w:t>
      </w:r>
      <w:r w:rsidRPr="00BD033F">
        <w:rPr>
          <w:rFonts w:asciiTheme="minorHAnsi" w:hAnsiTheme="minorHAnsi" w:cs="Times New Roman"/>
        </w:rPr>
        <w:t>An improved grading system for measuring plant diseases. (Abstract.)</w:t>
      </w:r>
      <w:r w:rsidR="00BD033F" w:rsidRPr="00BD033F">
        <w:rPr>
          <w:rFonts w:asciiTheme="minorHAnsi" w:hAnsiTheme="minorHAnsi" w:cs="Times New Roman"/>
        </w:rPr>
        <w:t>.</w:t>
      </w:r>
      <w:r w:rsidRPr="00BD033F">
        <w:rPr>
          <w:rFonts w:asciiTheme="minorHAnsi" w:hAnsiTheme="minorHAnsi" w:cs="Times New Roman"/>
        </w:rPr>
        <w:t xml:space="preserve"> </w:t>
      </w:r>
      <w:proofErr w:type="spellStart"/>
      <w:r w:rsidR="00BD033F" w:rsidRPr="00BD033F">
        <w:rPr>
          <w:rFonts w:asciiTheme="minorHAnsi" w:hAnsiTheme="minorHAnsi" w:cs="Times New Roman"/>
          <w:i/>
          <w:iCs/>
        </w:rPr>
        <w:t>Phytopat</w:t>
      </w:r>
      <w:r w:rsidRPr="00BD033F">
        <w:rPr>
          <w:rFonts w:asciiTheme="minorHAnsi" w:hAnsiTheme="minorHAnsi" w:cs="Times New Roman"/>
          <w:i/>
          <w:iCs/>
        </w:rPr>
        <w:t>hology</w:t>
      </w:r>
      <w:proofErr w:type="spellEnd"/>
      <w:r w:rsidRPr="00BD033F">
        <w:rPr>
          <w:rFonts w:asciiTheme="minorHAnsi" w:hAnsiTheme="minorHAnsi" w:cs="Times New Roman"/>
          <w:i/>
          <w:iCs/>
        </w:rPr>
        <w:t xml:space="preserve"> </w:t>
      </w:r>
      <w:r w:rsidR="00BD033F" w:rsidRPr="00BD033F">
        <w:rPr>
          <w:rFonts w:asciiTheme="minorHAnsi" w:hAnsiTheme="minorHAnsi" w:cs="Times New Roman"/>
        </w:rPr>
        <w:t>35:655</w:t>
      </w:r>
      <w:r w:rsidRPr="00BD033F">
        <w:rPr>
          <w:rFonts w:asciiTheme="minorHAnsi" w:hAnsiTheme="minorHAnsi" w:cs="Times New Roman"/>
        </w:rPr>
        <w:t>.</w:t>
      </w:r>
    </w:p>
    <w:p w:rsidR="00573C2A" w:rsidRDefault="00573C2A" w:rsidP="00573C2A">
      <w:pPr>
        <w:pStyle w:val="Ttulo1"/>
        <w:spacing w:before="0" w:beforeAutospacing="0" w:after="0" w:afterAutospacing="0"/>
        <w:jc w:val="both"/>
        <w:rPr>
          <w:rFonts w:asciiTheme="minorHAnsi" w:hAnsiTheme="minorHAnsi"/>
          <w:b w:val="0"/>
          <w:sz w:val="24"/>
          <w:szCs w:val="24"/>
        </w:rPr>
      </w:pPr>
    </w:p>
    <w:p w:rsidR="00573C2A" w:rsidRPr="00573C2A" w:rsidRDefault="00573C2A" w:rsidP="00573C2A">
      <w:pPr>
        <w:autoSpaceDE w:val="0"/>
        <w:autoSpaceDN w:val="0"/>
        <w:adjustRightInd w:val="0"/>
        <w:jc w:val="both"/>
        <w:rPr>
          <w:rFonts w:ascii="Calibri" w:hAnsi="Calibri"/>
          <w:lang w:val="es-ES"/>
        </w:rPr>
      </w:pPr>
      <w:r w:rsidRPr="00573C2A">
        <w:rPr>
          <w:rFonts w:ascii="Calibri" w:hAnsi="Calibri"/>
          <w:b/>
          <w:lang w:val="es-ES"/>
        </w:rPr>
        <w:t>Navarro, J.R., Arauz, L.F</w:t>
      </w:r>
      <w:r w:rsidRPr="00573C2A">
        <w:rPr>
          <w:rFonts w:ascii="Calibri" w:hAnsi="Calibri"/>
          <w:lang w:val="es-ES"/>
        </w:rPr>
        <w:t>.  1999.  Exactitud y repetitividad de dos métodos para la evaluación de la severidad de enfermedades fungosas en el fruto de la papaya (</w:t>
      </w:r>
      <w:proofErr w:type="spellStart"/>
      <w:r w:rsidRPr="00573C2A">
        <w:rPr>
          <w:rFonts w:ascii="Calibri" w:hAnsi="Calibri"/>
          <w:i/>
          <w:lang w:val="es-ES"/>
        </w:rPr>
        <w:t>Carica</w:t>
      </w:r>
      <w:proofErr w:type="spellEnd"/>
      <w:r w:rsidRPr="00573C2A">
        <w:rPr>
          <w:rFonts w:ascii="Calibri" w:hAnsi="Calibri"/>
          <w:i/>
          <w:lang w:val="es-ES"/>
        </w:rPr>
        <w:t xml:space="preserve"> papaya</w:t>
      </w:r>
      <w:r w:rsidR="000958DD">
        <w:rPr>
          <w:rFonts w:ascii="Calibri" w:hAnsi="Calibri"/>
          <w:lang w:val="es-ES"/>
        </w:rPr>
        <w:t>)</w:t>
      </w:r>
      <w:r w:rsidRPr="00573C2A">
        <w:rPr>
          <w:rFonts w:ascii="Calibri" w:hAnsi="Calibri"/>
          <w:lang w:val="es-ES"/>
        </w:rPr>
        <w:t>.</w:t>
      </w:r>
      <w:r w:rsidR="000958DD">
        <w:rPr>
          <w:rFonts w:ascii="Calibri" w:hAnsi="Calibri"/>
          <w:lang w:val="es-ES"/>
        </w:rPr>
        <w:t xml:space="preserve"> </w:t>
      </w:r>
      <w:r w:rsidRPr="00573C2A">
        <w:rPr>
          <w:rFonts w:ascii="Calibri" w:hAnsi="Calibri"/>
          <w:lang w:val="es-ES"/>
        </w:rPr>
        <w:t>Agronomía Costarricense 23(1): 89-96. 1999</w:t>
      </w:r>
    </w:p>
    <w:p w:rsidR="00573C2A" w:rsidRDefault="00573C2A" w:rsidP="00573C2A">
      <w:pPr>
        <w:autoSpaceDE w:val="0"/>
        <w:autoSpaceDN w:val="0"/>
        <w:adjustRightInd w:val="0"/>
        <w:jc w:val="both"/>
        <w:rPr>
          <w:rFonts w:ascii="Calibri" w:hAnsi="Calibri"/>
          <w:lang w:val="es-ES"/>
        </w:rPr>
      </w:pPr>
    </w:p>
    <w:p w:rsidR="005E0238" w:rsidRDefault="005E0238" w:rsidP="00573C2A">
      <w:pPr>
        <w:autoSpaceDE w:val="0"/>
        <w:autoSpaceDN w:val="0"/>
        <w:adjustRightInd w:val="0"/>
        <w:jc w:val="both"/>
        <w:rPr>
          <w:rFonts w:ascii="Calibri" w:hAnsi="Calibri"/>
          <w:lang w:val="es-ES"/>
        </w:rPr>
      </w:pPr>
      <w:hyperlink r:id="rId8" w:history="1">
        <w:r w:rsidRPr="00F04E2D">
          <w:rPr>
            <w:rStyle w:val="Hipervnculo"/>
            <w:rFonts w:ascii="Calibri" w:hAnsi="Calibri"/>
            <w:lang w:val="es-ES"/>
          </w:rPr>
          <w:t>http://es.wikipedia.org/wiki/Ley_de_Weber-Fechner</w:t>
        </w:r>
      </w:hyperlink>
    </w:p>
    <w:p w:rsidR="005E0238" w:rsidRPr="00573C2A" w:rsidRDefault="005E0238" w:rsidP="00573C2A">
      <w:pPr>
        <w:autoSpaceDE w:val="0"/>
        <w:autoSpaceDN w:val="0"/>
        <w:adjustRightInd w:val="0"/>
        <w:jc w:val="both"/>
        <w:rPr>
          <w:rFonts w:ascii="Calibri" w:hAnsi="Calibri"/>
          <w:lang w:val="es-ES"/>
        </w:rPr>
      </w:pPr>
    </w:p>
    <w:sectPr w:rsidR="005E0238" w:rsidRPr="00573C2A" w:rsidSect="00092153">
      <w:type w:val="continuous"/>
      <w:pgSz w:w="12240" w:h="15840"/>
      <w:pgMar w:top="1134" w:right="1134" w:bottom="1134"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BF" w:rsidRDefault="005564BF" w:rsidP="00F64DBD">
      <w:r>
        <w:separator/>
      </w:r>
    </w:p>
  </w:endnote>
  <w:endnote w:type="continuationSeparator" w:id="0">
    <w:p w:rsidR="005564BF" w:rsidRDefault="005564BF" w:rsidP="00F64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BF" w:rsidRDefault="005564BF" w:rsidP="00F64DBD">
      <w:r>
        <w:separator/>
      </w:r>
    </w:p>
  </w:footnote>
  <w:footnote w:type="continuationSeparator" w:id="0">
    <w:p w:rsidR="005564BF" w:rsidRDefault="005564BF" w:rsidP="00F64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rsids>
    <w:rsidRoot w:val="00275F34"/>
    <w:rsid w:val="00092153"/>
    <w:rsid w:val="000958DD"/>
    <w:rsid w:val="001A6355"/>
    <w:rsid w:val="00220352"/>
    <w:rsid w:val="00275F34"/>
    <w:rsid w:val="002F3E28"/>
    <w:rsid w:val="00303543"/>
    <w:rsid w:val="00322E81"/>
    <w:rsid w:val="0032534B"/>
    <w:rsid w:val="003577C8"/>
    <w:rsid w:val="00396EF9"/>
    <w:rsid w:val="003C21EE"/>
    <w:rsid w:val="003D7BA9"/>
    <w:rsid w:val="00425B30"/>
    <w:rsid w:val="004F3B74"/>
    <w:rsid w:val="005502FE"/>
    <w:rsid w:val="005564BF"/>
    <w:rsid w:val="00571F83"/>
    <w:rsid w:val="00573C2A"/>
    <w:rsid w:val="005929E4"/>
    <w:rsid w:val="005C4F32"/>
    <w:rsid w:val="005E0238"/>
    <w:rsid w:val="005E07F5"/>
    <w:rsid w:val="006E1536"/>
    <w:rsid w:val="00823149"/>
    <w:rsid w:val="0085157B"/>
    <w:rsid w:val="008E2632"/>
    <w:rsid w:val="00952DBC"/>
    <w:rsid w:val="009D145B"/>
    <w:rsid w:val="00B07EF8"/>
    <w:rsid w:val="00B74294"/>
    <w:rsid w:val="00BB3737"/>
    <w:rsid w:val="00BC3538"/>
    <w:rsid w:val="00BD033F"/>
    <w:rsid w:val="00BF64F3"/>
    <w:rsid w:val="00C32F9F"/>
    <w:rsid w:val="00D307F4"/>
    <w:rsid w:val="00D33055"/>
    <w:rsid w:val="00DB13AB"/>
    <w:rsid w:val="00DE6691"/>
    <w:rsid w:val="00E74907"/>
    <w:rsid w:val="00F26BAC"/>
    <w:rsid w:val="00F50721"/>
    <w:rsid w:val="00F64DBD"/>
    <w:rsid w:val="00F73363"/>
    <w:rsid w:val="00FA5EE2"/>
    <w:rsid w:val="00FE3444"/>
    <w:rsid w:val="00FE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38"/>
    <w:rPr>
      <w:rFonts w:ascii="Tahoma" w:hAnsi="Tahoma" w:cs="Arial"/>
      <w:sz w:val="24"/>
      <w:szCs w:val="24"/>
    </w:rPr>
  </w:style>
  <w:style w:type="paragraph" w:styleId="Ttulo1">
    <w:name w:val="heading 1"/>
    <w:basedOn w:val="Normal"/>
    <w:link w:val="Ttulo1Car"/>
    <w:uiPriority w:val="9"/>
    <w:qFormat/>
    <w:rsid w:val="00F50721"/>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4294"/>
    <w:rPr>
      <w:color w:val="0000FF"/>
      <w:u w:val="single"/>
    </w:rPr>
  </w:style>
  <w:style w:type="paragraph" w:styleId="Encabezado">
    <w:name w:val="header"/>
    <w:basedOn w:val="Normal"/>
    <w:link w:val="EncabezadoCar"/>
    <w:uiPriority w:val="99"/>
    <w:unhideWhenUsed/>
    <w:rsid w:val="00F64DBD"/>
    <w:pPr>
      <w:tabs>
        <w:tab w:val="center" w:pos="4419"/>
        <w:tab w:val="right" w:pos="8838"/>
      </w:tabs>
    </w:pPr>
  </w:style>
  <w:style w:type="character" w:customStyle="1" w:styleId="EncabezadoCar">
    <w:name w:val="Encabezado Car"/>
    <w:basedOn w:val="Fuentedeprrafopredeter"/>
    <w:link w:val="Encabezado"/>
    <w:uiPriority w:val="99"/>
    <w:rsid w:val="00F64DBD"/>
    <w:rPr>
      <w:rFonts w:ascii="Tahoma" w:hAnsi="Tahoma" w:cs="Arial"/>
      <w:sz w:val="24"/>
      <w:szCs w:val="24"/>
    </w:rPr>
  </w:style>
  <w:style w:type="paragraph" w:styleId="Piedepgina">
    <w:name w:val="footer"/>
    <w:basedOn w:val="Normal"/>
    <w:link w:val="PiedepginaCar"/>
    <w:uiPriority w:val="99"/>
    <w:semiHidden/>
    <w:unhideWhenUsed/>
    <w:rsid w:val="00F64DBD"/>
    <w:pPr>
      <w:tabs>
        <w:tab w:val="center" w:pos="4419"/>
        <w:tab w:val="right" w:pos="8838"/>
      </w:tabs>
    </w:pPr>
  </w:style>
  <w:style w:type="character" w:customStyle="1" w:styleId="PiedepginaCar">
    <w:name w:val="Pie de página Car"/>
    <w:basedOn w:val="Fuentedeprrafopredeter"/>
    <w:link w:val="Piedepgina"/>
    <w:uiPriority w:val="99"/>
    <w:semiHidden/>
    <w:rsid w:val="00F64DBD"/>
    <w:rPr>
      <w:rFonts w:ascii="Tahoma" w:hAnsi="Tahoma" w:cs="Arial"/>
      <w:sz w:val="24"/>
      <w:szCs w:val="24"/>
    </w:rPr>
  </w:style>
  <w:style w:type="paragraph" w:styleId="Textodeglobo">
    <w:name w:val="Balloon Text"/>
    <w:basedOn w:val="Normal"/>
    <w:link w:val="TextodegloboCar"/>
    <w:uiPriority w:val="99"/>
    <w:semiHidden/>
    <w:unhideWhenUsed/>
    <w:rsid w:val="00F64DBD"/>
    <w:rPr>
      <w:rFonts w:cs="Tahoma"/>
      <w:sz w:val="16"/>
      <w:szCs w:val="16"/>
    </w:rPr>
  </w:style>
  <w:style w:type="character" w:customStyle="1" w:styleId="TextodegloboCar">
    <w:name w:val="Texto de globo Car"/>
    <w:basedOn w:val="Fuentedeprrafopredeter"/>
    <w:link w:val="Textodeglobo"/>
    <w:uiPriority w:val="99"/>
    <w:semiHidden/>
    <w:rsid w:val="00F64DBD"/>
    <w:rPr>
      <w:rFonts w:ascii="Tahoma" w:hAnsi="Tahoma" w:cs="Tahoma"/>
      <w:sz w:val="16"/>
      <w:szCs w:val="16"/>
    </w:rPr>
  </w:style>
  <w:style w:type="paragraph" w:customStyle="1" w:styleId="yiv1798426951msonormal">
    <w:name w:val="yiv1798426951msonormal"/>
    <w:basedOn w:val="Normal"/>
    <w:rsid w:val="00092153"/>
    <w:pPr>
      <w:spacing w:before="100" w:beforeAutospacing="1" w:after="100" w:afterAutospacing="1"/>
    </w:pPr>
    <w:rPr>
      <w:rFonts w:ascii="Times New Roman" w:hAnsi="Times New Roman" w:cs="Times New Roman"/>
    </w:rPr>
  </w:style>
  <w:style w:type="character" w:customStyle="1" w:styleId="Ttulo1Car">
    <w:name w:val="Título 1 Car"/>
    <w:basedOn w:val="Fuentedeprrafopredeter"/>
    <w:link w:val="Ttulo1"/>
    <w:uiPriority w:val="9"/>
    <w:rsid w:val="00F50721"/>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75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y_de_Weber-Fechner" TargetMode="External"/><Relationship Id="rId3" Type="http://schemas.openxmlformats.org/officeDocument/2006/relationships/webSettings" Target="webSettings.xml"/><Relationship Id="rId7" Type="http://schemas.openxmlformats.org/officeDocument/2006/relationships/hyperlink" Target="mailto:juan.navarro@ucr.ac.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1026</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La técnica del área bajo la curva</vt:lpstr>
    </vt:vector>
  </TitlesOfParts>
  <Company> </Company>
  <LinksUpToDate>false</LinksUpToDate>
  <CharactersWithSpaces>6864</CharactersWithSpaces>
  <SharedDoc>false</SharedDoc>
  <HLinks>
    <vt:vector size="6" baseType="variant">
      <vt:variant>
        <vt:i4>3670044</vt:i4>
      </vt:variant>
      <vt:variant>
        <vt:i4>0</vt:i4>
      </vt:variant>
      <vt:variant>
        <vt:i4>0</vt:i4>
      </vt:variant>
      <vt:variant>
        <vt:i4>5</vt:i4>
      </vt:variant>
      <vt:variant>
        <vt:lpwstr>mailto:juan.navarro@ucr.ac.cr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técnica del área bajo la curva</dc:title>
  <dc:subject/>
  <dc:creator>Juan Ramón Navarro Flores</dc:creator>
  <cp:keywords/>
  <dc:description/>
  <cp:lastModifiedBy>Juan Ramon</cp:lastModifiedBy>
  <cp:revision>8</cp:revision>
  <dcterms:created xsi:type="dcterms:W3CDTF">2010-11-05T13:49:00Z</dcterms:created>
  <dcterms:modified xsi:type="dcterms:W3CDTF">2012-02-01T16:04:00Z</dcterms:modified>
</cp:coreProperties>
</file>